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szCs w:val="22"/>
          <w:vertAlign w:val="superscript"/>
        </w:rPr>
      </w:pPr>
      <w:r>
        <w:rPr>
          <w:rFonts w:hint="eastAsia" w:ascii="Times New Roman" w:hAnsi="Times New Roman" w:cs="Times New Roman"/>
          <w:szCs w:val="22"/>
          <w:lang w:val="en-US" w:eastAsia="zh-CN"/>
        </w:rPr>
        <w:t>As visual impairments caused by adenoma lead to a wide range of functional problems in the daily life, clinical measures of visual acuity do not sufficiently reflect the overall visual function in those with adenoma. Self-reported measures of vision-related quality of life allow one to examine a patient’s subjective well-being and visual disability while performing daily tasks. The VF-14 scale was constructed by Steinberg et al. as an index of functional impairment designed to serve a patient-reported outcome measure, originally for cataract patients.</w:t>
      </w:r>
      <w:r>
        <w:rPr>
          <w:rFonts w:hint="eastAsia" w:ascii="Times New Roman" w:hAnsi="Times New Roman" w:cs="Times New Roman"/>
          <w:szCs w:val="22"/>
          <w:vertAlign w:val="superscript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Cs w:val="22"/>
          <w:vertAlign w:val="superscript"/>
          <w:lang w:val="en-US" w:eastAsia="zh-CN"/>
        </w:rPr>
        <w:instrText xml:space="preserve"> REF _Ref5501 \r \h </w:instrText>
      </w:r>
      <w:r>
        <w:rPr>
          <w:rFonts w:hint="eastAsia" w:ascii="Times New Roman" w:hAnsi="Times New Roman" w:cs="Times New Roman"/>
          <w:szCs w:val="22"/>
          <w:vertAlign w:val="superscript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szCs w:val="22"/>
          <w:vertAlign w:val="superscript"/>
          <w:lang w:val="en-US" w:eastAsia="zh-CN"/>
        </w:rPr>
        <w:t>[1]</w:t>
      </w:r>
      <w:r>
        <w:rPr>
          <w:rFonts w:hint="eastAsia" w:ascii="Times New Roman" w:hAnsi="Times New Roman" w:cs="Times New Roman"/>
          <w:szCs w:val="22"/>
          <w:vertAlign w:val="superscript"/>
          <w:lang w:val="en-US" w:eastAsia="zh-CN"/>
        </w:rPr>
        <w:fldChar w:fldCharType="end"/>
      </w:r>
    </w:p>
    <w:p>
      <w:pPr>
        <w:rPr>
          <w:rFonts w:hint="eastAsia" w:ascii="Times New Roman" w:hAnsi="Times New Roman" w:cs="Times New Roman"/>
          <w:szCs w:val="22"/>
        </w:rPr>
      </w:pPr>
      <w:r>
        <w:rPr>
          <w:rFonts w:hint="eastAsia" w:ascii="Times New Roman" w:hAnsi="Times New Roman" w:cs="Times New Roman"/>
          <w:szCs w:val="22"/>
          <w:lang w:val="en-US" w:eastAsia="zh-CN"/>
        </w:rPr>
        <w:t>Before</w:t>
      </w:r>
      <w:r>
        <w:rPr>
          <w:rFonts w:hint="eastAsia" w:ascii="Times New Roman" w:hAnsi="Times New Roman" w:cs="Times New Roman"/>
          <w:szCs w:val="22"/>
        </w:rPr>
        <w:t xml:space="preserve"> </w:t>
      </w:r>
      <w:r>
        <w:rPr>
          <w:rFonts w:hint="eastAsia" w:ascii="Times New Roman" w:hAnsi="Times New Roman" w:cs="Times New Roman"/>
          <w:szCs w:val="22"/>
          <w:lang w:val="en-US" w:eastAsia="zh-CN"/>
        </w:rPr>
        <w:t>ETS and a</w:t>
      </w:r>
      <w:r>
        <w:rPr>
          <w:rFonts w:hint="eastAsia" w:ascii="Times New Roman" w:hAnsi="Times New Roman" w:cs="Times New Roman"/>
          <w:szCs w:val="22"/>
        </w:rPr>
        <w:t xml:space="preserve">pproximately </w:t>
      </w:r>
      <w:r>
        <w:rPr>
          <w:rFonts w:hint="eastAsia" w:ascii="Times New Roman" w:hAnsi="Times New Roman" w:cs="Times New Roman"/>
          <w:szCs w:val="22"/>
          <w:lang w:val="en-US" w:eastAsia="zh-CN"/>
        </w:rPr>
        <w:t>1 week</w:t>
      </w:r>
      <w:r>
        <w:rPr>
          <w:rFonts w:hint="eastAsia" w:ascii="Times New Roman" w:hAnsi="Times New Roman" w:cs="Times New Roman"/>
          <w:szCs w:val="22"/>
        </w:rPr>
        <w:t xml:space="preserve"> after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surgery,</w:t>
      </w:r>
      <w:r>
        <w:rPr>
          <w:rFonts w:hint="eastAsia" w:ascii="Times New Roman" w:hAnsi="Times New Roman" w:cs="Times New Roman"/>
          <w:szCs w:val="22"/>
        </w:rPr>
        <w:t xml:space="preserve">all patients were </w:t>
      </w:r>
      <w:r>
        <w:rPr>
          <w:rFonts w:hint="eastAsia" w:ascii="Times New Roman" w:hAnsi="Times New Roman" w:cs="Times New Roman"/>
          <w:szCs w:val="22"/>
          <w:lang w:val="en-US" w:eastAsia="zh-CN"/>
        </w:rPr>
        <w:t>c</w:t>
      </w:r>
      <w:r>
        <w:rPr>
          <w:rFonts w:hint="eastAsia" w:ascii="Times New Roman" w:hAnsi="Times New Roman" w:cs="Times New Roman"/>
          <w:szCs w:val="22"/>
        </w:rPr>
        <w:t>omplete</w:t>
      </w:r>
      <w:r>
        <w:rPr>
          <w:rFonts w:hint="eastAsia" w:ascii="Times New Roman" w:hAnsi="Times New Roman" w:cs="Times New Roman"/>
          <w:szCs w:val="22"/>
          <w:lang w:val="en-US" w:eastAsia="zh-CN"/>
        </w:rPr>
        <w:t>d</w:t>
      </w:r>
      <w:r>
        <w:rPr>
          <w:rFonts w:hint="eastAsia" w:ascii="Times New Roman" w:hAnsi="Times New Roman" w:cs="Times New Roman"/>
          <w:szCs w:val="22"/>
        </w:rPr>
        <w:t xml:space="preserve"> VF-14.  At this time, patients also were asked a transitional question about their improvement with regard to their vision after </w:t>
      </w:r>
      <w:r>
        <w:rPr>
          <w:rFonts w:hint="eastAsia" w:ascii="Times New Roman" w:hAnsi="Times New Roman" w:cs="Times New Roman"/>
          <w:szCs w:val="22"/>
          <w:lang w:val="en-US" w:eastAsia="zh-CN"/>
        </w:rPr>
        <w:t>ETS</w:t>
      </w:r>
      <w:r>
        <w:rPr>
          <w:rFonts w:hint="eastAsia" w:ascii="Times New Roman" w:hAnsi="Times New Roman" w:cs="Times New Roman"/>
          <w:szCs w:val="22"/>
        </w:rPr>
        <w:t>,“How is your vision now compared with how it was before your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2"/>
        </w:rPr>
        <w:t xml:space="preserve">surgery?” with </w:t>
      </w:r>
      <w:r>
        <w:rPr>
          <w:rFonts w:hint="eastAsia" w:ascii="Times New Roman" w:hAnsi="Times New Roman" w:cs="Times New Roman"/>
          <w:szCs w:val="22"/>
          <w:lang w:val="en-US" w:eastAsia="zh-CN"/>
        </w:rPr>
        <w:t>5</w:t>
      </w:r>
      <w:r>
        <w:rPr>
          <w:rFonts w:hint="eastAsia" w:ascii="Times New Roman" w:hAnsi="Times New Roman" w:cs="Times New Roman"/>
          <w:szCs w:val="22"/>
        </w:rPr>
        <w:t xml:space="preserve"> answer options ranging from “a great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2"/>
        </w:rPr>
        <w:t>deal better” to “a great deal worse.”</w:t>
      </w:r>
    </w:p>
    <w:p>
      <w:pPr>
        <w:rPr>
          <w:rFonts w:hint="eastAsia" w:ascii="Times New Roman" w:hAnsi="Times New Roman" w:cs="Times New Roman"/>
          <w:szCs w:val="22"/>
          <w:lang w:val="en-US" w:eastAsia="zh-CN"/>
        </w:rPr>
      </w:pPr>
      <w:r>
        <w:rPr>
          <w:rFonts w:hint="eastAsia" w:ascii="Times New Roman" w:hAnsi="Times New Roman" w:cs="Times New Roman"/>
          <w:szCs w:val="22"/>
        </w:rPr>
        <w:t>The MCID was estimated for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2"/>
        </w:rPr>
        <w:t>VF-14 domains, by the mean change score for patien</w:t>
      </w:r>
      <w:bookmarkStart w:id="1" w:name="_GoBack"/>
      <w:bookmarkEnd w:id="1"/>
      <w:r>
        <w:rPr>
          <w:rFonts w:hint="eastAsia" w:ascii="Times New Roman" w:hAnsi="Times New Roman" w:cs="Times New Roman"/>
          <w:szCs w:val="22"/>
        </w:rPr>
        <w:t>ts whose response to the transitional question was “somewhat better”.</w:t>
      </w:r>
      <w:r>
        <w:rPr>
          <w:rFonts w:hint="eastAsia" w:ascii="Times New Roman" w:hAnsi="Times New Roman" w:cs="Times New Roman"/>
          <w:szCs w:val="22"/>
          <w:lang w:val="en-US" w:eastAsia="zh-CN"/>
        </w:rPr>
        <w:t>For the comparison,variables were compared using non-parametric tests.</w:t>
      </w:r>
    </w:p>
    <w:p>
      <w:pPr>
        <w:rPr>
          <w:rFonts w:hint="eastAsia"/>
        </w:rPr>
      </w:pPr>
      <w:r>
        <w:drawing>
          <wp:inline distT="0" distB="0" distL="114300" distR="114300">
            <wp:extent cx="5267960" cy="892810"/>
            <wp:effectExtent l="0" t="0" r="508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9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Cs w:val="22"/>
        </w:rPr>
      </w:pPr>
      <w:r>
        <w:rPr>
          <w:rFonts w:hint="eastAsia" w:ascii="Times New Roman" w:hAnsi="Times New Roman" w:cs="Times New Roman"/>
          <w:szCs w:val="22"/>
        </w:rPr>
        <w:t xml:space="preserve">The subgroup denoted by </w:t>
      </w:r>
      <w:r>
        <w:rPr>
          <w:rFonts w:hint="default" w:ascii="Times New Roman" w:hAnsi="Times New Roman" w:cs="Times New Roman"/>
          <w:szCs w:val="22"/>
          <w:lang w:val="en-US" w:eastAsia="zh-CN"/>
        </w:rPr>
        <w:t>“</w:t>
      </w:r>
      <w:r>
        <w:rPr>
          <w:rFonts w:hint="eastAsia" w:ascii="Times New Roman" w:hAnsi="Times New Roman" w:cs="Times New Roman"/>
          <w:szCs w:val="22"/>
          <w:lang w:val="en-US" w:eastAsia="zh-CN"/>
        </w:rPr>
        <w:t>equal</w:t>
      </w:r>
      <w:r>
        <w:rPr>
          <w:rFonts w:hint="default" w:ascii="Times New Roman" w:hAnsi="Times New Roman" w:cs="Times New Roman"/>
          <w:szCs w:val="22"/>
          <w:lang w:val="en-US" w:eastAsia="zh-CN"/>
        </w:rPr>
        <w:t>”</w:t>
      </w:r>
      <w:r>
        <w:rPr>
          <w:rFonts w:hint="eastAsia" w:ascii="Times New Roman" w:hAnsi="Times New Roman" w:cs="Times New Roman"/>
          <w:szCs w:val="22"/>
        </w:rPr>
        <w:t xml:space="preserve"> combined those patients who answered “somewhat worse,”  or “a great deal worse” to the transitional question because the sample size of those was very small.</w:t>
      </w:r>
    </w:p>
    <w:p>
      <w:pPr>
        <w:rPr>
          <w:rFonts w:hint="eastAsia" w:ascii="Times New Roman" w:hAnsi="Times New Roman" w:cs="Times New Roman" w:eastAsiaTheme="minorEastAsia"/>
          <w:szCs w:val="22"/>
          <w:lang w:val="en-US" w:eastAsia="zh-CN"/>
        </w:rPr>
      </w:pPr>
      <w:r>
        <w:rPr>
          <w:rFonts w:hint="eastAsia" w:ascii="Times New Roman" w:hAnsi="Times New Roman" w:cs="Times New Roman"/>
          <w:szCs w:val="22"/>
        </w:rPr>
        <w:t xml:space="preserve">In the end, we </w:t>
      </w:r>
      <w:r>
        <w:rPr>
          <w:rFonts w:hint="eastAsia" w:ascii="Times New Roman" w:hAnsi="Times New Roman" w:cs="Times New Roman"/>
          <w:szCs w:val="22"/>
          <w:lang w:val="en-US" w:eastAsia="zh-CN"/>
        </w:rPr>
        <w:t>identify</w:t>
      </w:r>
      <w:r>
        <w:rPr>
          <w:rFonts w:hint="eastAsia" w:ascii="Times New Roman" w:hAnsi="Times New Roman" w:cs="Times New Roman"/>
          <w:szCs w:val="22"/>
        </w:rPr>
        <w:t xml:space="preserve"> that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t</w:t>
      </w:r>
      <w:r>
        <w:rPr>
          <w:rFonts w:hint="eastAsia" w:ascii="Times New Roman" w:hAnsi="Times New Roman" w:cs="Times New Roman"/>
          <w:szCs w:val="22"/>
        </w:rPr>
        <w:t>he minimal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2"/>
        </w:rPr>
        <w:t xml:space="preserve">clinically important differences (MCID) after surgery were </w:t>
      </w:r>
      <w:r>
        <w:rPr>
          <w:rFonts w:hint="eastAsia" w:ascii="Times New Roman" w:hAnsi="Times New Roman" w:cs="Times New Roman"/>
          <w:szCs w:val="22"/>
          <w:lang w:val="en-US" w:eastAsia="zh-CN"/>
        </w:rPr>
        <w:t>19.20</w:t>
      </w:r>
      <w:r>
        <w:rPr>
          <w:rFonts w:hint="eastAsia" w:ascii="Times New Roman" w:hAnsi="Times New Roman" w:cs="Times New Roman"/>
          <w:szCs w:val="22"/>
        </w:rPr>
        <w:t xml:space="preserve"> for VF-14 results</w:t>
      </w:r>
      <w:r>
        <w:rPr>
          <w:rFonts w:hint="eastAsia" w:ascii="Times New Roman" w:hAnsi="Times New Roman" w:cs="Times New Roman"/>
          <w:szCs w:val="22"/>
          <w:lang w:val="en-US" w:eastAsia="zh-CN"/>
        </w:rPr>
        <w:t>.We believe that when the difference between preoperative and postoperative scores is 19.20 or above, the visual function of patients is improved after surgery.</w:t>
      </w:r>
    </w:p>
    <w:p>
      <w:pPr>
        <w:rPr>
          <w:rFonts w:hint="eastAsia" w:ascii="Times New Roman" w:hAnsi="Times New Roman" w:cs="Times New Roman"/>
          <w:szCs w:val="22"/>
        </w:rPr>
      </w:pPr>
    </w:p>
    <w:p>
      <w:pPr>
        <w:rPr>
          <w:rFonts w:hint="eastAsia" w:ascii="Times New Roman" w:hAnsi="Times New Roman" w:cs="Times New Roman"/>
          <w:szCs w:val="22"/>
        </w:rPr>
      </w:pPr>
    </w:p>
    <w:p>
      <w:pPr>
        <w:rPr>
          <w:rFonts w:hint="eastAsia" w:ascii="Times New Roman" w:hAnsi="Times New Roman" w:cs="Times New Roman"/>
          <w:szCs w:val="2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3" w:firstLineChars="0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spacing w:val="12"/>
          <w:sz w:val="18"/>
          <w:szCs w:val="18"/>
          <w:lang w:val="en-US" w:eastAsia="zh-CN"/>
        </w:rPr>
      </w:pPr>
      <w:bookmarkStart w:id="0" w:name="_Ref5501"/>
      <w:r>
        <w:rPr>
          <w:rFonts w:hint="default" w:ascii="Times New Roman" w:hAnsi="Times New Roman" w:eastAsia="微软雅黑" w:cs="Times New Roman"/>
          <w:b w:val="0"/>
          <w:bCs w:val="0"/>
          <w:color w:val="000000"/>
          <w:spacing w:val="12"/>
          <w:sz w:val="18"/>
          <w:szCs w:val="18"/>
          <w:lang w:val="en-US" w:eastAsia="zh-CN"/>
        </w:rPr>
        <w:t>Steinberg EP, Tielsch JM, Schein OD, Javitt JC, Sharkey P, Cassard SD, Legro MW, Diener-West M, Bass EB, Damiano AM, et al. The VF-14. An index of functional impairment in patients with cataract. Arch Ophthalmol. 1994 May;112(5):630-8. doi: 10.1001/archopht.1994.01090170074026. PMID: 8185520.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EFA0BC"/>
    <w:multiLevelType w:val="singleLevel"/>
    <w:tmpl w:val="1AEFA0BC"/>
    <w:lvl w:ilvl="0" w:tentative="0">
      <w:start w:val="1"/>
      <w:numFmt w:val="decimal"/>
      <w:suff w:val="nothing"/>
      <w:lvlText w:val="[%1]"/>
      <w:lvlJc w:val="left"/>
      <w:pPr>
        <w:ind w:left="0" w:firstLine="40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lNDZjN2E0YmJjNTkwODg4OTNjNDNmY2U2MDA5ZmUifQ=="/>
  </w:docVars>
  <w:rsids>
    <w:rsidRoot w:val="7F1C7209"/>
    <w:rsid w:val="29533C3A"/>
    <w:rsid w:val="3ED0311D"/>
    <w:rsid w:val="3F077008"/>
    <w:rsid w:val="4E7B6F83"/>
    <w:rsid w:val="74671665"/>
    <w:rsid w:val="7CBF7B20"/>
    <w:rsid w:val="7F1C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2024-01-02T06:27:00Z</dcterms:created>
  <dc:creator>qzuser</dc:creator>
  <cp:lastModifiedBy>qzuser</cp:lastModifiedBy>
  <dcterms:modified xsi:type="dcterms:W3CDTF">2024-03-10T01:29:21Z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439CBE27A8294415842D7C4076B9137C_13</vt:lpwstr>
  </property>
</Properties>
</file>