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tabs>
          <w:tab w:val="left" w:pos="312"/>
        </w:tabs>
        <w:spacing w:before="0" w:beforeAutospacing="0" w:after="0" w:afterAutospacing="0"/>
        <w:ind w:left="0" w:right="0" w:firstLine="0"/>
        <w:rPr>
          <w:rFonts w:hint="default" w:ascii="Times New Roman Bold" w:hAnsi="Times New Roman Bold" w:eastAsia="宋体" w:cs="Times New Roman Bold"/>
          <w:b/>
          <w:bCs/>
          <w:i w:val="0"/>
          <w:iCs w:val="0"/>
          <w:color w:val="000000"/>
          <w:sz w:val="24"/>
          <w:szCs w:val="24"/>
          <w:u w:val="none"/>
        </w:rPr>
      </w:pPr>
      <w:r>
        <w:rPr>
          <w:rFonts w:hint="default" w:ascii="Times New Roman Bold" w:hAnsi="Times New Roman Bold" w:cs="Times New Roman Bold"/>
          <w:b/>
          <w:bCs/>
          <w:sz w:val="24"/>
          <w:szCs w:val="24"/>
          <w:lang w:val="en-US"/>
        </w:rPr>
        <w:t>Figure S1. Time Series of Flu-ALL\Flu-A\Flu-B of 124 countries, 2014-2019.</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eastAsia="宋体" w:cs="Times New Roman Bold"/>
          <w:b/>
          <w:bCs/>
          <w:i w:val="0"/>
          <w:iCs w:val="0"/>
          <w:color w:val="000000"/>
          <w:sz w:val="24"/>
          <w:szCs w:val="24"/>
          <w:u w:val="none"/>
          <w:lang w:val="en-US"/>
        </w:rPr>
        <w:drawing>
          <wp:inline distT="0" distB="0" distL="114300" distR="114300">
            <wp:extent cx="8841105" cy="3873500"/>
            <wp:effectExtent l="0" t="0" r="23495" b="1270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8841105" cy="3873500"/>
                    </a:xfrm>
                    <a:prstGeom prst="rect">
                      <a:avLst/>
                    </a:prstGeom>
                  </pic:spPr>
                </pic:pic>
              </a:graphicData>
            </a:graphic>
          </wp:inline>
        </w:drawing>
      </w:r>
    </w:p>
    <w:p>
      <w:pPr>
        <w:pStyle w:val="10"/>
        <w:tabs>
          <w:tab w:val="left" w:pos="312"/>
        </w:tabs>
        <w:ind w:left="0" w:firstLine="0"/>
        <w:rPr>
          <w:rFonts w:ascii="Times New Roman" w:hAnsi="Times New Roman"/>
          <w:sz w:val="24"/>
          <w:szCs w:val="24"/>
        </w:rPr>
      </w:pPr>
      <w:r>
        <w:rPr>
          <w:rFonts w:ascii="Times New Roman" w:hAnsi="Times New Roman"/>
          <w:sz w:val="24"/>
          <w:szCs w:val="24"/>
        </w:rPr>
        <w:t>Abbreviations:</w:t>
      </w:r>
      <w:r>
        <w:rPr>
          <w:rFonts w:hint="default" w:ascii="Times New Roman" w:hAnsi="Times New Roman"/>
          <w:sz w:val="24"/>
          <w:szCs w:val="24"/>
          <w:lang w:val="en-US"/>
        </w:rPr>
        <w:t xml:space="preserve"> </w:t>
      </w:r>
      <w:r>
        <w:rPr>
          <w:rFonts w:ascii="Times New Roman" w:hAnsi="Times New Roman"/>
          <w:sz w:val="24"/>
          <w:szCs w:val="24"/>
        </w:rPr>
        <w:t>Flu All, all virus types for Flu A and Flu B; Flu A, influenza A; Flu B, influenza B.</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rPr>
      </w:pPr>
    </w:p>
    <w:p>
      <w:pPr>
        <w:pStyle w:val="4"/>
        <w:keepNext w:val="0"/>
        <w:keepLines w:val="0"/>
        <w:widowControl w:val="0"/>
        <w:suppressLineNumbers w:val="0"/>
        <w:tabs>
          <w:tab w:val="left" w:pos="260"/>
          <w:tab w:val="left" w:pos="312"/>
        </w:tabs>
        <w:spacing w:before="0" w:beforeAutospacing="0" w:after="0" w:afterAutospacing="0"/>
        <w:ind w:left="0" w:right="0" w:firstLine="0"/>
        <w:jc w:val="both"/>
        <w:rPr>
          <w:rFonts w:hint="default" w:ascii="Times New Roman" w:hAnsi="Times New Roman" w:eastAsia="DengXian" w:cs="Times New Roman"/>
          <w:kern w:val="2"/>
          <w:sz w:val="24"/>
          <w:szCs w:val="24"/>
          <w:lang w:val="en-US" w:eastAsia="zh-CN"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pStyle w:val="4"/>
        <w:keepNext w:val="0"/>
        <w:keepLines w:val="0"/>
        <w:widowControl w:val="0"/>
        <w:suppressLineNumbers w:val="0"/>
        <w:tabs>
          <w:tab w:val="left" w:pos="260"/>
          <w:tab w:val="left" w:pos="312"/>
        </w:tabs>
        <w:spacing w:before="0" w:beforeAutospacing="0" w:after="0" w:afterAutospacing="0"/>
        <w:ind w:left="0" w:right="0" w:firstLine="0"/>
        <w:jc w:val="both"/>
        <w:rPr>
          <w:rFonts w:hint="default" w:ascii="Times New Roman Bold" w:hAnsi="Times New Roman Bold" w:cs="Times New Roman Bold"/>
          <w:b/>
          <w:bCs/>
          <w:sz w:val="24"/>
          <w:szCs w:val="24"/>
        </w:rPr>
      </w:pPr>
      <w:r>
        <w:rPr>
          <w:rFonts w:hint="default" w:ascii="Times New Roman Bold" w:hAnsi="Times New Roman Bold" w:eastAsia="DengXian" w:cs="Times New Roman Bold"/>
          <w:b/>
          <w:bCs/>
          <w:kern w:val="2"/>
          <w:sz w:val="24"/>
          <w:szCs w:val="24"/>
          <w:lang w:val="en-US" w:eastAsia="zh-CN" w:bidi="ar"/>
        </w:rPr>
        <w:t>Figure S2. Exposure-response risk plots of temperature versus influenza at the global level with lag times of 0, 1, 2, and 3 weeks.</w:t>
      </w:r>
    </w:p>
    <w:p>
      <w:pPr>
        <w:rPr>
          <w:rFonts w:ascii="Times New Roman" w:hAnsi="Times New Roman"/>
          <w:sz w:val="24"/>
          <w:szCs w:val="24"/>
        </w:rPr>
      </w:pPr>
    </w:p>
    <w:p>
      <w:pPr>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eastAsia="宋体" w:cs="Times New Roman Bold"/>
          <w:b/>
          <w:bCs/>
          <w:i w:val="0"/>
          <w:iCs w:val="0"/>
          <w:color w:val="000000"/>
          <w:sz w:val="24"/>
          <w:szCs w:val="24"/>
          <w:u w:val="none"/>
          <w:lang w:val="en-US"/>
        </w:rPr>
        <w:drawing>
          <wp:inline distT="0" distB="0" distL="114300" distR="114300">
            <wp:extent cx="7668260" cy="5272405"/>
            <wp:effectExtent l="0" t="0" r="2540" b="10795"/>
            <wp:docPr id="3" name="图片 3"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
                    <pic:cNvPicPr>
                      <a:picLocks noChangeAspect="1"/>
                    </pic:cNvPicPr>
                  </pic:nvPicPr>
                  <pic:blipFill>
                    <a:blip r:embed="rId5"/>
                    <a:stretch>
                      <a:fillRect/>
                    </a:stretch>
                  </pic:blipFill>
                  <pic:spPr>
                    <a:xfrm>
                      <a:off x="0" y="0"/>
                      <a:ext cx="7668260" cy="5272405"/>
                    </a:xfrm>
                    <a:prstGeom prst="rect">
                      <a:avLst/>
                    </a:prstGeom>
                  </pic:spPr>
                </pic:pic>
              </a:graphicData>
            </a:graphic>
          </wp:inline>
        </w:drawing>
      </w:r>
    </w:p>
    <w:p>
      <w:pPr>
        <w:rPr>
          <w:rFonts w:hint="default" w:ascii="Times New Roman Bold" w:hAnsi="Times New Roman Bold" w:eastAsia="宋体" w:cs="Times New Roman Bold"/>
          <w:b/>
          <w:bCs/>
          <w:i w:val="0"/>
          <w:iCs w:val="0"/>
          <w:color w:val="000000"/>
          <w:sz w:val="24"/>
          <w:szCs w:val="24"/>
          <w:u w:val="none"/>
          <w:lang w:val="en-US"/>
        </w:rPr>
      </w:pPr>
    </w:p>
    <w:p>
      <w:pPr>
        <w:pStyle w:val="10"/>
        <w:tabs>
          <w:tab w:val="left" w:pos="312"/>
        </w:tabs>
        <w:ind w:left="0" w:firstLine="0"/>
        <w:rPr>
          <w:rFonts w:hint="default" w:ascii="Times New Roman" w:hAnsi="Times New Roman"/>
          <w:sz w:val="24"/>
          <w:szCs w:val="24"/>
          <w:lang w:val="en-US"/>
        </w:rPr>
        <w:sectPr>
          <w:pgSz w:w="16838" w:h="13606" w:orient="landscape"/>
          <w:pgMar w:top="1803" w:right="1440" w:bottom="1803" w:left="1440" w:header="851" w:footer="992" w:gutter="0"/>
          <w:paperSrc/>
          <w:pgBorders>
            <w:top w:val="none" w:sz="0" w:space="0"/>
            <w:left w:val="none" w:sz="0" w:space="0"/>
            <w:bottom w:val="none" w:sz="0" w:space="0"/>
            <w:right w:val="none" w:sz="0" w:space="0"/>
          </w:pgBorders>
          <w:cols w:space="0" w:num="1"/>
          <w:rtlGutter w:val="0"/>
          <w:docGrid w:type="lines" w:linePitch="312" w:charSpace="0"/>
        </w:sectPr>
      </w:pPr>
      <w:r>
        <w:rPr>
          <w:rFonts w:ascii="Times New Roman" w:hAnsi="Times New Roman"/>
          <w:sz w:val="24"/>
          <w:szCs w:val="24"/>
        </w:rPr>
        <w:t>Abbreviations: Flu All, all virus types for Flu A and Flu B; Flu A, influenza A; Flu B, influenza B; RR, relative risk</w:t>
      </w:r>
      <w:r>
        <w:rPr>
          <w:rFonts w:hint="default" w:ascii="Times New Roman" w:hAnsi="Times New Roman"/>
          <w:sz w:val="24"/>
          <w:szCs w:val="24"/>
          <w:lang w:val="en-US"/>
        </w:rPr>
        <w:t xml:space="preserve">; </w:t>
      </w:r>
      <w:r>
        <w:rPr>
          <w:rFonts w:hint="eastAsia" w:ascii="Times New Roman" w:hAnsi="Times New Roman"/>
          <w:sz w:val="24"/>
          <w:szCs w:val="24"/>
          <w:lang w:val="en-US" w:eastAsia="zh-CN"/>
        </w:rPr>
        <w:t>s</w:t>
      </w:r>
      <w:r>
        <w:rPr>
          <w:rFonts w:hint="eastAsia" w:ascii="Times New Roman" w:hAnsi="Times New Roman"/>
          <w:sz w:val="24"/>
          <w:szCs w:val="24"/>
          <w:lang w:eastAsia="zh-CN"/>
        </w:rPr>
        <w:t>haded for 95% CI</w:t>
      </w:r>
      <w:r>
        <w:rPr>
          <w:rFonts w:hint="default" w:ascii="Times New Roman" w:hAnsi="Times New Roman"/>
          <w:sz w:val="24"/>
          <w:szCs w:val="24"/>
          <w:lang w:val="en-US" w:eastAsia="zh-CN"/>
        </w:rPr>
        <w:t>,</w:t>
      </w:r>
      <w:r>
        <w:rPr>
          <w:rFonts w:ascii="Times New Roman" w:hAnsi="Times New Roman"/>
          <w:sz w:val="24"/>
          <w:szCs w:val="24"/>
        </w:rPr>
        <w:t>confidence interval.</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cs="Times New Roman Bold"/>
          <w:b/>
          <w:bCs/>
          <w:sz w:val="24"/>
          <w:szCs w:val="24"/>
          <w:lang w:val="en-US"/>
        </w:rPr>
        <w:t xml:space="preserve">Figure S3. </w:t>
      </w:r>
      <w:r>
        <w:rPr>
          <w:rFonts w:hint="default" w:ascii="Times New Roman Bold" w:hAnsi="Times New Roman Bold" w:cs="Times New Roman Bold"/>
          <w:b/>
          <w:bCs/>
          <w:sz w:val="24"/>
          <w:szCs w:val="24"/>
        </w:rPr>
        <w:t xml:space="preserve">Overall lag structure and 95% CI for the effect of temperature extremes on influenza risk for 124 countries. </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eastAsia="宋体" w:cs="Times New Roman Bold"/>
          <w:b/>
          <w:bCs/>
          <w:i w:val="0"/>
          <w:iCs w:val="0"/>
          <w:color w:val="000000"/>
          <w:sz w:val="24"/>
          <w:szCs w:val="24"/>
          <w:u w:val="none"/>
          <w:lang w:val="en-US"/>
        </w:rPr>
        <w:drawing>
          <wp:inline distT="0" distB="0" distL="114300" distR="114300">
            <wp:extent cx="8847455" cy="2501900"/>
            <wp:effectExtent l="0" t="0" r="17145" b="12700"/>
            <wp:docPr id="4" name="图片 4"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3"/>
                    <pic:cNvPicPr>
                      <a:picLocks noChangeAspect="1"/>
                    </pic:cNvPicPr>
                  </pic:nvPicPr>
                  <pic:blipFill>
                    <a:blip r:embed="rId6"/>
                    <a:stretch>
                      <a:fillRect/>
                    </a:stretch>
                  </pic:blipFill>
                  <pic:spPr>
                    <a:xfrm>
                      <a:off x="0" y="0"/>
                      <a:ext cx="8847455" cy="2501900"/>
                    </a:xfrm>
                    <a:prstGeom prst="rect">
                      <a:avLst/>
                    </a:prstGeom>
                  </pic:spPr>
                </pic:pic>
              </a:graphicData>
            </a:graphic>
          </wp:inline>
        </w:drawing>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p>
    <w:p>
      <w:pPr>
        <w:pStyle w:val="10"/>
        <w:tabs>
          <w:tab w:val="left" w:pos="312"/>
        </w:tabs>
        <w:ind w:left="0" w:firstLine="0"/>
        <w:rPr>
          <w:rFonts w:ascii="Times New Roman" w:hAnsi="Times New Roman"/>
          <w:sz w:val="24"/>
          <w:szCs w:val="24"/>
        </w:rPr>
        <w:sectPr>
          <w:pgSz w:w="16838" w:h="11900" w:orient="landscape"/>
          <w:pgMar w:top="1803" w:right="1440" w:bottom="1803" w:left="1440" w:header="851" w:footer="992" w:gutter="0"/>
          <w:paperSrc/>
          <w:pgBorders>
            <w:top w:val="none" w:sz="0" w:space="0"/>
            <w:left w:val="none" w:sz="0" w:space="0"/>
            <w:bottom w:val="none" w:sz="0" w:space="0"/>
            <w:right w:val="none" w:sz="0" w:space="0"/>
          </w:pgBorders>
          <w:cols w:space="0" w:num="1"/>
          <w:rtlGutter w:val="0"/>
          <w:docGrid w:type="lines" w:linePitch="312" w:charSpace="0"/>
        </w:sectPr>
      </w:pPr>
      <w:r>
        <w:rPr>
          <w:rFonts w:ascii="Times New Roman" w:hAnsi="Times New Roman"/>
          <w:sz w:val="24"/>
          <w:szCs w:val="24"/>
        </w:rPr>
        <w:t>Abbreviations: Flu All, all virus types for Flu A and Flu B; Flu A, influenza A; Flu B, influenza B; RR, relative risk.</w:t>
      </w:r>
    </w:p>
    <w:p>
      <w:pPr>
        <w:pStyle w:val="10"/>
        <w:tabs>
          <w:tab w:val="left" w:pos="312"/>
        </w:tabs>
        <w:ind w:left="0" w:firstLine="0"/>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cs="Times New Roman Bold"/>
          <w:b/>
          <w:bCs/>
          <w:sz w:val="24"/>
          <w:szCs w:val="24"/>
        </w:rPr>
        <w:t>Figure S</w:t>
      </w:r>
      <w:r>
        <w:rPr>
          <w:rFonts w:hint="default" w:ascii="Times New Roman Bold" w:hAnsi="Times New Roman Bold" w:cs="Times New Roman Bold"/>
          <w:b/>
          <w:bCs/>
          <w:sz w:val="24"/>
          <w:szCs w:val="24"/>
          <w:lang w:val="en-US"/>
        </w:rPr>
        <w:t>4</w:t>
      </w:r>
      <w:bookmarkStart w:id="0" w:name="_GoBack"/>
      <w:bookmarkEnd w:id="0"/>
      <w:r>
        <w:rPr>
          <w:rFonts w:hint="default" w:ascii="Times New Roman Bold" w:hAnsi="Times New Roman Bold" w:cs="Times New Roman Bold"/>
          <w:b/>
          <w:bCs/>
          <w:sz w:val="24"/>
          <w:szCs w:val="24"/>
        </w:rPr>
        <w:t>. Best linear unbiased predictors of exposure-response relationships for cumulative relative risk between temperature and influenza in 124 countries (</w:t>
      </w:r>
      <w:r>
        <w:rPr>
          <w:rFonts w:hint="default" w:ascii="Times New Roman Bold" w:hAnsi="Times New Roman Bold" w:cs="Times New Roman Bold"/>
          <w:b/>
          <w:bCs/>
          <w:sz w:val="24"/>
          <w:szCs w:val="24"/>
          <w:lang w:val="en-US"/>
        </w:rPr>
        <w:t>L</w:t>
      </w:r>
      <w:r>
        <w:rPr>
          <w:rFonts w:hint="default" w:ascii="Times New Roman Bold" w:hAnsi="Times New Roman Bold" w:cs="Times New Roman Bold"/>
          <w:b/>
          <w:bCs/>
          <w:sz w:val="24"/>
          <w:szCs w:val="24"/>
        </w:rPr>
        <w:t>ag 2 weeks).</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r>
        <w:rPr>
          <w:rFonts w:hint="default" w:ascii="Times New Roman Bold" w:hAnsi="Times New Roman Bold" w:eastAsia="宋体" w:cs="Times New Roman Bold"/>
          <w:b/>
          <w:bCs/>
          <w:i w:val="0"/>
          <w:iCs w:val="0"/>
          <w:color w:val="000000"/>
          <w:sz w:val="24"/>
          <w:szCs w:val="24"/>
          <w:u w:val="none"/>
          <w:lang w:val="en-US"/>
        </w:rPr>
        <w:drawing>
          <wp:inline distT="0" distB="0" distL="114300" distR="114300">
            <wp:extent cx="8952865" cy="2753360"/>
            <wp:effectExtent l="0" t="0" r="13335" b="15240"/>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7"/>
                    <a:stretch>
                      <a:fillRect/>
                    </a:stretch>
                  </pic:blipFill>
                  <pic:spPr>
                    <a:xfrm>
                      <a:off x="0" y="0"/>
                      <a:ext cx="8952865" cy="2753360"/>
                    </a:xfrm>
                    <a:prstGeom prst="rect">
                      <a:avLst/>
                    </a:prstGeom>
                  </pic:spPr>
                </pic:pic>
              </a:graphicData>
            </a:graphic>
          </wp:inline>
        </w:drawing>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lang w:val="en-US"/>
        </w:rPr>
      </w:pPr>
    </w:p>
    <w:p>
      <w:pPr>
        <w:pStyle w:val="10"/>
        <w:tabs>
          <w:tab w:val="left" w:pos="312"/>
        </w:tabs>
        <w:ind w:left="0" w:firstLine="0"/>
        <w:rPr>
          <w:rFonts w:hint="default" w:ascii="Times New Roman" w:hAnsi="Times New Roman"/>
          <w:sz w:val="24"/>
          <w:szCs w:val="24"/>
          <w:lang w:val="en-US"/>
        </w:rPr>
      </w:pPr>
      <w:r>
        <w:rPr>
          <w:rFonts w:ascii="Times New Roman" w:hAnsi="Times New Roman"/>
          <w:sz w:val="24"/>
          <w:szCs w:val="24"/>
        </w:rPr>
        <w:t>Abbreviations: Flu All, all virus types for Flu A and Flu B; Flu A, influenza A; Flu B, influenza B; RR, relative risk</w:t>
      </w:r>
      <w:r>
        <w:rPr>
          <w:rFonts w:hint="default" w:ascii="Times New Roman" w:hAnsi="Times New Roman"/>
          <w:sz w:val="24"/>
          <w:szCs w:val="24"/>
          <w:lang w:val="en-US"/>
        </w:rPr>
        <w:t>.</w:t>
      </w:r>
    </w:p>
    <w:p>
      <w:pPr>
        <w:pStyle w:val="10"/>
        <w:tabs>
          <w:tab w:val="left" w:pos="312"/>
        </w:tabs>
        <w:ind w:left="0" w:firstLine="0"/>
        <w:rPr>
          <w:rFonts w:hint="default" w:ascii="Times New Roman" w:hAnsi="Times New Roman"/>
          <w:sz w:val="24"/>
          <w:szCs w:val="24"/>
          <w:lang w:val="en-US"/>
        </w:rPr>
        <w:sectPr>
          <w:pgSz w:w="16838" w:h="136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sz w:val="24"/>
          <w:szCs w:val="24"/>
          <w:lang w:val="en-US"/>
        </w:rPr>
        <w:t xml:space="preserve">The dotted lines show the cumulative risk curve for individual countries, </w:t>
      </w:r>
      <w:r>
        <w:rPr>
          <w:rFonts w:hint="eastAsia" w:ascii="Times New Roman" w:hAnsi="Times New Roman"/>
          <w:sz w:val="24"/>
          <w:szCs w:val="24"/>
          <w:lang w:val="en-US" w:eastAsia="zh-CN"/>
        </w:rPr>
        <w:t>s</w:t>
      </w:r>
      <w:r>
        <w:rPr>
          <w:rFonts w:hint="eastAsia" w:ascii="Times New Roman" w:hAnsi="Times New Roman"/>
          <w:sz w:val="24"/>
          <w:szCs w:val="24"/>
          <w:lang w:eastAsia="zh-CN"/>
        </w:rPr>
        <w:t>haded for 95% CI</w:t>
      </w:r>
      <w:r>
        <w:rPr>
          <w:rFonts w:hint="default" w:ascii="Times New Roman" w:hAnsi="Times New Roman"/>
          <w:sz w:val="24"/>
          <w:szCs w:val="24"/>
          <w:lang w:val="en-US" w:eastAsia="zh-CN"/>
        </w:rPr>
        <w:t>,</w:t>
      </w:r>
      <w:r>
        <w:rPr>
          <w:rFonts w:ascii="Times New Roman" w:hAnsi="Times New Roman"/>
          <w:sz w:val="24"/>
          <w:szCs w:val="24"/>
        </w:rPr>
        <w:t>confidence interval.</w:t>
      </w:r>
    </w:p>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4"/>
          <w:szCs w:val="24"/>
          <w:u w:val="none"/>
        </w:rPr>
      </w:pPr>
      <w:r>
        <w:rPr>
          <w:rFonts w:hint="default" w:ascii="Times New Roman Bold" w:hAnsi="Times New Roman Bold" w:eastAsia="宋体" w:cs="Times New Roman Bold"/>
          <w:b/>
          <w:bCs/>
          <w:i w:val="0"/>
          <w:iCs w:val="0"/>
          <w:color w:val="000000"/>
          <w:sz w:val="24"/>
          <w:szCs w:val="24"/>
          <w:u w:val="none"/>
        </w:rPr>
        <w:t xml:space="preserve">Table S1. Details of Koppen Climate Zone and Influenza Transmission Zones   for 124 countries </w:t>
      </w:r>
    </w:p>
    <w:tbl>
      <w:tblPr>
        <w:tblStyle w:val="5"/>
        <w:tblpPr w:leftFromText="180" w:rightFromText="180" w:vertAnchor="text" w:horzAnchor="page" w:tblpX="1528" w:tblpY="300"/>
        <w:tblOverlap w:val="never"/>
        <w:tblW w:w="542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92"/>
        <w:gridCol w:w="6858"/>
      </w:tblGrid>
      <w:tr>
        <w:trPr>
          <w:trHeight w:val="340" w:hRule="atLeast"/>
        </w:trPr>
        <w:tc>
          <w:tcPr>
            <w:tcW w:w="1292" w:type="pct"/>
            <w:tcBorders>
              <w:top w:val="single" w:color="000000" w:themeColor="text1" w:sz="12" w:space="0"/>
              <w:left w:val="nil"/>
              <w:bottom w:val="single" w:color="auto" w:sz="6" w:space="0"/>
              <w:right w:val="nil"/>
            </w:tcBorders>
            <w:shd w:val="clear" w:color="auto" w:fill="auto"/>
            <w:noWrap/>
            <w:vAlign w:val="top"/>
          </w:tcPr>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0"/>
                <w:szCs w:val="20"/>
                <w:u w:val="none"/>
                <w:lang w:val="en-US"/>
              </w:rPr>
            </w:pPr>
            <w:r>
              <w:rPr>
                <w:rFonts w:hint="default" w:ascii="Times New Roman Bold" w:hAnsi="Times New Roman Bold" w:eastAsia="宋体" w:cs="Times New Roman Bold"/>
                <w:b/>
                <w:bCs/>
                <w:i w:val="0"/>
                <w:iCs w:val="0"/>
                <w:color w:val="000000"/>
                <w:sz w:val="20"/>
                <w:szCs w:val="20"/>
                <w:u w:val="none"/>
                <w:lang w:val="en-US"/>
              </w:rPr>
              <w:t>Zone</w:t>
            </w:r>
          </w:p>
        </w:tc>
        <w:tc>
          <w:tcPr>
            <w:tcW w:w="3707" w:type="pct"/>
            <w:tcBorders>
              <w:top w:val="single" w:color="000000" w:themeColor="text1" w:sz="12" w:space="0"/>
              <w:left w:val="nil"/>
              <w:bottom w:val="single" w:color="auto" w:sz="6" w:space="0"/>
              <w:right w:val="nil"/>
            </w:tcBorders>
            <w:shd w:val="clear" w:color="auto" w:fill="auto"/>
            <w:vAlign w:val="top"/>
          </w:tcPr>
          <w:p>
            <w:pPr>
              <w:keepNext w:val="0"/>
              <w:keepLines w:val="0"/>
              <w:widowControl/>
              <w:suppressLineNumbers w:val="0"/>
              <w:jc w:val="left"/>
              <w:textAlignment w:val="top"/>
              <w:rPr>
                <w:rFonts w:hint="default" w:ascii="Times New Roman Bold" w:hAnsi="Times New Roman Bold" w:eastAsia="宋体" w:cs="Times New Roman Bold"/>
                <w:b/>
                <w:bCs/>
                <w:i w:val="0"/>
                <w:iCs w:val="0"/>
                <w:color w:val="000000"/>
                <w:sz w:val="20"/>
                <w:szCs w:val="20"/>
                <w:u w:val="none"/>
              </w:rPr>
            </w:pPr>
            <w:r>
              <w:rPr>
                <w:rFonts w:hint="default" w:ascii="Times New Roman Bold" w:hAnsi="Times New Roman Bold" w:eastAsia="宋体" w:cs="Times New Roman Bold"/>
                <w:b/>
                <w:bCs/>
                <w:i w:val="0"/>
                <w:iCs w:val="0"/>
                <w:color w:val="000000"/>
                <w:kern w:val="0"/>
                <w:sz w:val="20"/>
                <w:szCs w:val="20"/>
                <w:u w:val="none"/>
                <w:lang w:val="en-US" w:eastAsia="zh-CN" w:bidi="ar"/>
              </w:rPr>
              <w:t>Country</w:t>
            </w:r>
          </w:p>
        </w:tc>
      </w:tr>
      <w:tr>
        <w:trPr>
          <w:trHeight w:val="340" w:hRule="atLeast"/>
        </w:trPr>
        <w:tc>
          <w:tcPr>
            <w:tcW w:w="5000" w:type="pct"/>
            <w:gridSpan w:val="2"/>
            <w:tcBorders>
              <w:top w:val="dashSmallGap" w:color="auto" w:sz="4" w:space="0"/>
              <w:left w:val="nil"/>
              <w:bottom w:val="nil"/>
              <w:right w:val="nil"/>
            </w:tcBorders>
            <w:shd w:val="clear" w:color="auto" w:fill="auto"/>
            <w:noWrap/>
            <w:vAlign w:val="center"/>
          </w:tcPr>
          <w:p>
            <w:pPr>
              <w:rPr>
                <w:rFonts w:hint="default" w:ascii="Times New Roman Regular" w:hAnsi="Times New Roman Regular" w:eastAsia="宋体" w:cs="Times New Roman Regular"/>
                <w:i w:val="0"/>
                <w:iCs w:val="0"/>
                <w:color w:val="000000"/>
                <w:sz w:val="20"/>
                <w:szCs w:val="20"/>
                <w:u w:val="none"/>
              </w:rPr>
            </w:pPr>
            <w:r>
              <w:rPr>
                <w:rStyle w:val="7"/>
                <w:rFonts w:hint="default" w:ascii="Times New Roman Regular" w:hAnsi="Times New Roman Regular" w:cs="Times New Roman Regular"/>
                <w:sz w:val="20"/>
                <w:szCs w:val="20"/>
                <w:lang w:val="en-US" w:eastAsia="zh-CN" w:bidi="ar"/>
              </w:rPr>
              <w:t>Koppen Climate Zone</w:t>
            </w:r>
            <w:r>
              <w:rPr>
                <w:rStyle w:val="8"/>
                <w:rFonts w:hint="default" w:ascii="Times New Roman Regular" w:hAnsi="Times New Roman Regular" w:cs="Times New Roman Regular"/>
                <w:sz w:val="20"/>
                <w:szCs w:val="20"/>
                <w:lang w:val="en-US" w:eastAsia="zh-CN" w:bidi="ar"/>
              </w:rPr>
              <w:t>#</w:t>
            </w:r>
          </w:p>
        </w:tc>
      </w:tr>
      <w:tr>
        <w:trPr>
          <w:trHeight w:val="9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 (35)</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Belize, Brazil, Cambodia, Cameroon, Central African Republic, Colombia, Costa Rica, Cuba, Côte d'Ivoire, Democratic Republic of the Congo, Dominican Republic, Egypt, El Salvador, Fiji, Ghana, Guinea, Honduras, Indonesia, Jamaica, Malaysia ,Maldives, Mauritania, Morocco, Mozambique, Nicaragua, Nigeria, Papua New Guinea, Philippines, Singapore, Sri Lanka, Thailand, Togo, Trinidad and Tobago, United Republic of Tanzania, Venezuela</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AB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Bolivia, Burkina Faso, Kenya, Paraguay</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ABC (5)</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Ecuador， India， Mauritius， North Macedonia Peru，</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AC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Bangladesh, Lao People's Democratic Republic, Rwanda, Viet Nam</w:t>
            </w:r>
          </w:p>
        </w:tc>
      </w:tr>
      <w:tr>
        <w:trPr>
          <w:trHeight w:val="68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 (19)</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Algeria, Australia, Bahrain, Iran, Iraq, Jordan, Kazakhstan, Kuwait, Mali, Mexico, Montenegro, Niger, Oman, Pakistan, Qatar, Saudi Arabia, Senegal, Tunisia, Uzbekistan</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BC (5)</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Argentina, Greece, Israel, South, Africa, Spain</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BCD (6)</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Afghanistan, Azerbaijan, Chile, Mainland China, Türkiye, United States of America</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BDE (2)</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Kyrgyzstan, Tajikistan</w:t>
            </w:r>
          </w:p>
        </w:tc>
      </w:tr>
      <w:tr>
        <w:trPr>
          <w:trHeight w:val="68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C (16)</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Belgium, Cyprus, Denmark, France, Germany, Ireland, Italy, Lebanon, Luxembourg, Malta, Nepal, Netherlands, New Zealand, Portugal, United Kingdom Uruguay</w:t>
            </w:r>
          </w:p>
        </w:tc>
      </w:tr>
      <w:tr>
        <w:trPr>
          <w:trHeight w:val="9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CD (10)</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Albania, Bulgaria, Croatia, Georgia, Hungary, Japan, Mongolia, Serbia, Slovenia, Switzerland</w:t>
            </w:r>
          </w:p>
        </w:tc>
      </w:tr>
      <w:tr>
        <w:trPr>
          <w:trHeight w:val="68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D (17)</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Armenia, Austria, Belarus, Canada, Czechia, Estonia, Finland, Latvia, Lithuania, Norway, Poland, Republic of Korea, Romania, Russian, Federation, Slovakia, Sweden, Ukraine</w:t>
            </w:r>
          </w:p>
        </w:tc>
      </w:tr>
      <w:tr>
        <w:trPr>
          <w:trHeight w:val="340" w:hRule="atLeast"/>
        </w:trPr>
        <w:tc>
          <w:tcPr>
            <w:tcW w:w="1292" w:type="pct"/>
            <w:tcBorders>
              <w:top w:val="nil"/>
              <w:left w:val="nil"/>
              <w:bottom w:val="dashSmallGap" w:color="auto" w:sz="4" w:space="0"/>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E (1)</w:t>
            </w:r>
          </w:p>
        </w:tc>
        <w:tc>
          <w:tcPr>
            <w:tcW w:w="3707" w:type="pct"/>
            <w:tcBorders>
              <w:top w:val="nil"/>
              <w:left w:val="nil"/>
              <w:bottom w:val="dashSmallGap" w:color="auto" w:sz="4" w:space="0"/>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Iceland</w:t>
            </w:r>
          </w:p>
        </w:tc>
      </w:tr>
      <w:tr>
        <w:trPr>
          <w:trHeight w:val="340" w:hRule="atLeast"/>
        </w:trPr>
        <w:tc>
          <w:tcPr>
            <w:tcW w:w="5000" w:type="pct"/>
            <w:gridSpan w:val="2"/>
            <w:tcBorders>
              <w:top w:val="dashSmallGap" w:color="auto" w:sz="4" w:space="0"/>
              <w:left w:val="nil"/>
              <w:bottom w:val="nil"/>
              <w:right w:val="nil"/>
            </w:tcBorders>
            <w:shd w:val="clear" w:color="auto" w:fill="auto"/>
            <w:noWrap/>
            <w:vAlign w:val="center"/>
          </w:tcPr>
          <w:p>
            <w:pPr>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Times New Roman Regular" w:cs="Times New Roman Regular"/>
                <w:i w:val="0"/>
                <w:iCs w:val="0"/>
                <w:color w:val="000000"/>
                <w:kern w:val="0"/>
                <w:sz w:val="20"/>
                <w:szCs w:val="20"/>
                <w:u w:val="none"/>
                <w:lang w:val="en-US" w:eastAsia="zh-CN" w:bidi="ar"/>
              </w:rPr>
              <w:t xml:space="preserve">Influenza Transmission Zones </w:t>
            </w:r>
            <w:r>
              <w:rPr>
                <w:rStyle w:val="8"/>
                <w:rFonts w:hint="default" w:ascii="Times New Roman Regular" w:hAnsi="Times New Roman Regular" w:cs="Times New Roman Regular"/>
                <w:sz w:val="20"/>
                <w:szCs w:val="20"/>
                <w:lang w:val="en-US" w:eastAsia="zh-CN" w:bidi="ar"/>
              </w:rPr>
              <w:t>##</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FLU_EST_AFR (5)</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Kenya, Mauritius, Mozambique, Rwanda, United Republic of Tanzania</w:t>
            </w:r>
          </w:p>
        </w:tc>
      </w:tr>
      <w:tr>
        <w:trPr>
          <w:trHeight w:val="336"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FLU_STH_AFR (1)</w:t>
            </w:r>
          </w:p>
        </w:tc>
        <w:tc>
          <w:tcPr>
            <w:tcW w:w="370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South Africa</w:t>
            </w:r>
          </w:p>
        </w:tc>
      </w:tr>
      <w:tr>
        <w:trPr>
          <w:trHeight w:val="9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FLU_WST_AFR (10)</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Burkina Faso, Côte d'Ivoire, Ghana, Guinea, Mali, Mauritania, Niger, Nigeria, Senegal, Togo</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FLU_NRT_AFR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Algeria, Egypt, Morocco, Tunisia</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FLU_MID_AFR (3)</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Cameroon, Central African, Republic Democratic, Republic of the Congo</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FLU_EST_ASIA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Japan，Mainland China，Mongolia</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FLU_STH_ASIA (8)</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Afghanistan, Bangladesh, India, Iran, Maldives, Nepal, Pakistan, Sri Lanka</w:t>
            </w:r>
          </w:p>
        </w:tc>
      </w:tr>
      <w:tr>
        <w:trPr>
          <w:trHeight w:val="338"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FLU_WST_ASIA (13)</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Armenia, Azerbaijan, Bahrain, Cyprus, Georgia, Iraq, Israel, Jordan, Kuwait, Lebanon, Oman, Qatar, Saudi Arabia</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FLU_CNT_ASIA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Kazakhstan, Kyrgyzstan, Tajikistan, Uzbekistan</w:t>
            </w:r>
          </w:p>
        </w:tc>
      </w:tr>
      <w:tr>
        <w:trPr>
          <w:trHeight w:val="352"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FLU_SE_ASIA (8)</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Cambodia, Indonesia, Lao People's Democratic Republic, Malaysia, Philippines, Singapore, Thailand ,Viet Nam</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FLU_EST_EUR (8)</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Belarus, Czechia, Hungary, Poland, Romania, Russian, Federation, Slovakia, Ukraine</w:t>
            </w:r>
          </w:p>
        </w:tc>
      </w:tr>
      <w:tr>
        <w:trPr>
          <w:trHeight w:val="68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FLU_SW_EUR (18)</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Albania, Austria, Belgium, Croatia, France, Germany, Greece, Italy, Luxembourg, Malta, Montenegro, Netherlands, North Macedonia, Portugal, Serbia, Slovenia, Spain, Switzerland</w:t>
            </w:r>
          </w:p>
        </w:tc>
      </w:tr>
      <w:tr>
        <w:trPr>
          <w:trHeight w:val="365"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FLU_NTH_EUR (10)</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Denmark, Estonia, Finland, Iceland, Ireland, Latvia, Lithuania, Norway, Sweden, United Kingdom</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FLU_NRT_AMR (2)</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Canada, United States of America</w:t>
            </w:r>
          </w:p>
        </w:tc>
      </w:tr>
      <w:tr>
        <w:trPr>
          <w:trHeight w:val="68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FLU_CNT_AMC (12)</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Belize, Bulgaria, Costa Rica, Cuba, Dominican, Republic, El Salvador, Honduras, Jamaica, Mexico, Nicaragua, Trinidad and Tobago, Türkiye</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FLU_TEMP_SAMR (4)</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Argentina, Chile, Paraguay, Uruguay </w:t>
            </w:r>
          </w:p>
        </w:tc>
      </w:tr>
      <w:tr>
        <w:trPr>
          <w:trHeight w:val="340" w:hRule="atLeast"/>
        </w:trPr>
        <w:tc>
          <w:tcPr>
            <w:tcW w:w="1292" w:type="pct"/>
            <w:tcBorders>
              <w:top w:val="nil"/>
              <w:left w:val="nil"/>
              <w:bottom w:val="nil"/>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FLU_TRP_SAMR (6)</w:t>
            </w:r>
          </w:p>
        </w:tc>
        <w:tc>
          <w:tcPr>
            <w:tcW w:w="3707" w:type="pct"/>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Bolivia, Brazil, Colombia, Ecuador, Peru, Venezuela</w:t>
            </w:r>
          </w:p>
        </w:tc>
      </w:tr>
      <w:tr>
        <w:trPr>
          <w:trHeight w:val="340" w:hRule="atLeast"/>
        </w:trPr>
        <w:tc>
          <w:tcPr>
            <w:tcW w:w="1292" w:type="pct"/>
            <w:tcBorders>
              <w:top w:val="nil"/>
              <w:left w:val="nil"/>
              <w:bottom w:val="single" w:color="auto" w:sz="12" w:space="0"/>
              <w:right w:val="nil"/>
            </w:tcBorders>
            <w:shd w:val="clear" w:color="auto" w:fill="auto"/>
            <w:noWrap/>
            <w:vAlign w:val="center"/>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FLU_OCE_MEL_POL (4)</w:t>
            </w:r>
          </w:p>
        </w:tc>
        <w:tc>
          <w:tcPr>
            <w:tcW w:w="3707" w:type="pct"/>
            <w:tcBorders>
              <w:top w:val="nil"/>
              <w:left w:val="nil"/>
              <w:bottom w:val="single" w:color="auto" w:sz="12" w:space="0"/>
              <w:right w:val="nil"/>
            </w:tcBorders>
            <w:shd w:val="clear" w:color="auto" w:fill="auto"/>
            <w:vAlign w:val="top"/>
          </w:tcPr>
          <w:p>
            <w:pPr>
              <w:keepNext w:val="0"/>
              <w:keepLines w:val="0"/>
              <w:widowControl/>
              <w:suppressLineNumbers w:val="0"/>
              <w:jc w:val="left"/>
              <w:textAlignment w:val="top"/>
              <w:rPr>
                <w:rFonts w:hint="default" w:ascii="Times New Roman Regular" w:hAnsi="Times New Roman Regular" w:eastAsia="宋体" w:cs="Times New Roman Regular"/>
                <w:i w:val="0"/>
                <w:iCs w:val="0"/>
                <w:color w:val="000000"/>
                <w:sz w:val="20"/>
                <w:szCs w:val="20"/>
                <w:u w:val="none"/>
              </w:rPr>
            </w:pPr>
            <w:r>
              <w:rPr>
                <w:rFonts w:hint="default" w:ascii="Times New Roman Regular" w:hAnsi="Times New Roman Regular" w:eastAsia="宋体" w:cs="Times New Roman Regular"/>
                <w:i w:val="0"/>
                <w:iCs w:val="0"/>
                <w:color w:val="000000"/>
                <w:kern w:val="0"/>
                <w:sz w:val="20"/>
                <w:szCs w:val="20"/>
                <w:u w:val="none"/>
                <w:lang w:val="en-US" w:eastAsia="zh-CN" w:bidi="ar"/>
              </w:rPr>
              <w:t>Australia, Fiji, New Zealand, Papua New Guinea</w:t>
            </w:r>
          </w:p>
        </w:tc>
      </w:tr>
    </w:tbl>
    <w:p>
      <w:pPr>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 A=Tropical, B=Dry, C=Temperate, D=Cold, E=Polar.</w:t>
      </w:r>
    </w:p>
    <w:p>
      <w:pPr>
        <w:rPr>
          <w:rFonts w:hint="default"/>
          <w:lang w:val="en-US" w:eastAsia="zh-CN"/>
        </w:rPr>
      </w:pPr>
      <w:r>
        <w:rPr>
          <w:rFonts w:hint="default" w:ascii="Times New Roman Regular" w:hAnsi="Times New Roman Regular" w:cs="Times New Roman Regular"/>
          <w:sz w:val="20"/>
          <w:szCs w:val="20"/>
        </w:rPr>
        <w:t xml:space="preserve">##: FLU_EST_AFR = Eastern Africa, FLU_STH_AFR = Southern Africa, FLU_WES_AFR = Western Africa, FLU_NRT_AFR = Northern Africa, FLU_MID_AFR = Middle Africa , FLU_EST_ASIA = Eastern Asia, FLU_STH_ASIA = Southern Asia, FLU_WES_ASIA = Western Asia, FLU_CNT_ASIA = Central Asia, FLU_SE_ASIA = South East Asia, FLU_EST_EUR = Eastern Europe, FLU_STH_EUR= South West Europe, FLU_NTH_EUR = Northern Europe, FLU_NRT_AMR =North America, FLU_CNT_AMR = Central America Caribbean, FLU_TEMP_SAMR = Temperate South America, FLU_TRP_SAMR= Tropical South America, FLU_OCE_MEL_POL = Oceania Melanesia and Polynesia. </w:t>
      </w:r>
    </w:p>
    <w:sectPr>
      <w:pgSz w:w="11906" w:h="24378"/>
      <w:pgMar w:top="1440" w:right="1800" w:bottom="1440" w:left="1800" w:header="851" w:footer="992" w:gutter="0"/>
      <w:paperSrc/>
      <w:pgBorders>
        <w:top w:val="none" w:sz="0" w:space="0"/>
        <w:left w:val="none" w:sz="0" w:space="0"/>
        <w:bottom w:val="none" w:sz="0" w:space="0"/>
        <w:right w:val="none" w:sz="0" w:space="0"/>
      </w:pgBorders>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等线">
    <w:altName w:val="华文宋体"/>
    <w:panose1 w:val="02010600030101010101"/>
    <w:charset w:val="86"/>
    <w:family w:val="auto"/>
    <w:pitch w:val="variable"/>
    <w:sig w:usb0="A00002BF" w:usb1="38CF7CFA" w:usb2="00000016" w:usb3="00000000" w:csb0="0004000F" w:csb1="00000000"/>
  </w:font>
  <w:font w:name="Cambria Math">
    <w:altName w:val="Kingsoft Math"/>
    <w:panose1 w:val="02040503050406030204"/>
    <w:charset w:val="00"/>
    <w:family w:val="auto"/>
    <w:pitch w:val="variable"/>
    <w:sig w:usb0="E00002FF" w:usb1="420024FF" w:usb2="00000000" w:usb3="00000000" w:csb0="0000019F" w:csb1="00000000"/>
  </w:font>
  <w:font w:name="DengXian">
    <w:altName w:val="汉仪中等线KW"/>
    <w:panose1 w:val="02010600030101010101"/>
    <w:charset w:val="86"/>
    <w:family w:val="auto"/>
    <w:pitch w:val="variable"/>
    <w:sig w:usb0="A00002BF" w:usb1="38CF7CFA" w:usb2="00000016" w:usb3="00000000" w:csb0="0004000F" w:csb1="00000000"/>
  </w:font>
  <w:font w:name="@宋体">
    <w:altName w:val="汉仪书宋二KW"/>
    <w:panose1 w:val="02010600030101010101"/>
    <w:charset w:val="86"/>
    <w:family w:val="auto"/>
    <w:pitch w:val="variable"/>
    <w:sig w:usb0="00000003" w:usb1="288F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Kingsoft Math">
    <w:panose1 w:val="02040503050406030204"/>
    <w:charset w:val="00"/>
    <w:family w:val="auto"/>
    <w:pitch w:val="default"/>
    <w:sig w:usb0="80000087" w:usb1="00002068" w:usb2="00000000" w:usb3="00000000" w:csb0="2000019F" w:csb1="00000000"/>
  </w:font>
  <w:font w:name="华文宋体">
    <w:panose1 w:val="02010600040101010101"/>
    <w:charset w:val="86"/>
    <w:family w:val="auto"/>
    <w:pitch w:val="default"/>
    <w:sig w:usb0="80000287" w:usb1="280F3C52" w:usb2="00000016" w:usb3="00000000" w:csb0="0004001F"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759E77"/>
    <w:rsid w:val="35EF5BD1"/>
    <w:rsid w:val="3B87769C"/>
    <w:rsid w:val="3BEB17A0"/>
    <w:rsid w:val="3DDA599C"/>
    <w:rsid w:val="46D97D34"/>
    <w:rsid w:val="4FCE5438"/>
    <w:rsid w:val="5ABFDBD3"/>
    <w:rsid w:val="5E8F2274"/>
    <w:rsid w:val="6FFDB968"/>
    <w:rsid w:val="776DCF89"/>
    <w:rsid w:val="779A281E"/>
    <w:rsid w:val="7CDDB6D1"/>
    <w:rsid w:val="7D17C914"/>
    <w:rsid w:val="7EFB70FA"/>
    <w:rsid w:val="7EFF7A0A"/>
    <w:rsid w:val="7F6B098E"/>
    <w:rsid w:val="8ABFAEA0"/>
    <w:rsid w:val="A7973164"/>
    <w:rsid w:val="AFFF0DB8"/>
    <w:rsid w:val="B5BFDBBE"/>
    <w:rsid w:val="BBB93445"/>
    <w:rsid w:val="BC7EF0CB"/>
    <w:rsid w:val="D6BFDA0E"/>
    <w:rsid w:val="D76BDA91"/>
    <w:rsid w:val="D7FDD176"/>
    <w:rsid w:val="DC67E56E"/>
    <w:rsid w:val="DEF45611"/>
    <w:rsid w:val="E77BE18F"/>
    <w:rsid w:val="E9FF345C"/>
    <w:rsid w:val="EFEDD0AB"/>
    <w:rsid w:val="F77B08EC"/>
    <w:rsid w:val="F7FEB331"/>
    <w:rsid w:val="FBFD924F"/>
    <w:rsid w:val="FCFDC56E"/>
    <w:rsid w:val="FDDB615C"/>
    <w:rsid w:val="FE4B4E94"/>
    <w:rsid w:val="FE759E77"/>
    <w:rsid w:val="FFF52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rPr>
      <w:sz w:val="24"/>
    </w:rPr>
  </w:style>
  <w:style w:type="character" w:customStyle="1" w:styleId="7">
    <w:name w:val="font01"/>
    <w:basedOn w:val="6"/>
    <w:uiPriority w:val="0"/>
    <w:rPr>
      <w:rFonts w:hint="eastAsia" w:ascii="宋体" w:hAnsi="宋体" w:eastAsia="宋体" w:cs="宋体"/>
      <w:color w:val="000000"/>
      <w:sz w:val="22"/>
      <w:szCs w:val="22"/>
      <w:u w:val="none"/>
    </w:rPr>
  </w:style>
  <w:style w:type="character" w:customStyle="1" w:styleId="8">
    <w:name w:val="font11"/>
    <w:basedOn w:val="6"/>
    <w:uiPriority w:val="0"/>
    <w:rPr>
      <w:rFonts w:hint="eastAsia" w:ascii="宋体" w:hAnsi="宋体" w:eastAsia="宋体" w:cs="宋体"/>
      <w:color w:val="000000"/>
      <w:sz w:val="22"/>
      <w:szCs w:val="22"/>
      <w:u w:val="none"/>
      <w:vertAlign w:val="superscript"/>
    </w:rPr>
  </w:style>
  <w:style w:type="character" w:customStyle="1" w:styleId="9">
    <w:name w:val="Bibliography 字符"/>
    <w:basedOn w:val="6"/>
    <w:link w:val="10"/>
    <w:uiPriority w:val="0"/>
    <w:rPr>
      <w:rFonts w:hint="eastAsia" w:ascii="DengXian" w:hAnsi="DengXian" w:eastAsia="DengXian" w:cs="Times New Roman"/>
      <w:kern w:val="2"/>
      <w:sz w:val="21"/>
      <w:szCs w:val="21"/>
    </w:rPr>
  </w:style>
  <w:style w:type="paragraph" w:customStyle="1" w:styleId="10">
    <w:name w:val="书目1"/>
    <w:basedOn w:val="1"/>
    <w:link w:val="9"/>
    <w:uiPriority w:val="0"/>
    <w:pPr>
      <w:keepNext w:val="0"/>
      <w:keepLines w:val="0"/>
      <w:widowControl w:val="0"/>
      <w:suppressLineNumbers w:val="0"/>
      <w:tabs>
        <w:tab w:val="left" w:pos="260"/>
      </w:tabs>
      <w:spacing w:before="0" w:beforeAutospacing="0" w:after="240" w:afterAutospacing="0"/>
      <w:ind w:left="264" w:right="0" w:firstLine="0"/>
      <w:jc w:val="both"/>
    </w:pPr>
    <w:rPr>
      <w:rFonts w:hint="eastAsia" w:ascii="DengXian" w:hAnsi="DengXian" w:eastAsia="DengXian"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2024-05-18T02:12:00Z</dcterms:created>
  <dc:creator>caoxiaoxiao</dc:creator>
  <cp:lastModifiedBy>肖肖</cp:lastModifiedBy>
  <dcterms:modified xsi:type="dcterms:W3CDTF">2024-06-12T14:32:24Z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2C74920BF2556F6D1CBD46667759988D_41</vt:lpwstr>
  </property>
</Properties>
</file>