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4292A" w14:textId="6034EB78" w:rsidR="0004723E" w:rsidRPr="00F33B11" w:rsidRDefault="00A82C02">
      <w:pPr>
        <w:rPr>
          <w:rFonts w:asciiTheme="majorBidi" w:hAnsiTheme="majorBidi" w:cstheme="majorBidi"/>
          <w:sz w:val="28"/>
          <w:szCs w:val="28"/>
        </w:rPr>
      </w:pPr>
      <w:r w:rsidRPr="009A69D1">
        <w:rPr>
          <w:rFonts w:asciiTheme="majorBidi" w:hAnsiTheme="majorBidi" w:cstheme="majorBidi"/>
          <w:b/>
          <w:bCs/>
          <w:sz w:val="28"/>
          <w:szCs w:val="28"/>
        </w:rPr>
        <w:t xml:space="preserve">Supplementary </w:t>
      </w:r>
      <w:r w:rsidR="00F33B11" w:rsidRPr="009A69D1">
        <w:rPr>
          <w:rFonts w:asciiTheme="majorBidi" w:hAnsiTheme="majorBidi" w:cstheme="majorBidi"/>
          <w:b/>
          <w:bCs/>
          <w:sz w:val="28"/>
          <w:szCs w:val="28"/>
        </w:rPr>
        <w:t>Figure</w:t>
      </w:r>
      <w:r w:rsidRPr="009A69D1">
        <w:rPr>
          <w:rFonts w:asciiTheme="majorBidi" w:hAnsiTheme="majorBidi" w:cstheme="majorBidi"/>
          <w:b/>
          <w:bCs/>
          <w:sz w:val="28"/>
          <w:szCs w:val="28"/>
        </w:rPr>
        <w:t>.</w:t>
      </w:r>
      <w:r w:rsidRPr="00F33B11">
        <w:rPr>
          <w:rFonts w:asciiTheme="majorBidi" w:hAnsiTheme="majorBidi" w:cstheme="majorBidi"/>
          <w:sz w:val="28"/>
          <w:szCs w:val="28"/>
        </w:rPr>
        <w:t xml:space="preserve"> The </w:t>
      </w:r>
      <w:r w:rsidR="00F33B11" w:rsidRPr="00F33B11">
        <w:rPr>
          <w:rFonts w:asciiTheme="majorBidi" w:hAnsiTheme="majorBidi" w:cstheme="majorBidi"/>
          <w:sz w:val="28"/>
          <w:szCs w:val="28"/>
        </w:rPr>
        <w:t xml:space="preserve">distribution </w:t>
      </w:r>
      <w:r w:rsidRPr="00F33B11">
        <w:rPr>
          <w:rFonts w:asciiTheme="majorBidi" w:hAnsiTheme="majorBidi" w:cstheme="majorBidi"/>
          <w:sz w:val="28"/>
          <w:szCs w:val="28"/>
        </w:rPr>
        <w:t xml:space="preserve">of hyponatraemia </w:t>
      </w:r>
      <w:r w:rsidR="00F33B11">
        <w:rPr>
          <w:rFonts w:asciiTheme="majorBidi" w:hAnsiTheme="majorBidi" w:cstheme="majorBidi"/>
          <w:sz w:val="28"/>
          <w:szCs w:val="28"/>
        </w:rPr>
        <w:t xml:space="preserve">according to severity during the first 7 days </w:t>
      </w:r>
      <w:r w:rsidR="004641D6">
        <w:rPr>
          <w:rFonts w:asciiTheme="majorBidi" w:hAnsiTheme="majorBidi" w:cstheme="majorBidi"/>
          <w:sz w:val="28"/>
          <w:szCs w:val="28"/>
        </w:rPr>
        <w:t>following</w:t>
      </w:r>
      <w:r w:rsidR="00F33B11">
        <w:rPr>
          <w:rFonts w:asciiTheme="majorBidi" w:hAnsiTheme="majorBidi" w:cstheme="majorBidi"/>
          <w:sz w:val="28"/>
          <w:szCs w:val="28"/>
        </w:rPr>
        <w:t xml:space="preserve"> transsphenoidal surgery</w:t>
      </w:r>
      <w:r w:rsidR="004641D6">
        <w:rPr>
          <w:rFonts w:asciiTheme="majorBidi" w:hAnsiTheme="majorBidi" w:cstheme="majorBidi"/>
          <w:sz w:val="28"/>
          <w:szCs w:val="28"/>
        </w:rPr>
        <w:t>. The light grey bars represent mild hyponatraemia, black bars represent moderate hyponatraemia and dark</w:t>
      </w:r>
      <w:r w:rsidR="00377366">
        <w:rPr>
          <w:rFonts w:asciiTheme="majorBidi" w:hAnsiTheme="majorBidi" w:cstheme="majorBidi"/>
          <w:sz w:val="28"/>
          <w:szCs w:val="28"/>
        </w:rPr>
        <w:t xml:space="preserve"> grey</w:t>
      </w:r>
      <w:r w:rsidR="004641D6">
        <w:rPr>
          <w:rFonts w:asciiTheme="majorBidi" w:hAnsiTheme="majorBidi" w:cstheme="majorBidi"/>
          <w:sz w:val="28"/>
          <w:szCs w:val="28"/>
        </w:rPr>
        <w:t xml:space="preserve"> bars for severe hyponatraemia. </w:t>
      </w:r>
    </w:p>
    <w:p w14:paraId="0A9C9AD8" w14:textId="34ED0FB6" w:rsidR="00AD329F" w:rsidRDefault="00AD329F">
      <w:bookmarkStart w:id="0" w:name="_GoBack"/>
      <w:bookmarkEnd w:id="0"/>
    </w:p>
    <w:p w14:paraId="05807849" w14:textId="77777777" w:rsidR="00AD329F" w:rsidRDefault="00AD329F"/>
    <w:p w14:paraId="139355A3" w14:textId="3A28642D" w:rsidR="00A82C02" w:rsidRDefault="004641D6">
      <w:r>
        <w:rPr>
          <w:noProof/>
        </w:rPr>
        <w:drawing>
          <wp:inline distT="0" distB="0" distL="0" distR="0" wp14:anchorId="3A97F361" wp14:editId="675D5D37">
            <wp:extent cx="6038952" cy="3498850"/>
            <wp:effectExtent l="0" t="0" r="0" b="6350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yponatraemia graph severity 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60"/>
                    <a:stretch/>
                  </pic:blipFill>
                  <pic:spPr bwMode="auto">
                    <a:xfrm>
                      <a:off x="0" y="0"/>
                      <a:ext cx="6044131" cy="3501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45844B" w14:textId="5FE00869" w:rsidR="00A82C02" w:rsidRDefault="00A82C02"/>
    <w:sectPr w:rsidR="00A82C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C02"/>
    <w:rsid w:val="0004723E"/>
    <w:rsid w:val="000F686E"/>
    <w:rsid w:val="00377366"/>
    <w:rsid w:val="004641D6"/>
    <w:rsid w:val="008E3F0C"/>
    <w:rsid w:val="009A69D1"/>
    <w:rsid w:val="00A82C02"/>
    <w:rsid w:val="00AD329F"/>
    <w:rsid w:val="00F3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7582C"/>
  <w15:chartTrackingRefBased/>
  <w15:docId w15:val="{618566E6-0CD3-40CA-A0C3-16B363ADC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2C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Ziad Hussein</dc:creator>
  <cp:keywords/>
  <dc:description/>
  <cp:lastModifiedBy>Ziad Hussein</cp:lastModifiedBy>
  <cp:revision>3</cp:revision>
  <dcterms:created xsi:type="dcterms:W3CDTF">2020-12-26T12:57:00Z</dcterms:created>
  <dcterms:modified xsi:type="dcterms:W3CDTF">2020-12-26T14:25:00Z</dcterms:modified>
</cp:coreProperties>
</file>