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7E206" w14:textId="70DF63AF" w:rsidR="00DC1551" w:rsidRPr="00DC1551" w:rsidRDefault="00DC1551" w:rsidP="00292039">
      <w:pPr>
        <w:jc w:val="center"/>
        <w:rPr>
          <w:b/>
          <w:bCs/>
          <w:sz w:val="28"/>
          <w:szCs w:val="24"/>
        </w:rPr>
      </w:pPr>
      <w:r w:rsidRPr="00DC1551">
        <w:rPr>
          <w:b/>
          <w:bCs/>
          <w:sz w:val="28"/>
          <w:szCs w:val="24"/>
        </w:rPr>
        <w:t xml:space="preserve">Supplementary Information </w:t>
      </w:r>
    </w:p>
    <w:p w14:paraId="2719CB46" w14:textId="77777777" w:rsidR="00305095" w:rsidRDefault="00305095" w:rsidP="00305095"/>
    <w:p w14:paraId="3B5F4D6C" w14:textId="45001162" w:rsidR="00AD3CBE" w:rsidRDefault="00305095" w:rsidP="00292039">
      <w:pPr>
        <w:spacing w:line="288" w:lineRule="auto"/>
        <w:ind w:firstLine="420"/>
        <w:rPr>
          <w:rFonts w:hint="eastAsia"/>
          <w:sz w:val="21"/>
          <w:szCs w:val="20"/>
        </w:rPr>
      </w:pPr>
      <w:r w:rsidRPr="0005633C">
        <w:rPr>
          <w:sz w:val="21"/>
          <w:szCs w:val="20"/>
        </w:rPr>
        <w:t xml:space="preserve">The following supplementary information includes </w:t>
      </w:r>
      <w:r w:rsidR="00D5568F">
        <w:rPr>
          <w:rFonts w:hint="eastAsia"/>
          <w:sz w:val="21"/>
          <w:szCs w:val="20"/>
        </w:rPr>
        <w:t>s</w:t>
      </w:r>
      <w:r w:rsidR="00D5568F" w:rsidRPr="00D5568F">
        <w:rPr>
          <w:sz w:val="21"/>
          <w:szCs w:val="20"/>
        </w:rPr>
        <w:t>upplementary</w:t>
      </w:r>
      <w:r w:rsidR="00D5568F" w:rsidRPr="0005633C">
        <w:rPr>
          <w:sz w:val="21"/>
          <w:szCs w:val="20"/>
        </w:rPr>
        <w:t xml:space="preserve"> </w:t>
      </w:r>
      <w:r w:rsidRPr="0005633C">
        <w:rPr>
          <w:sz w:val="21"/>
          <w:szCs w:val="20"/>
        </w:rPr>
        <w:t xml:space="preserve">Figures </w:t>
      </w:r>
      <w:r w:rsidR="00D5568F">
        <w:rPr>
          <w:rFonts w:hint="eastAsia"/>
          <w:sz w:val="21"/>
          <w:szCs w:val="20"/>
        </w:rPr>
        <w:t>S</w:t>
      </w:r>
      <w:r w:rsidRPr="0005633C">
        <w:rPr>
          <w:sz w:val="21"/>
          <w:szCs w:val="20"/>
        </w:rPr>
        <w:t>1-</w:t>
      </w:r>
      <w:r w:rsidR="00D5568F">
        <w:rPr>
          <w:rFonts w:hint="eastAsia"/>
          <w:sz w:val="21"/>
          <w:szCs w:val="20"/>
        </w:rPr>
        <w:t>S</w:t>
      </w:r>
      <w:r w:rsidR="00AA28F5">
        <w:rPr>
          <w:rFonts w:hint="eastAsia"/>
          <w:sz w:val="21"/>
          <w:szCs w:val="20"/>
        </w:rPr>
        <w:t>4</w:t>
      </w:r>
      <w:r w:rsidRPr="0005633C">
        <w:rPr>
          <w:sz w:val="21"/>
          <w:szCs w:val="20"/>
        </w:rPr>
        <w:t xml:space="preserve"> and Tables </w:t>
      </w:r>
      <w:r w:rsidR="00D5568F">
        <w:rPr>
          <w:rFonts w:hint="eastAsia"/>
          <w:sz w:val="21"/>
          <w:szCs w:val="20"/>
        </w:rPr>
        <w:t>S</w:t>
      </w:r>
      <w:r w:rsidRPr="0005633C">
        <w:rPr>
          <w:sz w:val="21"/>
          <w:szCs w:val="20"/>
        </w:rPr>
        <w:t>1-</w:t>
      </w:r>
      <w:r w:rsidR="00D5568F">
        <w:rPr>
          <w:rFonts w:hint="eastAsia"/>
          <w:sz w:val="21"/>
          <w:szCs w:val="20"/>
        </w:rPr>
        <w:t>S</w:t>
      </w:r>
      <w:r w:rsidRPr="0005633C">
        <w:rPr>
          <w:sz w:val="21"/>
          <w:szCs w:val="20"/>
        </w:rPr>
        <w:t>4, along with their accompanying supplementary analyses. The content is organized in sequential order according to the numbering of the figures and tables.</w:t>
      </w:r>
    </w:p>
    <w:p w14:paraId="06A2EF23" w14:textId="1A0D94BB" w:rsidR="002554E1" w:rsidRPr="00C43D3B" w:rsidRDefault="002554E1" w:rsidP="002554E1">
      <w:pPr>
        <w:pStyle w:val="2"/>
      </w:pPr>
      <w:r>
        <w:rPr>
          <w:rFonts w:hint="eastAsia"/>
        </w:rPr>
        <w:t>A</w:t>
      </w:r>
      <w:r w:rsidRPr="00C43D3B">
        <w:rPr>
          <w:rFonts w:hint="eastAsia"/>
        </w:rPr>
        <w:t>.</w:t>
      </w:r>
      <w:r w:rsidRPr="00C43D3B">
        <w:t xml:space="preserve"> </w:t>
      </w:r>
      <w:bookmarkStart w:id="0" w:name="_Hlk163035724"/>
      <w:r w:rsidRPr="00C43D3B">
        <w:t>Number of confirmed cases and risk areas</w:t>
      </w:r>
      <w:bookmarkEnd w:id="0"/>
    </w:p>
    <w:p w14:paraId="33BCCB09" w14:textId="221942B0" w:rsidR="002554E1" w:rsidRPr="00D01266" w:rsidRDefault="002554E1" w:rsidP="002554E1">
      <w:pPr>
        <w:spacing w:after="120" w:line="288" w:lineRule="auto"/>
        <w:ind w:firstLine="420"/>
        <w:rPr>
          <w:rFonts w:cs="Times New Roman"/>
          <w:sz w:val="21"/>
          <w:szCs w:val="20"/>
        </w:rPr>
      </w:pPr>
      <w:r w:rsidRPr="00D01266">
        <w:rPr>
          <w:rFonts w:cs="Times New Roman"/>
          <w:color w:val="0070C0"/>
          <w:sz w:val="21"/>
          <w:szCs w:val="20"/>
        </w:rPr>
        <w:t>Fig. S</w:t>
      </w:r>
      <w:r w:rsidR="0052174C">
        <w:rPr>
          <w:rFonts w:cs="Times New Roman" w:hint="eastAsia"/>
          <w:color w:val="0070C0"/>
          <w:sz w:val="21"/>
          <w:szCs w:val="20"/>
        </w:rPr>
        <w:t>1</w:t>
      </w:r>
      <w:r w:rsidRPr="00D01266">
        <w:rPr>
          <w:rFonts w:cs="Times New Roman"/>
          <w:sz w:val="21"/>
          <w:szCs w:val="20"/>
        </w:rPr>
        <w:t xml:space="preserve"> illustrates the quantity of confirmed COVID-19 cases in China during the pandemic and the number of </w:t>
      </w:r>
      <w:r>
        <w:rPr>
          <w:rFonts w:cs="Times New Roman" w:hint="eastAsia"/>
          <w:sz w:val="21"/>
          <w:szCs w:val="20"/>
        </w:rPr>
        <w:t xml:space="preserve">counties that contains </w:t>
      </w:r>
      <w:r w:rsidRPr="00D01266">
        <w:rPr>
          <w:rFonts w:cs="Times New Roman"/>
          <w:sz w:val="21"/>
          <w:szCs w:val="20"/>
        </w:rPr>
        <w:t>medium or high-risk areas, providing the basis for delineating the pre-lockdown and lockdown phases.</w:t>
      </w:r>
      <w:r w:rsidRPr="00C12318">
        <w:rPr>
          <w:sz w:val="21"/>
          <w:szCs w:val="21"/>
          <w:vertAlign w:val="superscript"/>
        </w:rPr>
        <w:t xml:space="preserve"> </w:t>
      </w:r>
      <w:r w:rsidRPr="0005633C">
        <w:rPr>
          <w:sz w:val="21"/>
          <w:szCs w:val="21"/>
          <w:vertAlign w:val="superscript"/>
        </w:rPr>
        <w:footnoteReference w:id="1"/>
      </w:r>
      <w:r w:rsidRPr="00D01266">
        <w:rPr>
          <w:rFonts w:cs="Times New Roman"/>
          <w:sz w:val="21"/>
          <w:szCs w:val="20"/>
        </w:rPr>
        <w:t xml:space="preserve"> Risk level serves as a direct criterion for the severity of restrictions. To uphold the zero-COVID policy, the Chinese government mandated the classification of communities nationwide into high, medium, or low-risk areas, with daily updates provided </w:t>
      </w:r>
      <w:r w:rsidRPr="00D01266">
        <w:rPr>
          <w:rFonts w:cs="Times New Roman"/>
          <w:color w:val="0070C0"/>
          <w:sz w:val="21"/>
          <w:szCs w:val="20"/>
        </w:rPr>
        <w:t>(Joint Prevention and Control Mechanism of the State Council, 2020d, 2020e, 2020f, 2021, 2022b, 2023)</w:t>
      </w:r>
      <w:r w:rsidRPr="00D01266">
        <w:rPr>
          <w:rFonts w:cs="Times New Roman"/>
          <w:sz w:val="21"/>
          <w:szCs w:val="20"/>
        </w:rPr>
        <w:t xml:space="preserve">. Communities reporting new COVID-19 cases were labeled as medium or high-risk areas and subjected to corresponding containment measures and lockdowns. In cases of local officials' overreaction, neighboring communities without any cases could still be categorized as medium or high-risk areas. Conversely, low-risk communities should only enforce isolation for individuals from medium or high-risk areas, without restricting residents' travel or economic activities </w:t>
      </w:r>
      <w:r w:rsidRPr="00D01266">
        <w:rPr>
          <w:rFonts w:cs="Times New Roman"/>
          <w:color w:val="0070C0"/>
          <w:sz w:val="21"/>
          <w:szCs w:val="20"/>
        </w:rPr>
        <w:t>(Gong et al., 2024)</w:t>
      </w:r>
      <w:r w:rsidRPr="00D01266">
        <w:rPr>
          <w:rFonts w:cs="Times New Roman"/>
          <w:sz w:val="21"/>
          <w:szCs w:val="20"/>
        </w:rPr>
        <w:t>.</w:t>
      </w:r>
    </w:p>
    <w:p w14:paraId="6CC5F062" w14:textId="77777777" w:rsidR="002554E1" w:rsidRDefault="002554E1" w:rsidP="002554E1">
      <w:pPr>
        <w:spacing w:after="120" w:line="288" w:lineRule="auto"/>
        <w:ind w:firstLine="420"/>
        <w:rPr>
          <w:rFonts w:cs="Times New Roman"/>
          <w:sz w:val="21"/>
          <w:szCs w:val="20"/>
        </w:rPr>
      </w:pPr>
      <w:r w:rsidRPr="00D01266">
        <w:rPr>
          <w:rFonts w:cs="Times New Roman"/>
          <w:sz w:val="21"/>
          <w:szCs w:val="20"/>
        </w:rPr>
        <w:t xml:space="preserve">The severity of the COVID-19 pandemic varied significantly from 2020 to 2022 in China. In 2020, COVID-19 erupted in Wuhan, Hubei Province, prompting stringent city-wide lockdowns. Throughout the year, the number of confirmed cases </w:t>
      </w:r>
      <w:r>
        <w:rPr>
          <w:rFonts w:cs="Times New Roman" w:hint="eastAsia"/>
          <w:sz w:val="21"/>
          <w:szCs w:val="20"/>
        </w:rPr>
        <w:t xml:space="preserve">in China </w:t>
      </w:r>
      <w:r w:rsidRPr="00D01266">
        <w:rPr>
          <w:rFonts w:cs="Times New Roman"/>
          <w:sz w:val="21"/>
          <w:szCs w:val="20"/>
        </w:rPr>
        <w:t xml:space="preserve">exceeded 87,000. In contrast, in 2021, with widespread vaccine availability, the situation in China was relatively mild, with only 15,000 confirmed cases throughout the year and </w:t>
      </w:r>
      <w:r>
        <w:rPr>
          <w:rFonts w:cs="Times New Roman" w:hint="eastAsia"/>
          <w:sz w:val="21"/>
          <w:szCs w:val="20"/>
        </w:rPr>
        <w:t xml:space="preserve">very </w:t>
      </w:r>
      <w:r w:rsidRPr="00D01266">
        <w:rPr>
          <w:rFonts w:cs="Times New Roman"/>
          <w:sz w:val="21"/>
          <w:szCs w:val="20"/>
        </w:rPr>
        <w:t xml:space="preserve">few </w:t>
      </w:r>
      <w:r>
        <w:rPr>
          <w:rFonts w:cs="Times New Roman" w:hint="eastAsia"/>
          <w:sz w:val="21"/>
          <w:szCs w:val="20"/>
        </w:rPr>
        <w:t xml:space="preserve">counties that contain </w:t>
      </w:r>
      <w:r w:rsidRPr="00D01266">
        <w:rPr>
          <w:rFonts w:cs="Times New Roman"/>
          <w:sz w:val="21"/>
          <w:szCs w:val="20"/>
        </w:rPr>
        <w:t xml:space="preserve">medium or high-risk areas. </w:t>
      </w:r>
      <w:r>
        <w:rPr>
          <w:rFonts w:cs="Times New Roman" w:hint="eastAsia"/>
          <w:sz w:val="21"/>
          <w:szCs w:val="20"/>
        </w:rPr>
        <w:t>Then</w:t>
      </w:r>
      <w:r w:rsidRPr="00D01266">
        <w:rPr>
          <w:rFonts w:cs="Times New Roman"/>
          <w:sz w:val="21"/>
          <w:szCs w:val="20"/>
        </w:rPr>
        <w:t xml:space="preserve">, the highly transmissible Omicron variant emerged in China at the beginning of 2022, leading to a surge in infections throughout the year, surpassing 269,000. Lockdown measures in 2022 under the zero-COVID policy were </w:t>
      </w:r>
      <w:r>
        <w:rPr>
          <w:rFonts w:cs="Times New Roman" w:hint="eastAsia"/>
          <w:sz w:val="21"/>
          <w:szCs w:val="20"/>
        </w:rPr>
        <w:t>much</w:t>
      </w:r>
      <w:r w:rsidRPr="00D01266">
        <w:rPr>
          <w:rFonts w:cs="Times New Roman"/>
          <w:sz w:val="21"/>
          <w:szCs w:val="20"/>
        </w:rPr>
        <w:t xml:space="preserve"> more frequent compared to previous years, resulting in a </w:t>
      </w:r>
      <w:r>
        <w:rPr>
          <w:rFonts w:cs="Times New Roman" w:hint="eastAsia"/>
          <w:sz w:val="21"/>
          <w:szCs w:val="20"/>
        </w:rPr>
        <w:t>huge</w:t>
      </w:r>
      <w:r w:rsidRPr="00D01266">
        <w:rPr>
          <w:rFonts w:cs="Times New Roman"/>
          <w:sz w:val="21"/>
          <w:szCs w:val="20"/>
        </w:rPr>
        <w:t xml:space="preserve"> increase in the number of </w:t>
      </w:r>
      <w:r>
        <w:rPr>
          <w:rFonts w:cs="Times New Roman" w:hint="eastAsia"/>
          <w:sz w:val="21"/>
          <w:szCs w:val="20"/>
        </w:rPr>
        <w:t xml:space="preserve">counties with </w:t>
      </w:r>
      <w:r w:rsidRPr="00D01266">
        <w:rPr>
          <w:rFonts w:cs="Times New Roman"/>
          <w:sz w:val="21"/>
          <w:szCs w:val="20"/>
        </w:rPr>
        <w:t>medium or high-risk areas compared to 2021.</w:t>
      </w:r>
    </w:p>
    <w:p w14:paraId="00A3D0D3" w14:textId="77777777" w:rsidR="002554E1" w:rsidRDefault="002554E1" w:rsidP="002554E1">
      <w:pPr>
        <w:spacing w:after="120" w:line="288" w:lineRule="auto"/>
        <w:ind w:firstLine="420"/>
        <w:rPr>
          <w:rFonts w:cs="Times New Roman"/>
          <w:sz w:val="21"/>
          <w:szCs w:val="20"/>
        </w:rPr>
      </w:pPr>
      <w:r w:rsidRPr="00D01266">
        <w:rPr>
          <w:rFonts w:cs="Times New Roman"/>
          <w:sz w:val="21"/>
          <w:szCs w:val="20"/>
        </w:rPr>
        <w:t xml:space="preserve">In this study, "lockdown" uniformly refers to containment measures implemented </w:t>
      </w:r>
      <w:r>
        <w:rPr>
          <w:rFonts w:cs="Times New Roman" w:hint="eastAsia"/>
          <w:sz w:val="21"/>
          <w:szCs w:val="20"/>
        </w:rPr>
        <w:t>following</w:t>
      </w:r>
      <w:r w:rsidRPr="00D01266">
        <w:rPr>
          <w:rFonts w:cs="Times New Roman"/>
          <w:sz w:val="21"/>
          <w:szCs w:val="20"/>
        </w:rPr>
        <w:t xml:space="preserve"> the emergence of the Omicron variant in 2022, rather than the initial outbreak in 2020. Therefore, it is appropriate to designate 2021, with its </w:t>
      </w:r>
      <w:r>
        <w:rPr>
          <w:rFonts w:cs="Times New Roman" w:hint="eastAsia"/>
          <w:sz w:val="21"/>
          <w:szCs w:val="20"/>
        </w:rPr>
        <w:t xml:space="preserve">much </w:t>
      </w:r>
      <w:r w:rsidRPr="00D01266">
        <w:rPr>
          <w:rFonts w:cs="Times New Roman"/>
          <w:sz w:val="21"/>
          <w:szCs w:val="20"/>
        </w:rPr>
        <w:t>lighter pandemic situation and fewer containment measures, as the pre-lockdown phase, and to designate 2022 (excluding December when the lockdown began to be lifted) as the lockdown phase.</w:t>
      </w:r>
    </w:p>
    <w:p w14:paraId="278ECD73" w14:textId="77777777" w:rsidR="002554E1" w:rsidRDefault="002554E1" w:rsidP="002554E1">
      <w:pPr>
        <w:spacing w:after="120"/>
        <w:rPr>
          <w:rFonts w:cs="Times New Roman"/>
        </w:rPr>
      </w:pPr>
      <w:r>
        <w:rPr>
          <w:noProof/>
        </w:rPr>
        <w:lastRenderedPageBreak/>
        <w:drawing>
          <wp:inline distT="0" distB="0" distL="0" distR="0" wp14:anchorId="4F667EFA" wp14:editId="33CDD726">
            <wp:extent cx="5274310" cy="4066309"/>
            <wp:effectExtent l="0" t="0" r="2540" b="0"/>
            <wp:docPr id="7" name="图表 7">
              <a:extLst xmlns:a="http://schemas.openxmlformats.org/drawingml/2006/main">
                <a:ext uri="{FF2B5EF4-FFF2-40B4-BE49-F238E27FC236}">
                  <a16:creationId xmlns:a16="http://schemas.microsoft.com/office/drawing/2014/main" id="{CB7E94C9-5722-4A0D-A004-205D40AA7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rPr>
        <w:drawing>
          <wp:inline distT="0" distB="0" distL="0" distR="0" wp14:anchorId="7795B108" wp14:editId="413E8391">
            <wp:extent cx="5274310" cy="4620491"/>
            <wp:effectExtent l="0" t="0" r="2540" b="8890"/>
            <wp:docPr id="1" name="图表 1">
              <a:extLst xmlns:a="http://schemas.openxmlformats.org/drawingml/2006/main">
                <a:ext uri="{FF2B5EF4-FFF2-40B4-BE49-F238E27FC236}">
                  <a16:creationId xmlns:a16="http://schemas.microsoft.com/office/drawing/2014/main" id="{617888E6-F0B9-4B77-AE16-B29C0B929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C6C815B" w14:textId="77777777" w:rsidR="002554E1" w:rsidRPr="00D3219E" w:rsidRDefault="002554E1" w:rsidP="002554E1">
      <w:pPr>
        <w:spacing w:after="120"/>
        <w:rPr>
          <w:rFonts w:cs="Times New Roman"/>
        </w:rPr>
      </w:pPr>
      <w:r>
        <w:rPr>
          <w:noProof/>
        </w:rPr>
        <w:drawing>
          <wp:inline distT="0" distB="0" distL="0" distR="0" wp14:anchorId="7FA4DF13" wp14:editId="730ED1B0">
            <wp:extent cx="5274310" cy="3948546"/>
            <wp:effectExtent l="0" t="0" r="2540" b="0"/>
            <wp:docPr id="1599973889" name="图表 1599973889">
              <a:extLst xmlns:a="http://schemas.openxmlformats.org/drawingml/2006/main">
                <a:ext uri="{FF2B5EF4-FFF2-40B4-BE49-F238E27FC236}">
                  <a16:creationId xmlns:a16="http://schemas.microsoft.com/office/drawing/2014/main" id="{617888E6-F0B9-4B77-AE16-B29C0B929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AB5776" w14:textId="7E8BD45D" w:rsidR="002554E1" w:rsidRDefault="002554E1" w:rsidP="002554E1">
      <w:pPr>
        <w:spacing w:after="120" w:line="276" w:lineRule="auto"/>
        <w:rPr>
          <w:sz w:val="21"/>
          <w:szCs w:val="21"/>
        </w:rPr>
      </w:pPr>
      <w:r w:rsidRPr="0005633C">
        <w:rPr>
          <w:rFonts w:hint="eastAsia"/>
          <w:b/>
          <w:bCs/>
          <w:sz w:val="21"/>
          <w:szCs w:val="21"/>
        </w:rPr>
        <w:t xml:space="preserve">Fig. </w:t>
      </w:r>
      <w:r>
        <w:rPr>
          <w:rFonts w:hint="eastAsia"/>
          <w:b/>
          <w:bCs/>
          <w:sz w:val="21"/>
          <w:szCs w:val="21"/>
        </w:rPr>
        <w:t>S</w:t>
      </w:r>
      <w:r w:rsidR="0052174C">
        <w:rPr>
          <w:rFonts w:hint="eastAsia"/>
          <w:b/>
          <w:bCs/>
          <w:sz w:val="21"/>
          <w:szCs w:val="21"/>
        </w:rPr>
        <w:t>1</w:t>
      </w:r>
      <w:r w:rsidRPr="0005633C">
        <w:rPr>
          <w:rFonts w:hint="eastAsia"/>
          <w:b/>
          <w:bCs/>
          <w:sz w:val="21"/>
          <w:szCs w:val="21"/>
        </w:rPr>
        <w:t>:</w:t>
      </w:r>
      <w:r w:rsidRPr="0005633C">
        <w:rPr>
          <w:sz w:val="32"/>
          <w:szCs w:val="28"/>
        </w:rPr>
        <w:t xml:space="preserve"> </w:t>
      </w:r>
      <w:r w:rsidRPr="0005633C">
        <w:rPr>
          <w:b/>
          <w:bCs/>
          <w:sz w:val="21"/>
          <w:szCs w:val="21"/>
        </w:rPr>
        <w:t>Number of confirmed cases and number of risk areas</w:t>
      </w:r>
      <w:r w:rsidRPr="0005633C">
        <w:rPr>
          <w:rFonts w:hint="eastAsia"/>
          <w:b/>
          <w:bCs/>
          <w:sz w:val="21"/>
          <w:szCs w:val="21"/>
        </w:rPr>
        <w:t xml:space="preserve">.  </w:t>
      </w:r>
      <w:r w:rsidRPr="0005633C">
        <w:rPr>
          <w:sz w:val="21"/>
          <w:szCs w:val="21"/>
        </w:rPr>
        <w:t xml:space="preserve">(a) Monthly number of new confirmed cases from January 2020 to December 2022. (b) </w:t>
      </w:r>
      <w:r>
        <w:rPr>
          <w:rFonts w:hint="eastAsia"/>
          <w:sz w:val="21"/>
          <w:szCs w:val="21"/>
        </w:rPr>
        <w:t xml:space="preserve"> The n</w:t>
      </w:r>
      <w:r w:rsidRPr="00C12318">
        <w:rPr>
          <w:sz w:val="21"/>
          <w:szCs w:val="21"/>
        </w:rPr>
        <w:t>umber of counties with medium or high-risk areas</w:t>
      </w:r>
      <w:r w:rsidRPr="0005633C">
        <w:rPr>
          <w:sz w:val="21"/>
          <w:szCs w:val="21"/>
        </w:rPr>
        <w:t xml:space="preserve"> in China from April 2021 to December 2022. </w:t>
      </w:r>
      <w:r>
        <w:rPr>
          <w:rFonts w:hint="eastAsia"/>
          <w:sz w:val="21"/>
          <w:szCs w:val="21"/>
        </w:rPr>
        <w:t>This figure</w:t>
      </w:r>
      <w:r w:rsidRPr="0005633C">
        <w:rPr>
          <w:sz w:val="21"/>
          <w:szCs w:val="21"/>
        </w:rPr>
        <w:t xml:space="preserve"> measures </w:t>
      </w:r>
      <w:r w:rsidRPr="0005633C">
        <w:rPr>
          <w:rFonts w:hint="eastAsia"/>
          <w:sz w:val="21"/>
          <w:szCs w:val="21"/>
        </w:rPr>
        <w:t xml:space="preserve">the </w:t>
      </w:r>
      <w:r w:rsidRPr="0005633C">
        <w:rPr>
          <w:sz w:val="21"/>
          <w:szCs w:val="21"/>
        </w:rPr>
        <w:t>month</w:t>
      </w:r>
      <w:r w:rsidRPr="0005633C">
        <w:rPr>
          <w:rFonts w:hint="eastAsia"/>
          <w:sz w:val="21"/>
          <w:szCs w:val="21"/>
        </w:rPr>
        <w:t>ly</w:t>
      </w:r>
      <w:r w:rsidRPr="0005633C">
        <w:rPr>
          <w:sz w:val="21"/>
          <w:szCs w:val="21"/>
        </w:rPr>
        <w:t xml:space="preserve"> su</w:t>
      </w:r>
      <w:r w:rsidRPr="00E31C0E">
        <w:rPr>
          <w:sz w:val="21"/>
          <w:szCs w:val="21"/>
        </w:rPr>
        <w:t xml:space="preserve">m of the number of counties that </w:t>
      </w:r>
      <w:r w:rsidRPr="00E31C0E">
        <w:rPr>
          <w:rFonts w:hint="eastAsia"/>
          <w:sz w:val="21"/>
          <w:szCs w:val="21"/>
        </w:rPr>
        <w:t>contain</w:t>
      </w:r>
      <w:r w:rsidRPr="00E31C0E">
        <w:rPr>
          <w:sz w:val="21"/>
          <w:szCs w:val="21"/>
        </w:rPr>
        <w:t xml:space="preserve"> mid- or high-risk (</w:t>
      </w:r>
      <w:r w:rsidRPr="00E31C0E">
        <w:rPr>
          <w:rFonts w:hint="eastAsia"/>
          <w:sz w:val="21"/>
          <w:szCs w:val="21"/>
        </w:rPr>
        <w:t>the blue line</w:t>
      </w:r>
      <w:r w:rsidRPr="00E31C0E">
        <w:rPr>
          <w:sz w:val="21"/>
          <w:szCs w:val="21"/>
        </w:rPr>
        <w:t xml:space="preserve">), and high-risk (the </w:t>
      </w:r>
      <w:r w:rsidRPr="00E31C0E">
        <w:rPr>
          <w:rFonts w:hint="eastAsia"/>
          <w:sz w:val="21"/>
          <w:szCs w:val="21"/>
        </w:rPr>
        <w:t>green line</w:t>
      </w:r>
      <w:r w:rsidRPr="00E31C0E">
        <w:rPr>
          <w:sz w:val="21"/>
          <w:szCs w:val="21"/>
        </w:rPr>
        <w:t xml:space="preserve">). </w:t>
      </w:r>
      <w:r w:rsidRPr="00E31C0E">
        <w:rPr>
          <w:rFonts w:hint="eastAsia"/>
          <w:sz w:val="21"/>
          <w:szCs w:val="21"/>
        </w:rPr>
        <w:t xml:space="preserve">(c) </w:t>
      </w:r>
      <w:r w:rsidRPr="00E31C0E">
        <w:rPr>
          <w:sz w:val="21"/>
          <w:szCs w:val="21"/>
        </w:rPr>
        <w:t>Total days of counties with medium or high-Risk areas</w:t>
      </w:r>
      <w:r w:rsidRPr="00E31C0E">
        <w:rPr>
          <w:rFonts w:hint="eastAsia"/>
          <w:sz w:val="21"/>
          <w:szCs w:val="21"/>
        </w:rPr>
        <w:t xml:space="preserve">. </w:t>
      </w:r>
      <w:r w:rsidRPr="00E31C0E">
        <w:rPr>
          <w:sz w:val="21"/>
          <w:szCs w:val="21"/>
        </w:rPr>
        <w:t>This figure measures the cumulative days of risk presence in counties with medium or high risk (blue line) and counties with high-risk areas (green line). It takes into account not only the number of counties with medium and high-risk areas but also the duration of these risk areas throughout a month.</w:t>
      </w:r>
    </w:p>
    <w:p w14:paraId="3E921E58" w14:textId="60807EAA" w:rsidR="002554E1" w:rsidRPr="002554E1" w:rsidRDefault="002554E1" w:rsidP="002554E1">
      <w:pPr>
        <w:widowControl/>
        <w:jc w:val="left"/>
        <w:rPr>
          <w:sz w:val="21"/>
          <w:szCs w:val="21"/>
        </w:rPr>
      </w:pPr>
      <w:r>
        <w:rPr>
          <w:sz w:val="21"/>
          <w:szCs w:val="21"/>
        </w:rPr>
        <w:br w:type="page"/>
      </w:r>
    </w:p>
    <w:p w14:paraId="0D8944BE" w14:textId="6C7BA91B" w:rsidR="00267BB8" w:rsidRPr="002E1DF2" w:rsidRDefault="002554E1" w:rsidP="002E1DF2">
      <w:pPr>
        <w:pStyle w:val="2"/>
      </w:pPr>
      <w:r>
        <w:rPr>
          <w:rFonts w:hint="eastAsia"/>
        </w:rPr>
        <w:t>B</w:t>
      </w:r>
      <w:r w:rsidR="00A951A8" w:rsidRPr="002E1DF2">
        <w:rPr>
          <w:rFonts w:hint="eastAsia"/>
        </w:rPr>
        <w:t xml:space="preserve">. </w:t>
      </w:r>
      <w:r w:rsidR="0005633C" w:rsidRPr="002E1DF2">
        <w:t>Using heavy-duty trucking workload to represent the actual level of economic development</w:t>
      </w:r>
    </w:p>
    <w:p w14:paraId="661ED34F" w14:textId="25D9CCC9" w:rsidR="00267BB8" w:rsidRPr="0005633C" w:rsidRDefault="00267BB8" w:rsidP="002E1DF2">
      <w:pPr>
        <w:spacing w:line="288" w:lineRule="auto"/>
        <w:ind w:firstLine="420"/>
        <w:rPr>
          <w:sz w:val="21"/>
          <w:szCs w:val="20"/>
        </w:rPr>
      </w:pPr>
      <w:r w:rsidRPr="0005633C">
        <w:rPr>
          <w:sz w:val="21"/>
          <w:szCs w:val="20"/>
        </w:rPr>
        <w:t>Trucking is the primary mode of freight transportation within China. The workload of heavy-duty trucking largely determines drivers' income</w:t>
      </w:r>
      <w:r w:rsidRPr="0005633C">
        <w:rPr>
          <w:rFonts w:hint="eastAsia"/>
          <w:sz w:val="21"/>
          <w:szCs w:val="20"/>
        </w:rPr>
        <w:t xml:space="preserve"> </w:t>
      </w:r>
      <w:r w:rsidR="0005633C" w:rsidRPr="0005633C">
        <w:rPr>
          <w:color w:val="0070C0"/>
          <w:sz w:val="21"/>
          <w:szCs w:val="20"/>
        </w:rPr>
        <w:t>(Belzer &amp; Sedo, 2018; Chen et al., 2015; Rodríguez García et al., 2018)</w:t>
      </w:r>
      <w:r w:rsidRPr="0005633C">
        <w:rPr>
          <w:sz w:val="21"/>
          <w:szCs w:val="20"/>
        </w:rPr>
        <w:t xml:space="preserve"> and is closely associated with the actual economic development level</w:t>
      </w:r>
      <w:r w:rsidR="0005633C" w:rsidRPr="0005633C">
        <w:rPr>
          <w:rFonts w:hint="eastAsia"/>
          <w:sz w:val="21"/>
          <w:szCs w:val="20"/>
        </w:rPr>
        <w:t xml:space="preserve"> </w:t>
      </w:r>
      <w:r w:rsidR="0005633C" w:rsidRPr="0005633C">
        <w:rPr>
          <w:color w:val="0070C0"/>
          <w:sz w:val="21"/>
          <w:szCs w:val="20"/>
        </w:rPr>
        <w:t>(</w:t>
      </w:r>
      <w:r w:rsidR="00C52E06" w:rsidRPr="0005633C">
        <w:rPr>
          <w:color w:val="0070C0"/>
          <w:sz w:val="21"/>
          <w:szCs w:val="20"/>
        </w:rPr>
        <w:t>Fang et al., 2023</w:t>
      </w:r>
      <w:r w:rsidR="00C52E06">
        <w:rPr>
          <w:rFonts w:hint="eastAsia"/>
          <w:color w:val="0070C0"/>
          <w:sz w:val="21"/>
          <w:szCs w:val="20"/>
        </w:rPr>
        <w:t xml:space="preserve">; Yang et al., 2022; </w:t>
      </w:r>
      <w:r w:rsidR="0005633C" w:rsidRPr="0005633C">
        <w:rPr>
          <w:color w:val="0070C0"/>
          <w:sz w:val="21"/>
          <w:szCs w:val="20"/>
        </w:rPr>
        <w:t xml:space="preserve">Xu et al., 2021; </w:t>
      </w:r>
      <w:r w:rsidR="00C52E06">
        <w:rPr>
          <w:rFonts w:hint="eastAsia"/>
          <w:color w:val="0070C0"/>
          <w:sz w:val="21"/>
          <w:szCs w:val="20"/>
        </w:rPr>
        <w:t>Li et al., 2020</w:t>
      </w:r>
      <w:r w:rsidR="0005633C" w:rsidRPr="0005633C">
        <w:rPr>
          <w:color w:val="0070C0"/>
          <w:sz w:val="21"/>
          <w:szCs w:val="20"/>
        </w:rPr>
        <w:t>)</w:t>
      </w:r>
      <w:r w:rsidRPr="0005633C">
        <w:rPr>
          <w:sz w:val="21"/>
          <w:szCs w:val="20"/>
        </w:rPr>
        <w:t xml:space="preserve">. Here, we </w:t>
      </w:r>
      <w:r w:rsidRPr="0005633C">
        <w:rPr>
          <w:rFonts w:hint="eastAsia"/>
          <w:sz w:val="21"/>
          <w:szCs w:val="20"/>
        </w:rPr>
        <w:t xml:space="preserve">aim to </w:t>
      </w:r>
      <w:r w:rsidRPr="0005633C">
        <w:rPr>
          <w:sz w:val="21"/>
          <w:szCs w:val="20"/>
        </w:rPr>
        <w:t>confirm</w:t>
      </w:r>
      <w:r w:rsidRPr="0005633C">
        <w:rPr>
          <w:rFonts w:hint="eastAsia"/>
          <w:sz w:val="21"/>
          <w:szCs w:val="20"/>
        </w:rPr>
        <w:t xml:space="preserve"> </w:t>
      </w:r>
      <w:r w:rsidRPr="0005633C">
        <w:rPr>
          <w:sz w:val="21"/>
          <w:szCs w:val="20"/>
        </w:rPr>
        <w:t xml:space="preserve">the correlation between freight workload and economic indicators in the dataset. Utilizing destination and mileage information of trips, we initially aggregated logistics workload at the </w:t>
      </w:r>
      <w:r w:rsidR="006357FD" w:rsidRPr="0005633C">
        <w:rPr>
          <w:rFonts w:hint="eastAsia"/>
          <w:sz w:val="21"/>
          <w:szCs w:val="20"/>
        </w:rPr>
        <w:t>city</w:t>
      </w:r>
      <w:r w:rsidRPr="0005633C">
        <w:rPr>
          <w:sz w:val="21"/>
          <w:szCs w:val="20"/>
        </w:rPr>
        <w:t xml:space="preserve"> level. </w:t>
      </w:r>
      <w:r w:rsidR="006357FD" w:rsidRPr="0005633C">
        <w:rPr>
          <w:rFonts w:hint="eastAsia"/>
          <w:sz w:val="21"/>
          <w:szCs w:val="20"/>
        </w:rPr>
        <w:t>City</w:t>
      </w:r>
      <w:r w:rsidRPr="0005633C">
        <w:rPr>
          <w:sz w:val="21"/>
          <w:szCs w:val="20"/>
        </w:rPr>
        <w:t xml:space="preserve"> freight workload is defined as the sum of the mileage of all trips with destinations in that city. </w:t>
      </w:r>
      <w:r w:rsidRPr="00C52E06">
        <w:rPr>
          <w:color w:val="0070C0"/>
          <w:sz w:val="21"/>
          <w:szCs w:val="20"/>
        </w:rPr>
        <w:t>Fig</w:t>
      </w:r>
      <w:r w:rsidR="00C52E06" w:rsidRPr="00C52E06">
        <w:rPr>
          <w:rFonts w:hint="eastAsia"/>
          <w:color w:val="0070C0"/>
          <w:sz w:val="21"/>
          <w:szCs w:val="20"/>
        </w:rPr>
        <w:t>. S</w:t>
      </w:r>
      <w:r w:rsidRPr="00C52E06">
        <w:rPr>
          <w:color w:val="0070C0"/>
          <w:sz w:val="21"/>
          <w:szCs w:val="20"/>
        </w:rPr>
        <w:t xml:space="preserve">1a and </w:t>
      </w:r>
      <w:r w:rsidR="00C52E06" w:rsidRPr="00C52E06">
        <w:rPr>
          <w:rFonts w:hint="eastAsia"/>
          <w:color w:val="0070C0"/>
          <w:sz w:val="21"/>
          <w:szCs w:val="20"/>
        </w:rPr>
        <w:t>S</w:t>
      </w:r>
      <w:r w:rsidRPr="00C52E06">
        <w:rPr>
          <w:color w:val="0070C0"/>
          <w:sz w:val="21"/>
          <w:szCs w:val="20"/>
        </w:rPr>
        <w:t>1b</w:t>
      </w:r>
      <w:r w:rsidRPr="0005633C">
        <w:rPr>
          <w:sz w:val="21"/>
          <w:szCs w:val="20"/>
        </w:rPr>
        <w:t xml:space="preserve"> respectively illustrate the correlation analysis between </w:t>
      </w:r>
      <w:r w:rsidR="006357FD" w:rsidRPr="0005633C">
        <w:rPr>
          <w:rFonts w:hint="eastAsia"/>
          <w:sz w:val="21"/>
          <w:szCs w:val="20"/>
        </w:rPr>
        <w:t>city</w:t>
      </w:r>
      <w:r w:rsidRPr="0005633C">
        <w:rPr>
          <w:sz w:val="21"/>
          <w:szCs w:val="20"/>
        </w:rPr>
        <w:t xml:space="preserve"> trucking workload and </w:t>
      </w:r>
      <w:r w:rsidR="00D86C76">
        <w:rPr>
          <w:rFonts w:hint="eastAsia"/>
          <w:sz w:val="21"/>
          <w:szCs w:val="20"/>
        </w:rPr>
        <w:t>city</w:t>
      </w:r>
      <w:r w:rsidRPr="0005633C">
        <w:rPr>
          <w:sz w:val="21"/>
          <w:szCs w:val="20"/>
        </w:rPr>
        <w:t xml:space="preserve"> </w:t>
      </w:r>
      <w:r w:rsidR="006357FD" w:rsidRPr="0005633C">
        <w:rPr>
          <w:sz w:val="21"/>
          <w:szCs w:val="20"/>
        </w:rPr>
        <w:t>total nighttime luminosity</w:t>
      </w:r>
      <w:r w:rsidRPr="0005633C">
        <w:rPr>
          <w:sz w:val="21"/>
          <w:szCs w:val="20"/>
        </w:rPr>
        <w:t>, as well as official</w:t>
      </w:r>
      <w:r w:rsidRPr="0005633C">
        <w:rPr>
          <w:rFonts w:hint="eastAsia"/>
          <w:sz w:val="21"/>
          <w:szCs w:val="20"/>
        </w:rPr>
        <w:t xml:space="preserve">ly </w:t>
      </w:r>
      <w:r w:rsidRPr="0005633C">
        <w:rPr>
          <w:sz w:val="21"/>
          <w:szCs w:val="20"/>
        </w:rPr>
        <w:t>released GDP</w:t>
      </w:r>
      <w:r w:rsidRPr="0005633C">
        <w:rPr>
          <w:rFonts w:hint="eastAsia"/>
          <w:sz w:val="21"/>
          <w:szCs w:val="20"/>
        </w:rPr>
        <w:t xml:space="preserve"> </w:t>
      </w:r>
      <w:r w:rsidRPr="0005633C">
        <w:rPr>
          <w:sz w:val="21"/>
          <w:szCs w:val="20"/>
        </w:rPr>
        <w:t>of the cities</w:t>
      </w:r>
      <w:r w:rsidR="006357FD" w:rsidRPr="0005633C">
        <w:rPr>
          <w:rFonts w:hint="eastAsia"/>
          <w:sz w:val="21"/>
          <w:szCs w:val="20"/>
        </w:rPr>
        <w:t xml:space="preserve"> in 2021</w:t>
      </w:r>
      <w:r w:rsidRPr="0005633C">
        <w:rPr>
          <w:sz w:val="21"/>
          <w:szCs w:val="20"/>
        </w:rPr>
        <w:t>.</w:t>
      </w:r>
    </w:p>
    <w:p w14:paraId="38669C81" w14:textId="7811D404" w:rsidR="00D5568F" w:rsidRPr="0005633C" w:rsidRDefault="00267BB8" w:rsidP="00EF6667">
      <w:pPr>
        <w:spacing w:line="288" w:lineRule="auto"/>
        <w:ind w:firstLine="420"/>
        <w:rPr>
          <w:sz w:val="21"/>
          <w:szCs w:val="20"/>
        </w:rPr>
      </w:pPr>
      <w:r w:rsidRPr="0005633C">
        <w:rPr>
          <w:sz w:val="21"/>
          <w:szCs w:val="20"/>
        </w:rPr>
        <w:t xml:space="preserve">Night lights data are </w:t>
      </w:r>
      <w:r w:rsidR="006357FD" w:rsidRPr="0005633C">
        <w:rPr>
          <w:sz w:val="21"/>
          <w:szCs w:val="20"/>
        </w:rPr>
        <w:t>widely recognized</w:t>
      </w:r>
      <w:r w:rsidRPr="0005633C">
        <w:rPr>
          <w:sz w:val="21"/>
          <w:szCs w:val="20"/>
        </w:rPr>
        <w:t xml:space="preserve"> </w:t>
      </w:r>
      <w:r w:rsidR="006357FD" w:rsidRPr="0005633C">
        <w:rPr>
          <w:rFonts w:hint="eastAsia"/>
          <w:sz w:val="21"/>
          <w:szCs w:val="20"/>
        </w:rPr>
        <w:t>as a measure of</w:t>
      </w:r>
      <w:r w:rsidRPr="0005633C">
        <w:rPr>
          <w:sz w:val="21"/>
          <w:szCs w:val="20"/>
        </w:rPr>
        <w:t xml:space="preserve"> real economic development levels, </w:t>
      </w:r>
      <w:r w:rsidR="006357FD" w:rsidRPr="0005633C">
        <w:rPr>
          <w:sz w:val="21"/>
          <w:szCs w:val="20"/>
        </w:rPr>
        <w:t>extensively used in economic research</w:t>
      </w:r>
      <w:r w:rsidRPr="0005633C">
        <w:rPr>
          <w:sz w:val="21"/>
          <w:szCs w:val="20"/>
        </w:rPr>
        <w:t xml:space="preserve"> (e.g., </w:t>
      </w:r>
      <w:r w:rsidRPr="0005633C">
        <w:rPr>
          <w:color w:val="0070C0"/>
          <w:sz w:val="21"/>
          <w:szCs w:val="20"/>
        </w:rPr>
        <w:t>Martinez, 2022; Henderson et al., 201</w:t>
      </w:r>
      <w:r w:rsidR="00D5568F">
        <w:rPr>
          <w:rFonts w:hint="eastAsia"/>
          <w:color w:val="0070C0"/>
          <w:sz w:val="21"/>
          <w:szCs w:val="20"/>
        </w:rPr>
        <w:t>2</w:t>
      </w:r>
      <w:r w:rsidRPr="0005633C">
        <w:rPr>
          <w:color w:val="0070C0"/>
          <w:sz w:val="21"/>
          <w:szCs w:val="20"/>
        </w:rPr>
        <w:t>; Henderson et al., 201</w:t>
      </w:r>
      <w:r w:rsidR="00D5568F">
        <w:rPr>
          <w:rFonts w:hint="eastAsia"/>
          <w:color w:val="0070C0"/>
          <w:sz w:val="21"/>
          <w:szCs w:val="20"/>
        </w:rPr>
        <w:t>1</w:t>
      </w:r>
      <w:r w:rsidRPr="0005633C">
        <w:rPr>
          <w:color w:val="0070C0"/>
          <w:sz w:val="21"/>
          <w:szCs w:val="20"/>
        </w:rPr>
        <w:t>; Chen and Nordhaus, 2011</w:t>
      </w:r>
      <w:r w:rsidRPr="0005633C">
        <w:rPr>
          <w:sz w:val="21"/>
          <w:szCs w:val="20"/>
        </w:rPr>
        <w:t xml:space="preserve">). We employed calibrated Visible Infrared Imaging Radiometer Suite (VIIRS) nighttime lights dataset </w:t>
      </w:r>
      <w:r w:rsidRPr="0005633C">
        <w:rPr>
          <w:color w:val="0070C0"/>
          <w:sz w:val="21"/>
          <w:szCs w:val="20"/>
        </w:rPr>
        <w:t>(Gibson et al., 2021)</w:t>
      </w:r>
      <w:r w:rsidRPr="0005633C">
        <w:rPr>
          <w:sz w:val="21"/>
          <w:szCs w:val="20"/>
        </w:rPr>
        <w:t xml:space="preserve">. By summing the luminosity of all grids within each city boundary, we showcase the local real economic aggregate. We found a very high correlation (Pearson correlation coefficient of 0.918) between </w:t>
      </w:r>
      <w:r w:rsidR="00D86C76">
        <w:rPr>
          <w:rFonts w:hint="eastAsia"/>
          <w:sz w:val="21"/>
          <w:szCs w:val="20"/>
        </w:rPr>
        <w:t>city</w:t>
      </w:r>
      <w:r w:rsidRPr="0005633C">
        <w:rPr>
          <w:sz w:val="21"/>
          <w:szCs w:val="20"/>
        </w:rPr>
        <w:t xml:space="preserve"> trucking workload and </w:t>
      </w:r>
      <w:r w:rsidR="00D86C76" w:rsidRPr="0005633C">
        <w:rPr>
          <w:sz w:val="21"/>
          <w:szCs w:val="20"/>
        </w:rPr>
        <w:t xml:space="preserve">total </w:t>
      </w:r>
      <w:r w:rsidRPr="0005633C">
        <w:rPr>
          <w:sz w:val="21"/>
          <w:szCs w:val="20"/>
        </w:rPr>
        <w:t xml:space="preserve">nighttime lights </w:t>
      </w:r>
      <w:r w:rsidR="006357FD" w:rsidRPr="0005633C">
        <w:rPr>
          <w:sz w:val="21"/>
          <w:szCs w:val="20"/>
        </w:rPr>
        <w:t>brightness</w:t>
      </w:r>
      <w:r w:rsidRPr="0005633C">
        <w:rPr>
          <w:sz w:val="21"/>
          <w:szCs w:val="20"/>
        </w:rPr>
        <w:t xml:space="preserve">. </w:t>
      </w:r>
      <w:r w:rsidR="00EF6667" w:rsidRPr="00EF6667">
        <w:rPr>
          <w:sz w:val="21"/>
          <w:szCs w:val="20"/>
        </w:rPr>
        <w:t xml:space="preserve">This confirms that trucking workload </w:t>
      </w:r>
      <w:r w:rsidR="00EF6667">
        <w:rPr>
          <w:rFonts w:hint="eastAsia"/>
          <w:sz w:val="21"/>
          <w:szCs w:val="20"/>
        </w:rPr>
        <w:t>effectively</w:t>
      </w:r>
      <w:r w:rsidR="00EF6667" w:rsidRPr="00EF6667">
        <w:rPr>
          <w:sz w:val="21"/>
          <w:szCs w:val="20"/>
        </w:rPr>
        <w:t xml:space="preserve"> represents real economic development levels.</w:t>
      </w:r>
      <w:r w:rsidR="00EF6667">
        <w:rPr>
          <w:rFonts w:hint="eastAsia"/>
          <w:sz w:val="21"/>
          <w:szCs w:val="20"/>
        </w:rPr>
        <w:t xml:space="preserve"> </w:t>
      </w:r>
      <w:r w:rsidRPr="0005633C">
        <w:rPr>
          <w:sz w:val="21"/>
          <w:szCs w:val="20"/>
        </w:rPr>
        <w:t xml:space="preserve">Furthermore, we examined the correlation between trucking workload and officially released </w:t>
      </w:r>
      <w:r w:rsidR="00D86C76">
        <w:rPr>
          <w:rFonts w:hint="eastAsia"/>
          <w:sz w:val="21"/>
          <w:szCs w:val="20"/>
        </w:rPr>
        <w:t xml:space="preserve">city </w:t>
      </w:r>
      <w:r w:rsidRPr="0005633C">
        <w:rPr>
          <w:sz w:val="21"/>
          <w:szCs w:val="20"/>
        </w:rPr>
        <w:t xml:space="preserve">GDP, with a Pearson correlation coefficient </w:t>
      </w:r>
      <w:r w:rsidR="00EF6667">
        <w:rPr>
          <w:rFonts w:hint="eastAsia"/>
          <w:sz w:val="21"/>
          <w:szCs w:val="20"/>
        </w:rPr>
        <w:t xml:space="preserve">also </w:t>
      </w:r>
      <w:r w:rsidRPr="0005633C">
        <w:rPr>
          <w:sz w:val="21"/>
          <w:szCs w:val="20"/>
        </w:rPr>
        <w:t xml:space="preserve">reaching 0.806. China's economic statistics are often viewed as systematically manipulated, reflecting potential distortion </w:t>
      </w:r>
      <w:r w:rsidRPr="0005633C">
        <w:rPr>
          <w:color w:val="0070C0"/>
          <w:sz w:val="21"/>
          <w:szCs w:val="20"/>
        </w:rPr>
        <w:t>(Hu and Yao, 2022; Chen et al., 2021; Lyu et al., 2018)</w:t>
      </w:r>
      <w:r w:rsidRPr="0005633C">
        <w:rPr>
          <w:sz w:val="21"/>
          <w:szCs w:val="20"/>
        </w:rPr>
        <w:t xml:space="preserve">. </w:t>
      </w:r>
      <w:r w:rsidR="0005633C" w:rsidRPr="0005633C">
        <w:rPr>
          <w:sz w:val="21"/>
          <w:szCs w:val="20"/>
        </w:rPr>
        <w:t>In comparison, our dataset offers greater authenticity and real-time representation of the economic development level</w:t>
      </w:r>
      <w:r w:rsidR="006357FD" w:rsidRPr="0005633C">
        <w:rPr>
          <w:sz w:val="21"/>
          <w:szCs w:val="20"/>
        </w:rPr>
        <w:t>.</w:t>
      </w:r>
    </w:p>
    <w:p w14:paraId="673432E3" w14:textId="4E65A04E" w:rsidR="00B3107F" w:rsidRDefault="00D86C76" w:rsidP="00B3107F">
      <w:pPr>
        <w:jc w:val="center"/>
      </w:pPr>
      <w:r>
        <w:rPr>
          <w:noProof/>
        </w:rPr>
        <w:drawing>
          <wp:inline distT="0" distB="0" distL="0" distR="0" wp14:anchorId="2BC3A010" wp14:editId="649023F9">
            <wp:extent cx="4468091" cy="2731098"/>
            <wp:effectExtent l="0" t="0" r="0" b="0"/>
            <wp:docPr id="651892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92360" name="图片 6518923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1620" cy="2739368"/>
                    </a:xfrm>
                    <a:prstGeom prst="rect">
                      <a:avLst/>
                    </a:prstGeom>
                  </pic:spPr>
                </pic:pic>
              </a:graphicData>
            </a:graphic>
          </wp:inline>
        </w:drawing>
      </w:r>
      <w:r w:rsidR="00B3107F">
        <w:rPr>
          <w:noProof/>
        </w:rPr>
        <w:drawing>
          <wp:inline distT="0" distB="0" distL="0" distR="0" wp14:anchorId="0EF8EEDD" wp14:editId="1D6EA43B">
            <wp:extent cx="4480426" cy="2726230"/>
            <wp:effectExtent l="0" t="0" r="0" b="0"/>
            <wp:docPr id="11645733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73387" name="图片 11645733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9085" cy="2737584"/>
                    </a:xfrm>
                    <a:prstGeom prst="rect">
                      <a:avLst/>
                    </a:prstGeom>
                  </pic:spPr>
                </pic:pic>
              </a:graphicData>
            </a:graphic>
          </wp:inline>
        </w:drawing>
      </w:r>
    </w:p>
    <w:p w14:paraId="3031B1B5" w14:textId="6FE2FF57" w:rsidR="00363708" w:rsidRDefault="0005633C" w:rsidP="002E1DF2">
      <w:pPr>
        <w:spacing w:after="120" w:line="276" w:lineRule="auto"/>
        <w:rPr>
          <w:sz w:val="21"/>
          <w:szCs w:val="21"/>
        </w:rPr>
      </w:pPr>
      <w:r w:rsidRPr="0005633C">
        <w:rPr>
          <w:rFonts w:hint="eastAsia"/>
          <w:b/>
          <w:bCs/>
          <w:sz w:val="21"/>
          <w:szCs w:val="21"/>
        </w:rPr>
        <w:t xml:space="preserve">Fig. </w:t>
      </w:r>
      <w:r w:rsidR="00C52E06">
        <w:rPr>
          <w:rFonts w:hint="eastAsia"/>
          <w:b/>
          <w:bCs/>
          <w:sz w:val="21"/>
          <w:szCs w:val="21"/>
        </w:rPr>
        <w:t>S</w:t>
      </w:r>
      <w:r w:rsidR="0052174C">
        <w:rPr>
          <w:rFonts w:hint="eastAsia"/>
          <w:b/>
          <w:bCs/>
          <w:sz w:val="21"/>
          <w:szCs w:val="21"/>
        </w:rPr>
        <w:t>2</w:t>
      </w:r>
      <w:r w:rsidRPr="0005633C">
        <w:rPr>
          <w:rFonts w:hint="eastAsia"/>
          <w:b/>
          <w:bCs/>
          <w:sz w:val="21"/>
          <w:szCs w:val="21"/>
        </w:rPr>
        <w:t>:</w:t>
      </w:r>
      <w:r w:rsidRPr="0005633C">
        <w:rPr>
          <w:b/>
          <w:bCs/>
          <w:sz w:val="32"/>
          <w:szCs w:val="28"/>
        </w:rPr>
        <w:t xml:space="preserve"> </w:t>
      </w:r>
      <w:r w:rsidRPr="0005633C">
        <w:rPr>
          <w:b/>
          <w:bCs/>
          <w:sz w:val="21"/>
          <w:szCs w:val="21"/>
        </w:rPr>
        <w:t>Correlation analysis between trucking workload and economic development level</w:t>
      </w:r>
      <w:r w:rsidRPr="0005633C">
        <w:rPr>
          <w:rFonts w:hint="eastAsia"/>
          <w:b/>
          <w:bCs/>
          <w:sz w:val="21"/>
          <w:szCs w:val="21"/>
        </w:rPr>
        <w:t>.</w:t>
      </w:r>
      <w:r w:rsidRPr="0005633C">
        <w:rPr>
          <w:sz w:val="21"/>
          <w:szCs w:val="21"/>
        </w:rPr>
        <w:t xml:space="preserve"> (a) Correlation between trucking workload and total nighttime luminosity</w:t>
      </w:r>
      <w:r w:rsidRPr="0005633C">
        <w:rPr>
          <w:rFonts w:hint="eastAsia"/>
          <w:sz w:val="21"/>
          <w:szCs w:val="21"/>
        </w:rPr>
        <w:t>.</w:t>
      </w:r>
      <w:r w:rsidRPr="0005633C">
        <w:rPr>
          <w:sz w:val="21"/>
          <w:szCs w:val="21"/>
        </w:rPr>
        <w:t xml:space="preserve"> (b) Correlation between trucking workload and officially released GDP. The aforementioned analysis was conducted at the city level in 2021. </w:t>
      </w:r>
    </w:p>
    <w:p w14:paraId="789A004B" w14:textId="77777777" w:rsidR="00363708" w:rsidRDefault="00363708">
      <w:pPr>
        <w:widowControl/>
        <w:jc w:val="left"/>
        <w:rPr>
          <w:sz w:val="21"/>
          <w:szCs w:val="21"/>
        </w:rPr>
      </w:pPr>
      <w:r>
        <w:rPr>
          <w:sz w:val="21"/>
          <w:szCs w:val="21"/>
        </w:rPr>
        <w:br w:type="page"/>
      </w:r>
    </w:p>
    <w:p w14:paraId="6D559756" w14:textId="71E6BC55" w:rsidR="003E7179" w:rsidRDefault="00A951A8" w:rsidP="002E1DF2">
      <w:pPr>
        <w:pStyle w:val="2"/>
      </w:pPr>
      <w:r>
        <w:rPr>
          <w:rFonts w:hint="eastAsia"/>
        </w:rPr>
        <w:t>C.</w:t>
      </w:r>
      <w:r>
        <w:t xml:space="preserve"> </w:t>
      </w:r>
      <w:r w:rsidR="001F7D59">
        <w:t xml:space="preserve">Another measure </w:t>
      </w:r>
      <w:r w:rsidR="002F467F">
        <w:rPr>
          <w:rFonts w:hint="eastAsia"/>
        </w:rPr>
        <w:t>for</w:t>
      </w:r>
      <w:r w:rsidR="001F7D59">
        <w:t xml:space="preserve"> the </w:t>
      </w:r>
      <w:r w:rsidR="001F7D59" w:rsidRPr="001F7D59">
        <w:t>long-to-short shift in trip distance</w:t>
      </w:r>
    </w:p>
    <w:p w14:paraId="7A7A104F" w14:textId="4EC15E99" w:rsidR="003E7179" w:rsidRDefault="00710B56" w:rsidP="003E7179">
      <w:r>
        <w:rPr>
          <w:noProof/>
        </w:rPr>
        <w:drawing>
          <wp:inline distT="0" distB="0" distL="0" distR="0" wp14:anchorId="6B56EFD1" wp14:editId="627BA935">
            <wp:extent cx="5274310" cy="3164840"/>
            <wp:effectExtent l="0" t="0" r="0" b="0"/>
            <wp:docPr id="14917995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99526" name="图片 14917995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1CF002F3" w14:textId="3F41CD47" w:rsidR="00363708" w:rsidRDefault="00710B56" w:rsidP="002E1DF2">
      <w:pPr>
        <w:spacing w:line="276" w:lineRule="auto"/>
        <w:jc w:val="left"/>
        <w:rPr>
          <w:sz w:val="21"/>
          <w:szCs w:val="20"/>
        </w:rPr>
      </w:pPr>
      <w:r w:rsidRPr="00710B56">
        <w:rPr>
          <w:b/>
          <w:bCs/>
          <w:sz w:val="21"/>
          <w:szCs w:val="20"/>
        </w:rPr>
        <w:t xml:space="preserve">Figure </w:t>
      </w:r>
      <w:r w:rsidR="00C52E06">
        <w:rPr>
          <w:rFonts w:hint="eastAsia"/>
          <w:b/>
          <w:bCs/>
          <w:sz w:val="21"/>
          <w:szCs w:val="20"/>
        </w:rPr>
        <w:t>S</w:t>
      </w:r>
      <w:r w:rsidRPr="00710B56">
        <w:rPr>
          <w:b/>
          <w:bCs/>
          <w:sz w:val="21"/>
          <w:szCs w:val="20"/>
        </w:rPr>
        <w:t xml:space="preserve">3: Weekly average number of trips per vehicle categorized by trip length. </w:t>
      </w:r>
      <w:r w:rsidRPr="00710B56">
        <w:rPr>
          <w:sz w:val="21"/>
          <w:szCs w:val="20"/>
        </w:rPr>
        <w:t xml:space="preserve">Short-distance trips are defined as those less than 100 km, medium-short trips are between 100-200 km, medium-long trips are between 200-500 km, and long-distance trips are those exceeding 500 km. It is observed that during the economic recovery period following the lifting of lockdowns, the frequency of the three shorter categories of trips surged, even surpassing the pre-lockdown peaks. In contrast, the number of long-distance trips not only failed to recover but even showed a slight decline compared to the lockdown period. This trend is consistent with the </w:t>
      </w:r>
      <w:r w:rsidRPr="00710B56">
        <w:rPr>
          <w:rFonts w:hint="eastAsia"/>
          <w:sz w:val="21"/>
          <w:szCs w:val="20"/>
        </w:rPr>
        <w:t>weekly</w:t>
      </w:r>
      <w:r w:rsidRPr="00710B56">
        <w:rPr>
          <w:sz w:val="21"/>
          <w:szCs w:val="20"/>
        </w:rPr>
        <w:t xml:space="preserve"> average workload per vehicle trends depicted in </w:t>
      </w:r>
      <w:r w:rsidRPr="00710B56">
        <w:rPr>
          <w:color w:val="0070C0"/>
          <w:sz w:val="21"/>
          <w:szCs w:val="20"/>
        </w:rPr>
        <w:t>Fig. 2</w:t>
      </w:r>
      <w:r w:rsidRPr="00710B56">
        <w:rPr>
          <w:sz w:val="21"/>
          <w:szCs w:val="20"/>
        </w:rPr>
        <w:t>.</w:t>
      </w:r>
    </w:p>
    <w:p w14:paraId="5A6D05EB" w14:textId="77777777" w:rsidR="00363708" w:rsidRDefault="00363708">
      <w:pPr>
        <w:widowControl/>
        <w:jc w:val="left"/>
        <w:rPr>
          <w:sz w:val="21"/>
          <w:szCs w:val="20"/>
        </w:rPr>
      </w:pPr>
      <w:r>
        <w:rPr>
          <w:sz w:val="21"/>
          <w:szCs w:val="20"/>
        </w:rPr>
        <w:br w:type="page"/>
      </w:r>
    </w:p>
    <w:p w14:paraId="670F0BCC" w14:textId="5083A3A0" w:rsidR="00A951A8" w:rsidRDefault="002554E1" w:rsidP="002E1DF2">
      <w:pPr>
        <w:pStyle w:val="2"/>
      </w:pPr>
      <w:r>
        <w:rPr>
          <w:rFonts w:hint="eastAsia"/>
        </w:rPr>
        <w:t>D</w:t>
      </w:r>
      <w:r w:rsidR="00A951A8">
        <w:rPr>
          <w:rFonts w:hint="eastAsia"/>
        </w:rPr>
        <w:t xml:space="preserve">. </w:t>
      </w:r>
      <w:r w:rsidR="00C4545B">
        <w:rPr>
          <w:rFonts w:hint="eastAsia"/>
        </w:rPr>
        <w:t>G</w:t>
      </w:r>
      <w:r w:rsidR="00EA4E37" w:rsidRPr="00EA4E37">
        <w:t xml:space="preserve">eographical locations </w:t>
      </w:r>
      <w:r w:rsidR="00A01222">
        <w:rPr>
          <w:rFonts w:hint="eastAsia"/>
        </w:rPr>
        <w:t xml:space="preserve">of </w:t>
      </w:r>
      <w:r w:rsidR="00EA4E37" w:rsidRPr="00EA4E37">
        <w:t>urban agglomerations and metropolitan areas in China</w:t>
      </w:r>
    </w:p>
    <w:p w14:paraId="215B3D10" w14:textId="46B57392" w:rsidR="004C4288" w:rsidRDefault="00112A32" w:rsidP="004C4288">
      <w:pPr>
        <w:jc w:val="center"/>
      </w:pPr>
      <w:r>
        <w:rPr>
          <w:noProof/>
        </w:rPr>
        <w:drawing>
          <wp:inline distT="0" distB="0" distL="0" distR="0" wp14:anchorId="554642C1" wp14:editId="186E5BD9">
            <wp:extent cx="4433455" cy="4967757"/>
            <wp:effectExtent l="0" t="0" r="5715" b="4445"/>
            <wp:docPr id="9171939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93920" name="图片 9171939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9962" cy="5031074"/>
                    </a:xfrm>
                    <a:prstGeom prst="rect">
                      <a:avLst/>
                    </a:prstGeom>
                  </pic:spPr>
                </pic:pic>
              </a:graphicData>
            </a:graphic>
          </wp:inline>
        </w:drawing>
      </w:r>
      <w:r>
        <w:rPr>
          <w:noProof/>
        </w:rPr>
        <w:drawing>
          <wp:inline distT="0" distB="0" distL="0" distR="0" wp14:anchorId="3A1F77FD" wp14:editId="4251462F">
            <wp:extent cx="4414105" cy="4946073"/>
            <wp:effectExtent l="0" t="0" r="5715" b="6985"/>
            <wp:docPr id="15918161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16147" name="图片 15918161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81927" cy="5022069"/>
                    </a:xfrm>
                    <a:prstGeom prst="rect">
                      <a:avLst/>
                    </a:prstGeom>
                  </pic:spPr>
                </pic:pic>
              </a:graphicData>
            </a:graphic>
          </wp:inline>
        </w:drawing>
      </w:r>
    </w:p>
    <w:p w14:paraId="09F1C79D" w14:textId="35AF0F13" w:rsidR="004C4288" w:rsidRPr="0005633C" w:rsidRDefault="004C4288" w:rsidP="002E1DF2">
      <w:pPr>
        <w:spacing w:line="276" w:lineRule="auto"/>
        <w:jc w:val="left"/>
        <w:rPr>
          <w:sz w:val="21"/>
          <w:szCs w:val="20"/>
        </w:rPr>
      </w:pPr>
      <w:r w:rsidRPr="004C4288">
        <w:rPr>
          <w:rFonts w:hint="eastAsia"/>
          <w:b/>
          <w:bCs/>
          <w:sz w:val="21"/>
          <w:szCs w:val="20"/>
        </w:rPr>
        <w:t xml:space="preserve">Fig. </w:t>
      </w:r>
      <w:r w:rsidR="00C52E06">
        <w:rPr>
          <w:rFonts w:hint="eastAsia"/>
          <w:b/>
          <w:bCs/>
          <w:sz w:val="21"/>
          <w:szCs w:val="20"/>
        </w:rPr>
        <w:t>S</w:t>
      </w:r>
      <w:r w:rsidR="0052174C">
        <w:rPr>
          <w:rFonts w:hint="eastAsia"/>
          <w:b/>
          <w:bCs/>
          <w:sz w:val="21"/>
          <w:szCs w:val="20"/>
        </w:rPr>
        <w:t>4</w:t>
      </w:r>
      <w:r w:rsidRPr="004C4288">
        <w:rPr>
          <w:rFonts w:hint="eastAsia"/>
          <w:b/>
          <w:bCs/>
          <w:sz w:val="21"/>
          <w:szCs w:val="20"/>
        </w:rPr>
        <w:t xml:space="preserve"> The geographical locations urban agglomerations and metropolitan areas in China. </w:t>
      </w:r>
      <w:r w:rsidRPr="0005633C">
        <w:rPr>
          <w:rFonts w:hint="eastAsia"/>
          <w:sz w:val="21"/>
          <w:szCs w:val="20"/>
        </w:rPr>
        <w:t xml:space="preserve">(a) The geographical locations of </w:t>
      </w:r>
      <w:r w:rsidRPr="0005633C">
        <w:rPr>
          <w:sz w:val="21"/>
          <w:szCs w:val="20"/>
        </w:rPr>
        <w:t>urban agglomerations</w:t>
      </w:r>
      <w:r w:rsidRPr="0005633C">
        <w:rPr>
          <w:rFonts w:hint="eastAsia"/>
          <w:sz w:val="21"/>
          <w:szCs w:val="20"/>
        </w:rPr>
        <w:t xml:space="preserve">. (b) The geographical locations of metropolitan areas. </w:t>
      </w:r>
      <w:r w:rsidRPr="0005633C">
        <w:rPr>
          <w:sz w:val="21"/>
          <w:szCs w:val="21"/>
        </w:rPr>
        <w:t xml:space="preserve">The specific </w:t>
      </w:r>
      <w:r w:rsidRPr="0005633C">
        <w:rPr>
          <w:rFonts w:hint="eastAsia"/>
          <w:sz w:val="21"/>
          <w:szCs w:val="21"/>
        </w:rPr>
        <w:t>cities</w:t>
      </w:r>
      <w:r w:rsidRPr="0005633C">
        <w:rPr>
          <w:sz w:val="21"/>
          <w:szCs w:val="21"/>
        </w:rPr>
        <w:t xml:space="preserve"> </w:t>
      </w:r>
      <w:r w:rsidRPr="0005633C">
        <w:rPr>
          <w:rFonts w:hint="eastAsia"/>
          <w:sz w:val="21"/>
          <w:szCs w:val="21"/>
        </w:rPr>
        <w:t>included in</w:t>
      </w:r>
      <w:r w:rsidRPr="0005633C">
        <w:rPr>
          <w:sz w:val="21"/>
          <w:szCs w:val="21"/>
        </w:rPr>
        <w:t xml:space="preserve"> these important regions are shown in </w:t>
      </w:r>
      <w:r w:rsidRPr="0005633C">
        <w:rPr>
          <w:rFonts w:hint="eastAsia"/>
          <w:color w:val="0070C0"/>
          <w:sz w:val="21"/>
          <w:szCs w:val="21"/>
        </w:rPr>
        <w:t>Table.</w:t>
      </w:r>
      <w:r w:rsidRPr="0005633C">
        <w:rPr>
          <w:color w:val="0070C0"/>
          <w:sz w:val="21"/>
          <w:szCs w:val="21"/>
        </w:rPr>
        <w:t xml:space="preserve"> </w:t>
      </w:r>
      <w:r w:rsidR="00C52E06">
        <w:rPr>
          <w:rFonts w:hint="eastAsia"/>
          <w:color w:val="0070C0"/>
          <w:sz w:val="21"/>
          <w:szCs w:val="21"/>
        </w:rPr>
        <w:t>S</w:t>
      </w:r>
      <w:r w:rsidR="00365FA6">
        <w:rPr>
          <w:rFonts w:hint="eastAsia"/>
          <w:color w:val="0070C0"/>
          <w:sz w:val="21"/>
          <w:szCs w:val="21"/>
        </w:rPr>
        <w:t>1</w:t>
      </w:r>
      <w:r w:rsidRPr="0005633C">
        <w:rPr>
          <w:sz w:val="21"/>
          <w:szCs w:val="21"/>
        </w:rPr>
        <w:t>.</w:t>
      </w:r>
    </w:p>
    <w:p w14:paraId="67F0763B" w14:textId="77777777" w:rsidR="00363708" w:rsidRDefault="00363708">
      <w:pPr>
        <w:widowControl/>
        <w:jc w:val="left"/>
        <w:rPr>
          <w:b/>
          <w:bCs/>
        </w:rPr>
      </w:pPr>
      <w:r>
        <w:br w:type="page"/>
      </w:r>
    </w:p>
    <w:p w14:paraId="4A436846" w14:textId="76060FD3" w:rsidR="00A01222" w:rsidRPr="0009064A" w:rsidRDefault="002554E1" w:rsidP="0009064A">
      <w:pPr>
        <w:pStyle w:val="2"/>
      </w:pPr>
      <w:r>
        <w:rPr>
          <w:rFonts w:hint="eastAsia"/>
        </w:rPr>
        <w:t>E</w:t>
      </w:r>
      <w:r w:rsidR="009B0B73">
        <w:rPr>
          <w:rFonts w:hint="eastAsia"/>
        </w:rPr>
        <w:t xml:space="preserve">. </w:t>
      </w:r>
      <w:r w:rsidR="00EA4E37" w:rsidRPr="00EA4E37">
        <w:t>Cities included in the urban agglomerations and metropolitan areas in China</w:t>
      </w:r>
    </w:p>
    <w:p w14:paraId="1056FABA" w14:textId="392D762F" w:rsidR="009B0B73" w:rsidRPr="006D0326" w:rsidRDefault="009B0B73" w:rsidP="007B495B">
      <w:pPr>
        <w:spacing w:afterLines="30" w:after="93"/>
        <w:jc w:val="center"/>
        <w:rPr>
          <w:b/>
          <w:bCs/>
          <w:sz w:val="21"/>
          <w:szCs w:val="20"/>
        </w:rPr>
      </w:pPr>
      <w:r w:rsidRPr="006D0326">
        <w:rPr>
          <w:b/>
          <w:bCs/>
          <w:sz w:val="21"/>
          <w:szCs w:val="20"/>
        </w:rPr>
        <w:t xml:space="preserve">Table </w:t>
      </w:r>
      <w:r w:rsidR="00C52E06">
        <w:rPr>
          <w:rFonts w:hint="eastAsia"/>
          <w:b/>
          <w:bCs/>
          <w:sz w:val="21"/>
          <w:szCs w:val="20"/>
        </w:rPr>
        <w:t>S</w:t>
      </w:r>
      <w:r w:rsidR="00365FA6">
        <w:rPr>
          <w:rFonts w:hint="eastAsia"/>
          <w:b/>
          <w:bCs/>
          <w:sz w:val="21"/>
          <w:szCs w:val="20"/>
        </w:rPr>
        <w:t>1</w:t>
      </w:r>
      <w:r w:rsidRPr="006D0326">
        <w:rPr>
          <w:b/>
          <w:bCs/>
          <w:sz w:val="21"/>
          <w:szCs w:val="20"/>
        </w:rPr>
        <w:t xml:space="preserve"> </w:t>
      </w:r>
      <w:r w:rsidR="00EA4E37" w:rsidRPr="00EA4E37">
        <w:rPr>
          <w:b/>
          <w:bCs/>
          <w:sz w:val="21"/>
          <w:szCs w:val="20"/>
        </w:rPr>
        <w:t xml:space="preserve">Cities </w:t>
      </w:r>
      <w:r w:rsidR="00EA4E37">
        <w:rPr>
          <w:rFonts w:hint="eastAsia"/>
          <w:b/>
          <w:bCs/>
          <w:sz w:val="21"/>
          <w:szCs w:val="20"/>
        </w:rPr>
        <w:t>i</w:t>
      </w:r>
      <w:r w:rsidR="00EA4E37" w:rsidRPr="00EA4E37">
        <w:rPr>
          <w:b/>
          <w:bCs/>
          <w:sz w:val="21"/>
          <w:szCs w:val="20"/>
        </w:rPr>
        <w:t xml:space="preserve">ncluded in </w:t>
      </w:r>
      <w:r w:rsidR="00EA4E37">
        <w:rPr>
          <w:rFonts w:hint="eastAsia"/>
          <w:b/>
          <w:bCs/>
          <w:sz w:val="21"/>
          <w:szCs w:val="20"/>
        </w:rPr>
        <w:t>the m</w:t>
      </w:r>
      <w:r w:rsidR="00EA4E37" w:rsidRPr="00EA4E37">
        <w:rPr>
          <w:b/>
          <w:bCs/>
          <w:sz w:val="21"/>
          <w:szCs w:val="20"/>
        </w:rPr>
        <w:t xml:space="preserve">ajor </w:t>
      </w:r>
      <w:r w:rsidR="00EA4E37">
        <w:rPr>
          <w:rFonts w:hint="eastAsia"/>
          <w:b/>
          <w:bCs/>
          <w:sz w:val="21"/>
          <w:szCs w:val="20"/>
        </w:rPr>
        <w:t>u</w:t>
      </w:r>
      <w:r w:rsidR="00EA4E37" w:rsidRPr="00EA4E37">
        <w:rPr>
          <w:b/>
          <w:bCs/>
          <w:sz w:val="21"/>
          <w:szCs w:val="20"/>
        </w:rPr>
        <w:t xml:space="preserve">rban </w:t>
      </w:r>
      <w:r w:rsidR="00EA4E37">
        <w:rPr>
          <w:rFonts w:hint="eastAsia"/>
          <w:b/>
          <w:bCs/>
          <w:sz w:val="21"/>
          <w:szCs w:val="20"/>
        </w:rPr>
        <w:t>a</w:t>
      </w:r>
      <w:r w:rsidR="00EA4E37" w:rsidRPr="00EA4E37">
        <w:rPr>
          <w:b/>
          <w:bCs/>
          <w:sz w:val="21"/>
          <w:szCs w:val="20"/>
        </w:rPr>
        <w:t xml:space="preserve">gglomerations and 14 </w:t>
      </w:r>
      <w:r w:rsidR="00EA4E37">
        <w:rPr>
          <w:rFonts w:hint="eastAsia"/>
          <w:b/>
          <w:bCs/>
          <w:sz w:val="21"/>
          <w:szCs w:val="20"/>
        </w:rPr>
        <w:t>m</w:t>
      </w:r>
      <w:r w:rsidR="00EA4E37" w:rsidRPr="00EA4E37">
        <w:rPr>
          <w:b/>
          <w:bCs/>
          <w:sz w:val="21"/>
          <w:szCs w:val="20"/>
        </w:rPr>
        <w:t xml:space="preserve">etropolitan </w:t>
      </w:r>
      <w:r w:rsidR="00EA4E37">
        <w:rPr>
          <w:rFonts w:hint="eastAsia"/>
          <w:b/>
          <w:bCs/>
          <w:sz w:val="21"/>
          <w:szCs w:val="20"/>
        </w:rPr>
        <w:t>a</w:t>
      </w:r>
      <w:r w:rsidR="00EA4E37" w:rsidRPr="00EA4E37">
        <w:rPr>
          <w:b/>
          <w:bCs/>
          <w:sz w:val="21"/>
          <w:szCs w:val="20"/>
        </w:rPr>
        <w:t>reas</w:t>
      </w:r>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1237"/>
        <w:gridCol w:w="5263"/>
      </w:tblGrid>
      <w:tr w:rsidR="009B0B73" w:rsidRPr="00630410" w14:paraId="3FB8D1E3" w14:textId="77777777" w:rsidTr="00EF6667">
        <w:trPr>
          <w:trHeight w:val="310"/>
          <w:jc w:val="center"/>
        </w:trPr>
        <w:tc>
          <w:tcPr>
            <w:tcW w:w="1822" w:type="dxa"/>
            <w:tcBorders>
              <w:top w:val="single" w:sz="12" w:space="0" w:color="auto"/>
              <w:bottom w:val="single" w:sz="6" w:space="0" w:color="auto"/>
            </w:tcBorders>
            <w:vAlign w:val="center"/>
          </w:tcPr>
          <w:p w14:paraId="73DD69EA" w14:textId="77777777" w:rsidR="009B0B73" w:rsidRPr="00630410" w:rsidRDefault="009B0B73" w:rsidP="00365FA6">
            <w:pPr>
              <w:spacing w:line="264" w:lineRule="auto"/>
              <w:jc w:val="center"/>
              <w:rPr>
                <w:sz w:val="21"/>
                <w:szCs w:val="21"/>
              </w:rPr>
            </w:pPr>
            <w:r w:rsidRPr="00630410">
              <w:rPr>
                <w:sz w:val="21"/>
                <w:szCs w:val="21"/>
              </w:rPr>
              <w:t>Region Name</w:t>
            </w:r>
          </w:p>
        </w:tc>
        <w:tc>
          <w:tcPr>
            <w:tcW w:w="1237" w:type="dxa"/>
            <w:tcBorders>
              <w:top w:val="single" w:sz="12" w:space="0" w:color="auto"/>
              <w:bottom w:val="single" w:sz="6" w:space="0" w:color="auto"/>
            </w:tcBorders>
            <w:vAlign w:val="center"/>
          </w:tcPr>
          <w:p w14:paraId="103526A1" w14:textId="77777777" w:rsidR="009B0B73" w:rsidRPr="00630410" w:rsidRDefault="009B0B73" w:rsidP="00365FA6">
            <w:pPr>
              <w:spacing w:line="264" w:lineRule="auto"/>
              <w:jc w:val="center"/>
              <w:rPr>
                <w:sz w:val="21"/>
                <w:szCs w:val="21"/>
              </w:rPr>
            </w:pPr>
            <w:r w:rsidRPr="00FB0EFF">
              <w:rPr>
                <w:sz w:val="21"/>
                <w:szCs w:val="21"/>
              </w:rPr>
              <w:t>Core Cities</w:t>
            </w:r>
          </w:p>
        </w:tc>
        <w:tc>
          <w:tcPr>
            <w:tcW w:w="5463" w:type="dxa"/>
            <w:tcBorders>
              <w:top w:val="single" w:sz="12" w:space="0" w:color="auto"/>
              <w:bottom w:val="single" w:sz="6" w:space="0" w:color="auto"/>
            </w:tcBorders>
            <w:vAlign w:val="center"/>
          </w:tcPr>
          <w:p w14:paraId="6217A243" w14:textId="77777777" w:rsidR="009B0B73" w:rsidRPr="00630410" w:rsidRDefault="009B0B73" w:rsidP="00365FA6">
            <w:pPr>
              <w:spacing w:line="264" w:lineRule="auto"/>
              <w:jc w:val="center"/>
              <w:rPr>
                <w:sz w:val="21"/>
                <w:szCs w:val="21"/>
              </w:rPr>
            </w:pPr>
            <w:r>
              <w:rPr>
                <w:rFonts w:hint="eastAsia"/>
                <w:sz w:val="21"/>
                <w:szCs w:val="21"/>
              </w:rPr>
              <w:t>Involved</w:t>
            </w:r>
            <w:r w:rsidRPr="00630410">
              <w:rPr>
                <w:sz w:val="21"/>
                <w:szCs w:val="21"/>
              </w:rPr>
              <w:t xml:space="preserve"> Cities</w:t>
            </w:r>
          </w:p>
        </w:tc>
      </w:tr>
      <w:tr w:rsidR="009B0B73" w:rsidRPr="00630410" w14:paraId="76A9564C" w14:textId="77777777" w:rsidTr="00EF6667">
        <w:trPr>
          <w:trHeight w:val="729"/>
          <w:jc w:val="center"/>
        </w:trPr>
        <w:tc>
          <w:tcPr>
            <w:tcW w:w="1822" w:type="dxa"/>
            <w:tcBorders>
              <w:top w:val="single" w:sz="6" w:space="0" w:color="auto"/>
              <w:bottom w:val="single" w:sz="6" w:space="0" w:color="auto"/>
            </w:tcBorders>
            <w:vAlign w:val="center"/>
          </w:tcPr>
          <w:p w14:paraId="3058BA5F" w14:textId="77777777" w:rsidR="009B0B73" w:rsidRPr="00630410" w:rsidRDefault="009B0B73" w:rsidP="00365FA6">
            <w:pPr>
              <w:spacing w:line="264" w:lineRule="auto"/>
              <w:jc w:val="center"/>
              <w:rPr>
                <w:sz w:val="21"/>
                <w:szCs w:val="21"/>
              </w:rPr>
            </w:pPr>
            <w:r w:rsidRPr="00630410">
              <w:rPr>
                <w:sz w:val="21"/>
                <w:szCs w:val="21"/>
              </w:rPr>
              <w:t>Beijing-Tianjin-Hebei</w:t>
            </w:r>
            <w:r>
              <w:rPr>
                <w:rFonts w:hint="eastAsia"/>
                <w:sz w:val="21"/>
                <w:szCs w:val="21"/>
              </w:rPr>
              <w:t xml:space="preserve"> </w:t>
            </w:r>
            <w:r w:rsidRPr="00630410">
              <w:rPr>
                <w:sz w:val="21"/>
                <w:szCs w:val="21"/>
              </w:rPr>
              <w:t xml:space="preserve">Urban </w:t>
            </w:r>
            <w:r>
              <w:rPr>
                <w:rFonts w:hint="eastAsia"/>
                <w:sz w:val="21"/>
                <w:szCs w:val="21"/>
              </w:rPr>
              <w:t>A</w:t>
            </w:r>
            <w:r w:rsidRPr="00630410">
              <w:rPr>
                <w:sz w:val="21"/>
                <w:szCs w:val="21"/>
              </w:rPr>
              <w:t>gglomeration</w:t>
            </w:r>
          </w:p>
        </w:tc>
        <w:tc>
          <w:tcPr>
            <w:tcW w:w="1237" w:type="dxa"/>
            <w:tcBorders>
              <w:top w:val="single" w:sz="6" w:space="0" w:color="auto"/>
              <w:bottom w:val="single" w:sz="6" w:space="0" w:color="auto"/>
            </w:tcBorders>
            <w:vAlign w:val="center"/>
          </w:tcPr>
          <w:p w14:paraId="56F29E3C" w14:textId="77777777" w:rsidR="009B0B73" w:rsidRPr="00A705A8" w:rsidRDefault="009B0B73" w:rsidP="00365FA6">
            <w:pPr>
              <w:spacing w:line="264" w:lineRule="auto"/>
              <w:jc w:val="center"/>
              <w:rPr>
                <w:sz w:val="21"/>
                <w:szCs w:val="21"/>
              </w:rPr>
            </w:pPr>
            <w:r w:rsidRPr="00630410">
              <w:rPr>
                <w:sz w:val="21"/>
                <w:szCs w:val="21"/>
              </w:rPr>
              <w:t>Beijing, Tianjin</w:t>
            </w:r>
          </w:p>
        </w:tc>
        <w:tc>
          <w:tcPr>
            <w:tcW w:w="5463" w:type="dxa"/>
            <w:tcBorders>
              <w:top w:val="single" w:sz="6" w:space="0" w:color="auto"/>
              <w:bottom w:val="single" w:sz="6" w:space="0" w:color="auto"/>
            </w:tcBorders>
            <w:vAlign w:val="center"/>
          </w:tcPr>
          <w:p w14:paraId="34AD47D4" w14:textId="77777777" w:rsidR="009B0B73" w:rsidRPr="00630410" w:rsidRDefault="009B0B73" w:rsidP="00365FA6">
            <w:pPr>
              <w:spacing w:line="264" w:lineRule="auto"/>
              <w:jc w:val="left"/>
              <w:rPr>
                <w:sz w:val="21"/>
                <w:szCs w:val="21"/>
              </w:rPr>
            </w:pPr>
            <w:r w:rsidRPr="00630410">
              <w:rPr>
                <w:sz w:val="21"/>
                <w:szCs w:val="21"/>
              </w:rPr>
              <w:t xml:space="preserve">Beijing, Tianjin, Shijiazhuang, Tangshan, Qinhuangdao, Handan, </w:t>
            </w:r>
            <w:proofErr w:type="spellStart"/>
            <w:r w:rsidRPr="00630410">
              <w:rPr>
                <w:sz w:val="21"/>
                <w:szCs w:val="21"/>
              </w:rPr>
              <w:t>Xingtai</w:t>
            </w:r>
            <w:proofErr w:type="spellEnd"/>
            <w:r w:rsidRPr="00630410">
              <w:rPr>
                <w:sz w:val="21"/>
                <w:szCs w:val="21"/>
              </w:rPr>
              <w:t xml:space="preserve">, Baoding, Zhangjiakou, Chengde, </w:t>
            </w:r>
            <w:proofErr w:type="spellStart"/>
            <w:r w:rsidRPr="00630410">
              <w:rPr>
                <w:sz w:val="21"/>
                <w:szCs w:val="21"/>
              </w:rPr>
              <w:t>Cangzhou</w:t>
            </w:r>
            <w:proofErr w:type="spellEnd"/>
            <w:r w:rsidRPr="00630410">
              <w:rPr>
                <w:sz w:val="21"/>
                <w:szCs w:val="21"/>
              </w:rPr>
              <w:t xml:space="preserve">, </w:t>
            </w:r>
            <w:proofErr w:type="spellStart"/>
            <w:r w:rsidRPr="00630410">
              <w:rPr>
                <w:sz w:val="21"/>
                <w:szCs w:val="21"/>
              </w:rPr>
              <w:t>Langfang</w:t>
            </w:r>
            <w:proofErr w:type="spellEnd"/>
            <w:r w:rsidRPr="00630410">
              <w:rPr>
                <w:sz w:val="21"/>
                <w:szCs w:val="21"/>
              </w:rPr>
              <w:t xml:space="preserve">, </w:t>
            </w:r>
            <w:proofErr w:type="spellStart"/>
            <w:r w:rsidRPr="00630410">
              <w:rPr>
                <w:sz w:val="21"/>
                <w:szCs w:val="21"/>
              </w:rPr>
              <w:t>Hengshui</w:t>
            </w:r>
            <w:proofErr w:type="spellEnd"/>
            <w:r w:rsidRPr="00630410">
              <w:rPr>
                <w:sz w:val="21"/>
                <w:szCs w:val="21"/>
              </w:rPr>
              <w:t>, Anyang</w:t>
            </w:r>
          </w:p>
        </w:tc>
      </w:tr>
      <w:tr w:rsidR="009B0B73" w:rsidRPr="00630410" w14:paraId="0765AE14" w14:textId="77777777" w:rsidTr="00EF6667">
        <w:trPr>
          <w:trHeight w:val="1226"/>
          <w:jc w:val="center"/>
        </w:trPr>
        <w:tc>
          <w:tcPr>
            <w:tcW w:w="1822" w:type="dxa"/>
            <w:tcBorders>
              <w:top w:val="single" w:sz="6" w:space="0" w:color="auto"/>
              <w:bottom w:val="single" w:sz="6" w:space="0" w:color="auto"/>
            </w:tcBorders>
            <w:vAlign w:val="center"/>
          </w:tcPr>
          <w:p w14:paraId="596089FC" w14:textId="77777777" w:rsidR="009B0B73" w:rsidRPr="00630410" w:rsidRDefault="009B0B73" w:rsidP="00365FA6">
            <w:pPr>
              <w:spacing w:line="264" w:lineRule="auto"/>
              <w:jc w:val="center"/>
              <w:rPr>
                <w:sz w:val="21"/>
                <w:szCs w:val="21"/>
              </w:rPr>
            </w:pPr>
            <w:r w:rsidRPr="00630410">
              <w:rPr>
                <w:sz w:val="21"/>
                <w:szCs w:val="21"/>
              </w:rPr>
              <w:t>Yangtze River Delta</w:t>
            </w:r>
            <w:r>
              <w:rPr>
                <w:rFonts w:hint="eastAsia"/>
                <w:sz w:val="21"/>
                <w:szCs w:val="21"/>
              </w:rPr>
              <w:t xml:space="preserve"> </w:t>
            </w:r>
            <w:r w:rsidRPr="00630410">
              <w:rPr>
                <w:sz w:val="21"/>
                <w:szCs w:val="21"/>
              </w:rPr>
              <w:t xml:space="preserve">Urban </w:t>
            </w:r>
            <w:r>
              <w:rPr>
                <w:rFonts w:hint="eastAsia"/>
                <w:sz w:val="21"/>
                <w:szCs w:val="21"/>
              </w:rPr>
              <w:t>A</w:t>
            </w:r>
            <w:r w:rsidRPr="00630410">
              <w:rPr>
                <w:sz w:val="21"/>
                <w:szCs w:val="21"/>
              </w:rPr>
              <w:t>gglomeration</w:t>
            </w:r>
          </w:p>
        </w:tc>
        <w:tc>
          <w:tcPr>
            <w:tcW w:w="1237" w:type="dxa"/>
            <w:tcBorders>
              <w:top w:val="single" w:sz="6" w:space="0" w:color="auto"/>
              <w:bottom w:val="single" w:sz="6" w:space="0" w:color="auto"/>
            </w:tcBorders>
            <w:vAlign w:val="center"/>
          </w:tcPr>
          <w:p w14:paraId="679A636F" w14:textId="77777777" w:rsidR="009B0B73" w:rsidRPr="00630410" w:rsidRDefault="009B0B73" w:rsidP="00365FA6">
            <w:pPr>
              <w:spacing w:line="264" w:lineRule="auto"/>
              <w:jc w:val="center"/>
              <w:rPr>
                <w:sz w:val="21"/>
                <w:szCs w:val="21"/>
              </w:rPr>
            </w:pPr>
            <w:r w:rsidRPr="00630410">
              <w:rPr>
                <w:sz w:val="21"/>
                <w:szCs w:val="21"/>
              </w:rPr>
              <w:t>Shanghai</w:t>
            </w:r>
          </w:p>
        </w:tc>
        <w:tc>
          <w:tcPr>
            <w:tcW w:w="5463" w:type="dxa"/>
            <w:tcBorders>
              <w:top w:val="single" w:sz="6" w:space="0" w:color="auto"/>
              <w:bottom w:val="single" w:sz="6" w:space="0" w:color="auto"/>
            </w:tcBorders>
            <w:vAlign w:val="center"/>
          </w:tcPr>
          <w:p w14:paraId="28E57FD4" w14:textId="77777777" w:rsidR="009B0B73" w:rsidRPr="00630410" w:rsidRDefault="009B0B73" w:rsidP="00365FA6">
            <w:pPr>
              <w:spacing w:line="264" w:lineRule="auto"/>
              <w:jc w:val="left"/>
              <w:rPr>
                <w:sz w:val="21"/>
                <w:szCs w:val="21"/>
              </w:rPr>
            </w:pPr>
            <w:r w:rsidRPr="00630410">
              <w:rPr>
                <w:sz w:val="21"/>
                <w:szCs w:val="21"/>
              </w:rPr>
              <w:t xml:space="preserve">Shanghai, Nanjing, Wuxi, Changzhou, Suzhou, Nantong, Yancheng, Yangzhou, Zhenjiang, Taizhou, Hangzhou, Ningbo, Wenzhou, Jiaxing, Huzhou, Shaoxing, Jinhua, Zhoushan, Taizhou, Hefei, Wuhu, </w:t>
            </w:r>
            <w:proofErr w:type="spellStart"/>
            <w:r w:rsidRPr="00630410">
              <w:rPr>
                <w:sz w:val="21"/>
                <w:szCs w:val="21"/>
              </w:rPr>
              <w:t>Ma'anshan</w:t>
            </w:r>
            <w:proofErr w:type="spellEnd"/>
            <w:r w:rsidRPr="00630410">
              <w:rPr>
                <w:sz w:val="21"/>
                <w:szCs w:val="21"/>
              </w:rPr>
              <w:t xml:space="preserve">, </w:t>
            </w:r>
            <w:proofErr w:type="spellStart"/>
            <w:r w:rsidRPr="00630410">
              <w:rPr>
                <w:sz w:val="21"/>
                <w:szCs w:val="21"/>
              </w:rPr>
              <w:t>Tongling</w:t>
            </w:r>
            <w:proofErr w:type="spellEnd"/>
            <w:r w:rsidRPr="00630410">
              <w:rPr>
                <w:sz w:val="21"/>
                <w:szCs w:val="21"/>
              </w:rPr>
              <w:t xml:space="preserve">, </w:t>
            </w:r>
            <w:proofErr w:type="spellStart"/>
            <w:r w:rsidRPr="00630410">
              <w:rPr>
                <w:sz w:val="21"/>
                <w:szCs w:val="21"/>
              </w:rPr>
              <w:t>Anqing</w:t>
            </w:r>
            <w:proofErr w:type="spellEnd"/>
            <w:r w:rsidRPr="00630410">
              <w:rPr>
                <w:sz w:val="21"/>
                <w:szCs w:val="21"/>
              </w:rPr>
              <w:t xml:space="preserve">, </w:t>
            </w:r>
            <w:proofErr w:type="spellStart"/>
            <w:r w:rsidRPr="00630410">
              <w:rPr>
                <w:sz w:val="21"/>
                <w:szCs w:val="21"/>
              </w:rPr>
              <w:t>Chuzhou</w:t>
            </w:r>
            <w:proofErr w:type="spellEnd"/>
            <w:r w:rsidRPr="00630410">
              <w:rPr>
                <w:sz w:val="21"/>
                <w:szCs w:val="21"/>
              </w:rPr>
              <w:t xml:space="preserve">, </w:t>
            </w:r>
            <w:proofErr w:type="spellStart"/>
            <w:r w:rsidRPr="00630410">
              <w:rPr>
                <w:sz w:val="21"/>
                <w:szCs w:val="21"/>
              </w:rPr>
              <w:t>Chizhou</w:t>
            </w:r>
            <w:proofErr w:type="spellEnd"/>
            <w:r w:rsidRPr="00630410">
              <w:rPr>
                <w:sz w:val="21"/>
                <w:szCs w:val="21"/>
              </w:rPr>
              <w:t xml:space="preserve">, </w:t>
            </w:r>
            <w:proofErr w:type="spellStart"/>
            <w:r w:rsidRPr="00630410">
              <w:rPr>
                <w:sz w:val="21"/>
                <w:szCs w:val="21"/>
              </w:rPr>
              <w:t>Xuancheng</w:t>
            </w:r>
            <w:proofErr w:type="spellEnd"/>
          </w:p>
        </w:tc>
      </w:tr>
      <w:tr w:rsidR="009B0B73" w:rsidRPr="00630410" w14:paraId="76689613" w14:textId="77777777" w:rsidTr="00EF6667">
        <w:trPr>
          <w:trHeight w:val="517"/>
          <w:jc w:val="center"/>
        </w:trPr>
        <w:tc>
          <w:tcPr>
            <w:tcW w:w="1822" w:type="dxa"/>
            <w:tcBorders>
              <w:top w:val="single" w:sz="6" w:space="0" w:color="auto"/>
              <w:bottom w:val="single" w:sz="6" w:space="0" w:color="auto"/>
            </w:tcBorders>
            <w:vAlign w:val="center"/>
          </w:tcPr>
          <w:p w14:paraId="62D3E25F" w14:textId="77777777" w:rsidR="009B0B73" w:rsidRPr="00630410" w:rsidRDefault="009B0B73" w:rsidP="00365FA6">
            <w:pPr>
              <w:spacing w:line="264" w:lineRule="auto"/>
              <w:jc w:val="center"/>
              <w:rPr>
                <w:sz w:val="21"/>
                <w:szCs w:val="21"/>
              </w:rPr>
            </w:pPr>
            <w:r w:rsidRPr="00630410">
              <w:rPr>
                <w:sz w:val="21"/>
                <w:szCs w:val="21"/>
              </w:rPr>
              <w:t>Pearl River Delta</w:t>
            </w:r>
            <w:r>
              <w:rPr>
                <w:rFonts w:hint="eastAsia"/>
                <w:sz w:val="21"/>
                <w:szCs w:val="21"/>
              </w:rPr>
              <w:t xml:space="preserve"> </w:t>
            </w:r>
            <w:r w:rsidRPr="00630410">
              <w:rPr>
                <w:sz w:val="21"/>
                <w:szCs w:val="21"/>
              </w:rPr>
              <w:t xml:space="preserve">Urban </w:t>
            </w:r>
            <w:r>
              <w:rPr>
                <w:rFonts w:hint="eastAsia"/>
                <w:sz w:val="21"/>
                <w:szCs w:val="21"/>
              </w:rPr>
              <w:t>A</w:t>
            </w:r>
            <w:r w:rsidRPr="00630410">
              <w:rPr>
                <w:sz w:val="21"/>
                <w:szCs w:val="21"/>
              </w:rPr>
              <w:t>gglomeration</w:t>
            </w:r>
          </w:p>
        </w:tc>
        <w:tc>
          <w:tcPr>
            <w:tcW w:w="1237" w:type="dxa"/>
            <w:tcBorders>
              <w:top w:val="single" w:sz="6" w:space="0" w:color="auto"/>
              <w:bottom w:val="single" w:sz="6" w:space="0" w:color="auto"/>
            </w:tcBorders>
            <w:vAlign w:val="center"/>
          </w:tcPr>
          <w:p w14:paraId="75A03DAF" w14:textId="77777777" w:rsidR="009B0B73" w:rsidRPr="00630410" w:rsidRDefault="009B0B73" w:rsidP="00365FA6">
            <w:pPr>
              <w:spacing w:line="264" w:lineRule="auto"/>
              <w:jc w:val="center"/>
              <w:rPr>
                <w:sz w:val="21"/>
                <w:szCs w:val="21"/>
              </w:rPr>
            </w:pPr>
            <w:r w:rsidRPr="00630410">
              <w:rPr>
                <w:sz w:val="21"/>
                <w:szCs w:val="21"/>
              </w:rPr>
              <w:t>Guangzhou, Shenzhen</w:t>
            </w:r>
          </w:p>
        </w:tc>
        <w:tc>
          <w:tcPr>
            <w:tcW w:w="5463" w:type="dxa"/>
            <w:tcBorders>
              <w:top w:val="single" w:sz="6" w:space="0" w:color="auto"/>
              <w:bottom w:val="single" w:sz="6" w:space="0" w:color="auto"/>
            </w:tcBorders>
            <w:vAlign w:val="center"/>
          </w:tcPr>
          <w:p w14:paraId="1F6B6759" w14:textId="77777777" w:rsidR="009B0B73" w:rsidRPr="00630410" w:rsidRDefault="009B0B73" w:rsidP="00365FA6">
            <w:pPr>
              <w:spacing w:line="264" w:lineRule="auto"/>
              <w:jc w:val="left"/>
              <w:rPr>
                <w:sz w:val="21"/>
                <w:szCs w:val="21"/>
              </w:rPr>
            </w:pPr>
            <w:r w:rsidRPr="00630410">
              <w:rPr>
                <w:sz w:val="21"/>
                <w:szCs w:val="21"/>
              </w:rPr>
              <w:t xml:space="preserve">Guangzhou, Shenzhen, Zhuhai, Foshan, Jiangmen, </w:t>
            </w:r>
            <w:proofErr w:type="spellStart"/>
            <w:r w:rsidRPr="00630410">
              <w:rPr>
                <w:sz w:val="21"/>
                <w:szCs w:val="21"/>
              </w:rPr>
              <w:t>Zhaoqing</w:t>
            </w:r>
            <w:proofErr w:type="spellEnd"/>
            <w:r w:rsidRPr="00630410">
              <w:rPr>
                <w:sz w:val="21"/>
                <w:szCs w:val="21"/>
              </w:rPr>
              <w:t>, Huizhou, Dongguan, Zhongshan</w:t>
            </w:r>
          </w:p>
        </w:tc>
      </w:tr>
      <w:tr w:rsidR="009B0B73" w:rsidRPr="00630410" w14:paraId="177D5050" w14:textId="77777777" w:rsidTr="00EF6667">
        <w:trPr>
          <w:trHeight w:val="243"/>
          <w:jc w:val="center"/>
        </w:trPr>
        <w:tc>
          <w:tcPr>
            <w:tcW w:w="1822" w:type="dxa"/>
            <w:tcBorders>
              <w:top w:val="single" w:sz="6" w:space="0" w:color="auto"/>
              <w:bottom w:val="single" w:sz="6" w:space="0" w:color="auto"/>
            </w:tcBorders>
            <w:vAlign w:val="center"/>
          </w:tcPr>
          <w:p w14:paraId="25524174" w14:textId="77777777" w:rsidR="009B0B73" w:rsidRPr="00A705A8" w:rsidRDefault="009B0B73" w:rsidP="00365FA6">
            <w:pPr>
              <w:spacing w:line="264" w:lineRule="auto"/>
              <w:jc w:val="center"/>
              <w:rPr>
                <w:sz w:val="21"/>
                <w:szCs w:val="20"/>
              </w:rPr>
            </w:pPr>
            <w:r w:rsidRPr="00A705A8">
              <w:rPr>
                <w:sz w:val="21"/>
                <w:szCs w:val="20"/>
              </w:rPr>
              <w:t>Nanjing Metropolitan Area</w:t>
            </w:r>
          </w:p>
        </w:tc>
        <w:tc>
          <w:tcPr>
            <w:tcW w:w="1237" w:type="dxa"/>
            <w:tcBorders>
              <w:top w:val="single" w:sz="6" w:space="0" w:color="auto"/>
              <w:bottom w:val="single" w:sz="6" w:space="0" w:color="auto"/>
            </w:tcBorders>
            <w:vAlign w:val="center"/>
          </w:tcPr>
          <w:p w14:paraId="5FA5BE01" w14:textId="77777777" w:rsidR="009B0B73" w:rsidRPr="00A705A8" w:rsidRDefault="009B0B73" w:rsidP="00365FA6">
            <w:pPr>
              <w:spacing w:line="264" w:lineRule="auto"/>
              <w:jc w:val="center"/>
              <w:rPr>
                <w:sz w:val="21"/>
                <w:szCs w:val="20"/>
              </w:rPr>
            </w:pPr>
            <w:r w:rsidRPr="00A705A8">
              <w:rPr>
                <w:sz w:val="21"/>
                <w:szCs w:val="20"/>
              </w:rPr>
              <w:t>Nanjing</w:t>
            </w:r>
          </w:p>
        </w:tc>
        <w:tc>
          <w:tcPr>
            <w:tcW w:w="5463" w:type="dxa"/>
            <w:tcBorders>
              <w:top w:val="single" w:sz="6" w:space="0" w:color="auto"/>
              <w:bottom w:val="single" w:sz="6" w:space="0" w:color="auto"/>
            </w:tcBorders>
            <w:vAlign w:val="center"/>
          </w:tcPr>
          <w:p w14:paraId="74771569" w14:textId="77777777" w:rsidR="009B0B73" w:rsidRPr="00A705A8" w:rsidRDefault="009B0B73" w:rsidP="00365FA6">
            <w:pPr>
              <w:spacing w:line="264" w:lineRule="auto"/>
              <w:jc w:val="left"/>
              <w:rPr>
                <w:sz w:val="21"/>
                <w:szCs w:val="20"/>
              </w:rPr>
            </w:pPr>
            <w:r w:rsidRPr="00A705A8">
              <w:rPr>
                <w:sz w:val="21"/>
                <w:szCs w:val="20"/>
              </w:rPr>
              <w:t xml:space="preserve">Nanjing, Zhenjiang, Huai'an, </w:t>
            </w:r>
            <w:proofErr w:type="spellStart"/>
            <w:r w:rsidRPr="00A705A8">
              <w:rPr>
                <w:sz w:val="21"/>
                <w:szCs w:val="20"/>
              </w:rPr>
              <w:t>Ma'anshan</w:t>
            </w:r>
            <w:proofErr w:type="spellEnd"/>
            <w:r w:rsidRPr="00A705A8">
              <w:rPr>
                <w:sz w:val="21"/>
                <w:szCs w:val="20"/>
              </w:rPr>
              <w:t xml:space="preserve">, </w:t>
            </w:r>
            <w:proofErr w:type="spellStart"/>
            <w:r w:rsidRPr="00A705A8">
              <w:rPr>
                <w:sz w:val="21"/>
                <w:szCs w:val="20"/>
              </w:rPr>
              <w:t>Chuzhou</w:t>
            </w:r>
            <w:proofErr w:type="spellEnd"/>
            <w:r w:rsidRPr="00A705A8">
              <w:rPr>
                <w:sz w:val="21"/>
                <w:szCs w:val="20"/>
              </w:rPr>
              <w:t xml:space="preserve">, Wuhu, </w:t>
            </w:r>
            <w:proofErr w:type="spellStart"/>
            <w:r w:rsidRPr="00A705A8">
              <w:rPr>
                <w:sz w:val="21"/>
                <w:szCs w:val="20"/>
              </w:rPr>
              <w:t>Xuancheng</w:t>
            </w:r>
            <w:proofErr w:type="spellEnd"/>
            <w:r w:rsidRPr="00A705A8">
              <w:rPr>
                <w:sz w:val="21"/>
                <w:szCs w:val="20"/>
              </w:rPr>
              <w:t>, Changzhou</w:t>
            </w:r>
          </w:p>
        </w:tc>
      </w:tr>
      <w:tr w:rsidR="009B0B73" w:rsidRPr="00630410" w14:paraId="6FD6415A" w14:textId="77777777" w:rsidTr="00EF6667">
        <w:trPr>
          <w:trHeight w:val="243"/>
          <w:jc w:val="center"/>
        </w:trPr>
        <w:tc>
          <w:tcPr>
            <w:tcW w:w="1822" w:type="dxa"/>
            <w:tcBorders>
              <w:top w:val="single" w:sz="6" w:space="0" w:color="auto"/>
              <w:bottom w:val="single" w:sz="6" w:space="0" w:color="auto"/>
            </w:tcBorders>
            <w:vAlign w:val="center"/>
          </w:tcPr>
          <w:p w14:paraId="3D7EC795" w14:textId="77777777" w:rsidR="009B0B73" w:rsidRPr="00630410" w:rsidRDefault="009B0B73" w:rsidP="00365FA6">
            <w:pPr>
              <w:spacing w:line="264" w:lineRule="auto"/>
              <w:jc w:val="center"/>
              <w:rPr>
                <w:sz w:val="21"/>
                <w:szCs w:val="21"/>
              </w:rPr>
            </w:pPr>
            <w:r w:rsidRPr="00A705A8">
              <w:rPr>
                <w:sz w:val="21"/>
                <w:szCs w:val="21"/>
              </w:rPr>
              <w:t>Fuzhou Metropolitan Area</w:t>
            </w:r>
          </w:p>
        </w:tc>
        <w:tc>
          <w:tcPr>
            <w:tcW w:w="1237" w:type="dxa"/>
            <w:tcBorders>
              <w:top w:val="single" w:sz="6" w:space="0" w:color="auto"/>
              <w:bottom w:val="single" w:sz="6" w:space="0" w:color="auto"/>
            </w:tcBorders>
            <w:vAlign w:val="center"/>
          </w:tcPr>
          <w:p w14:paraId="43BB73A6" w14:textId="77777777" w:rsidR="009B0B73" w:rsidRPr="00630410" w:rsidRDefault="009B0B73" w:rsidP="00365FA6">
            <w:pPr>
              <w:spacing w:line="264" w:lineRule="auto"/>
              <w:jc w:val="center"/>
              <w:rPr>
                <w:sz w:val="21"/>
                <w:szCs w:val="21"/>
              </w:rPr>
            </w:pPr>
            <w:r w:rsidRPr="00A705A8">
              <w:rPr>
                <w:sz w:val="21"/>
                <w:szCs w:val="21"/>
              </w:rPr>
              <w:t>Fuzhou</w:t>
            </w:r>
          </w:p>
        </w:tc>
        <w:tc>
          <w:tcPr>
            <w:tcW w:w="5463" w:type="dxa"/>
            <w:tcBorders>
              <w:top w:val="single" w:sz="6" w:space="0" w:color="auto"/>
              <w:bottom w:val="single" w:sz="6" w:space="0" w:color="auto"/>
            </w:tcBorders>
            <w:vAlign w:val="center"/>
          </w:tcPr>
          <w:p w14:paraId="09507CF4" w14:textId="77777777" w:rsidR="009B0B73" w:rsidRPr="00630410" w:rsidRDefault="009B0B73" w:rsidP="00365FA6">
            <w:pPr>
              <w:spacing w:line="264" w:lineRule="auto"/>
              <w:jc w:val="left"/>
              <w:rPr>
                <w:sz w:val="21"/>
                <w:szCs w:val="21"/>
              </w:rPr>
            </w:pPr>
            <w:r w:rsidRPr="00A705A8">
              <w:rPr>
                <w:sz w:val="21"/>
                <w:szCs w:val="21"/>
              </w:rPr>
              <w:t xml:space="preserve">Fuzhou, </w:t>
            </w:r>
            <w:proofErr w:type="spellStart"/>
            <w:r w:rsidRPr="00A705A8">
              <w:rPr>
                <w:sz w:val="21"/>
                <w:szCs w:val="21"/>
              </w:rPr>
              <w:t>Putian</w:t>
            </w:r>
            <w:proofErr w:type="spellEnd"/>
            <w:r w:rsidRPr="00A705A8">
              <w:rPr>
                <w:sz w:val="21"/>
                <w:szCs w:val="21"/>
              </w:rPr>
              <w:t xml:space="preserve">, </w:t>
            </w:r>
            <w:proofErr w:type="spellStart"/>
            <w:r w:rsidRPr="00A705A8">
              <w:rPr>
                <w:sz w:val="21"/>
                <w:szCs w:val="21"/>
              </w:rPr>
              <w:t>Nanping</w:t>
            </w:r>
            <w:proofErr w:type="spellEnd"/>
            <w:r w:rsidRPr="00A705A8">
              <w:rPr>
                <w:sz w:val="21"/>
                <w:szCs w:val="21"/>
              </w:rPr>
              <w:t xml:space="preserve">, </w:t>
            </w:r>
            <w:proofErr w:type="spellStart"/>
            <w:r w:rsidRPr="00A705A8">
              <w:rPr>
                <w:sz w:val="21"/>
                <w:szCs w:val="21"/>
              </w:rPr>
              <w:t>Ningde</w:t>
            </w:r>
            <w:proofErr w:type="spellEnd"/>
          </w:p>
        </w:tc>
      </w:tr>
      <w:tr w:rsidR="009B0B73" w:rsidRPr="00630410" w14:paraId="5FC87763" w14:textId="77777777" w:rsidTr="00EF6667">
        <w:trPr>
          <w:trHeight w:val="243"/>
          <w:jc w:val="center"/>
        </w:trPr>
        <w:tc>
          <w:tcPr>
            <w:tcW w:w="1822" w:type="dxa"/>
            <w:tcBorders>
              <w:top w:val="single" w:sz="6" w:space="0" w:color="auto"/>
              <w:bottom w:val="single" w:sz="6" w:space="0" w:color="auto"/>
            </w:tcBorders>
            <w:vAlign w:val="center"/>
          </w:tcPr>
          <w:p w14:paraId="09961A0D" w14:textId="77777777" w:rsidR="009B0B73" w:rsidRPr="00630410" w:rsidRDefault="009B0B73" w:rsidP="00365FA6">
            <w:pPr>
              <w:spacing w:line="264" w:lineRule="auto"/>
              <w:jc w:val="center"/>
              <w:rPr>
                <w:sz w:val="21"/>
                <w:szCs w:val="21"/>
              </w:rPr>
            </w:pPr>
            <w:r w:rsidRPr="00A705A8">
              <w:rPr>
                <w:sz w:val="21"/>
                <w:szCs w:val="21"/>
              </w:rPr>
              <w:t>Chengdu Metropolitan Area</w:t>
            </w:r>
          </w:p>
        </w:tc>
        <w:tc>
          <w:tcPr>
            <w:tcW w:w="1237" w:type="dxa"/>
            <w:tcBorders>
              <w:top w:val="single" w:sz="6" w:space="0" w:color="auto"/>
              <w:bottom w:val="single" w:sz="6" w:space="0" w:color="auto"/>
            </w:tcBorders>
            <w:vAlign w:val="center"/>
          </w:tcPr>
          <w:p w14:paraId="5E721E0B" w14:textId="77777777" w:rsidR="009B0B73" w:rsidRPr="00630410" w:rsidRDefault="009B0B73" w:rsidP="00365FA6">
            <w:pPr>
              <w:spacing w:line="264" w:lineRule="auto"/>
              <w:jc w:val="center"/>
              <w:rPr>
                <w:sz w:val="21"/>
                <w:szCs w:val="21"/>
              </w:rPr>
            </w:pPr>
            <w:r w:rsidRPr="00A705A8">
              <w:rPr>
                <w:sz w:val="21"/>
                <w:szCs w:val="21"/>
              </w:rPr>
              <w:t>Chengdu</w:t>
            </w:r>
          </w:p>
        </w:tc>
        <w:tc>
          <w:tcPr>
            <w:tcW w:w="5463" w:type="dxa"/>
            <w:tcBorders>
              <w:top w:val="single" w:sz="6" w:space="0" w:color="auto"/>
              <w:bottom w:val="single" w:sz="6" w:space="0" w:color="auto"/>
            </w:tcBorders>
            <w:vAlign w:val="center"/>
          </w:tcPr>
          <w:p w14:paraId="5AF7641C" w14:textId="77777777" w:rsidR="009B0B73" w:rsidRPr="00630410" w:rsidRDefault="009B0B73" w:rsidP="00365FA6">
            <w:pPr>
              <w:spacing w:line="264" w:lineRule="auto"/>
              <w:jc w:val="left"/>
              <w:rPr>
                <w:sz w:val="21"/>
                <w:szCs w:val="21"/>
              </w:rPr>
            </w:pPr>
            <w:r w:rsidRPr="00A705A8">
              <w:rPr>
                <w:sz w:val="21"/>
                <w:szCs w:val="21"/>
              </w:rPr>
              <w:t xml:space="preserve">Chengdu, </w:t>
            </w:r>
            <w:proofErr w:type="spellStart"/>
            <w:r w:rsidRPr="00A705A8">
              <w:rPr>
                <w:sz w:val="21"/>
                <w:szCs w:val="21"/>
              </w:rPr>
              <w:t>Deyang</w:t>
            </w:r>
            <w:proofErr w:type="spellEnd"/>
            <w:r w:rsidRPr="00A705A8">
              <w:rPr>
                <w:sz w:val="21"/>
                <w:szCs w:val="21"/>
              </w:rPr>
              <w:t>, Meishan, Ziyang</w:t>
            </w:r>
          </w:p>
        </w:tc>
      </w:tr>
      <w:tr w:rsidR="009B0B73" w:rsidRPr="00630410" w14:paraId="4F726146" w14:textId="77777777" w:rsidTr="00EF6667">
        <w:trPr>
          <w:trHeight w:val="254"/>
          <w:jc w:val="center"/>
        </w:trPr>
        <w:tc>
          <w:tcPr>
            <w:tcW w:w="1822" w:type="dxa"/>
            <w:tcBorders>
              <w:top w:val="single" w:sz="6" w:space="0" w:color="auto"/>
              <w:bottom w:val="single" w:sz="6" w:space="0" w:color="auto"/>
            </w:tcBorders>
            <w:vAlign w:val="center"/>
          </w:tcPr>
          <w:p w14:paraId="2898FC6A" w14:textId="77777777" w:rsidR="009B0B73" w:rsidRPr="00630410" w:rsidRDefault="009B0B73" w:rsidP="00365FA6">
            <w:pPr>
              <w:spacing w:line="264" w:lineRule="auto"/>
              <w:jc w:val="center"/>
              <w:rPr>
                <w:sz w:val="21"/>
                <w:szCs w:val="21"/>
              </w:rPr>
            </w:pPr>
            <w:r w:rsidRPr="00A705A8">
              <w:rPr>
                <w:sz w:val="21"/>
                <w:szCs w:val="21"/>
              </w:rPr>
              <w:t>Hangzhou Metropolitan Area</w:t>
            </w:r>
          </w:p>
        </w:tc>
        <w:tc>
          <w:tcPr>
            <w:tcW w:w="1237" w:type="dxa"/>
            <w:tcBorders>
              <w:top w:val="single" w:sz="6" w:space="0" w:color="auto"/>
              <w:bottom w:val="single" w:sz="6" w:space="0" w:color="auto"/>
            </w:tcBorders>
            <w:vAlign w:val="center"/>
          </w:tcPr>
          <w:p w14:paraId="1018341F" w14:textId="77777777" w:rsidR="009B0B73" w:rsidRPr="00630410" w:rsidRDefault="009B0B73" w:rsidP="00365FA6">
            <w:pPr>
              <w:spacing w:line="264" w:lineRule="auto"/>
              <w:jc w:val="center"/>
              <w:rPr>
                <w:sz w:val="21"/>
                <w:szCs w:val="21"/>
              </w:rPr>
            </w:pPr>
            <w:r w:rsidRPr="00A705A8">
              <w:rPr>
                <w:sz w:val="21"/>
                <w:szCs w:val="21"/>
              </w:rPr>
              <w:t>Hangzhou</w:t>
            </w:r>
          </w:p>
        </w:tc>
        <w:tc>
          <w:tcPr>
            <w:tcW w:w="5463" w:type="dxa"/>
            <w:tcBorders>
              <w:top w:val="single" w:sz="6" w:space="0" w:color="auto"/>
              <w:bottom w:val="single" w:sz="6" w:space="0" w:color="auto"/>
            </w:tcBorders>
            <w:vAlign w:val="center"/>
          </w:tcPr>
          <w:p w14:paraId="0B9432ED" w14:textId="77777777" w:rsidR="009B0B73" w:rsidRPr="00630410" w:rsidRDefault="009B0B73" w:rsidP="00365FA6">
            <w:pPr>
              <w:spacing w:line="264" w:lineRule="auto"/>
              <w:jc w:val="left"/>
              <w:rPr>
                <w:sz w:val="21"/>
                <w:szCs w:val="21"/>
              </w:rPr>
            </w:pPr>
            <w:r w:rsidRPr="00A705A8">
              <w:rPr>
                <w:sz w:val="21"/>
                <w:szCs w:val="21"/>
              </w:rPr>
              <w:t>Hangzhou</w:t>
            </w:r>
            <w:r>
              <w:rPr>
                <w:rFonts w:hint="eastAsia"/>
                <w:sz w:val="21"/>
                <w:szCs w:val="21"/>
              </w:rPr>
              <w:t xml:space="preserve">, </w:t>
            </w:r>
            <w:r w:rsidRPr="00A705A8">
              <w:rPr>
                <w:sz w:val="21"/>
                <w:szCs w:val="21"/>
              </w:rPr>
              <w:t xml:space="preserve">Huzhou, Jiaxing, Shaoxing, </w:t>
            </w:r>
            <w:proofErr w:type="spellStart"/>
            <w:r w:rsidRPr="00A705A8">
              <w:rPr>
                <w:sz w:val="21"/>
                <w:szCs w:val="21"/>
              </w:rPr>
              <w:t>Quzhou</w:t>
            </w:r>
            <w:proofErr w:type="spellEnd"/>
            <w:r w:rsidRPr="00A705A8">
              <w:rPr>
                <w:sz w:val="21"/>
                <w:szCs w:val="21"/>
              </w:rPr>
              <w:t>, Huangshan</w:t>
            </w:r>
          </w:p>
        </w:tc>
      </w:tr>
      <w:tr w:rsidR="009B0B73" w:rsidRPr="00630410" w14:paraId="2B579F1B" w14:textId="77777777" w:rsidTr="00EF6667">
        <w:trPr>
          <w:trHeight w:val="232"/>
          <w:jc w:val="center"/>
        </w:trPr>
        <w:tc>
          <w:tcPr>
            <w:tcW w:w="1822" w:type="dxa"/>
            <w:tcBorders>
              <w:top w:val="single" w:sz="6" w:space="0" w:color="auto"/>
              <w:bottom w:val="single" w:sz="6" w:space="0" w:color="auto"/>
            </w:tcBorders>
            <w:vAlign w:val="center"/>
          </w:tcPr>
          <w:p w14:paraId="720A9697" w14:textId="77777777" w:rsidR="009B0B73" w:rsidRPr="00630410" w:rsidRDefault="009B0B73" w:rsidP="00365FA6">
            <w:pPr>
              <w:spacing w:line="264" w:lineRule="auto"/>
              <w:jc w:val="center"/>
              <w:rPr>
                <w:sz w:val="21"/>
                <w:szCs w:val="21"/>
              </w:rPr>
            </w:pPr>
            <w:r w:rsidRPr="00A705A8">
              <w:rPr>
                <w:sz w:val="21"/>
                <w:szCs w:val="21"/>
              </w:rPr>
              <w:t>Chang-Zhu-Tan Metropolitan Area</w:t>
            </w:r>
          </w:p>
        </w:tc>
        <w:tc>
          <w:tcPr>
            <w:tcW w:w="1237" w:type="dxa"/>
            <w:tcBorders>
              <w:top w:val="single" w:sz="6" w:space="0" w:color="auto"/>
              <w:bottom w:val="single" w:sz="6" w:space="0" w:color="auto"/>
            </w:tcBorders>
            <w:vAlign w:val="center"/>
          </w:tcPr>
          <w:p w14:paraId="1B4008BB" w14:textId="77777777" w:rsidR="009B0B73" w:rsidRPr="00630410" w:rsidRDefault="009B0B73" w:rsidP="00365FA6">
            <w:pPr>
              <w:spacing w:line="264" w:lineRule="auto"/>
              <w:jc w:val="center"/>
              <w:rPr>
                <w:sz w:val="21"/>
                <w:szCs w:val="21"/>
              </w:rPr>
            </w:pPr>
            <w:r w:rsidRPr="00A705A8">
              <w:rPr>
                <w:sz w:val="21"/>
                <w:szCs w:val="21"/>
              </w:rPr>
              <w:t>Changsha</w:t>
            </w:r>
          </w:p>
        </w:tc>
        <w:tc>
          <w:tcPr>
            <w:tcW w:w="5463" w:type="dxa"/>
            <w:tcBorders>
              <w:top w:val="single" w:sz="6" w:space="0" w:color="auto"/>
              <w:bottom w:val="single" w:sz="6" w:space="0" w:color="auto"/>
            </w:tcBorders>
            <w:vAlign w:val="center"/>
          </w:tcPr>
          <w:p w14:paraId="029BBABD" w14:textId="77777777" w:rsidR="009B0B73" w:rsidRPr="00630410" w:rsidRDefault="009B0B73" w:rsidP="00365FA6">
            <w:pPr>
              <w:spacing w:line="264" w:lineRule="auto"/>
              <w:jc w:val="left"/>
              <w:rPr>
                <w:sz w:val="21"/>
                <w:szCs w:val="21"/>
              </w:rPr>
            </w:pPr>
            <w:r w:rsidRPr="00A705A8">
              <w:rPr>
                <w:sz w:val="21"/>
                <w:szCs w:val="21"/>
              </w:rPr>
              <w:t>Changsha, Zhuzhou, Xiangtan</w:t>
            </w:r>
          </w:p>
        </w:tc>
      </w:tr>
      <w:tr w:rsidR="009B0B73" w:rsidRPr="00630410" w14:paraId="45CCD206" w14:textId="77777777" w:rsidTr="00EF6667">
        <w:trPr>
          <w:trHeight w:val="232"/>
          <w:jc w:val="center"/>
        </w:trPr>
        <w:tc>
          <w:tcPr>
            <w:tcW w:w="1822" w:type="dxa"/>
            <w:tcBorders>
              <w:top w:val="single" w:sz="6" w:space="0" w:color="auto"/>
              <w:bottom w:val="single" w:sz="6" w:space="0" w:color="auto"/>
            </w:tcBorders>
            <w:vAlign w:val="center"/>
          </w:tcPr>
          <w:p w14:paraId="5B7F9C5C" w14:textId="77777777" w:rsidR="009B0B73" w:rsidRPr="00630410" w:rsidRDefault="009B0B73" w:rsidP="00365FA6">
            <w:pPr>
              <w:spacing w:line="264" w:lineRule="auto"/>
              <w:jc w:val="center"/>
              <w:rPr>
                <w:sz w:val="21"/>
                <w:szCs w:val="21"/>
              </w:rPr>
            </w:pPr>
            <w:r w:rsidRPr="00A705A8">
              <w:rPr>
                <w:sz w:val="21"/>
                <w:szCs w:val="21"/>
              </w:rPr>
              <w:t>Xi'an Metropolitan Area</w:t>
            </w:r>
          </w:p>
        </w:tc>
        <w:tc>
          <w:tcPr>
            <w:tcW w:w="1237" w:type="dxa"/>
            <w:tcBorders>
              <w:top w:val="single" w:sz="6" w:space="0" w:color="auto"/>
              <w:bottom w:val="single" w:sz="6" w:space="0" w:color="auto"/>
            </w:tcBorders>
            <w:vAlign w:val="center"/>
          </w:tcPr>
          <w:p w14:paraId="499E6630" w14:textId="77777777" w:rsidR="009B0B73" w:rsidRPr="00630410" w:rsidRDefault="009B0B73" w:rsidP="00365FA6">
            <w:pPr>
              <w:spacing w:line="264" w:lineRule="auto"/>
              <w:jc w:val="center"/>
              <w:rPr>
                <w:sz w:val="21"/>
                <w:szCs w:val="21"/>
              </w:rPr>
            </w:pPr>
            <w:r w:rsidRPr="00A705A8">
              <w:rPr>
                <w:sz w:val="21"/>
                <w:szCs w:val="21"/>
              </w:rPr>
              <w:t>Xi'an</w:t>
            </w:r>
          </w:p>
        </w:tc>
        <w:tc>
          <w:tcPr>
            <w:tcW w:w="5463" w:type="dxa"/>
            <w:tcBorders>
              <w:top w:val="single" w:sz="6" w:space="0" w:color="auto"/>
              <w:bottom w:val="single" w:sz="6" w:space="0" w:color="auto"/>
            </w:tcBorders>
            <w:vAlign w:val="center"/>
          </w:tcPr>
          <w:p w14:paraId="5CC32770" w14:textId="77777777" w:rsidR="009B0B73" w:rsidRPr="00630410" w:rsidRDefault="009B0B73" w:rsidP="00365FA6">
            <w:pPr>
              <w:spacing w:line="264" w:lineRule="auto"/>
              <w:jc w:val="left"/>
              <w:rPr>
                <w:sz w:val="21"/>
                <w:szCs w:val="21"/>
              </w:rPr>
            </w:pPr>
            <w:r w:rsidRPr="00A705A8">
              <w:rPr>
                <w:sz w:val="21"/>
                <w:szCs w:val="21"/>
              </w:rPr>
              <w:t xml:space="preserve">Xi'an, Xianyang, </w:t>
            </w:r>
            <w:proofErr w:type="spellStart"/>
            <w:r w:rsidRPr="00A705A8">
              <w:rPr>
                <w:sz w:val="21"/>
                <w:szCs w:val="21"/>
              </w:rPr>
              <w:t>Tongchuan</w:t>
            </w:r>
            <w:proofErr w:type="spellEnd"/>
            <w:r w:rsidRPr="00A705A8">
              <w:rPr>
                <w:sz w:val="21"/>
                <w:szCs w:val="21"/>
              </w:rPr>
              <w:t xml:space="preserve">, </w:t>
            </w:r>
            <w:proofErr w:type="spellStart"/>
            <w:r w:rsidRPr="00A705A8">
              <w:rPr>
                <w:sz w:val="21"/>
                <w:szCs w:val="21"/>
              </w:rPr>
              <w:t>Weinan</w:t>
            </w:r>
            <w:proofErr w:type="spellEnd"/>
          </w:p>
        </w:tc>
      </w:tr>
      <w:tr w:rsidR="009B0B73" w:rsidRPr="00630410" w14:paraId="2D4BE50E" w14:textId="77777777" w:rsidTr="00EF6667">
        <w:trPr>
          <w:trHeight w:val="232"/>
          <w:jc w:val="center"/>
        </w:trPr>
        <w:tc>
          <w:tcPr>
            <w:tcW w:w="1822" w:type="dxa"/>
            <w:tcBorders>
              <w:top w:val="single" w:sz="6" w:space="0" w:color="auto"/>
              <w:bottom w:val="single" w:sz="6" w:space="0" w:color="auto"/>
            </w:tcBorders>
            <w:vAlign w:val="center"/>
          </w:tcPr>
          <w:p w14:paraId="5DA1FDF4" w14:textId="77777777" w:rsidR="009B0B73" w:rsidRPr="00630410" w:rsidRDefault="009B0B73" w:rsidP="00365FA6">
            <w:pPr>
              <w:spacing w:line="264" w:lineRule="auto"/>
              <w:jc w:val="center"/>
              <w:rPr>
                <w:sz w:val="21"/>
                <w:szCs w:val="21"/>
              </w:rPr>
            </w:pPr>
            <w:r w:rsidRPr="00A705A8">
              <w:rPr>
                <w:sz w:val="21"/>
                <w:szCs w:val="21"/>
              </w:rPr>
              <w:t>Chongqing Metropolitan Area</w:t>
            </w:r>
          </w:p>
        </w:tc>
        <w:tc>
          <w:tcPr>
            <w:tcW w:w="1237" w:type="dxa"/>
            <w:tcBorders>
              <w:top w:val="single" w:sz="6" w:space="0" w:color="auto"/>
              <w:bottom w:val="single" w:sz="6" w:space="0" w:color="auto"/>
            </w:tcBorders>
            <w:vAlign w:val="center"/>
          </w:tcPr>
          <w:p w14:paraId="2A986850" w14:textId="77777777" w:rsidR="009B0B73" w:rsidRPr="00630410" w:rsidRDefault="009B0B73" w:rsidP="00365FA6">
            <w:pPr>
              <w:spacing w:line="264" w:lineRule="auto"/>
              <w:jc w:val="center"/>
              <w:rPr>
                <w:sz w:val="21"/>
                <w:szCs w:val="21"/>
              </w:rPr>
            </w:pPr>
            <w:r w:rsidRPr="00A705A8">
              <w:rPr>
                <w:sz w:val="21"/>
                <w:szCs w:val="21"/>
              </w:rPr>
              <w:t>Chongqing</w:t>
            </w:r>
          </w:p>
        </w:tc>
        <w:tc>
          <w:tcPr>
            <w:tcW w:w="5463" w:type="dxa"/>
            <w:tcBorders>
              <w:top w:val="single" w:sz="6" w:space="0" w:color="auto"/>
              <w:bottom w:val="single" w:sz="6" w:space="0" w:color="auto"/>
            </w:tcBorders>
            <w:vAlign w:val="center"/>
          </w:tcPr>
          <w:p w14:paraId="33E68367" w14:textId="77777777" w:rsidR="009B0B73" w:rsidRPr="00630410" w:rsidRDefault="009B0B73" w:rsidP="00365FA6">
            <w:pPr>
              <w:spacing w:line="264" w:lineRule="auto"/>
              <w:jc w:val="left"/>
              <w:rPr>
                <w:sz w:val="21"/>
                <w:szCs w:val="21"/>
              </w:rPr>
            </w:pPr>
            <w:r w:rsidRPr="00A705A8">
              <w:rPr>
                <w:sz w:val="21"/>
                <w:szCs w:val="21"/>
              </w:rPr>
              <w:t xml:space="preserve">Chongqing, </w:t>
            </w:r>
            <w:proofErr w:type="spellStart"/>
            <w:r w:rsidRPr="00A705A8">
              <w:rPr>
                <w:sz w:val="21"/>
                <w:szCs w:val="21"/>
              </w:rPr>
              <w:t>Guang'an</w:t>
            </w:r>
            <w:proofErr w:type="spellEnd"/>
          </w:p>
        </w:tc>
      </w:tr>
      <w:tr w:rsidR="009B0B73" w:rsidRPr="00630410" w14:paraId="23F6CA33" w14:textId="77777777" w:rsidTr="00EF6667">
        <w:trPr>
          <w:trHeight w:val="232"/>
          <w:jc w:val="center"/>
        </w:trPr>
        <w:tc>
          <w:tcPr>
            <w:tcW w:w="1822" w:type="dxa"/>
            <w:tcBorders>
              <w:top w:val="single" w:sz="6" w:space="0" w:color="auto"/>
              <w:bottom w:val="single" w:sz="6" w:space="0" w:color="auto"/>
            </w:tcBorders>
            <w:vAlign w:val="center"/>
          </w:tcPr>
          <w:p w14:paraId="539F0D5F" w14:textId="77777777" w:rsidR="009B0B73" w:rsidRPr="00630410" w:rsidRDefault="009B0B73" w:rsidP="00365FA6">
            <w:pPr>
              <w:spacing w:line="264" w:lineRule="auto"/>
              <w:jc w:val="center"/>
              <w:rPr>
                <w:sz w:val="21"/>
                <w:szCs w:val="21"/>
              </w:rPr>
            </w:pPr>
            <w:r w:rsidRPr="00A705A8">
              <w:rPr>
                <w:sz w:val="21"/>
                <w:szCs w:val="21"/>
              </w:rPr>
              <w:t>Wuhan Metropolitan Area</w:t>
            </w:r>
          </w:p>
        </w:tc>
        <w:tc>
          <w:tcPr>
            <w:tcW w:w="1237" w:type="dxa"/>
            <w:tcBorders>
              <w:top w:val="single" w:sz="6" w:space="0" w:color="auto"/>
              <w:bottom w:val="single" w:sz="6" w:space="0" w:color="auto"/>
            </w:tcBorders>
            <w:vAlign w:val="center"/>
          </w:tcPr>
          <w:p w14:paraId="17D0D3B3" w14:textId="77777777" w:rsidR="009B0B73" w:rsidRPr="00630410" w:rsidRDefault="009B0B73" w:rsidP="00365FA6">
            <w:pPr>
              <w:spacing w:line="264" w:lineRule="auto"/>
              <w:jc w:val="center"/>
              <w:rPr>
                <w:sz w:val="21"/>
                <w:szCs w:val="21"/>
              </w:rPr>
            </w:pPr>
            <w:r w:rsidRPr="00A705A8">
              <w:rPr>
                <w:sz w:val="21"/>
                <w:szCs w:val="21"/>
              </w:rPr>
              <w:t>Wuhan</w:t>
            </w:r>
          </w:p>
        </w:tc>
        <w:tc>
          <w:tcPr>
            <w:tcW w:w="5463" w:type="dxa"/>
            <w:tcBorders>
              <w:top w:val="single" w:sz="6" w:space="0" w:color="auto"/>
              <w:bottom w:val="single" w:sz="6" w:space="0" w:color="auto"/>
            </w:tcBorders>
            <w:vAlign w:val="center"/>
          </w:tcPr>
          <w:p w14:paraId="415639DE" w14:textId="77777777" w:rsidR="009B0B73" w:rsidRPr="00630410" w:rsidRDefault="009B0B73" w:rsidP="00365FA6">
            <w:pPr>
              <w:spacing w:line="264" w:lineRule="auto"/>
              <w:jc w:val="left"/>
              <w:rPr>
                <w:sz w:val="21"/>
                <w:szCs w:val="21"/>
              </w:rPr>
            </w:pPr>
            <w:r w:rsidRPr="00A705A8">
              <w:rPr>
                <w:sz w:val="21"/>
                <w:szCs w:val="21"/>
              </w:rPr>
              <w:t xml:space="preserve">Wuhan, </w:t>
            </w:r>
            <w:proofErr w:type="spellStart"/>
            <w:r w:rsidRPr="00A705A8">
              <w:rPr>
                <w:sz w:val="21"/>
                <w:szCs w:val="21"/>
              </w:rPr>
              <w:t>Huangshi</w:t>
            </w:r>
            <w:proofErr w:type="spellEnd"/>
            <w:r w:rsidRPr="00A705A8">
              <w:rPr>
                <w:sz w:val="21"/>
                <w:szCs w:val="21"/>
              </w:rPr>
              <w:t xml:space="preserve">, Ezhou, </w:t>
            </w:r>
            <w:proofErr w:type="spellStart"/>
            <w:r w:rsidRPr="00A705A8">
              <w:rPr>
                <w:sz w:val="21"/>
                <w:szCs w:val="21"/>
              </w:rPr>
              <w:t>Xiaogan</w:t>
            </w:r>
            <w:proofErr w:type="spellEnd"/>
            <w:r w:rsidRPr="00A705A8">
              <w:rPr>
                <w:sz w:val="21"/>
                <w:szCs w:val="21"/>
              </w:rPr>
              <w:t xml:space="preserve">, </w:t>
            </w:r>
            <w:proofErr w:type="spellStart"/>
            <w:r w:rsidRPr="00A705A8">
              <w:rPr>
                <w:sz w:val="21"/>
                <w:szCs w:val="21"/>
              </w:rPr>
              <w:t>Huanggang</w:t>
            </w:r>
            <w:proofErr w:type="spellEnd"/>
            <w:r w:rsidRPr="00A705A8">
              <w:rPr>
                <w:sz w:val="21"/>
                <w:szCs w:val="21"/>
              </w:rPr>
              <w:t xml:space="preserve">, </w:t>
            </w:r>
            <w:proofErr w:type="spellStart"/>
            <w:r w:rsidRPr="00A705A8">
              <w:rPr>
                <w:sz w:val="21"/>
                <w:szCs w:val="21"/>
              </w:rPr>
              <w:t>Xianning</w:t>
            </w:r>
            <w:proofErr w:type="spellEnd"/>
            <w:r w:rsidRPr="00A705A8">
              <w:rPr>
                <w:sz w:val="21"/>
                <w:szCs w:val="21"/>
              </w:rPr>
              <w:t xml:space="preserve">, </w:t>
            </w:r>
            <w:proofErr w:type="spellStart"/>
            <w:r w:rsidRPr="00A705A8">
              <w:rPr>
                <w:sz w:val="21"/>
                <w:szCs w:val="21"/>
              </w:rPr>
              <w:t>Xiantao</w:t>
            </w:r>
            <w:proofErr w:type="spellEnd"/>
            <w:r w:rsidRPr="00A705A8">
              <w:rPr>
                <w:sz w:val="21"/>
                <w:szCs w:val="21"/>
              </w:rPr>
              <w:t xml:space="preserve">, </w:t>
            </w:r>
            <w:proofErr w:type="spellStart"/>
            <w:r w:rsidRPr="00A705A8">
              <w:rPr>
                <w:sz w:val="21"/>
                <w:szCs w:val="21"/>
              </w:rPr>
              <w:t>Tianmen</w:t>
            </w:r>
            <w:proofErr w:type="spellEnd"/>
            <w:r w:rsidRPr="00A705A8">
              <w:rPr>
                <w:sz w:val="21"/>
                <w:szCs w:val="21"/>
              </w:rPr>
              <w:t xml:space="preserve">, </w:t>
            </w:r>
            <w:proofErr w:type="spellStart"/>
            <w:r w:rsidRPr="00A705A8">
              <w:rPr>
                <w:sz w:val="21"/>
                <w:szCs w:val="21"/>
              </w:rPr>
              <w:t>Qianjiang</w:t>
            </w:r>
            <w:proofErr w:type="spellEnd"/>
          </w:p>
        </w:tc>
      </w:tr>
      <w:tr w:rsidR="009B0B73" w:rsidRPr="00630410" w14:paraId="7C25F0FD" w14:textId="77777777" w:rsidTr="00EF6667">
        <w:trPr>
          <w:trHeight w:val="232"/>
          <w:jc w:val="center"/>
        </w:trPr>
        <w:tc>
          <w:tcPr>
            <w:tcW w:w="1822" w:type="dxa"/>
            <w:tcBorders>
              <w:top w:val="single" w:sz="6" w:space="0" w:color="auto"/>
              <w:bottom w:val="single" w:sz="6" w:space="0" w:color="auto"/>
            </w:tcBorders>
            <w:vAlign w:val="center"/>
          </w:tcPr>
          <w:p w14:paraId="4DB7C41E" w14:textId="77777777" w:rsidR="009B0B73" w:rsidRPr="00630410" w:rsidRDefault="009B0B73" w:rsidP="00365FA6">
            <w:pPr>
              <w:spacing w:line="264" w:lineRule="auto"/>
              <w:jc w:val="center"/>
              <w:rPr>
                <w:sz w:val="21"/>
                <w:szCs w:val="21"/>
              </w:rPr>
            </w:pPr>
            <w:r w:rsidRPr="00A705A8">
              <w:rPr>
                <w:sz w:val="21"/>
                <w:szCs w:val="21"/>
              </w:rPr>
              <w:t>Shenyang Metropolitan Area</w:t>
            </w:r>
          </w:p>
        </w:tc>
        <w:tc>
          <w:tcPr>
            <w:tcW w:w="1237" w:type="dxa"/>
            <w:tcBorders>
              <w:top w:val="single" w:sz="6" w:space="0" w:color="auto"/>
              <w:bottom w:val="single" w:sz="6" w:space="0" w:color="auto"/>
            </w:tcBorders>
            <w:vAlign w:val="center"/>
          </w:tcPr>
          <w:p w14:paraId="1DEB9894" w14:textId="77777777" w:rsidR="009B0B73" w:rsidRPr="00630410" w:rsidRDefault="009B0B73" w:rsidP="00365FA6">
            <w:pPr>
              <w:spacing w:line="264" w:lineRule="auto"/>
              <w:jc w:val="center"/>
              <w:rPr>
                <w:sz w:val="21"/>
                <w:szCs w:val="21"/>
              </w:rPr>
            </w:pPr>
            <w:r w:rsidRPr="00A705A8">
              <w:rPr>
                <w:sz w:val="21"/>
                <w:szCs w:val="21"/>
              </w:rPr>
              <w:t>Shenyang</w:t>
            </w:r>
          </w:p>
        </w:tc>
        <w:tc>
          <w:tcPr>
            <w:tcW w:w="5463" w:type="dxa"/>
            <w:tcBorders>
              <w:top w:val="single" w:sz="6" w:space="0" w:color="auto"/>
              <w:bottom w:val="single" w:sz="6" w:space="0" w:color="auto"/>
            </w:tcBorders>
            <w:vAlign w:val="center"/>
          </w:tcPr>
          <w:p w14:paraId="72492BE5" w14:textId="77777777" w:rsidR="009B0B73" w:rsidRPr="00630410" w:rsidRDefault="009B0B73" w:rsidP="00365FA6">
            <w:pPr>
              <w:spacing w:line="264" w:lineRule="auto"/>
              <w:jc w:val="left"/>
              <w:rPr>
                <w:sz w:val="21"/>
                <w:szCs w:val="21"/>
              </w:rPr>
            </w:pPr>
            <w:r w:rsidRPr="00A705A8">
              <w:rPr>
                <w:sz w:val="21"/>
                <w:szCs w:val="21"/>
              </w:rPr>
              <w:t xml:space="preserve">Shenyang, Anshan, Fushun, Benxi, Fuxin, Liaoyang, </w:t>
            </w:r>
            <w:proofErr w:type="spellStart"/>
            <w:r w:rsidRPr="00A705A8">
              <w:rPr>
                <w:sz w:val="21"/>
                <w:szCs w:val="21"/>
              </w:rPr>
              <w:t>Tieling</w:t>
            </w:r>
            <w:proofErr w:type="spellEnd"/>
          </w:p>
        </w:tc>
      </w:tr>
      <w:tr w:rsidR="009B0B73" w:rsidRPr="00630410" w14:paraId="1CBFA934" w14:textId="77777777" w:rsidTr="00EF6667">
        <w:trPr>
          <w:trHeight w:val="232"/>
          <w:jc w:val="center"/>
        </w:trPr>
        <w:tc>
          <w:tcPr>
            <w:tcW w:w="1822" w:type="dxa"/>
            <w:tcBorders>
              <w:top w:val="single" w:sz="6" w:space="0" w:color="auto"/>
              <w:bottom w:val="single" w:sz="6" w:space="0" w:color="auto"/>
            </w:tcBorders>
            <w:vAlign w:val="center"/>
          </w:tcPr>
          <w:p w14:paraId="569B2367" w14:textId="77777777" w:rsidR="009B0B73" w:rsidRPr="00630410" w:rsidRDefault="009B0B73" w:rsidP="00365FA6">
            <w:pPr>
              <w:spacing w:line="264" w:lineRule="auto"/>
              <w:jc w:val="center"/>
              <w:rPr>
                <w:sz w:val="21"/>
                <w:szCs w:val="21"/>
              </w:rPr>
            </w:pPr>
            <w:r w:rsidRPr="00A705A8">
              <w:rPr>
                <w:sz w:val="21"/>
                <w:szCs w:val="21"/>
              </w:rPr>
              <w:t>Guangzhou Metropolitan Area</w:t>
            </w:r>
          </w:p>
        </w:tc>
        <w:tc>
          <w:tcPr>
            <w:tcW w:w="1237" w:type="dxa"/>
            <w:tcBorders>
              <w:top w:val="single" w:sz="6" w:space="0" w:color="auto"/>
              <w:bottom w:val="single" w:sz="6" w:space="0" w:color="auto"/>
            </w:tcBorders>
            <w:vAlign w:val="center"/>
          </w:tcPr>
          <w:p w14:paraId="18AA0C40" w14:textId="77777777" w:rsidR="009B0B73" w:rsidRPr="00630410" w:rsidRDefault="009B0B73" w:rsidP="00365FA6">
            <w:pPr>
              <w:spacing w:line="264" w:lineRule="auto"/>
              <w:jc w:val="center"/>
              <w:rPr>
                <w:sz w:val="21"/>
                <w:szCs w:val="21"/>
              </w:rPr>
            </w:pPr>
            <w:r w:rsidRPr="00A705A8">
              <w:rPr>
                <w:sz w:val="21"/>
                <w:szCs w:val="21"/>
              </w:rPr>
              <w:t>Guangzhou</w:t>
            </w:r>
          </w:p>
        </w:tc>
        <w:tc>
          <w:tcPr>
            <w:tcW w:w="5463" w:type="dxa"/>
            <w:tcBorders>
              <w:top w:val="single" w:sz="6" w:space="0" w:color="auto"/>
              <w:bottom w:val="single" w:sz="6" w:space="0" w:color="auto"/>
            </w:tcBorders>
            <w:vAlign w:val="center"/>
          </w:tcPr>
          <w:p w14:paraId="4EA4A0F5" w14:textId="77777777" w:rsidR="009B0B73" w:rsidRPr="00A705A8" w:rsidRDefault="009B0B73" w:rsidP="00365FA6">
            <w:pPr>
              <w:spacing w:line="264" w:lineRule="auto"/>
              <w:jc w:val="left"/>
              <w:rPr>
                <w:sz w:val="21"/>
                <w:szCs w:val="21"/>
              </w:rPr>
            </w:pPr>
            <w:r w:rsidRPr="00A705A8">
              <w:rPr>
                <w:sz w:val="21"/>
                <w:szCs w:val="21"/>
              </w:rPr>
              <w:t xml:space="preserve">Guangzhou, Foshan, </w:t>
            </w:r>
            <w:proofErr w:type="spellStart"/>
            <w:r w:rsidRPr="00A705A8">
              <w:rPr>
                <w:sz w:val="21"/>
                <w:szCs w:val="21"/>
              </w:rPr>
              <w:t>Zhaoqing</w:t>
            </w:r>
            <w:proofErr w:type="spellEnd"/>
            <w:r w:rsidRPr="00A705A8">
              <w:rPr>
                <w:sz w:val="21"/>
                <w:szCs w:val="21"/>
              </w:rPr>
              <w:t>, Qingyuan</w:t>
            </w:r>
          </w:p>
        </w:tc>
      </w:tr>
      <w:tr w:rsidR="009B0B73" w:rsidRPr="00630410" w14:paraId="5BE7A746" w14:textId="77777777" w:rsidTr="00EF6667">
        <w:trPr>
          <w:trHeight w:val="232"/>
          <w:jc w:val="center"/>
        </w:trPr>
        <w:tc>
          <w:tcPr>
            <w:tcW w:w="1822" w:type="dxa"/>
            <w:tcBorders>
              <w:top w:val="single" w:sz="6" w:space="0" w:color="auto"/>
              <w:bottom w:val="single" w:sz="6" w:space="0" w:color="auto"/>
            </w:tcBorders>
            <w:vAlign w:val="center"/>
          </w:tcPr>
          <w:p w14:paraId="7FCAED54" w14:textId="77777777" w:rsidR="009B0B73" w:rsidRPr="00630410" w:rsidRDefault="009B0B73" w:rsidP="00365FA6">
            <w:pPr>
              <w:spacing w:line="264" w:lineRule="auto"/>
              <w:jc w:val="center"/>
              <w:rPr>
                <w:sz w:val="21"/>
                <w:szCs w:val="21"/>
              </w:rPr>
            </w:pPr>
            <w:r w:rsidRPr="00A705A8">
              <w:rPr>
                <w:sz w:val="21"/>
                <w:szCs w:val="21"/>
              </w:rPr>
              <w:t>Shenzhen Metropolitan Area</w:t>
            </w:r>
          </w:p>
        </w:tc>
        <w:tc>
          <w:tcPr>
            <w:tcW w:w="1237" w:type="dxa"/>
            <w:tcBorders>
              <w:top w:val="single" w:sz="6" w:space="0" w:color="auto"/>
              <w:bottom w:val="single" w:sz="6" w:space="0" w:color="auto"/>
            </w:tcBorders>
            <w:vAlign w:val="center"/>
          </w:tcPr>
          <w:p w14:paraId="26FFAD9F" w14:textId="77777777" w:rsidR="009B0B73" w:rsidRPr="00630410" w:rsidRDefault="009B0B73" w:rsidP="00365FA6">
            <w:pPr>
              <w:spacing w:line="264" w:lineRule="auto"/>
              <w:jc w:val="center"/>
              <w:rPr>
                <w:sz w:val="21"/>
                <w:szCs w:val="21"/>
              </w:rPr>
            </w:pPr>
            <w:r w:rsidRPr="00A705A8">
              <w:rPr>
                <w:sz w:val="21"/>
                <w:szCs w:val="21"/>
              </w:rPr>
              <w:t>Shenzhen</w:t>
            </w:r>
          </w:p>
        </w:tc>
        <w:tc>
          <w:tcPr>
            <w:tcW w:w="5463" w:type="dxa"/>
            <w:tcBorders>
              <w:top w:val="single" w:sz="6" w:space="0" w:color="auto"/>
              <w:bottom w:val="single" w:sz="6" w:space="0" w:color="auto"/>
            </w:tcBorders>
            <w:vAlign w:val="center"/>
          </w:tcPr>
          <w:p w14:paraId="39B47B36" w14:textId="77777777" w:rsidR="009B0B73" w:rsidRPr="00630410" w:rsidRDefault="009B0B73" w:rsidP="00365FA6">
            <w:pPr>
              <w:spacing w:line="264" w:lineRule="auto"/>
              <w:jc w:val="left"/>
              <w:rPr>
                <w:sz w:val="21"/>
                <w:szCs w:val="21"/>
              </w:rPr>
            </w:pPr>
            <w:r w:rsidRPr="00A705A8">
              <w:rPr>
                <w:sz w:val="21"/>
                <w:szCs w:val="21"/>
              </w:rPr>
              <w:t>Shenzhen, Dongguan, Huizhou</w:t>
            </w:r>
          </w:p>
        </w:tc>
      </w:tr>
      <w:tr w:rsidR="009B0B73" w:rsidRPr="00630410" w14:paraId="7649EFCB" w14:textId="77777777" w:rsidTr="00EF6667">
        <w:trPr>
          <w:trHeight w:val="232"/>
          <w:jc w:val="center"/>
        </w:trPr>
        <w:tc>
          <w:tcPr>
            <w:tcW w:w="1822" w:type="dxa"/>
            <w:tcBorders>
              <w:top w:val="single" w:sz="6" w:space="0" w:color="auto"/>
              <w:bottom w:val="single" w:sz="6" w:space="0" w:color="auto"/>
            </w:tcBorders>
            <w:vAlign w:val="center"/>
          </w:tcPr>
          <w:p w14:paraId="61090E68" w14:textId="77777777" w:rsidR="009B0B73" w:rsidRPr="00630410" w:rsidRDefault="009B0B73" w:rsidP="00365FA6">
            <w:pPr>
              <w:spacing w:line="264" w:lineRule="auto"/>
              <w:jc w:val="center"/>
              <w:rPr>
                <w:sz w:val="21"/>
                <w:szCs w:val="21"/>
              </w:rPr>
            </w:pPr>
            <w:r w:rsidRPr="00A705A8">
              <w:rPr>
                <w:sz w:val="21"/>
                <w:szCs w:val="21"/>
              </w:rPr>
              <w:t>Qingdao Metropolitan Area</w:t>
            </w:r>
          </w:p>
        </w:tc>
        <w:tc>
          <w:tcPr>
            <w:tcW w:w="1237" w:type="dxa"/>
            <w:tcBorders>
              <w:top w:val="single" w:sz="6" w:space="0" w:color="auto"/>
              <w:bottom w:val="single" w:sz="6" w:space="0" w:color="auto"/>
            </w:tcBorders>
            <w:vAlign w:val="center"/>
          </w:tcPr>
          <w:p w14:paraId="337A8DCA" w14:textId="77777777" w:rsidR="009B0B73" w:rsidRPr="00630410" w:rsidRDefault="009B0B73" w:rsidP="00365FA6">
            <w:pPr>
              <w:spacing w:line="264" w:lineRule="auto"/>
              <w:jc w:val="center"/>
              <w:rPr>
                <w:sz w:val="21"/>
                <w:szCs w:val="21"/>
              </w:rPr>
            </w:pPr>
            <w:r w:rsidRPr="00A705A8">
              <w:rPr>
                <w:sz w:val="21"/>
                <w:szCs w:val="21"/>
              </w:rPr>
              <w:t>Qingdao</w:t>
            </w:r>
          </w:p>
        </w:tc>
        <w:tc>
          <w:tcPr>
            <w:tcW w:w="5463" w:type="dxa"/>
            <w:tcBorders>
              <w:top w:val="single" w:sz="6" w:space="0" w:color="auto"/>
              <w:bottom w:val="single" w:sz="6" w:space="0" w:color="auto"/>
            </w:tcBorders>
            <w:vAlign w:val="center"/>
          </w:tcPr>
          <w:p w14:paraId="7F9E4855" w14:textId="77777777" w:rsidR="009B0B73" w:rsidRPr="00630410" w:rsidRDefault="009B0B73" w:rsidP="00365FA6">
            <w:pPr>
              <w:spacing w:line="264" w:lineRule="auto"/>
              <w:jc w:val="left"/>
              <w:rPr>
                <w:sz w:val="21"/>
                <w:szCs w:val="21"/>
              </w:rPr>
            </w:pPr>
            <w:r w:rsidRPr="00A705A8">
              <w:rPr>
                <w:sz w:val="21"/>
                <w:szCs w:val="21"/>
              </w:rPr>
              <w:t>Qingdao, Weifang, Rizhao, Yantai</w:t>
            </w:r>
          </w:p>
        </w:tc>
      </w:tr>
      <w:tr w:rsidR="009B0B73" w:rsidRPr="00630410" w14:paraId="3BAB1FE8" w14:textId="77777777" w:rsidTr="00EF6667">
        <w:trPr>
          <w:trHeight w:val="232"/>
          <w:jc w:val="center"/>
        </w:trPr>
        <w:tc>
          <w:tcPr>
            <w:tcW w:w="1822" w:type="dxa"/>
            <w:tcBorders>
              <w:top w:val="single" w:sz="6" w:space="0" w:color="auto"/>
              <w:bottom w:val="single" w:sz="6" w:space="0" w:color="auto"/>
            </w:tcBorders>
            <w:vAlign w:val="center"/>
          </w:tcPr>
          <w:p w14:paraId="0D8135F6" w14:textId="77777777" w:rsidR="009B0B73" w:rsidRPr="00630410" w:rsidRDefault="009B0B73" w:rsidP="00365FA6">
            <w:pPr>
              <w:spacing w:line="264" w:lineRule="auto"/>
              <w:jc w:val="center"/>
              <w:rPr>
                <w:sz w:val="21"/>
                <w:szCs w:val="21"/>
              </w:rPr>
            </w:pPr>
            <w:r w:rsidRPr="00A705A8">
              <w:rPr>
                <w:sz w:val="21"/>
                <w:szCs w:val="21"/>
              </w:rPr>
              <w:t>Jinan Metropolitan Area</w:t>
            </w:r>
          </w:p>
        </w:tc>
        <w:tc>
          <w:tcPr>
            <w:tcW w:w="1237" w:type="dxa"/>
            <w:tcBorders>
              <w:top w:val="single" w:sz="6" w:space="0" w:color="auto"/>
              <w:bottom w:val="single" w:sz="6" w:space="0" w:color="auto"/>
            </w:tcBorders>
            <w:vAlign w:val="center"/>
          </w:tcPr>
          <w:p w14:paraId="30FFD18B" w14:textId="77777777" w:rsidR="009B0B73" w:rsidRPr="00630410" w:rsidRDefault="009B0B73" w:rsidP="00365FA6">
            <w:pPr>
              <w:spacing w:line="264" w:lineRule="auto"/>
              <w:jc w:val="center"/>
              <w:rPr>
                <w:sz w:val="21"/>
                <w:szCs w:val="21"/>
              </w:rPr>
            </w:pPr>
            <w:r w:rsidRPr="00A705A8">
              <w:rPr>
                <w:sz w:val="21"/>
                <w:szCs w:val="21"/>
              </w:rPr>
              <w:t>Jinan</w:t>
            </w:r>
          </w:p>
        </w:tc>
        <w:tc>
          <w:tcPr>
            <w:tcW w:w="5463" w:type="dxa"/>
            <w:tcBorders>
              <w:top w:val="single" w:sz="6" w:space="0" w:color="auto"/>
              <w:bottom w:val="single" w:sz="6" w:space="0" w:color="auto"/>
            </w:tcBorders>
            <w:vAlign w:val="center"/>
          </w:tcPr>
          <w:p w14:paraId="61169DA8" w14:textId="77777777" w:rsidR="009B0B73" w:rsidRPr="00630410" w:rsidRDefault="009B0B73" w:rsidP="00365FA6">
            <w:pPr>
              <w:spacing w:line="264" w:lineRule="auto"/>
              <w:jc w:val="left"/>
              <w:rPr>
                <w:sz w:val="21"/>
                <w:szCs w:val="21"/>
              </w:rPr>
            </w:pPr>
            <w:r w:rsidRPr="00A705A8">
              <w:rPr>
                <w:sz w:val="21"/>
                <w:szCs w:val="21"/>
              </w:rPr>
              <w:t xml:space="preserve">Jinan, </w:t>
            </w:r>
            <w:proofErr w:type="spellStart"/>
            <w:r w:rsidRPr="00A705A8">
              <w:rPr>
                <w:sz w:val="21"/>
                <w:szCs w:val="21"/>
              </w:rPr>
              <w:t>Binzhou</w:t>
            </w:r>
            <w:proofErr w:type="spellEnd"/>
            <w:r w:rsidRPr="00A705A8">
              <w:rPr>
                <w:sz w:val="21"/>
                <w:szCs w:val="21"/>
              </w:rPr>
              <w:t xml:space="preserve">, Zibo, </w:t>
            </w:r>
            <w:proofErr w:type="spellStart"/>
            <w:r w:rsidRPr="00A705A8">
              <w:rPr>
                <w:sz w:val="21"/>
                <w:szCs w:val="21"/>
              </w:rPr>
              <w:t>Tai'an</w:t>
            </w:r>
            <w:proofErr w:type="spellEnd"/>
            <w:r w:rsidRPr="00A705A8">
              <w:rPr>
                <w:sz w:val="21"/>
                <w:szCs w:val="21"/>
              </w:rPr>
              <w:t xml:space="preserve">, </w:t>
            </w:r>
            <w:proofErr w:type="spellStart"/>
            <w:r w:rsidRPr="00A705A8">
              <w:rPr>
                <w:sz w:val="21"/>
                <w:szCs w:val="21"/>
              </w:rPr>
              <w:t>Dezhou</w:t>
            </w:r>
            <w:proofErr w:type="spellEnd"/>
            <w:r w:rsidRPr="00A705A8">
              <w:rPr>
                <w:sz w:val="21"/>
                <w:szCs w:val="21"/>
              </w:rPr>
              <w:t xml:space="preserve">, </w:t>
            </w:r>
            <w:proofErr w:type="spellStart"/>
            <w:r w:rsidRPr="00A705A8">
              <w:rPr>
                <w:sz w:val="21"/>
                <w:szCs w:val="21"/>
              </w:rPr>
              <w:t>Liaocheng</w:t>
            </w:r>
            <w:proofErr w:type="spellEnd"/>
          </w:p>
        </w:tc>
      </w:tr>
      <w:tr w:rsidR="009B0B73" w:rsidRPr="00630410" w14:paraId="083305BA" w14:textId="77777777" w:rsidTr="00EF6667">
        <w:trPr>
          <w:trHeight w:val="232"/>
          <w:jc w:val="center"/>
        </w:trPr>
        <w:tc>
          <w:tcPr>
            <w:tcW w:w="1822" w:type="dxa"/>
            <w:tcBorders>
              <w:top w:val="single" w:sz="6" w:space="0" w:color="auto"/>
              <w:bottom w:val="single" w:sz="12" w:space="0" w:color="auto"/>
            </w:tcBorders>
            <w:vAlign w:val="center"/>
          </w:tcPr>
          <w:p w14:paraId="2EF3D402" w14:textId="77777777" w:rsidR="009B0B73" w:rsidRPr="00630410" w:rsidRDefault="009B0B73" w:rsidP="00365FA6">
            <w:pPr>
              <w:spacing w:line="264" w:lineRule="auto"/>
              <w:jc w:val="center"/>
              <w:rPr>
                <w:sz w:val="21"/>
                <w:szCs w:val="21"/>
              </w:rPr>
            </w:pPr>
            <w:r w:rsidRPr="00A705A8">
              <w:rPr>
                <w:sz w:val="21"/>
                <w:szCs w:val="21"/>
              </w:rPr>
              <w:t>Zhengzhou Metropolitan Area</w:t>
            </w:r>
          </w:p>
        </w:tc>
        <w:tc>
          <w:tcPr>
            <w:tcW w:w="1237" w:type="dxa"/>
            <w:tcBorders>
              <w:top w:val="single" w:sz="6" w:space="0" w:color="auto"/>
              <w:bottom w:val="single" w:sz="12" w:space="0" w:color="auto"/>
            </w:tcBorders>
            <w:vAlign w:val="center"/>
          </w:tcPr>
          <w:p w14:paraId="5B192A90" w14:textId="77777777" w:rsidR="009B0B73" w:rsidRPr="00630410" w:rsidRDefault="009B0B73" w:rsidP="00365FA6">
            <w:pPr>
              <w:spacing w:line="264" w:lineRule="auto"/>
              <w:jc w:val="center"/>
              <w:rPr>
                <w:sz w:val="21"/>
                <w:szCs w:val="21"/>
              </w:rPr>
            </w:pPr>
            <w:r w:rsidRPr="00A705A8">
              <w:rPr>
                <w:sz w:val="21"/>
                <w:szCs w:val="21"/>
              </w:rPr>
              <w:t>Zhengzhou</w:t>
            </w:r>
          </w:p>
        </w:tc>
        <w:tc>
          <w:tcPr>
            <w:tcW w:w="5463" w:type="dxa"/>
            <w:tcBorders>
              <w:top w:val="single" w:sz="6" w:space="0" w:color="auto"/>
              <w:bottom w:val="single" w:sz="12" w:space="0" w:color="auto"/>
            </w:tcBorders>
            <w:vAlign w:val="center"/>
          </w:tcPr>
          <w:p w14:paraId="6F82CE58" w14:textId="77777777" w:rsidR="009B0B73" w:rsidRPr="00630410" w:rsidRDefault="009B0B73" w:rsidP="00365FA6">
            <w:pPr>
              <w:spacing w:line="264" w:lineRule="auto"/>
              <w:jc w:val="left"/>
              <w:rPr>
                <w:sz w:val="21"/>
                <w:szCs w:val="21"/>
              </w:rPr>
            </w:pPr>
            <w:r w:rsidRPr="00A705A8">
              <w:rPr>
                <w:sz w:val="21"/>
                <w:szCs w:val="21"/>
              </w:rPr>
              <w:t xml:space="preserve">Zhengzhou, Kaifeng, Luoyang, </w:t>
            </w:r>
            <w:proofErr w:type="spellStart"/>
            <w:r w:rsidRPr="00A705A8">
              <w:rPr>
                <w:sz w:val="21"/>
                <w:szCs w:val="21"/>
              </w:rPr>
              <w:t>Pingdingshan</w:t>
            </w:r>
            <w:proofErr w:type="spellEnd"/>
            <w:r w:rsidRPr="00A705A8">
              <w:rPr>
                <w:sz w:val="21"/>
                <w:szCs w:val="21"/>
              </w:rPr>
              <w:t xml:space="preserve">, Xinxiang, Jiaozuo, </w:t>
            </w:r>
            <w:proofErr w:type="spellStart"/>
            <w:r w:rsidRPr="00A705A8">
              <w:rPr>
                <w:sz w:val="21"/>
                <w:szCs w:val="21"/>
              </w:rPr>
              <w:t>Xuchang</w:t>
            </w:r>
            <w:proofErr w:type="spellEnd"/>
            <w:r w:rsidRPr="00A705A8">
              <w:rPr>
                <w:sz w:val="21"/>
                <w:szCs w:val="21"/>
              </w:rPr>
              <w:t xml:space="preserve">, </w:t>
            </w:r>
            <w:proofErr w:type="spellStart"/>
            <w:r w:rsidRPr="00A705A8">
              <w:rPr>
                <w:sz w:val="21"/>
                <w:szCs w:val="21"/>
              </w:rPr>
              <w:t>Luohe</w:t>
            </w:r>
            <w:proofErr w:type="spellEnd"/>
            <w:r w:rsidRPr="00A705A8">
              <w:rPr>
                <w:sz w:val="21"/>
                <w:szCs w:val="21"/>
              </w:rPr>
              <w:t xml:space="preserve">, </w:t>
            </w:r>
            <w:proofErr w:type="spellStart"/>
            <w:r w:rsidRPr="00A705A8">
              <w:rPr>
                <w:sz w:val="21"/>
                <w:szCs w:val="21"/>
              </w:rPr>
              <w:t>Jiyuan</w:t>
            </w:r>
            <w:proofErr w:type="spellEnd"/>
          </w:p>
        </w:tc>
      </w:tr>
    </w:tbl>
    <w:p w14:paraId="286F5882" w14:textId="1DE93E41" w:rsidR="009B0B73" w:rsidRDefault="009B0B73" w:rsidP="002E1DF2">
      <w:pPr>
        <w:spacing w:line="276" w:lineRule="auto"/>
        <w:rPr>
          <w:sz w:val="21"/>
          <w:szCs w:val="21"/>
        </w:rPr>
      </w:pPr>
      <w:r w:rsidRPr="00DC06F8">
        <w:rPr>
          <w:sz w:val="21"/>
          <w:szCs w:val="21"/>
        </w:rPr>
        <w:t xml:space="preserve">Note: An urban agglomeration is defined as a spatially compact, economically highly integrated cluster of cities. Within that cluster, there is one mega-city at the center, with some metropolitan areas or large cities forming the core region </w:t>
      </w:r>
      <w:r w:rsidRPr="00DC06F8">
        <w:rPr>
          <w:color w:val="0070C0"/>
          <w:sz w:val="21"/>
          <w:szCs w:val="21"/>
        </w:rPr>
        <w:t>(Fang and Yu, 2017)</w:t>
      </w:r>
      <w:r w:rsidRPr="00DC06F8">
        <w:rPr>
          <w:sz w:val="21"/>
          <w:szCs w:val="21"/>
        </w:rPr>
        <w:t xml:space="preserve">. A metropolitan area, geographically, is a smaller scope centered around a mega, extra-large city or a large city with strong </w:t>
      </w:r>
      <w:r>
        <w:rPr>
          <w:rFonts w:hint="eastAsia"/>
          <w:sz w:val="21"/>
          <w:szCs w:val="21"/>
        </w:rPr>
        <w:t xml:space="preserve">economic </w:t>
      </w:r>
      <w:r w:rsidRPr="00DC06F8">
        <w:rPr>
          <w:sz w:val="21"/>
          <w:szCs w:val="21"/>
        </w:rPr>
        <w:t xml:space="preserve">radiating and driving functions. Its approximate scope is defined by the urbanized space within a 1-hour commuting radius </w:t>
      </w:r>
      <w:r w:rsidRPr="00DC06F8">
        <w:rPr>
          <w:color w:val="0070C0"/>
          <w:sz w:val="21"/>
          <w:szCs w:val="21"/>
        </w:rPr>
        <w:t>(Mi et al., 2021)</w:t>
      </w:r>
      <w:r w:rsidRPr="00DC06F8">
        <w:rPr>
          <w:sz w:val="21"/>
          <w:szCs w:val="21"/>
        </w:rPr>
        <w:t xml:space="preserve">. The specific geographical locations of these important regions are shown in </w:t>
      </w:r>
      <w:r>
        <w:rPr>
          <w:rFonts w:hint="eastAsia"/>
          <w:color w:val="0070C0"/>
          <w:sz w:val="21"/>
          <w:szCs w:val="21"/>
        </w:rPr>
        <w:t>Fig.</w:t>
      </w:r>
      <w:r w:rsidRPr="00DC06F8">
        <w:rPr>
          <w:color w:val="0070C0"/>
          <w:sz w:val="21"/>
          <w:szCs w:val="21"/>
        </w:rPr>
        <w:t xml:space="preserve"> </w:t>
      </w:r>
      <w:r w:rsidR="00C52E06">
        <w:rPr>
          <w:rFonts w:hint="eastAsia"/>
          <w:color w:val="0070C0"/>
          <w:sz w:val="21"/>
          <w:szCs w:val="21"/>
        </w:rPr>
        <w:t>S</w:t>
      </w:r>
      <w:r w:rsidR="00C241D2">
        <w:rPr>
          <w:rFonts w:hint="eastAsia"/>
          <w:color w:val="0070C0"/>
          <w:sz w:val="21"/>
          <w:szCs w:val="21"/>
        </w:rPr>
        <w:t>5</w:t>
      </w:r>
      <w:r w:rsidRPr="00DC06F8">
        <w:rPr>
          <w:sz w:val="21"/>
          <w:szCs w:val="21"/>
        </w:rPr>
        <w:t>.</w:t>
      </w:r>
    </w:p>
    <w:p w14:paraId="6ED58FB2" w14:textId="77777777" w:rsidR="00E004DF" w:rsidRDefault="00E004DF" w:rsidP="00670287">
      <w:pPr>
        <w:jc w:val="left"/>
        <w:rPr>
          <w:b/>
          <w:bCs/>
          <w:sz w:val="21"/>
          <w:szCs w:val="20"/>
        </w:rPr>
      </w:pPr>
    </w:p>
    <w:p w14:paraId="026C8D17" w14:textId="6F58488B" w:rsidR="00235453" w:rsidRDefault="002554E1" w:rsidP="0009064A">
      <w:pPr>
        <w:pStyle w:val="2"/>
      </w:pPr>
      <w:r>
        <w:rPr>
          <w:rFonts w:hint="eastAsia"/>
        </w:rPr>
        <w:t>F</w:t>
      </w:r>
      <w:r w:rsidR="00976541">
        <w:rPr>
          <w:rFonts w:hint="eastAsia"/>
        </w:rPr>
        <w:t xml:space="preserve">. </w:t>
      </w:r>
      <w:r w:rsidR="00EA4E37" w:rsidRPr="00EA4E37">
        <w:t xml:space="preserve">Robustness </w:t>
      </w:r>
      <w:r w:rsidR="002F467F">
        <w:rPr>
          <w:rFonts w:hint="eastAsia"/>
        </w:rPr>
        <w:t>t</w:t>
      </w:r>
      <w:r w:rsidR="00EA4E37" w:rsidRPr="00EA4E37">
        <w:t xml:space="preserve">ests for </w:t>
      </w:r>
      <w:r w:rsidR="002F467F">
        <w:rPr>
          <w:rFonts w:hint="eastAsia"/>
        </w:rPr>
        <w:t>m</w:t>
      </w:r>
      <w:r w:rsidR="00EA4E37" w:rsidRPr="00EA4E37">
        <w:t xml:space="preserve">ultiple </w:t>
      </w:r>
      <w:r w:rsidR="002F467F">
        <w:rPr>
          <w:rFonts w:hint="eastAsia"/>
        </w:rPr>
        <w:t>l</w:t>
      </w:r>
      <w:r w:rsidR="00EA4E37" w:rsidRPr="00EA4E37">
        <w:t xml:space="preserve">inear </w:t>
      </w:r>
      <w:r w:rsidR="002F467F">
        <w:rPr>
          <w:rFonts w:hint="eastAsia"/>
        </w:rPr>
        <w:t>r</w:t>
      </w:r>
      <w:r w:rsidR="00EA4E37" w:rsidRPr="00EA4E37">
        <w:t>egressions</w:t>
      </w:r>
    </w:p>
    <w:p w14:paraId="36ECEADD" w14:textId="6464B8ED" w:rsidR="006E3777" w:rsidRPr="004C4288" w:rsidRDefault="004C4288" w:rsidP="007B495B">
      <w:pPr>
        <w:spacing w:afterLines="30" w:after="93"/>
        <w:jc w:val="center"/>
        <w:rPr>
          <w:b/>
          <w:bCs/>
          <w:sz w:val="21"/>
          <w:szCs w:val="21"/>
        </w:rPr>
      </w:pPr>
      <w:r w:rsidRPr="004C4288">
        <w:rPr>
          <w:b/>
          <w:bCs/>
          <w:sz w:val="21"/>
          <w:szCs w:val="21"/>
        </w:rPr>
        <w:t xml:space="preserve">Table </w:t>
      </w:r>
      <w:r w:rsidR="00C52E06">
        <w:rPr>
          <w:rFonts w:hint="eastAsia"/>
          <w:b/>
          <w:bCs/>
          <w:sz w:val="21"/>
          <w:szCs w:val="21"/>
        </w:rPr>
        <w:t>S</w:t>
      </w:r>
      <w:r w:rsidR="00365FA6">
        <w:rPr>
          <w:rFonts w:hint="eastAsia"/>
          <w:b/>
          <w:bCs/>
          <w:sz w:val="21"/>
          <w:szCs w:val="21"/>
        </w:rPr>
        <w:t>2</w:t>
      </w:r>
      <w:r w:rsidRPr="004C4288">
        <w:rPr>
          <w:rFonts w:hint="eastAsia"/>
          <w:b/>
          <w:bCs/>
          <w:sz w:val="21"/>
          <w:szCs w:val="21"/>
        </w:rPr>
        <w:t xml:space="preserve"> </w:t>
      </w:r>
      <w:r w:rsidR="004B362E" w:rsidRPr="004C4288">
        <w:rPr>
          <w:rFonts w:hint="eastAsia"/>
          <w:b/>
          <w:bCs/>
          <w:sz w:val="21"/>
          <w:szCs w:val="21"/>
        </w:rPr>
        <w:t>R</w:t>
      </w:r>
      <w:r w:rsidR="004B362E" w:rsidRPr="004C4288">
        <w:rPr>
          <w:b/>
          <w:bCs/>
          <w:sz w:val="21"/>
          <w:szCs w:val="21"/>
        </w:rPr>
        <w:t xml:space="preserve">obustness checks </w:t>
      </w:r>
      <w:r w:rsidR="004B362E" w:rsidRPr="004C4288">
        <w:rPr>
          <w:rFonts w:hint="eastAsia"/>
          <w:b/>
          <w:bCs/>
          <w:sz w:val="21"/>
          <w:szCs w:val="21"/>
        </w:rPr>
        <w:t>of t</w:t>
      </w:r>
      <w:r w:rsidR="006D0326" w:rsidRPr="004C4288">
        <w:rPr>
          <w:b/>
          <w:bCs/>
          <w:sz w:val="21"/>
          <w:szCs w:val="21"/>
        </w:rPr>
        <w:t>he impact of past lockdowns on the restructuring of supplier-demander relationships after reopening</w:t>
      </w:r>
    </w:p>
    <w:tbl>
      <w:tblPr>
        <w:tblStyle w:val="21"/>
        <w:tblW w:w="868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625"/>
        <w:gridCol w:w="1795"/>
        <w:gridCol w:w="1784"/>
        <w:gridCol w:w="1784"/>
      </w:tblGrid>
      <w:tr w:rsidR="00FB0EFF" w:rsidRPr="0041131B" w14:paraId="776E2F79" w14:textId="77777777" w:rsidTr="00EF6667">
        <w:trPr>
          <w:trHeight w:val="622"/>
          <w:jc w:val="center"/>
        </w:trPr>
        <w:tc>
          <w:tcPr>
            <w:tcW w:w="1701" w:type="dxa"/>
            <w:tcBorders>
              <w:top w:val="single" w:sz="12" w:space="0" w:color="auto"/>
              <w:bottom w:val="single" w:sz="4" w:space="0" w:color="auto"/>
            </w:tcBorders>
          </w:tcPr>
          <w:p w14:paraId="446BA987" w14:textId="77777777" w:rsidR="00FB0EFF" w:rsidRPr="004C4288" w:rsidRDefault="00FB0EFF" w:rsidP="00EF6667">
            <w:pPr>
              <w:jc w:val="center"/>
              <w:rPr>
                <w:sz w:val="21"/>
                <w:szCs w:val="21"/>
              </w:rPr>
            </w:pPr>
          </w:p>
        </w:tc>
        <w:tc>
          <w:tcPr>
            <w:tcW w:w="1625" w:type="dxa"/>
            <w:tcBorders>
              <w:top w:val="single" w:sz="12" w:space="0" w:color="auto"/>
              <w:bottom w:val="single" w:sz="4" w:space="0" w:color="auto"/>
            </w:tcBorders>
          </w:tcPr>
          <w:p w14:paraId="7153875E" w14:textId="77777777" w:rsidR="00FB0EFF" w:rsidRPr="004C4288" w:rsidRDefault="00FB0EFF" w:rsidP="00EF6667">
            <w:pPr>
              <w:jc w:val="center"/>
              <w:rPr>
                <w:sz w:val="21"/>
                <w:szCs w:val="21"/>
              </w:rPr>
            </w:pPr>
            <w:r w:rsidRPr="004C4288">
              <w:rPr>
                <w:rFonts w:hint="eastAsia"/>
                <w:sz w:val="21"/>
                <w:szCs w:val="21"/>
              </w:rPr>
              <w:t>(1</w:t>
            </w:r>
            <w:r w:rsidRPr="004C4288">
              <w:rPr>
                <w:sz w:val="21"/>
                <w:szCs w:val="21"/>
              </w:rPr>
              <w:t>)</w:t>
            </w:r>
          </w:p>
          <w:p w14:paraId="2C7D0D7F" w14:textId="77777777" w:rsidR="00FB0EFF" w:rsidRPr="004C4288" w:rsidRDefault="00FB0EFF" w:rsidP="00EF6667">
            <w:pPr>
              <w:jc w:val="center"/>
              <w:rPr>
                <w:i/>
                <w:iCs/>
                <w:sz w:val="21"/>
                <w:szCs w:val="21"/>
              </w:rPr>
            </w:pPr>
            <w:proofErr w:type="spellStart"/>
            <w:r w:rsidRPr="004C4288">
              <w:rPr>
                <w:rFonts w:hint="eastAsia"/>
                <w:i/>
                <w:iCs/>
                <w:sz w:val="21"/>
                <w:szCs w:val="21"/>
              </w:rPr>
              <w:t>Shift_mileage</w:t>
            </w:r>
            <w:proofErr w:type="spellEnd"/>
          </w:p>
        </w:tc>
        <w:tc>
          <w:tcPr>
            <w:tcW w:w="1795" w:type="dxa"/>
            <w:tcBorders>
              <w:top w:val="single" w:sz="12" w:space="0" w:color="auto"/>
              <w:bottom w:val="single" w:sz="4" w:space="0" w:color="auto"/>
            </w:tcBorders>
          </w:tcPr>
          <w:p w14:paraId="547B8DCA" w14:textId="77777777" w:rsidR="00FB0EFF" w:rsidRPr="004C4288" w:rsidRDefault="00FB0EFF" w:rsidP="00EF6667">
            <w:pPr>
              <w:jc w:val="center"/>
              <w:rPr>
                <w:sz w:val="21"/>
                <w:szCs w:val="21"/>
              </w:rPr>
            </w:pPr>
            <w:r w:rsidRPr="004C4288">
              <w:rPr>
                <w:rFonts w:hint="eastAsia"/>
                <w:sz w:val="21"/>
                <w:szCs w:val="21"/>
              </w:rPr>
              <w:t>(2</w:t>
            </w:r>
            <w:r w:rsidRPr="004C4288">
              <w:rPr>
                <w:sz w:val="21"/>
                <w:szCs w:val="21"/>
              </w:rPr>
              <w:t>)</w:t>
            </w:r>
          </w:p>
          <w:p w14:paraId="22FB5141" w14:textId="77777777" w:rsidR="00FB0EFF" w:rsidRPr="004C4288" w:rsidRDefault="00FB0EFF" w:rsidP="00EF6667">
            <w:pPr>
              <w:jc w:val="center"/>
              <w:rPr>
                <w:i/>
                <w:iCs/>
                <w:sz w:val="21"/>
                <w:szCs w:val="21"/>
              </w:rPr>
            </w:pPr>
            <w:proofErr w:type="spellStart"/>
            <w:r w:rsidRPr="004C4288">
              <w:rPr>
                <w:rFonts w:hint="eastAsia"/>
                <w:i/>
                <w:iCs/>
                <w:sz w:val="21"/>
                <w:szCs w:val="21"/>
              </w:rPr>
              <w:t>Shift_mileage</w:t>
            </w:r>
            <w:proofErr w:type="spellEnd"/>
          </w:p>
        </w:tc>
        <w:tc>
          <w:tcPr>
            <w:tcW w:w="1784" w:type="dxa"/>
            <w:tcBorders>
              <w:top w:val="single" w:sz="12" w:space="0" w:color="auto"/>
              <w:bottom w:val="single" w:sz="4" w:space="0" w:color="auto"/>
            </w:tcBorders>
          </w:tcPr>
          <w:p w14:paraId="1E690069" w14:textId="77777777" w:rsidR="00FB0EFF" w:rsidRPr="004C4288" w:rsidRDefault="00FB0EFF" w:rsidP="00EF6667">
            <w:pPr>
              <w:jc w:val="center"/>
              <w:rPr>
                <w:sz w:val="21"/>
                <w:szCs w:val="21"/>
              </w:rPr>
            </w:pPr>
            <w:r w:rsidRPr="004C4288">
              <w:rPr>
                <w:rFonts w:hint="eastAsia"/>
                <w:sz w:val="21"/>
                <w:szCs w:val="21"/>
              </w:rPr>
              <w:t>(3</w:t>
            </w:r>
            <w:r w:rsidRPr="004C4288">
              <w:rPr>
                <w:sz w:val="21"/>
                <w:szCs w:val="21"/>
              </w:rPr>
              <w:t>)</w:t>
            </w:r>
          </w:p>
          <w:p w14:paraId="3D416ECC" w14:textId="77777777" w:rsidR="00FB0EFF" w:rsidRPr="004C4288" w:rsidRDefault="00FB0EFF" w:rsidP="00EF6667">
            <w:pPr>
              <w:jc w:val="center"/>
              <w:rPr>
                <w:i/>
                <w:iCs/>
                <w:sz w:val="21"/>
                <w:szCs w:val="21"/>
              </w:rPr>
            </w:pPr>
            <w:proofErr w:type="spellStart"/>
            <w:r w:rsidRPr="004C4288">
              <w:rPr>
                <w:rFonts w:hint="eastAsia"/>
                <w:i/>
                <w:iCs/>
                <w:sz w:val="21"/>
                <w:szCs w:val="21"/>
              </w:rPr>
              <w:t>Shift_trips</w:t>
            </w:r>
            <w:proofErr w:type="spellEnd"/>
          </w:p>
        </w:tc>
        <w:tc>
          <w:tcPr>
            <w:tcW w:w="1784" w:type="dxa"/>
            <w:tcBorders>
              <w:top w:val="single" w:sz="12" w:space="0" w:color="auto"/>
              <w:bottom w:val="single" w:sz="4" w:space="0" w:color="auto"/>
            </w:tcBorders>
          </w:tcPr>
          <w:p w14:paraId="124459DC" w14:textId="77777777" w:rsidR="00FB0EFF" w:rsidRPr="004C4288" w:rsidRDefault="00FB0EFF" w:rsidP="00EF6667">
            <w:pPr>
              <w:jc w:val="center"/>
              <w:rPr>
                <w:sz w:val="21"/>
                <w:szCs w:val="21"/>
              </w:rPr>
            </w:pPr>
            <w:r w:rsidRPr="004C4288">
              <w:rPr>
                <w:rFonts w:hint="eastAsia"/>
                <w:sz w:val="21"/>
                <w:szCs w:val="21"/>
              </w:rPr>
              <w:t>(4</w:t>
            </w:r>
            <w:r w:rsidRPr="004C4288">
              <w:rPr>
                <w:sz w:val="21"/>
                <w:szCs w:val="21"/>
              </w:rPr>
              <w:t>)</w:t>
            </w:r>
          </w:p>
          <w:p w14:paraId="633806EA" w14:textId="77777777" w:rsidR="00FB0EFF" w:rsidRPr="004C4288" w:rsidRDefault="00FB0EFF" w:rsidP="00EF6667">
            <w:pPr>
              <w:jc w:val="center"/>
              <w:rPr>
                <w:i/>
                <w:iCs/>
                <w:sz w:val="21"/>
                <w:szCs w:val="21"/>
              </w:rPr>
            </w:pPr>
            <w:proofErr w:type="spellStart"/>
            <w:r w:rsidRPr="004C4288">
              <w:rPr>
                <w:rFonts w:hint="eastAsia"/>
                <w:i/>
                <w:iCs/>
                <w:sz w:val="21"/>
                <w:szCs w:val="21"/>
              </w:rPr>
              <w:t>Shift_trips</w:t>
            </w:r>
            <w:proofErr w:type="spellEnd"/>
          </w:p>
        </w:tc>
      </w:tr>
      <w:tr w:rsidR="00FB0EFF" w:rsidRPr="0041131B" w14:paraId="50FB7415" w14:textId="77777777" w:rsidTr="00EF6667">
        <w:trPr>
          <w:trHeight w:val="275"/>
          <w:jc w:val="center"/>
        </w:trPr>
        <w:tc>
          <w:tcPr>
            <w:tcW w:w="1701" w:type="dxa"/>
            <w:tcBorders>
              <w:top w:val="single" w:sz="4" w:space="0" w:color="auto"/>
            </w:tcBorders>
          </w:tcPr>
          <w:p w14:paraId="59202772" w14:textId="586FFD24" w:rsidR="00FB0EFF" w:rsidRPr="004C4288" w:rsidRDefault="00FB0EFF" w:rsidP="00EF6667">
            <w:pPr>
              <w:jc w:val="center"/>
              <w:rPr>
                <w:i/>
                <w:iCs/>
                <w:sz w:val="21"/>
                <w:szCs w:val="21"/>
              </w:rPr>
            </w:pPr>
            <w:proofErr w:type="spellStart"/>
            <w:r w:rsidRPr="004C4288">
              <w:rPr>
                <w:i/>
                <w:iCs/>
                <w:sz w:val="21"/>
                <w:szCs w:val="21"/>
              </w:rPr>
              <w:t>B</w:t>
            </w:r>
            <w:r w:rsidRPr="004C4288">
              <w:rPr>
                <w:rFonts w:hint="eastAsia"/>
                <w:i/>
                <w:iCs/>
                <w:sz w:val="21"/>
                <w:szCs w:val="21"/>
              </w:rPr>
              <w:t>reak</w:t>
            </w:r>
            <w:r w:rsidRPr="004C4288">
              <w:rPr>
                <w:i/>
                <w:iCs/>
                <w:sz w:val="21"/>
                <w:szCs w:val="21"/>
              </w:rPr>
              <w:t>_</w:t>
            </w:r>
            <w:r w:rsidRPr="004C4288">
              <w:rPr>
                <w:rFonts w:hint="eastAsia"/>
                <w:i/>
                <w:iCs/>
                <w:sz w:val="21"/>
                <w:szCs w:val="21"/>
              </w:rPr>
              <w:t>C</w:t>
            </w:r>
            <w:proofErr w:type="spellEnd"/>
          </w:p>
        </w:tc>
        <w:tc>
          <w:tcPr>
            <w:tcW w:w="1625" w:type="dxa"/>
            <w:tcBorders>
              <w:top w:val="single" w:sz="4" w:space="0" w:color="auto"/>
            </w:tcBorders>
          </w:tcPr>
          <w:p w14:paraId="41962F3C" w14:textId="101D43B7" w:rsidR="00FB0EFF" w:rsidRPr="004C4288" w:rsidRDefault="00561BD7" w:rsidP="00EF6667">
            <w:pPr>
              <w:jc w:val="center"/>
              <w:rPr>
                <w:sz w:val="21"/>
                <w:szCs w:val="21"/>
              </w:rPr>
            </w:pPr>
            <w:r w:rsidRPr="004C4288">
              <w:rPr>
                <w:sz w:val="21"/>
                <w:szCs w:val="21"/>
              </w:rPr>
              <w:t>-3.06</w:t>
            </w:r>
            <w:r w:rsidR="00C22525" w:rsidRPr="004C4288">
              <w:rPr>
                <w:rFonts w:hint="eastAsia"/>
                <w:sz w:val="21"/>
                <w:szCs w:val="21"/>
              </w:rPr>
              <w:t>4</w:t>
            </w:r>
            <w:r w:rsidR="00FB0EFF" w:rsidRPr="004C4288">
              <w:rPr>
                <w:sz w:val="21"/>
                <w:szCs w:val="21"/>
              </w:rPr>
              <w:t>***</w:t>
            </w:r>
          </w:p>
        </w:tc>
        <w:tc>
          <w:tcPr>
            <w:tcW w:w="1795" w:type="dxa"/>
            <w:tcBorders>
              <w:top w:val="single" w:sz="4" w:space="0" w:color="auto"/>
            </w:tcBorders>
          </w:tcPr>
          <w:p w14:paraId="399EDD13" w14:textId="77777777" w:rsidR="00FB0EFF" w:rsidRPr="004C4288" w:rsidRDefault="00FB0EFF" w:rsidP="00EF6667">
            <w:pPr>
              <w:jc w:val="center"/>
              <w:rPr>
                <w:sz w:val="21"/>
                <w:szCs w:val="21"/>
              </w:rPr>
            </w:pPr>
          </w:p>
        </w:tc>
        <w:tc>
          <w:tcPr>
            <w:tcW w:w="1784" w:type="dxa"/>
            <w:tcBorders>
              <w:top w:val="single" w:sz="4" w:space="0" w:color="auto"/>
            </w:tcBorders>
          </w:tcPr>
          <w:p w14:paraId="1E93F84C" w14:textId="15B04895" w:rsidR="00FB0EFF" w:rsidRPr="004C4288" w:rsidRDefault="00F11599" w:rsidP="00EF6667">
            <w:pPr>
              <w:jc w:val="center"/>
              <w:rPr>
                <w:sz w:val="21"/>
                <w:szCs w:val="21"/>
              </w:rPr>
            </w:pPr>
            <w:r w:rsidRPr="004C4288">
              <w:rPr>
                <w:sz w:val="21"/>
                <w:szCs w:val="21"/>
              </w:rPr>
              <w:t>-2.548</w:t>
            </w:r>
            <w:r w:rsidR="00FB0EFF" w:rsidRPr="004C4288">
              <w:rPr>
                <w:sz w:val="21"/>
                <w:szCs w:val="21"/>
              </w:rPr>
              <w:t>***</w:t>
            </w:r>
          </w:p>
        </w:tc>
        <w:tc>
          <w:tcPr>
            <w:tcW w:w="1784" w:type="dxa"/>
            <w:tcBorders>
              <w:top w:val="single" w:sz="4" w:space="0" w:color="auto"/>
            </w:tcBorders>
          </w:tcPr>
          <w:p w14:paraId="2DA93FA5" w14:textId="77777777" w:rsidR="00FB0EFF" w:rsidRPr="004C4288" w:rsidRDefault="00FB0EFF" w:rsidP="00EF6667">
            <w:pPr>
              <w:jc w:val="center"/>
              <w:rPr>
                <w:sz w:val="21"/>
                <w:szCs w:val="21"/>
              </w:rPr>
            </w:pPr>
          </w:p>
        </w:tc>
      </w:tr>
      <w:tr w:rsidR="00FB0EFF" w:rsidRPr="0041131B" w14:paraId="2BE11C5E" w14:textId="77777777" w:rsidTr="00EF6667">
        <w:trPr>
          <w:trHeight w:val="299"/>
          <w:jc w:val="center"/>
        </w:trPr>
        <w:tc>
          <w:tcPr>
            <w:tcW w:w="1701" w:type="dxa"/>
          </w:tcPr>
          <w:p w14:paraId="59A12CFC" w14:textId="77777777" w:rsidR="00FB0EFF" w:rsidRPr="004C4288" w:rsidRDefault="00FB0EFF" w:rsidP="00EF6667">
            <w:pPr>
              <w:jc w:val="center"/>
              <w:rPr>
                <w:sz w:val="21"/>
                <w:szCs w:val="21"/>
              </w:rPr>
            </w:pPr>
          </w:p>
        </w:tc>
        <w:tc>
          <w:tcPr>
            <w:tcW w:w="1625" w:type="dxa"/>
          </w:tcPr>
          <w:p w14:paraId="174793D8" w14:textId="47A3F0DC" w:rsidR="00FB0EFF" w:rsidRPr="004C4288" w:rsidRDefault="00FB0EFF" w:rsidP="00EF6667">
            <w:pPr>
              <w:jc w:val="center"/>
              <w:rPr>
                <w:sz w:val="21"/>
                <w:szCs w:val="21"/>
              </w:rPr>
            </w:pPr>
            <w:r w:rsidRPr="004C4288">
              <w:rPr>
                <w:sz w:val="21"/>
                <w:szCs w:val="21"/>
              </w:rPr>
              <w:t>(</w:t>
            </w:r>
            <w:r w:rsidR="00561BD7" w:rsidRPr="004C4288">
              <w:rPr>
                <w:sz w:val="21"/>
                <w:szCs w:val="21"/>
              </w:rPr>
              <w:t>-29.12</w:t>
            </w:r>
            <w:r w:rsidRPr="004C4288">
              <w:rPr>
                <w:sz w:val="21"/>
                <w:szCs w:val="21"/>
              </w:rPr>
              <w:t>)</w:t>
            </w:r>
          </w:p>
        </w:tc>
        <w:tc>
          <w:tcPr>
            <w:tcW w:w="1795" w:type="dxa"/>
          </w:tcPr>
          <w:p w14:paraId="2FFF8635" w14:textId="77777777" w:rsidR="00FB0EFF" w:rsidRPr="004C4288" w:rsidRDefault="00FB0EFF" w:rsidP="00EF6667">
            <w:pPr>
              <w:jc w:val="center"/>
              <w:rPr>
                <w:sz w:val="21"/>
                <w:szCs w:val="21"/>
              </w:rPr>
            </w:pPr>
          </w:p>
        </w:tc>
        <w:tc>
          <w:tcPr>
            <w:tcW w:w="1784" w:type="dxa"/>
          </w:tcPr>
          <w:p w14:paraId="78CC76B1" w14:textId="7374B471" w:rsidR="00FB0EFF" w:rsidRPr="004C4288" w:rsidRDefault="00FB0EFF" w:rsidP="00EF6667">
            <w:pPr>
              <w:jc w:val="center"/>
              <w:rPr>
                <w:sz w:val="21"/>
                <w:szCs w:val="21"/>
              </w:rPr>
            </w:pPr>
            <w:r w:rsidRPr="004C4288">
              <w:rPr>
                <w:sz w:val="21"/>
                <w:szCs w:val="21"/>
              </w:rPr>
              <w:t>(</w:t>
            </w:r>
            <w:r w:rsidR="00F11599" w:rsidRPr="004C4288">
              <w:rPr>
                <w:sz w:val="21"/>
                <w:szCs w:val="21"/>
              </w:rPr>
              <w:t>-22.03</w:t>
            </w:r>
            <w:r w:rsidRPr="004C4288">
              <w:rPr>
                <w:sz w:val="21"/>
                <w:szCs w:val="21"/>
              </w:rPr>
              <w:t>)</w:t>
            </w:r>
          </w:p>
        </w:tc>
        <w:tc>
          <w:tcPr>
            <w:tcW w:w="1784" w:type="dxa"/>
          </w:tcPr>
          <w:p w14:paraId="56F26387" w14:textId="77777777" w:rsidR="00FB0EFF" w:rsidRPr="004C4288" w:rsidRDefault="00FB0EFF" w:rsidP="00EF6667">
            <w:pPr>
              <w:jc w:val="center"/>
              <w:rPr>
                <w:sz w:val="21"/>
                <w:szCs w:val="21"/>
              </w:rPr>
            </w:pPr>
          </w:p>
        </w:tc>
      </w:tr>
      <w:tr w:rsidR="00FB0EFF" w:rsidRPr="0041131B" w14:paraId="4A46AD64" w14:textId="77777777" w:rsidTr="00EF6667">
        <w:trPr>
          <w:trHeight w:val="311"/>
          <w:jc w:val="center"/>
        </w:trPr>
        <w:tc>
          <w:tcPr>
            <w:tcW w:w="1701" w:type="dxa"/>
          </w:tcPr>
          <w:p w14:paraId="760A1252" w14:textId="0800056F" w:rsidR="00FB0EFF" w:rsidRPr="004C4288" w:rsidRDefault="00FB0EFF" w:rsidP="00EF6667">
            <w:pPr>
              <w:jc w:val="center"/>
              <w:rPr>
                <w:i/>
                <w:iCs/>
                <w:sz w:val="21"/>
                <w:szCs w:val="21"/>
              </w:rPr>
            </w:pPr>
            <w:proofErr w:type="spellStart"/>
            <w:r w:rsidRPr="004C4288">
              <w:rPr>
                <w:i/>
                <w:iCs/>
                <w:sz w:val="21"/>
                <w:szCs w:val="21"/>
              </w:rPr>
              <w:t>B</w:t>
            </w:r>
            <w:r w:rsidRPr="004C4288">
              <w:rPr>
                <w:rFonts w:hint="eastAsia"/>
                <w:i/>
                <w:iCs/>
                <w:sz w:val="21"/>
                <w:szCs w:val="21"/>
              </w:rPr>
              <w:t>reak</w:t>
            </w:r>
            <w:r w:rsidRPr="004C4288">
              <w:rPr>
                <w:i/>
                <w:iCs/>
                <w:sz w:val="21"/>
                <w:szCs w:val="21"/>
              </w:rPr>
              <w:t>_</w:t>
            </w:r>
            <w:r w:rsidRPr="004C4288">
              <w:rPr>
                <w:rFonts w:hint="eastAsia"/>
                <w:i/>
                <w:iCs/>
                <w:sz w:val="21"/>
                <w:szCs w:val="21"/>
              </w:rPr>
              <w:t>D</w:t>
            </w:r>
            <w:proofErr w:type="spellEnd"/>
          </w:p>
        </w:tc>
        <w:tc>
          <w:tcPr>
            <w:tcW w:w="1625" w:type="dxa"/>
          </w:tcPr>
          <w:p w14:paraId="7B6DBB43" w14:textId="77777777" w:rsidR="00FB0EFF" w:rsidRPr="004C4288" w:rsidRDefault="00FB0EFF" w:rsidP="00EF6667">
            <w:pPr>
              <w:jc w:val="center"/>
              <w:rPr>
                <w:sz w:val="21"/>
                <w:szCs w:val="21"/>
              </w:rPr>
            </w:pPr>
          </w:p>
        </w:tc>
        <w:tc>
          <w:tcPr>
            <w:tcW w:w="1795" w:type="dxa"/>
          </w:tcPr>
          <w:p w14:paraId="3BB5F3B3" w14:textId="00C2CAD5" w:rsidR="00FB0EFF" w:rsidRPr="004C4288" w:rsidRDefault="001B4102" w:rsidP="00EF6667">
            <w:pPr>
              <w:jc w:val="center"/>
              <w:rPr>
                <w:sz w:val="21"/>
                <w:szCs w:val="21"/>
              </w:rPr>
            </w:pPr>
            <w:r w:rsidRPr="004C4288">
              <w:rPr>
                <w:sz w:val="21"/>
                <w:szCs w:val="21"/>
              </w:rPr>
              <w:t>-1.46</w:t>
            </w:r>
            <w:r w:rsidRPr="004C4288">
              <w:rPr>
                <w:rFonts w:hint="eastAsia"/>
                <w:sz w:val="21"/>
                <w:szCs w:val="21"/>
              </w:rPr>
              <w:t>4</w:t>
            </w:r>
            <w:r w:rsidR="00FB0EFF" w:rsidRPr="004C4288">
              <w:rPr>
                <w:sz w:val="21"/>
                <w:szCs w:val="21"/>
              </w:rPr>
              <w:t>***</w:t>
            </w:r>
          </w:p>
        </w:tc>
        <w:tc>
          <w:tcPr>
            <w:tcW w:w="1784" w:type="dxa"/>
          </w:tcPr>
          <w:p w14:paraId="4E52E554" w14:textId="77777777" w:rsidR="00FB0EFF" w:rsidRPr="004C4288" w:rsidRDefault="00FB0EFF" w:rsidP="00EF6667">
            <w:pPr>
              <w:jc w:val="center"/>
              <w:rPr>
                <w:sz w:val="21"/>
                <w:szCs w:val="21"/>
              </w:rPr>
            </w:pPr>
          </w:p>
        </w:tc>
        <w:tc>
          <w:tcPr>
            <w:tcW w:w="1784" w:type="dxa"/>
          </w:tcPr>
          <w:p w14:paraId="5D34B668" w14:textId="25B57563" w:rsidR="00FB0EFF" w:rsidRPr="004C4288" w:rsidRDefault="0071245C" w:rsidP="00EF6667">
            <w:pPr>
              <w:jc w:val="center"/>
              <w:rPr>
                <w:sz w:val="21"/>
                <w:szCs w:val="21"/>
              </w:rPr>
            </w:pPr>
            <w:r w:rsidRPr="004C4288">
              <w:rPr>
                <w:sz w:val="21"/>
                <w:szCs w:val="21"/>
              </w:rPr>
              <w:t>-2.137</w:t>
            </w:r>
            <w:r w:rsidR="00FB0EFF" w:rsidRPr="004C4288">
              <w:rPr>
                <w:sz w:val="21"/>
                <w:szCs w:val="21"/>
              </w:rPr>
              <w:t>***</w:t>
            </w:r>
          </w:p>
        </w:tc>
      </w:tr>
      <w:tr w:rsidR="00FB0EFF" w:rsidRPr="0041131B" w14:paraId="61C14E43" w14:textId="77777777" w:rsidTr="00EF6667">
        <w:trPr>
          <w:trHeight w:val="311"/>
          <w:jc w:val="center"/>
        </w:trPr>
        <w:tc>
          <w:tcPr>
            <w:tcW w:w="1701" w:type="dxa"/>
          </w:tcPr>
          <w:p w14:paraId="1476A79A" w14:textId="77777777" w:rsidR="00FB0EFF" w:rsidRPr="004C4288" w:rsidRDefault="00FB0EFF" w:rsidP="00EF6667">
            <w:pPr>
              <w:jc w:val="center"/>
              <w:rPr>
                <w:i/>
                <w:iCs/>
                <w:sz w:val="21"/>
                <w:szCs w:val="21"/>
              </w:rPr>
            </w:pPr>
          </w:p>
        </w:tc>
        <w:tc>
          <w:tcPr>
            <w:tcW w:w="1625" w:type="dxa"/>
          </w:tcPr>
          <w:p w14:paraId="2708835B" w14:textId="77777777" w:rsidR="00FB0EFF" w:rsidRPr="004C4288" w:rsidRDefault="00FB0EFF" w:rsidP="00EF6667">
            <w:pPr>
              <w:jc w:val="center"/>
              <w:rPr>
                <w:sz w:val="21"/>
                <w:szCs w:val="21"/>
              </w:rPr>
            </w:pPr>
          </w:p>
        </w:tc>
        <w:tc>
          <w:tcPr>
            <w:tcW w:w="1795" w:type="dxa"/>
          </w:tcPr>
          <w:p w14:paraId="0CA40DAF" w14:textId="354A45D3" w:rsidR="00FB0EFF" w:rsidRPr="004C4288" w:rsidRDefault="00FB0EFF" w:rsidP="00EF6667">
            <w:pPr>
              <w:jc w:val="center"/>
              <w:rPr>
                <w:sz w:val="21"/>
                <w:szCs w:val="21"/>
              </w:rPr>
            </w:pPr>
            <w:r w:rsidRPr="004C4288">
              <w:rPr>
                <w:sz w:val="21"/>
                <w:szCs w:val="21"/>
              </w:rPr>
              <w:t>(</w:t>
            </w:r>
            <w:r w:rsidR="001B4102" w:rsidRPr="004C4288">
              <w:rPr>
                <w:sz w:val="21"/>
                <w:szCs w:val="21"/>
              </w:rPr>
              <w:t>-24.06</w:t>
            </w:r>
            <w:r w:rsidRPr="004C4288">
              <w:rPr>
                <w:sz w:val="21"/>
                <w:szCs w:val="21"/>
              </w:rPr>
              <w:t>)</w:t>
            </w:r>
          </w:p>
        </w:tc>
        <w:tc>
          <w:tcPr>
            <w:tcW w:w="1784" w:type="dxa"/>
          </w:tcPr>
          <w:p w14:paraId="0CAD9AF7" w14:textId="77777777" w:rsidR="00FB0EFF" w:rsidRPr="004C4288" w:rsidRDefault="00FB0EFF" w:rsidP="00EF6667">
            <w:pPr>
              <w:jc w:val="center"/>
              <w:rPr>
                <w:sz w:val="21"/>
                <w:szCs w:val="21"/>
              </w:rPr>
            </w:pPr>
          </w:p>
        </w:tc>
        <w:tc>
          <w:tcPr>
            <w:tcW w:w="1784" w:type="dxa"/>
          </w:tcPr>
          <w:p w14:paraId="7B1EA588" w14:textId="74F26446" w:rsidR="00FB0EFF" w:rsidRPr="004C4288" w:rsidRDefault="00FB0EFF" w:rsidP="00EF6667">
            <w:pPr>
              <w:jc w:val="center"/>
              <w:rPr>
                <w:sz w:val="21"/>
                <w:szCs w:val="21"/>
              </w:rPr>
            </w:pPr>
            <w:r w:rsidRPr="004C4288">
              <w:rPr>
                <w:sz w:val="21"/>
                <w:szCs w:val="21"/>
              </w:rPr>
              <w:t>(</w:t>
            </w:r>
            <w:r w:rsidR="0071245C" w:rsidRPr="004C4288">
              <w:rPr>
                <w:sz w:val="21"/>
                <w:szCs w:val="21"/>
              </w:rPr>
              <w:t>-32.49</w:t>
            </w:r>
            <w:r w:rsidRPr="004C4288">
              <w:rPr>
                <w:sz w:val="21"/>
                <w:szCs w:val="21"/>
              </w:rPr>
              <w:t>)</w:t>
            </w:r>
          </w:p>
        </w:tc>
      </w:tr>
      <w:tr w:rsidR="00FB0EFF" w:rsidRPr="0041131B" w14:paraId="6F040BB9" w14:textId="77777777" w:rsidTr="00EF6667">
        <w:trPr>
          <w:trHeight w:val="311"/>
          <w:jc w:val="center"/>
        </w:trPr>
        <w:tc>
          <w:tcPr>
            <w:tcW w:w="1701" w:type="dxa"/>
          </w:tcPr>
          <w:p w14:paraId="4FE443EB" w14:textId="77777777" w:rsidR="00FB0EFF" w:rsidRPr="004C4288" w:rsidRDefault="00FB0EFF" w:rsidP="00EF6667">
            <w:pPr>
              <w:jc w:val="center"/>
              <w:rPr>
                <w:i/>
                <w:iCs/>
                <w:sz w:val="21"/>
                <w:szCs w:val="21"/>
              </w:rPr>
            </w:pPr>
            <w:r w:rsidRPr="004C4288">
              <w:rPr>
                <w:rFonts w:hint="eastAsia"/>
                <w:i/>
                <w:iCs/>
                <w:sz w:val="21"/>
                <w:szCs w:val="21"/>
              </w:rPr>
              <w:t>Number of cities</w:t>
            </w:r>
          </w:p>
        </w:tc>
        <w:tc>
          <w:tcPr>
            <w:tcW w:w="1625" w:type="dxa"/>
          </w:tcPr>
          <w:p w14:paraId="030E7793" w14:textId="1918BA97" w:rsidR="00FB0EFF" w:rsidRPr="004C4288" w:rsidRDefault="00561BD7" w:rsidP="00EF6667">
            <w:pPr>
              <w:jc w:val="center"/>
              <w:rPr>
                <w:sz w:val="21"/>
                <w:szCs w:val="21"/>
              </w:rPr>
            </w:pPr>
            <w:r w:rsidRPr="004C4288">
              <w:rPr>
                <w:sz w:val="21"/>
                <w:szCs w:val="21"/>
              </w:rPr>
              <w:t>-2.8</w:t>
            </w:r>
            <w:r w:rsidR="00C22525" w:rsidRPr="004C4288">
              <w:rPr>
                <w:rFonts w:hint="eastAsia"/>
                <w:sz w:val="21"/>
                <w:szCs w:val="21"/>
              </w:rPr>
              <w:t>90</w:t>
            </w:r>
            <w:r w:rsidR="00FB0EFF" w:rsidRPr="004C4288">
              <w:rPr>
                <w:sz w:val="21"/>
                <w:szCs w:val="21"/>
              </w:rPr>
              <w:t>***</w:t>
            </w:r>
          </w:p>
        </w:tc>
        <w:tc>
          <w:tcPr>
            <w:tcW w:w="1795" w:type="dxa"/>
          </w:tcPr>
          <w:p w14:paraId="5D0DF6C7" w14:textId="458DDE77" w:rsidR="00FB0EFF" w:rsidRPr="004C4288" w:rsidRDefault="001B4102" w:rsidP="00EF6667">
            <w:pPr>
              <w:jc w:val="center"/>
              <w:rPr>
                <w:sz w:val="21"/>
                <w:szCs w:val="21"/>
              </w:rPr>
            </w:pPr>
            <w:r w:rsidRPr="004C4288">
              <w:rPr>
                <w:sz w:val="21"/>
                <w:szCs w:val="21"/>
              </w:rPr>
              <w:t>-2.78</w:t>
            </w:r>
            <w:r w:rsidRPr="004C4288">
              <w:rPr>
                <w:rFonts w:hint="eastAsia"/>
                <w:sz w:val="21"/>
                <w:szCs w:val="21"/>
              </w:rPr>
              <w:t>5</w:t>
            </w:r>
            <w:r w:rsidR="00FB0EFF" w:rsidRPr="004C4288">
              <w:rPr>
                <w:sz w:val="21"/>
                <w:szCs w:val="21"/>
              </w:rPr>
              <w:t>***</w:t>
            </w:r>
          </w:p>
        </w:tc>
        <w:tc>
          <w:tcPr>
            <w:tcW w:w="1784" w:type="dxa"/>
          </w:tcPr>
          <w:p w14:paraId="7BC108DB" w14:textId="26DD41BD" w:rsidR="00FB0EFF" w:rsidRPr="004C4288" w:rsidRDefault="00F11599" w:rsidP="00EF6667">
            <w:pPr>
              <w:jc w:val="center"/>
              <w:rPr>
                <w:sz w:val="21"/>
                <w:szCs w:val="21"/>
              </w:rPr>
            </w:pPr>
            <w:r w:rsidRPr="004C4288">
              <w:rPr>
                <w:sz w:val="21"/>
                <w:szCs w:val="21"/>
              </w:rPr>
              <w:t>5.481</w:t>
            </w:r>
            <w:r w:rsidR="00FB0EFF" w:rsidRPr="004C4288">
              <w:rPr>
                <w:sz w:val="21"/>
                <w:szCs w:val="21"/>
              </w:rPr>
              <w:t>***</w:t>
            </w:r>
          </w:p>
        </w:tc>
        <w:tc>
          <w:tcPr>
            <w:tcW w:w="1784" w:type="dxa"/>
          </w:tcPr>
          <w:p w14:paraId="377DC53A" w14:textId="77FC50D2" w:rsidR="00FB0EFF" w:rsidRPr="004C4288" w:rsidRDefault="0071245C" w:rsidP="00EF6667">
            <w:pPr>
              <w:jc w:val="center"/>
              <w:rPr>
                <w:sz w:val="21"/>
                <w:szCs w:val="21"/>
              </w:rPr>
            </w:pPr>
            <w:r w:rsidRPr="004C4288">
              <w:rPr>
                <w:sz w:val="21"/>
                <w:szCs w:val="21"/>
              </w:rPr>
              <w:t>5.529</w:t>
            </w:r>
            <w:r w:rsidR="00FB0EFF" w:rsidRPr="004C4288">
              <w:rPr>
                <w:sz w:val="21"/>
                <w:szCs w:val="21"/>
              </w:rPr>
              <w:t>***</w:t>
            </w:r>
          </w:p>
        </w:tc>
      </w:tr>
      <w:tr w:rsidR="00FB0EFF" w:rsidRPr="0041131B" w14:paraId="39B39F60" w14:textId="77777777" w:rsidTr="00EF6667">
        <w:trPr>
          <w:trHeight w:val="311"/>
          <w:jc w:val="center"/>
        </w:trPr>
        <w:tc>
          <w:tcPr>
            <w:tcW w:w="1701" w:type="dxa"/>
          </w:tcPr>
          <w:p w14:paraId="0942A741" w14:textId="77777777" w:rsidR="00FB0EFF" w:rsidRPr="004C4288" w:rsidRDefault="00FB0EFF" w:rsidP="00EF6667">
            <w:pPr>
              <w:jc w:val="center"/>
              <w:rPr>
                <w:sz w:val="21"/>
                <w:szCs w:val="21"/>
              </w:rPr>
            </w:pPr>
          </w:p>
        </w:tc>
        <w:tc>
          <w:tcPr>
            <w:tcW w:w="1625" w:type="dxa"/>
          </w:tcPr>
          <w:p w14:paraId="5D172395" w14:textId="15E572B9" w:rsidR="00FB0EFF" w:rsidRPr="004C4288" w:rsidRDefault="00FB0EFF" w:rsidP="00EF6667">
            <w:pPr>
              <w:jc w:val="center"/>
              <w:rPr>
                <w:sz w:val="21"/>
                <w:szCs w:val="21"/>
              </w:rPr>
            </w:pPr>
            <w:r w:rsidRPr="004C4288">
              <w:rPr>
                <w:sz w:val="21"/>
                <w:szCs w:val="21"/>
              </w:rPr>
              <w:t>(</w:t>
            </w:r>
            <w:r w:rsidR="00561BD7" w:rsidRPr="004C4288">
              <w:rPr>
                <w:sz w:val="21"/>
                <w:szCs w:val="21"/>
              </w:rPr>
              <w:t>-43.96</w:t>
            </w:r>
            <w:r w:rsidRPr="004C4288">
              <w:rPr>
                <w:sz w:val="21"/>
                <w:szCs w:val="21"/>
              </w:rPr>
              <w:t>)</w:t>
            </w:r>
          </w:p>
        </w:tc>
        <w:tc>
          <w:tcPr>
            <w:tcW w:w="1795" w:type="dxa"/>
          </w:tcPr>
          <w:p w14:paraId="5BBCE318" w14:textId="77777777" w:rsidR="00FB0EFF" w:rsidRPr="004C4288" w:rsidRDefault="00FB0EFF" w:rsidP="00EF6667">
            <w:pPr>
              <w:jc w:val="center"/>
              <w:rPr>
                <w:sz w:val="21"/>
                <w:szCs w:val="21"/>
              </w:rPr>
            </w:pPr>
            <w:r w:rsidRPr="004C4288">
              <w:rPr>
                <w:sz w:val="21"/>
                <w:szCs w:val="21"/>
              </w:rPr>
              <w:t>(-44.21)</w:t>
            </w:r>
          </w:p>
        </w:tc>
        <w:tc>
          <w:tcPr>
            <w:tcW w:w="1784" w:type="dxa"/>
          </w:tcPr>
          <w:p w14:paraId="7860F2FF" w14:textId="3CFFBED1" w:rsidR="00FB0EFF" w:rsidRPr="004C4288" w:rsidRDefault="00FB0EFF" w:rsidP="00EF6667">
            <w:pPr>
              <w:jc w:val="center"/>
              <w:rPr>
                <w:sz w:val="21"/>
                <w:szCs w:val="21"/>
              </w:rPr>
            </w:pPr>
            <w:r w:rsidRPr="004C4288">
              <w:rPr>
                <w:sz w:val="21"/>
                <w:szCs w:val="21"/>
              </w:rPr>
              <w:t>(</w:t>
            </w:r>
            <w:r w:rsidR="00F11599" w:rsidRPr="004C4288">
              <w:rPr>
                <w:sz w:val="21"/>
                <w:szCs w:val="21"/>
              </w:rPr>
              <w:t>76.08</w:t>
            </w:r>
            <w:r w:rsidRPr="004C4288">
              <w:rPr>
                <w:sz w:val="21"/>
                <w:szCs w:val="21"/>
              </w:rPr>
              <w:t>)</w:t>
            </w:r>
          </w:p>
        </w:tc>
        <w:tc>
          <w:tcPr>
            <w:tcW w:w="1784" w:type="dxa"/>
          </w:tcPr>
          <w:p w14:paraId="3A571454" w14:textId="77777777" w:rsidR="00FB0EFF" w:rsidRPr="004C4288" w:rsidRDefault="00FB0EFF" w:rsidP="00EF6667">
            <w:pPr>
              <w:jc w:val="center"/>
              <w:rPr>
                <w:sz w:val="21"/>
                <w:szCs w:val="21"/>
              </w:rPr>
            </w:pPr>
            <w:r w:rsidRPr="004C4288">
              <w:rPr>
                <w:sz w:val="21"/>
                <w:szCs w:val="21"/>
              </w:rPr>
              <w:t>(79.96)</w:t>
            </w:r>
          </w:p>
        </w:tc>
      </w:tr>
      <w:tr w:rsidR="00FB0EFF" w:rsidRPr="0041131B" w14:paraId="697E69E2" w14:textId="77777777" w:rsidTr="00EF6667">
        <w:trPr>
          <w:trHeight w:val="311"/>
          <w:jc w:val="center"/>
        </w:trPr>
        <w:tc>
          <w:tcPr>
            <w:tcW w:w="1701" w:type="dxa"/>
          </w:tcPr>
          <w:p w14:paraId="3AF5FCF1" w14:textId="77777777" w:rsidR="00FB0EFF" w:rsidRPr="004C4288" w:rsidRDefault="00FB0EFF" w:rsidP="00EF6667">
            <w:pPr>
              <w:jc w:val="center"/>
              <w:rPr>
                <w:sz w:val="21"/>
                <w:szCs w:val="21"/>
              </w:rPr>
            </w:pPr>
            <w:r w:rsidRPr="004C4288">
              <w:rPr>
                <w:sz w:val="21"/>
                <w:szCs w:val="21"/>
              </w:rPr>
              <w:t>C</w:t>
            </w:r>
            <w:r w:rsidRPr="004C4288">
              <w:rPr>
                <w:rFonts w:hint="eastAsia"/>
                <w:sz w:val="21"/>
                <w:szCs w:val="21"/>
              </w:rPr>
              <w:t>onstant</w:t>
            </w:r>
          </w:p>
        </w:tc>
        <w:tc>
          <w:tcPr>
            <w:tcW w:w="1625" w:type="dxa"/>
          </w:tcPr>
          <w:p w14:paraId="09F585F1" w14:textId="64BAFE88" w:rsidR="00FB0EFF" w:rsidRPr="004C4288" w:rsidRDefault="00C22525" w:rsidP="00EF6667">
            <w:pPr>
              <w:jc w:val="center"/>
              <w:rPr>
                <w:sz w:val="21"/>
                <w:szCs w:val="21"/>
              </w:rPr>
            </w:pPr>
            <w:r w:rsidRPr="004C4288">
              <w:rPr>
                <w:rFonts w:hint="eastAsia"/>
                <w:sz w:val="21"/>
                <w:szCs w:val="21"/>
              </w:rPr>
              <w:t>0</w:t>
            </w:r>
            <w:r w:rsidR="00561BD7" w:rsidRPr="004C4288">
              <w:rPr>
                <w:sz w:val="21"/>
                <w:szCs w:val="21"/>
              </w:rPr>
              <w:t>.987</w:t>
            </w:r>
            <w:r w:rsidR="00FB0EFF" w:rsidRPr="004C4288">
              <w:rPr>
                <w:sz w:val="21"/>
                <w:szCs w:val="21"/>
              </w:rPr>
              <w:t>***</w:t>
            </w:r>
          </w:p>
        </w:tc>
        <w:tc>
          <w:tcPr>
            <w:tcW w:w="1795" w:type="dxa"/>
          </w:tcPr>
          <w:p w14:paraId="2B20209B" w14:textId="03C0252F" w:rsidR="00FB0EFF" w:rsidRPr="004C4288" w:rsidRDefault="001B4102" w:rsidP="00EF6667">
            <w:pPr>
              <w:jc w:val="center"/>
              <w:rPr>
                <w:sz w:val="21"/>
                <w:szCs w:val="21"/>
              </w:rPr>
            </w:pPr>
            <w:r w:rsidRPr="004C4288">
              <w:rPr>
                <w:sz w:val="21"/>
                <w:szCs w:val="21"/>
              </w:rPr>
              <w:t>3.760</w:t>
            </w:r>
            <w:r w:rsidR="00FB0EFF" w:rsidRPr="004C4288">
              <w:rPr>
                <w:sz w:val="21"/>
                <w:szCs w:val="21"/>
              </w:rPr>
              <w:t>***</w:t>
            </w:r>
          </w:p>
        </w:tc>
        <w:tc>
          <w:tcPr>
            <w:tcW w:w="1784" w:type="dxa"/>
          </w:tcPr>
          <w:p w14:paraId="0A8F9AAD" w14:textId="6FD9761C" w:rsidR="00FB0EFF" w:rsidRPr="004C4288" w:rsidRDefault="00F11599" w:rsidP="00EF6667">
            <w:pPr>
              <w:jc w:val="center"/>
              <w:rPr>
                <w:sz w:val="21"/>
                <w:szCs w:val="21"/>
              </w:rPr>
            </w:pPr>
            <w:r w:rsidRPr="004C4288">
              <w:rPr>
                <w:sz w:val="21"/>
                <w:szCs w:val="21"/>
              </w:rPr>
              <w:t>-18.96</w:t>
            </w:r>
            <w:r w:rsidR="00C22525" w:rsidRPr="004C4288">
              <w:rPr>
                <w:rFonts w:hint="eastAsia"/>
                <w:sz w:val="21"/>
                <w:szCs w:val="21"/>
              </w:rPr>
              <w:t>6</w:t>
            </w:r>
            <w:r w:rsidR="00FB0EFF" w:rsidRPr="004C4288">
              <w:rPr>
                <w:sz w:val="21"/>
                <w:szCs w:val="21"/>
              </w:rPr>
              <w:t>***</w:t>
            </w:r>
          </w:p>
        </w:tc>
        <w:tc>
          <w:tcPr>
            <w:tcW w:w="1784" w:type="dxa"/>
          </w:tcPr>
          <w:p w14:paraId="422D9373" w14:textId="093A0765" w:rsidR="00FB0EFF" w:rsidRPr="004C4288" w:rsidRDefault="0071245C" w:rsidP="00EF6667">
            <w:pPr>
              <w:jc w:val="center"/>
              <w:rPr>
                <w:sz w:val="21"/>
                <w:szCs w:val="21"/>
              </w:rPr>
            </w:pPr>
            <w:r w:rsidRPr="004C4288">
              <w:rPr>
                <w:sz w:val="21"/>
                <w:szCs w:val="21"/>
              </w:rPr>
              <w:t>-13.996</w:t>
            </w:r>
            <w:r w:rsidR="00FB0EFF" w:rsidRPr="004C4288">
              <w:rPr>
                <w:sz w:val="21"/>
                <w:szCs w:val="21"/>
              </w:rPr>
              <w:t>***</w:t>
            </w:r>
          </w:p>
        </w:tc>
      </w:tr>
      <w:tr w:rsidR="00FB0EFF" w:rsidRPr="0041131B" w14:paraId="0ECCC0D8" w14:textId="77777777" w:rsidTr="00EF6667">
        <w:trPr>
          <w:trHeight w:val="299"/>
          <w:jc w:val="center"/>
        </w:trPr>
        <w:tc>
          <w:tcPr>
            <w:tcW w:w="1701" w:type="dxa"/>
          </w:tcPr>
          <w:p w14:paraId="31B0EB67" w14:textId="77777777" w:rsidR="00FB0EFF" w:rsidRPr="004C4288" w:rsidRDefault="00FB0EFF" w:rsidP="00EF6667">
            <w:pPr>
              <w:jc w:val="center"/>
              <w:rPr>
                <w:sz w:val="21"/>
                <w:szCs w:val="21"/>
              </w:rPr>
            </w:pPr>
          </w:p>
        </w:tc>
        <w:tc>
          <w:tcPr>
            <w:tcW w:w="1625" w:type="dxa"/>
          </w:tcPr>
          <w:p w14:paraId="6B43A243" w14:textId="063304B6" w:rsidR="00FB0EFF" w:rsidRPr="004C4288" w:rsidRDefault="00FB0EFF" w:rsidP="00EF6667">
            <w:pPr>
              <w:jc w:val="center"/>
              <w:rPr>
                <w:sz w:val="21"/>
                <w:szCs w:val="21"/>
              </w:rPr>
            </w:pPr>
            <w:r w:rsidRPr="004C4288">
              <w:rPr>
                <w:sz w:val="21"/>
                <w:szCs w:val="21"/>
              </w:rPr>
              <w:t>(</w:t>
            </w:r>
            <w:r w:rsidR="00561BD7" w:rsidRPr="004C4288">
              <w:rPr>
                <w:sz w:val="21"/>
                <w:szCs w:val="21"/>
              </w:rPr>
              <w:t>6.41</w:t>
            </w:r>
            <w:r w:rsidRPr="004C4288">
              <w:rPr>
                <w:sz w:val="21"/>
                <w:szCs w:val="21"/>
              </w:rPr>
              <w:t>)</w:t>
            </w:r>
          </w:p>
        </w:tc>
        <w:tc>
          <w:tcPr>
            <w:tcW w:w="1795" w:type="dxa"/>
          </w:tcPr>
          <w:p w14:paraId="1CB4C7FF" w14:textId="47D2F9A6" w:rsidR="00FB0EFF" w:rsidRPr="004C4288" w:rsidRDefault="00FB0EFF" w:rsidP="00EF6667">
            <w:pPr>
              <w:jc w:val="center"/>
              <w:rPr>
                <w:sz w:val="21"/>
                <w:szCs w:val="21"/>
              </w:rPr>
            </w:pPr>
            <w:r w:rsidRPr="004C4288">
              <w:rPr>
                <w:sz w:val="21"/>
                <w:szCs w:val="21"/>
              </w:rPr>
              <w:t>(</w:t>
            </w:r>
            <w:r w:rsidR="001B4102" w:rsidRPr="004C4288">
              <w:rPr>
                <w:sz w:val="21"/>
                <w:szCs w:val="21"/>
              </w:rPr>
              <w:t>17.11</w:t>
            </w:r>
            <w:r w:rsidRPr="004C4288">
              <w:rPr>
                <w:sz w:val="21"/>
                <w:szCs w:val="21"/>
              </w:rPr>
              <w:t>)</w:t>
            </w:r>
          </w:p>
        </w:tc>
        <w:tc>
          <w:tcPr>
            <w:tcW w:w="1784" w:type="dxa"/>
          </w:tcPr>
          <w:p w14:paraId="5E694B97" w14:textId="5A186297" w:rsidR="00FB0EFF" w:rsidRPr="004C4288" w:rsidRDefault="00FB0EFF" w:rsidP="00EF6667">
            <w:pPr>
              <w:jc w:val="center"/>
              <w:rPr>
                <w:sz w:val="21"/>
                <w:szCs w:val="21"/>
              </w:rPr>
            </w:pPr>
            <w:r w:rsidRPr="004C4288">
              <w:rPr>
                <w:sz w:val="21"/>
                <w:szCs w:val="21"/>
              </w:rPr>
              <w:t>(</w:t>
            </w:r>
            <w:r w:rsidR="00F11599" w:rsidRPr="004C4288">
              <w:rPr>
                <w:sz w:val="21"/>
                <w:szCs w:val="21"/>
              </w:rPr>
              <w:t>-112.23</w:t>
            </w:r>
            <w:r w:rsidRPr="004C4288">
              <w:rPr>
                <w:sz w:val="21"/>
                <w:szCs w:val="21"/>
              </w:rPr>
              <w:t>)</w:t>
            </w:r>
          </w:p>
        </w:tc>
        <w:tc>
          <w:tcPr>
            <w:tcW w:w="1784" w:type="dxa"/>
          </w:tcPr>
          <w:p w14:paraId="0885C46A" w14:textId="06807495" w:rsidR="00FB0EFF" w:rsidRPr="004C4288" w:rsidRDefault="00FB0EFF" w:rsidP="00EF6667">
            <w:pPr>
              <w:jc w:val="center"/>
              <w:rPr>
                <w:sz w:val="21"/>
                <w:szCs w:val="21"/>
              </w:rPr>
            </w:pPr>
            <w:r w:rsidRPr="004C4288">
              <w:rPr>
                <w:sz w:val="21"/>
                <w:szCs w:val="21"/>
              </w:rPr>
              <w:t>(</w:t>
            </w:r>
            <w:r w:rsidR="0071245C" w:rsidRPr="004C4288">
              <w:rPr>
                <w:sz w:val="21"/>
                <w:szCs w:val="21"/>
              </w:rPr>
              <w:t>-58.59</w:t>
            </w:r>
            <w:r w:rsidRPr="004C4288">
              <w:rPr>
                <w:sz w:val="21"/>
                <w:szCs w:val="21"/>
              </w:rPr>
              <w:t>)</w:t>
            </w:r>
          </w:p>
        </w:tc>
      </w:tr>
      <w:tr w:rsidR="00FB0EFF" w:rsidRPr="0041131B" w14:paraId="19F7EF04" w14:textId="77777777" w:rsidTr="00EF6667">
        <w:trPr>
          <w:trHeight w:val="311"/>
          <w:jc w:val="center"/>
        </w:trPr>
        <w:tc>
          <w:tcPr>
            <w:tcW w:w="1701" w:type="dxa"/>
          </w:tcPr>
          <w:p w14:paraId="600EE9FF" w14:textId="77777777" w:rsidR="00FB0EFF" w:rsidRPr="004C4288" w:rsidRDefault="00FB0EFF" w:rsidP="00EF6667">
            <w:pPr>
              <w:jc w:val="center"/>
              <w:rPr>
                <w:sz w:val="21"/>
                <w:szCs w:val="21"/>
              </w:rPr>
            </w:pPr>
            <w:r w:rsidRPr="004C4288">
              <w:rPr>
                <w:rFonts w:hint="eastAsia"/>
                <w:sz w:val="21"/>
                <w:szCs w:val="21"/>
              </w:rPr>
              <w:t>R</w:t>
            </w:r>
            <w:r w:rsidRPr="004C4288">
              <w:rPr>
                <w:sz w:val="21"/>
                <w:szCs w:val="21"/>
              </w:rPr>
              <w:t>-squared</w:t>
            </w:r>
          </w:p>
        </w:tc>
        <w:tc>
          <w:tcPr>
            <w:tcW w:w="1625" w:type="dxa"/>
          </w:tcPr>
          <w:p w14:paraId="3733B913" w14:textId="13ED3A24" w:rsidR="00FB0EFF" w:rsidRPr="004C4288" w:rsidRDefault="00561BD7" w:rsidP="00EF6667">
            <w:pPr>
              <w:jc w:val="center"/>
              <w:rPr>
                <w:sz w:val="21"/>
                <w:szCs w:val="21"/>
              </w:rPr>
            </w:pPr>
            <w:r w:rsidRPr="004C4288">
              <w:rPr>
                <w:sz w:val="21"/>
                <w:szCs w:val="21"/>
              </w:rPr>
              <w:t>0.6573</w:t>
            </w:r>
          </w:p>
        </w:tc>
        <w:tc>
          <w:tcPr>
            <w:tcW w:w="1795" w:type="dxa"/>
          </w:tcPr>
          <w:p w14:paraId="564FD4C9" w14:textId="77777777" w:rsidR="00FB0EFF" w:rsidRPr="004C4288" w:rsidRDefault="00FB0EFF" w:rsidP="00EF6667">
            <w:pPr>
              <w:jc w:val="center"/>
              <w:rPr>
                <w:sz w:val="21"/>
                <w:szCs w:val="21"/>
              </w:rPr>
            </w:pPr>
            <w:r w:rsidRPr="004C4288">
              <w:rPr>
                <w:sz w:val="21"/>
                <w:szCs w:val="21"/>
              </w:rPr>
              <w:t>0.6520</w:t>
            </w:r>
          </w:p>
        </w:tc>
        <w:tc>
          <w:tcPr>
            <w:tcW w:w="1784" w:type="dxa"/>
          </w:tcPr>
          <w:p w14:paraId="4FA2F66A" w14:textId="52F44F56" w:rsidR="00FB0EFF" w:rsidRPr="004C4288" w:rsidRDefault="00F11599" w:rsidP="00EF6667">
            <w:pPr>
              <w:jc w:val="center"/>
              <w:rPr>
                <w:sz w:val="21"/>
                <w:szCs w:val="21"/>
              </w:rPr>
            </w:pPr>
            <w:r w:rsidRPr="004C4288">
              <w:rPr>
                <w:sz w:val="21"/>
                <w:szCs w:val="21"/>
              </w:rPr>
              <w:t>0.6989</w:t>
            </w:r>
          </w:p>
        </w:tc>
        <w:tc>
          <w:tcPr>
            <w:tcW w:w="1784" w:type="dxa"/>
          </w:tcPr>
          <w:p w14:paraId="39D420B7" w14:textId="026D8CF4" w:rsidR="00FB0EFF" w:rsidRPr="004C4288" w:rsidRDefault="0071245C" w:rsidP="00EF6667">
            <w:pPr>
              <w:jc w:val="center"/>
              <w:rPr>
                <w:sz w:val="21"/>
                <w:szCs w:val="21"/>
              </w:rPr>
            </w:pPr>
            <w:r w:rsidRPr="004C4288">
              <w:rPr>
                <w:sz w:val="21"/>
                <w:szCs w:val="21"/>
              </w:rPr>
              <w:t>0.6938</w:t>
            </w:r>
          </w:p>
        </w:tc>
      </w:tr>
      <w:tr w:rsidR="00FB0EFF" w:rsidRPr="0041131B" w14:paraId="662C382B" w14:textId="77777777" w:rsidTr="00EF6667">
        <w:trPr>
          <w:trHeight w:val="311"/>
          <w:jc w:val="center"/>
        </w:trPr>
        <w:tc>
          <w:tcPr>
            <w:tcW w:w="1701" w:type="dxa"/>
          </w:tcPr>
          <w:p w14:paraId="57991A75" w14:textId="77777777" w:rsidR="00FB0EFF" w:rsidRPr="004C4288" w:rsidRDefault="00FB0EFF" w:rsidP="00EF6667">
            <w:pPr>
              <w:jc w:val="center"/>
              <w:rPr>
                <w:sz w:val="21"/>
                <w:szCs w:val="21"/>
              </w:rPr>
            </w:pPr>
            <w:r w:rsidRPr="004C4288">
              <w:rPr>
                <w:sz w:val="21"/>
                <w:szCs w:val="21"/>
              </w:rPr>
              <w:t xml:space="preserve">Vehicle ID </w:t>
            </w:r>
            <w:r w:rsidRPr="004C4288">
              <w:rPr>
                <w:rFonts w:hint="eastAsia"/>
                <w:sz w:val="21"/>
                <w:szCs w:val="21"/>
              </w:rPr>
              <w:t>F</w:t>
            </w:r>
            <w:r w:rsidRPr="004C4288">
              <w:rPr>
                <w:sz w:val="21"/>
                <w:szCs w:val="21"/>
              </w:rPr>
              <w:t>E</w:t>
            </w:r>
          </w:p>
        </w:tc>
        <w:tc>
          <w:tcPr>
            <w:tcW w:w="1625" w:type="dxa"/>
          </w:tcPr>
          <w:p w14:paraId="2798E893"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c>
          <w:tcPr>
            <w:tcW w:w="1795" w:type="dxa"/>
          </w:tcPr>
          <w:p w14:paraId="301F22B9"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c>
          <w:tcPr>
            <w:tcW w:w="1784" w:type="dxa"/>
          </w:tcPr>
          <w:p w14:paraId="3583EC73"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c>
          <w:tcPr>
            <w:tcW w:w="1784" w:type="dxa"/>
          </w:tcPr>
          <w:p w14:paraId="2112B811"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r>
      <w:tr w:rsidR="00FB0EFF" w:rsidRPr="0041131B" w14:paraId="5CD69E85" w14:textId="77777777" w:rsidTr="00EF6667">
        <w:trPr>
          <w:trHeight w:val="311"/>
          <w:jc w:val="center"/>
        </w:trPr>
        <w:tc>
          <w:tcPr>
            <w:tcW w:w="1701" w:type="dxa"/>
          </w:tcPr>
          <w:p w14:paraId="4973BB36" w14:textId="77777777" w:rsidR="00FB0EFF" w:rsidRPr="004C4288" w:rsidRDefault="00FB0EFF" w:rsidP="00EF6667">
            <w:pPr>
              <w:jc w:val="center"/>
              <w:rPr>
                <w:sz w:val="21"/>
                <w:szCs w:val="21"/>
              </w:rPr>
            </w:pPr>
            <w:r w:rsidRPr="004C4288">
              <w:rPr>
                <w:rFonts w:hint="eastAsia"/>
                <w:sz w:val="21"/>
                <w:szCs w:val="21"/>
              </w:rPr>
              <w:t>M</w:t>
            </w:r>
            <w:r w:rsidRPr="004C4288">
              <w:rPr>
                <w:sz w:val="21"/>
                <w:szCs w:val="21"/>
              </w:rPr>
              <w:t>onth FE</w:t>
            </w:r>
          </w:p>
        </w:tc>
        <w:tc>
          <w:tcPr>
            <w:tcW w:w="1625" w:type="dxa"/>
          </w:tcPr>
          <w:p w14:paraId="77E1EE8A"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c>
          <w:tcPr>
            <w:tcW w:w="1795" w:type="dxa"/>
          </w:tcPr>
          <w:p w14:paraId="318921DD"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c>
          <w:tcPr>
            <w:tcW w:w="1784" w:type="dxa"/>
          </w:tcPr>
          <w:p w14:paraId="74E4ED54"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c>
          <w:tcPr>
            <w:tcW w:w="1784" w:type="dxa"/>
          </w:tcPr>
          <w:p w14:paraId="0D71ABC0" w14:textId="77777777" w:rsidR="00FB0EFF" w:rsidRPr="004C4288" w:rsidRDefault="00FB0EFF" w:rsidP="00EF6667">
            <w:pPr>
              <w:jc w:val="center"/>
              <w:rPr>
                <w:sz w:val="21"/>
                <w:szCs w:val="21"/>
              </w:rPr>
            </w:pPr>
            <w:r w:rsidRPr="004C4288">
              <w:rPr>
                <w:rFonts w:hint="eastAsia"/>
                <w:sz w:val="21"/>
                <w:szCs w:val="21"/>
              </w:rPr>
              <w:t>Y</w:t>
            </w:r>
            <w:r w:rsidRPr="004C4288">
              <w:rPr>
                <w:sz w:val="21"/>
                <w:szCs w:val="21"/>
              </w:rPr>
              <w:t>es</w:t>
            </w:r>
          </w:p>
        </w:tc>
      </w:tr>
      <w:tr w:rsidR="00FB0EFF" w:rsidRPr="0041131B" w14:paraId="496812E2" w14:textId="77777777" w:rsidTr="00EF6667">
        <w:trPr>
          <w:trHeight w:val="311"/>
          <w:jc w:val="center"/>
        </w:trPr>
        <w:tc>
          <w:tcPr>
            <w:tcW w:w="1701" w:type="dxa"/>
          </w:tcPr>
          <w:p w14:paraId="308C2FE1" w14:textId="77777777" w:rsidR="00FB0EFF" w:rsidRPr="004C4288" w:rsidRDefault="00FB0EFF" w:rsidP="00EF6667">
            <w:pPr>
              <w:jc w:val="center"/>
              <w:rPr>
                <w:sz w:val="21"/>
                <w:szCs w:val="21"/>
              </w:rPr>
            </w:pPr>
            <w:r w:rsidRPr="004C4288">
              <w:rPr>
                <w:sz w:val="21"/>
                <w:szCs w:val="21"/>
              </w:rPr>
              <w:t>O</w:t>
            </w:r>
            <w:r w:rsidRPr="004C4288">
              <w:rPr>
                <w:rFonts w:hint="eastAsia"/>
                <w:sz w:val="21"/>
                <w:szCs w:val="21"/>
              </w:rPr>
              <w:t>bservations</w:t>
            </w:r>
          </w:p>
        </w:tc>
        <w:tc>
          <w:tcPr>
            <w:tcW w:w="1625" w:type="dxa"/>
          </w:tcPr>
          <w:p w14:paraId="0D15A33B" w14:textId="77777777" w:rsidR="00FB0EFF" w:rsidRPr="004C4288" w:rsidRDefault="00FB0EFF" w:rsidP="00EF6667">
            <w:pPr>
              <w:jc w:val="center"/>
              <w:rPr>
                <w:sz w:val="21"/>
                <w:szCs w:val="21"/>
              </w:rPr>
            </w:pPr>
            <w:r w:rsidRPr="004C4288">
              <w:rPr>
                <w:sz w:val="21"/>
                <w:szCs w:val="21"/>
              </w:rPr>
              <w:t>2,698,451</w:t>
            </w:r>
          </w:p>
        </w:tc>
        <w:tc>
          <w:tcPr>
            <w:tcW w:w="1795" w:type="dxa"/>
          </w:tcPr>
          <w:p w14:paraId="1223D5C5" w14:textId="77777777" w:rsidR="00FB0EFF" w:rsidRPr="004C4288" w:rsidRDefault="00FB0EFF" w:rsidP="00EF6667">
            <w:pPr>
              <w:jc w:val="center"/>
              <w:rPr>
                <w:sz w:val="21"/>
                <w:szCs w:val="21"/>
              </w:rPr>
            </w:pPr>
            <w:r w:rsidRPr="004C4288">
              <w:rPr>
                <w:sz w:val="21"/>
                <w:szCs w:val="21"/>
              </w:rPr>
              <w:t>2,897,486</w:t>
            </w:r>
          </w:p>
        </w:tc>
        <w:tc>
          <w:tcPr>
            <w:tcW w:w="1784" w:type="dxa"/>
          </w:tcPr>
          <w:p w14:paraId="03CC970D" w14:textId="77777777" w:rsidR="00FB0EFF" w:rsidRPr="004C4288" w:rsidRDefault="00FB0EFF" w:rsidP="00EF6667">
            <w:pPr>
              <w:jc w:val="center"/>
              <w:rPr>
                <w:sz w:val="21"/>
                <w:szCs w:val="21"/>
              </w:rPr>
            </w:pPr>
            <w:r w:rsidRPr="004C4288">
              <w:rPr>
                <w:sz w:val="21"/>
                <w:szCs w:val="21"/>
              </w:rPr>
              <w:t>2,698,451</w:t>
            </w:r>
          </w:p>
        </w:tc>
        <w:tc>
          <w:tcPr>
            <w:tcW w:w="1784" w:type="dxa"/>
          </w:tcPr>
          <w:p w14:paraId="5ACB6ED7" w14:textId="77777777" w:rsidR="00FB0EFF" w:rsidRPr="004C4288" w:rsidRDefault="00FB0EFF" w:rsidP="00EF6667">
            <w:pPr>
              <w:jc w:val="center"/>
              <w:rPr>
                <w:sz w:val="21"/>
                <w:szCs w:val="21"/>
              </w:rPr>
            </w:pPr>
            <w:r w:rsidRPr="004C4288">
              <w:rPr>
                <w:sz w:val="21"/>
                <w:szCs w:val="21"/>
              </w:rPr>
              <w:t>2,897,486</w:t>
            </w:r>
          </w:p>
        </w:tc>
      </w:tr>
    </w:tbl>
    <w:p w14:paraId="003DDE9B" w14:textId="53DE2045" w:rsidR="004B05A2" w:rsidRDefault="00150ECC" w:rsidP="00B64BD8">
      <w:pPr>
        <w:spacing w:line="276" w:lineRule="auto"/>
        <w:rPr>
          <w:sz w:val="21"/>
          <w:szCs w:val="21"/>
        </w:rPr>
      </w:pPr>
      <w:r w:rsidRPr="004C4288">
        <w:rPr>
          <w:sz w:val="21"/>
          <w:szCs w:val="21"/>
        </w:rPr>
        <w:t xml:space="preserve">Note: </w:t>
      </w:r>
      <w:r w:rsidR="004B05A2" w:rsidRPr="004C4288">
        <w:rPr>
          <w:sz w:val="21"/>
          <w:szCs w:val="21"/>
        </w:rPr>
        <w:t xml:space="preserve">In comparison to </w:t>
      </w:r>
      <w:r w:rsidR="004B05A2" w:rsidRPr="004C4288">
        <w:rPr>
          <w:color w:val="0070C0"/>
          <w:sz w:val="21"/>
          <w:szCs w:val="21"/>
        </w:rPr>
        <w:t>Table 1</w:t>
      </w:r>
      <w:r w:rsidR="004B05A2" w:rsidRPr="004C4288">
        <w:rPr>
          <w:sz w:val="21"/>
          <w:szCs w:val="21"/>
        </w:rPr>
        <w:t xml:space="preserve">, we have revised the calculation of </w:t>
      </w:r>
      <w:proofErr w:type="spellStart"/>
      <w:r w:rsidR="004B05A2" w:rsidRPr="004C4288">
        <w:rPr>
          <w:i/>
          <w:iCs/>
          <w:sz w:val="21"/>
          <w:szCs w:val="21"/>
        </w:rPr>
        <w:t>Break_A</w:t>
      </w:r>
      <w:proofErr w:type="spellEnd"/>
      <w:r w:rsidR="004B05A2" w:rsidRPr="004C4288">
        <w:rPr>
          <w:sz w:val="21"/>
          <w:szCs w:val="21"/>
        </w:rPr>
        <w:t xml:space="preserve"> from being based on the destination vector to being based on the departure vector, thereby generating a new independent variable, </w:t>
      </w:r>
      <w:proofErr w:type="spellStart"/>
      <w:r w:rsidR="004B05A2" w:rsidRPr="004C4288">
        <w:rPr>
          <w:i/>
          <w:iCs/>
          <w:sz w:val="21"/>
          <w:szCs w:val="21"/>
        </w:rPr>
        <w:t>Break_C</w:t>
      </w:r>
      <w:proofErr w:type="spellEnd"/>
      <w:r w:rsidR="004B05A2" w:rsidRPr="004C4288">
        <w:rPr>
          <w:sz w:val="21"/>
          <w:szCs w:val="21"/>
        </w:rPr>
        <w:t>. Furthermore,</w:t>
      </w:r>
      <w:r w:rsidR="004B05A2" w:rsidRPr="004C4288">
        <w:rPr>
          <w:rFonts w:hint="eastAsia"/>
          <w:sz w:val="21"/>
          <w:szCs w:val="21"/>
        </w:rPr>
        <w:t xml:space="preserve"> </w:t>
      </w:r>
      <w:r w:rsidR="004B05A2" w:rsidRPr="004C4288">
        <w:rPr>
          <w:sz w:val="21"/>
          <w:szCs w:val="21"/>
        </w:rPr>
        <w:t xml:space="preserve">we altered the calculation method for </w:t>
      </w:r>
      <w:proofErr w:type="spellStart"/>
      <w:r w:rsidR="004B05A2" w:rsidRPr="004C4288">
        <w:rPr>
          <w:i/>
          <w:iCs/>
          <w:sz w:val="21"/>
          <w:szCs w:val="21"/>
        </w:rPr>
        <w:t>Break_B</w:t>
      </w:r>
      <w:proofErr w:type="spellEnd"/>
      <w:r w:rsidR="004B05A2" w:rsidRPr="004C4288">
        <w:rPr>
          <w:sz w:val="21"/>
          <w:szCs w:val="21"/>
        </w:rPr>
        <w:t xml:space="preserve">, shifting from considering the sum of medium and high-risk area counts to solely accounting for the number of high-risk areas, resulting in the creation of the independent variable </w:t>
      </w:r>
      <w:proofErr w:type="spellStart"/>
      <w:r w:rsidR="004B05A2" w:rsidRPr="004C4288">
        <w:rPr>
          <w:i/>
          <w:iCs/>
          <w:sz w:val="21"/>
          <w:szCs w:val="21"/>
        </w:rPr>
        <w:t>Break_D</w:t>
      </w:r>
      <w:proofErr w:type="spellEnd"/>
      <w:r w:rsidR="004B05A2" w:rsidRPr="004C4288">
        <w:rPr>
          <w:sz w:val="21"/>
          <w:szCs w:val="21"/>
        </w:rPr>
        <w:t xml:space="preserve">. All other </w:t>
      </w:r>
      <w:r w:rsidR="00DC638D" w:rsidRPr="004C4288">
        <w:rPr>
          <w:rFonts w:hint="eastAsia"/>
          <w:sz w:val="21"/>
          <w:szCs w:val="21"/>
        </w:rPr>
        <w:t>specifications of regression models</w:t>
      </w:r>
      <w:r w:rsidR="004B05A2" w:rsidRPr="004C4288">
        <w:rPr>
          <w:sz w:val="21"/>
          <w:szCs w:val="21"/>
        </w:rPr>
        <w:t xml:space="preserve"> remain unchanged. The regression results are largely consistent with those presented in </w:t>
      </w:r>
      <w:r w:rsidR="004B05A2" w:rsidRPr="004C4288">
        <w:rPr>
          <w:color w:val="0070C0"/>
          <w:sz w:val="21"/>
          <w:szCs w:val="21"/>
        </w:rPr>
        <w:t>Table 1</w:t>
      </w:r>
      <w:r w:rsidR="004B05A2" w:rsidRPr="004C4288">
        <w:rPr>
          <w:sz w:val="21"/>
          <w:szCs w:val="21"/>
        </w:rPr>
        <w:t>.</w:t>
      </w:r>
      <w:r w:rsidR="00DC638D" w:rsidRPr="004C4288">
        <w:rPr>
          <w:rFonts w:hint="eastAsia"/>
          <w:sz w:val="21"/>
          <w:szCs w:val="21"/>
        </w:rPr>
        <w:t xml:space="preserve"> </w:t>
      </w:r>
      <w:r w:rsidRPr="004C4288">
        <w:rPr>
          <w:sz w:val="21"/>
          <w:szCs w:val="21"/>
        </w:rPr>
        <w:t>T-statistics are in parentheses and are adjusted for standard errors clustered at truck ID level, which are robust to heteroscedasticity and autocorrelation. *** p &lt; 0.01, ** p &lt; 0.05, * p &lt; 0.1.</w:t>
      </w:r>
      <w:r w:rsidRPr="004C4288">
        <w:rPr>
          <w:rFonts w:hint="eastAsia"/>
          <w:sz w:val="21"/>
          <w:szCs w:val="21"/>
        </w:rPr>
        <w:t xml:space="preserve"> </w:t>
      </w:r>
    </w:p>
    <w:p w14:paraId="6B492059" w14:textId="77777777" w:rsidR="00FB5DDD" w:rsidRDefault="00FB5DDD" w:rsidP="00B64BD8">
      <w:pPr>
        <w:spacing w:line="276" w:lineRule="auto"/>
        <w:rPr>
          <w:sz w:val="21"/>
          <w:szCs w:val="21"/>
        </w:rPr>
      </w:pPr>
    </w:p>
    <w:p w14:paraId="71CB04E9" w14:textId="4BCCE315" w:rsidR="00365FA6" w:rsidRDefault="002554E1" w:rsidP="00365FA6">
      <w:pPr>
        <w:pStyle w:val="2"/>
      </w:pPr>
      <w:r>
        <w:rPr>
          <w:rFonts w:hint="eastAsia"/>
        </w:rPr>
        <w:t>G</w:t>
      </w:r>
      <w:r w:rsidR="00365FA6">
        <w:rPr>
          <w:rFonts w:hint="eastAsia"/>
        </w:rPr>
        <w:t xml:space="preserve">. </w:t>
      </w:r>
      <w:r w:rsidR="00365FA6" w:rsidRPr="00D3219E">
        <w:t>GDP growth rate of representative countries</w:t>
      </w:r>
      <w:r w:rsidR="00365FA6">
        <w:rPr>
          <w:rFonts w:hint="eastAsia"/>
        </w:rPr>
        <w:t xml:space="preserve"> </w:t>
      </w:r>
      <w:r w:rsidR="00365FA6" w:rsidRPr="00D3219E">
        <w:t>(2021q1-202</w:t>
      </w:r>
      <w:r w:rsidR="00365FA6">
        <w:rPr>
          <w:rFonts w:hint="eastAsia"/>
        </w:rPr>
        <w:t>2</w:t>
      </w:r>
      <w:r w:rsidR="00365FA6" w:rsidRPr="00D3219E">
        <w:t>q3)</w:t>
      </w:r>
    </w:p>
    <w:p w14:paraId="14885AF4" w14:textId="77777777" w:rsidR="00365FA6" w:rsidRPr="00F13C8C" w:rsidRDefault="00365FA6" w:rsidP="00365FA6">
      <w:pPr>
        <w:spacing w:after="120" w:line="288" w:lineRule="auto"/>
        <w:ind w:firstLine="420"/>
        <w:rPr>
          <w:rFonts w:cs="Times New Roman"/>
          <w:sz w:val="21"/>
          <w:szCs w:val="20"/>
        </w:rPr>
      </w:pPr>
      <w:r w:rsidRPr="00F13C8C">
        <w:rPr>
          <w:rFonts w:cs="Times New Roman"/>
          <w:sz w:val="21"/>
          <w:szCs w:val="20"/>
        </w:rPr>
        <w:t xml:space="preserve">Countries such as the U.S., Germany, and Japan were releasing large-scale anti-contagion policies in the first quarter of 2022. The COVID-19 pandemic dramatically shocked the global economy </w:t>
      </w:r>
      <w:r w:rsidRPr="00F13C8C">
        <w:rPr>
          <w:rFonts w:cs="Times New Roman"/>
          <w:color w:val="0070C0"/>
          <w:sz w:val="21"/>
          <w:szCs w:val="20"/>
        </w:rPr>
        <w:t>(Pangallo et al., 2023; Silva et al., 2023)</w:t>
      </w:r>
      <w:r w:rsidRPr="00F13C8C">
        <w:rPr>
          <w:rFonts w:cs="Times New Roman"/>
          <w:sz w:val="21"/>
          <w:szCs w:val="20"/>
        </w:rPr>
        <w:t xml:space="preserve">, and countries struggled to get back to normal after its massive damage. We choose </w:t>
      </w:r>
      <w:r>
        <w:rPr>
          <w:rFonts w:cs="Times New Roman" w:hint="eastAsia"/>
          <w:sz w:val="21"/>
          <w:szCs w:val="20"/>
        </w:rPr>
        <w:t>some</w:t>
      </w:r>
      <w:r w:rsidRPr="00F13C8C">
        <w:rPr>
          <w:rFonts w:cs="Times New Roman"/>
          <w:sz w:val="21"/>
          <w:szCs w:val="20"/>
        </w:rPr>
        <w:t xml:space="preserve"> representative countries in each continent to show the </w:t>
      </w:r>
      <w:r>
        <w:rPr>
          <w:rFonts w:cs="Times New Roman" w:hint="eastAsia"/>
          <w:sz w:val="21"/>
          <w:szCs w:val="20"/>
        </w:rPr>
        <w:t xml:space="preserve">economic impact of covid-19 and </w:t>
      </w:r>
      <w:r w:rsidRPr="00F13C8C">
        <w:rPr>
          <w:rFonts w:cs="Times New Roman"/>
          <w:sz w:val="21"/>
          <w:szCs w:val="20"/>
        </w:rPr>
        <w:t xml:space="preserve">delayed recovery, the U.S. and Brazil for the Americas, Germany and the U.K. for Europe, and Japan and South Korea for Asia. The economic shock in all countries is apparent.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1"/>
        <w:gridCol w:w="774"/>
        <w:gridCol w:w="859"/>
        <w:gridCol w:w="774"/>
        <w:gridCol w:w="859"/>
        <w:gridCol w:w="773"/>
        <w:gridCol w:w="859"/>
        <w:gridCol w:w="773"/>
        <w:gridCol w:w="858"/>
        <w:gridCol w:w="766"/>
      </w:tblGrid>
      <w:tr w:rsidR="00365FA6" w:rsidRPr="00976541" w14:paraId="3D8997CF" w14:textId="77777777" w:rsidTr="00D856D2">
        <w:trPr>
          <w:trHeight w:val="278"/>
        </w:trPr>
        <w:tc>
          <w:tcPr>
            <w:tcW w:w="5000" w:type="pct"/>
            <w:gridSpan w:val="10"/>
            <w:tcBorders>
              <w:top w:val="single" w:sz="12" w:space="0" w:color="auto"/>
              <w:left w:val="single" w:sz="12" w:space="0" w:color="auto"/>
              <w:right w:val="single" w:sz="12" w:space="0" w:color="auto"/>
            </w:tcBorders>
            <w:shd w:val="clear" w:color="auto" w:fill="D9E2F3" w:themeFill="accent1" w:themeFillTint="33"/>
            <w:noWrap/>
            <w:vAlign w:val="bottom"/>
          </w:tcPr>
          <w:p w14:paraId="4E16034E" w14:textId="2581F00D"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 xml:space="preserve">Table </w:t>
            </w:r>
            <w:r>
              <w:rPr>
                <w:rFonts w:cs="Times New Roman" w:hint="eastAsia"/>
                <w:b/>
                <w:bCs/>
                <w:kern w:val="0"/>
                <w:sz w:val="21"/>
                <w:szCs w:val="21"/>
              </w:rPr>
              <w:t>S3</w:t>
            </w:r>
            <w:r w:rsidRPr="00976541">
              <w:rPr>
                <w:rFonts w:cs="Times New Roman"/>
                <w:b/>
                <w:bCs/>
                <w:kern w:val="0"/>
                <w:sz w:val="21"/>
                <w:szCs w:val="21"/>
              </w:rPr>
              <w:t>a GDP growth rate of representative countries (quarter on quarter</w:t>
            </w:r>
            <w:r>
              <w:rPr>
                <w:rFonts w:cs="Times New Roman" w:hint="eastAsia"/>
                <w:b/>
                <w:bCs/>
                <w:kern w:val="0"/>
                <w:sz w:val="21"/>
                <w:szCs w:val="21"/>
              </w:rPr>
              <w:t>, %</w:t>
            </w:r>
            <w:r w:rsidRPr="00976541">
              <w:rPr>
                <w:rFonts w:cs="Times New Roman"/>
                <w:b/>
                <w:bCs/>
                <w:kern w:val="0"/>
                <w:sz w:val="21"/>
                <w:szCs w:val="21"/>
              </w:rPr>
              <w:t>)</w:t>
            </w:r>
          </w:p>
        </w:tc>
      </w:tr>
      <w:tr w:rsidR="00365FA6" w:rsidRPr="00976541" w14:paraId="0917F1AA" w14:textId="77777777" w:rsidTr="00D856D2">
        <w:trPr>
          <w:trHeight w:val="278"/>
        </w:trPr>
        <w:tc>
          <w:tcPr>
            <w:tcW w:w="603" w:type="pct"/>
            <w:tcBorders>
              <w:left w:val="single" w:sz="12" w:space="0" w:color="auto"/>
              <w:bottom w:val="single" w:sz="12" w:space="0" w:color="auto"/>
            </w:tcBorders>
            <w:shd w:val="clear" w:color="auto" w:fill="auto"/>
            <w:noWrap/>
            <w:vAlign w:val="bottom"/>
            <w:hideMark/>
          </w:tcPr>
          <w:p w14:paraId="6291BD2F" w14:textId="77777777" w:rsidR="00365FA6" w:rsidRPr="00976541" w:rsidRDefault="00365FA6" w:rsidP="00365FA6">
            <w:pPr>
              <w:widowControl/>
              <w:spacing w:line="264" w:lineRule="auto"/>
              <w:jc w:val="left"/>
              <w:rPr>
                <w:rFonts w:cs="Times New Roman"/>
                <w:b/>
                <w:bCs/>
                <w:kern w:val="0"/>
                <w:sz w:val="21"/>
                <w:szCs w:val="21"/>
              </w:rPr>
            </w:pPr>
          </w:p>
        </w:tc>
        <w:tc>
          <w:tcPr>
            <w:tcW w:w="464" w:type="pct"/>
            <w:tcBorders>
              <w:bottom w:val="single" w:sz="12" w:space="0" w:color="auto"/>
            </w:tcBorders>
            <w:shd w:val="clear" w:color="auto" w:fill="auto"/>
            <w:noWrap/>
            <w:vAlign w:val="bottom"/>
            <w:hideMark/>
          </w:tcPr>
          <w:p w14:paraId="0C139DE0"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sz w:val="21"/>
                <w:szCs w:val="21"/>
              </w:rPr>
              <w:t>BRA</w:t>
            </w:r>
          </w:p>
        </w:tc>
        <w:tc>
          <w:tcPr>
            <w:tcW w:w="521" w:type="pct"/>
            <w:tcBorders>
              <w:bottom w:val="single" w:sz="12" w:space="0" w:color="auto"/>
            </w:tcBorders>
            <w:shd w:val="clear" w:color="auto" w:fill="auto"/>
            <w:noWrap/>
            <w:vAlign w:val="bottom"/>
            <w:hideMark/>
          </w:tcPr>
          <w:p w14:paraId="679C6022"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CHN</w:t>
            </w:r>
          </w:p>
        </w:tc>
        <w:tc>
          <w:tcPr>
            <w:tcW w:w="464" w:type="pct"/>
            <w:tcBorders>
              <w:bottom w:val="single" w:sz="12" w:space="0" w:color="auto"/>
            </w:tcBorders>
            <w:shd w:val="clear" w:color="auto" w:fill="auto"/>
            <w:noWrap/>
            <w:vAlign w:val="bottom"/>
            <w:hideMark/>
          </w:tcPr>
          <w:p w14:paraId="7520D64F"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DEU</w:t>
            </w:r>
          </w:p>
        </w:tc>
        <w:tc>
          <w:tcPr>
            <w:tcW w:w="521" w:type="pct"/>
            <w:tcBorders>
              <w:bottom w:val="single" w:sz="12" w:space="0" w:color="auto"/>
            </w:tcBorders>
            <w:shd w:val="clear" w:color="auto" w:fill="auto"/>
            <w:noWrap/>
            <w:vAlign w:val="bottom"/>
            <w:hideMark/>
          </w:tcPr>
          <w:p w14:paraId="07CA8C5D"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IND</w:t>
            </w:r>
          </w:p>
        </w:tc>
        <w:tc>
          <w:tcPr>
            <w:tcW w:w="463" w:type="pct"/>
            <w:tcBorders>
              <w:bottom w:val="single" w:sz="12" w:space="0" w:color="auto"/>
            </w:tcBorders>
            <w:shd w:val="clear" w:color="auto" w:fill="auto"/>
            <w:noWrap/>
            <w:vAlign w:val="bottom"/>
            <w:hideMark/>
          </w:tcPr>
          <w:p w14:paraId="00778269"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JPN</w:t>
            </w:r>
          </w:p>
        </w:tc>
        <w:tc>
          <w:tcPr>
            <w:tcW w:w="521" w:type="pct"/>
            <w:tcBorders>
              <w:bottom w:val="single" w:sz="12" w:space="0" w:color="auto"/>
            </w:tcBorders>
            <w:shd w:val="clear" w:color="auto" w:fill="auto"/>
            <w:noWrap/>
            <w:vAlign w:val="bottom"/>
            <w:hideMark/>
          </w:tcPr>
          <w:p w14:paraId="03D2B996"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ZAF</w:t>
            </w:r>
          </w:p>
        </w:tc>
        <w:tc>
          <w:tcPr>
            <w:tcW w:w="463" w:type="pct"/>
            <w:tcBorders>
              <w:bottom w:val="single" w:sz="12" w:space="0" w:color="auto"/>
            </w:tcBorders>
            <w:shd w:val="clear" w:color="auto" w:fill="auto"/>
            <w:noWrap/>
            <w:vAlign w:val="bottom"/>
            <w:hideMark/>
          </w:tcPr>
          <w:p w14:paraId="46264EE3" w14:textId="77777777" w:rsidR="00365FA6" w:rsidRPr="00976541" w:rsidRDefault="00365FA6" w:rsidP="00365FA6">
            <w:pPr>
              <w:widowControl/>
              <w:spacing w:line="264" w:lineRule="auto"/>
              <w:jc w:val="left"/>
              <w:rPr>
                <w:rFonts w:cs="Times New Roman"/>
                <w:b/>
                <w:bCs/>
                <w:kern w:val="0"/>
                <w:sz w:val="21"/>
                <w:szCs w:val="21"/>
              </w:rPr>
            </w:pPr>
            <w:r>
              <w:rPr>
                <w:rFonts w:cs="Times New Roman" w:hint="eastAsia"/>
                <w:b/>
                <w:bCs/>
                <w:kern w:val="0"/>
                <w:sz w:val="21"/>
                <w:szCs w:val="21"/>
              </w:rPr>
              <w:t>KOR</w:t>
            </w:r>
          </w:p>
        </w:tc>
        <w:tc>
          <w:tcPr>
            <w:tcW w:w="521" w:type="pct"/>
            <w:tcBorders>
              <w:bottom w:val="single" w:sz="12" w:space="0" w:color="auto"/>
            </w:tcBorders>
            <w:shd w:val="clear" w:color="auto" w:fill="auto"/>
            <w:noWrap/>
            <w:vAlign w:val="bottom"/>
            <w:hideMark/>
          </w:tcPr>
          <w:p w14:paraId="46AD43EC"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GBR</w:t>
            </w:r>
          </w:p>
        </w:tc>
        <w:tc>
          <w:tcPr>
            <w:tcW w:w="459" w:type="pct"/>
            <w:tcBorders>
              <w:bottom w:val="single" w:sz="12" w:space="0" w:color="auto"/>
              <w:right w:val="single" w:sz="12" w:space="0" w:color="auto"/>
            </w:tcBorders>
            <w:shd w:val="clear" w:color="auto" w:fill="auto"/>
            <w:noWrap/>
            <w:vAlign w:val="bottom"/>
            <w:hideMark/>
          </w:tcPr>
          <w:p w14:paraId="00138D14"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USA</w:t>
            </w:r>
          </w:p>
        </w:tc>
      </w:tr>
      <w:tr w:rsidR="00365FA6" w:rsidRPr="00976541" w14:paraId="26A870D2" w14:textId="77777777" w:rsidTr="00D856D2">
        <w:trPr>
          <w:trHeight w:val="278"/>
        </w:trPr>
        <w:tc>
          <w:tcPr>
            <w:tcW w:w="603" w:type="pct"/>
            <w:tcBorders>
              <w:top w:val="single" w:sz="12" w:space="0" w:color="auto"/>
              <w:left w:val="single" w:sz="12" w:space="0" w:color="auto"/>
            </w:tcBorders>
            <w:shd w:val="clear" w:color="auto" w:fill="auto"/>
            <w:noWrap/>
            <w:vAlign w:val="bottom"/>
            <w:hideMark/>
          </w:tcPr>
          <w:p w14:paraId="769EBF7A"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03/2019</w:t>
            </w:r>
          </w:p>
        </w:tc>
        <w:tc>
          <w:tcPr>
            <w:tcW w:w="464" w:type="pct"/>
            <w:tcBorders>
              <w:top w:val="single" w:sz="12" w:space="0" w:color="auto"/>
            </w:tcBorders>
            <w:shd w:val="clear" w:color="auto" w:fill="auto"/>
            <w:noWrap/>
            <w:vAlign w:val="bottom"/>
            <w:hideMark/>
          </w:tcPr>
          <w:p w14:paraId="4324A61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0.48 </w:t>
            </w:r>
          </w:p>
        </w:tc>
        <w:tc>
          <w:tcPr>
            <w:tcW w:w="521" w:type="pct"/>
            <w:tcBorders>
              <w:top w:val="single" w:sz="12" w:space="0" w:color="auto"/>
            </w:tcBorders>
            <w:shd w:val="clear" w:color="auto" w:fill="auto"/>
            <w:noWrap/>
            <w:vAlign w:val="bottom"/>
            <w:hideMark/>
          </w:tcPr>
          <w:p w14:paraId="7003E6D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1.60 </w:t>
            </w:r>
          </w:p>
        </w:tc>
        <w:tc>
          <w:tcPr>
            <w:tcW w:w="464" w:type="pct"/>
            <w:tcBorders>
              <w:top w:val="single" w:sz="12" w:space="0" w:color="auto"/>
            </w:tcBorders>
            <w:shd w:val="clear" w:color="auto" w:fill="auto"/>
            <w:noWrap/>
            <w:vAlign w:val="bottom"/>
            <w:hideMark/>
          </w:tcPr>
          <w:p w14:paraId="60BAB77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0.69 </w:t>
            </w:r>
          </w:p>
        </w:tc>
        <w:tc>
          <w:tcPr>
            <w:tcW w:w="521" w:type="pct"/>
            <w:tcBorders>
              <w:top w:val="single" w:sz="12" w:space="0" w:color="auto"/>
            </w:tcBorders>
            <w:shd w:val="clear" w:color="auto" w:fill="auto"/>
            <w:noWrap/>
            <w:vAlign w:val="bottom"/>
            <w:hideMark/>
          </w:tcPr>
          <w:p w14:paraId="761C49E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2.00 </w:t>
            </w:r>
          </w:p>
        </w:tc>
        <w:tc>
          <w:tcPr>
            <w:tcW w:w="463" w:type="pct"/>
            <w:tcBorders>
              <w:top w:val="single" w:sz="12" w:space="0" w:color="auto"/>
            </w:tcBorders>
            <w:shd w:val="clear" w:color="auto" w:fill="auto"/>
            <w:noWrap/>
            <w:vAlign w:val="bottom"/>
            <w:hideMark/>
          </w:tcPr>
          <w:p w14:paraId="364B492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0.23 </w:t>
            </w:r>
          </w:p>
        </w:tc>
        <w:tc>
          <w:tcPr>
            <w:tcW w:w="521" w:type="pct"/>
            <w:tcBorders>
              <w:top w:val="single" w:sz="12" w:space="0" w:color="auto"/>
            </w:tcBorders>
            <w:shd w:val="clear" w:color="auto" w:fill="auto"/>
            <w:noWrap/>
            <w:vAlign w:val="bottom"/>
            <w:hideMark/>
          </w:tcPr>
          <w:p w14:paraId="0142464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-0.87 </w:t>
            </w:r>
          </w:p>
        </w:tc>
        <w:tc>
          <w:tcPr>
            <w:tcW w:w="463" w:type="pct"/>
            <w:tcBorders>
              <w:top w:val="single" w:sz="12" w:space="0" w:color="auto"/>
            </w:tcBorders>
            <w:shd w:val="clear" w:color="auto" w:fill="auto"/>
            <w:noWrap/>
            <w:vAlign w:val="bottom"/>
            <w:hideMark/>
          </w:tcPr>
          <w:p w14:paraId="668F7F0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-0.07 </w:t>
            </w:r>
          </w:p>
        </w:tc>
        <w:tc>
          <w:tcPr>
            <w:tcW w:w="521" w:type="pct"/>
            <w:tcBorders>
              <w:top w:val="single" w:sz="12" w:space="0" w:color="auto"/>
            </w:tcBorders>
            <w:shd w:val="clear" w:color="auto" w:fill="auto"/>
            <w:noWrap/>
            <w:vAlign w:val="bottom"/>
            <w:hideMark/>
          </w:tcPr>
          <w:p w14:paraId="2A08992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0.73 </w:t>
            </w:r>
          </w:p>
        </w:tc>
        <w:tc>
          <w:tcPr>
            <w:tcW w:w="459" w:type="pct"/>
            <w:tcBorders>
              <w:top w:val="single" w:sz="12" w:space="0" w:color="auto"/>
              <w:right w:val="single" w:sz="12" w:space="0" w:color="auto"/>
            </w:tcBorders>
            <w:shd w:val="clear" w:color="auto" w:fill="auto"/>
            <w:noWrap/>
            <w:vAlign w:val="bottom"/>
            <w:hideMark/>
          </w:tcPr>
          <w:p w14:paraId="26E7D37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0.54 </w:t>
            </w:r>
          </w:p>
        </w:tc>
      </w:tr>
      <w:tr w:rsidR="00365FA6" w:rsidRPr="00976541" w14:paraId="179D706C" w14:textId="77777777" w:rsidTr="00D856D2">
        <w:trPr>
          <w:trHeight w:val="278"/>
        </w:trPr>
        <w:tc>
          <w:tcPr>
            <w:tcW w:w="603" w:type="pct"/>
            <w:tcBorders>
              <w:left w:val="single" w:sz="12" w:space="0" w:color="auto"/>
            </w:tcBorders>
            <w:shd w:val="clear" w:color="auto" w:fill="auto"/>
            <w:noWrap/>
            <w:vAlign w:val="bottom"/>
            <w:hideMark/>
          </w:tcPr>
          <w:p w14:paraId="26FCF40B"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06/2019</w:t>
            </w:r>
          </w:p>
        </w:tc>
        <w:tc>
          <w:tcPr>
            <w:tcW w:w="464" w:type="pct"/>
            <w:shd w:val="clear" w:color="auto" w:fill="auto"/>
            <w:noWrap/>
            <w:vAlign w:val="bottom"/>
            <w:hideMark/>
          </w:tcPr>
          <w:p w14:paraId="512B15F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0.35 </w:t>
            </w:r>
          </w:p>
        </w:tc>
        <w:tc>
          <w:tcPr>
            <w:tcW w:w="521" w:type="pct"/>
            <w:shd w:val="clear" w:color="auto" w:fill="auto"/>
            <w:noWrap/>
            <w:vAlign w:val="bottom"/>
            <w:hideMark/>
          </w:tcPr>
          <w:p w14:paraId="7CF6D25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1.50 </w:t>
            </w:r>
          </w:p>
        </w:tc>
        <w:tc>
          <w:tcPr>
            <w:tcW w:w="464" w:type="pct"/>
            <w:shd w:val="clear" w:color="auto" w:fill="auto"/>
            <w:noWrap/>
            <w:vAlign w:val="bottom"/>
            <w:hideMark/>
          </w:tcPr>
          <w:p w14:paraId="23F0282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-0.04 </w:t>
            </w:r>
          </w:p>
        </w:tc>
        <w:tc>
          <w:tcPr>
            <w:tcW w:w="521" w:type="pct"/>
            <w:shd w:val="clear" w:color="auto" w:fill="auto"/>
            <w:noWrap/>
            <w:vAlign w:val="bottom"/>
            <w:hideMark/>
          </w:tcPr>
          <w:p w14:paraId="4F40294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4.18 </w:t>
            </w:r>
          </w:p>
        </w:tc>
        <w:tc>
          <w:tcPr>
            <w:tcW w:w="463" w:type="pct"/>
            <w:shd w:val="clear" w:color="auto" w:fill="auto"/>
            <w:noWrap/>
            <w:vAlign w:val="bottom"/>
            <w:hideMark/>
          </w:tcPr>
          <w:p w14:paraId="6B7C072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0.37 </w:t>
            </w:r>
          </w:p>
        </w:tc>
        <w:tc>
          <w:tcPr>
            <w:tcW w:w="521" w:type="pct"/>
            <w:shd w:val="clear" w:color="auto" w:fill="auto"/>
            <w:noWrap/>
            <w:vAlign w:val="bottom"/>
            <w:hideMark/>
          </w:tcPr>
          <w:p w14:paraId="102AF06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0.45 </w:t>
            </w:r>
          </w:p>
        </w:tc>
        <w:tc>
          <w:tcPr>
            <w:tcW w:w="463" w:type="pct"/>
            <w:shd w:val="clear" w:color="auto" w:fill="auto"/>
            <w:noWrap/>
            <w:vAlign w:val="bottom"/>
            <w:hideMark/>
          </w:tcPr>
          <w:p w14:paraId="5A568BA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1.09 </w:t>
            </w:r>
          </w:p>
        </w:tc>
        <w:tc>
          <w:tcPr>
            <w:tcW w:w="521" w:type="pct"/>
            <w:shd w:val="clear" w:color="auto" w:fill="auto"/>
            <w:noWrap/>
            <w:vAlign w:val="bottom"/>
            <w:hideMark/>
          </w:tcPr>
          <w:p w14:paraId="4538110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0.32 </w:t>
            </w:r>
          </w:p>
        </w:tc>
        <w:tc>
          <w:tcPr>
            <w:tcW w:w="459" w:type="pct"/>
            <w:tcBorders>
              <w:right w:val="single" w:sz="12" w:space="0" w:color="auto"/>
            </w:tcBorders>
            <w:shd w:val="clear" w:color="auto" w:fill="auto"/>
            <w:noWrap/>
            <w:vAlign w:val="bottom"/>
            <w:hideMark/>
          </w:tcPr>
          <w:p w14:paraId="12F3374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0.83 </w:t>
            </w:r>
          </w:p>
        </w:tc>
      </w:tr>
      <w:tr w:rsidR="00365FA6" w:rsidRPr="00976541" w14:paraId="3024F51D" w14:textId="77777777" w:rsidTr="00D856D2">
        <w:trPr>
          <w:trHeight w:val="278"/>
        </w:trPr>
        <w:tc>
          <w:tcPr>
            <w:tcW w:w="603" w:type="pct"/>
            <w:tcBorders>
              <w:left w:val="single" w:sz="12" w:space="0" w:color="auto"/>
            </w:tcBorders>
            <w:shd w:val="clear" w:color="auto" w:fill="auto"/>
            <w:noWrap/>
            <w:vAlign w:val="bottom"/>
            <w:hideMark/>
          </w:tcPr>
          <w:p w14:paraId="0DEEA4D9"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09/2019</w:t>
            </w:r>
          </w:p>
        </w:tc>
        <w:tc>
          <w:tcPr>
            <w:tcW w:w="464" w:type="pct"/>
            <w:shd w:val="clear" w:color="auto" w:fill="auto"/>
            <w:noWrap/>
            <w:vAlign w:val="bottom"/>
            <w:hideMark/>
          </w:tcPr>
          <w:p w14:paraId="1736C27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0.10 </w:t>
            </w:r>
          </w:p>
        </w:tc>
        <w:tc>
          <w:tcPr>
            <w:tcW w:w="521" w:type="pct"/>
            <w:shd w:val="clear" w:color="auto" w:fill="auto"/>
            <w:noWrap/>
            <w:vAlign w:val="bottom"/>
            <w:hideMark/>
          </w:tcPr>
          <w:p w14:paraId="2AD0355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1.40 </w:t>
            </w:r>
          </w:p>
        </w:tc>
        <w:tc>
          <w:tcPr>
            <w:tcW w:w="464" w:type="pct"/>
            <w:shd w:val="clear" w:color="auto" w:fill="auto"/>
            <w:noWrap/>
            <w:vAlign w:val="bottom"/>
            <w:hideMark/>
          </w:tcPr>
          <w:p w14:paraId="109A1A3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-0.02 </w:t>
            </w:r>
          </w:p>
        </w:tc>
        <w:tc>
          <w:tcPr>
            <w:tcW w:w="521" w:type="pct"/>
            <w:shd w:val="clear" w:color="auto" w:fill="auto"/>
            <w:noWrap/>
            <w:vAlign w:val="bottom"/>
            <w:hideMark/>
          </w:tcPr>
          <w:p w14:paraId="02ECE69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-1.70 </w:t>
            </w:r>
          </w:p>
        </w:tc>
        <w:tc>
          <w:tcPr>
            <w:tcW w:w="463" w:type="pct"/>
            <w:shd w:val="clear" w:color="auto" w:fill="auto"/>
            <w:noWrap/>
            <w:vAlign w:val="bottom"/>
            <w:hideMark/>
          </w:tcPr>
          <w:p w14:paraId="5556AED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0.15 </w:t>
            </w:r>
          </w:p>
        </w:tc>
        <w:tc>
          <w:tcPr>
            <w:tcW w:w="521" w:type="pct"/>
            <w:shd w:val="clear" w:color="auto" w:fill="auto"/>
            <w:noWrap/>
            <w:vAlign w:val="bottom"/>
            <w:hideMark/>
          </w:tcPr>
          <w:p w14:paraId="797EE16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0.11 </w:t>
            </w:r>
          </w:p>
        </w:tc>
        <w:tc>
          <w:tcPr>
            <w:tcW w:w="463" w:type="pct"/>
            <w:shd w:val="clear" w:color="auto" w:fill="auto"/>
            <w:noWrap/>
            <w:vAlign w:val="bottom"/>
            <w:hideMark/>
          </w:tcPr>
          <w:p w14:paraId="1399EEB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0.42 </w:t>
            </w:r>
          </w:p>
        </w:tc>
        <w:tc>
          <w:tcPr>
            <w:tcW w:w="521" w:type="pct"/>
            <w:shd w:val="clear" w:color="auto" w:fill="auto"/>
            <w:noWrap/>
            <w:vAlign w:val="bottom"/>
            <w:hideMark/>
          </w:tcPr>
          <w:p w14:paraId="13684C5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0.73 </w:t>
            </w:r>
          </w:p>
        </w:tc>
        <w:tc>
          <w:tcPr>
            <w:tcW w:w="459" w:type="pct"/>
            <w:tcBorders>
              <w:right w:val="single" w:sz="12" w:space="0" w:color="auto"/>
            </w:tcBorders>
            <w:shd w:val="clear" w:color="auto" w:fill="auto"/>
            <w:noWrap/>
            <w:vAlign w:val="bottom"/>
            <w:hideMark/>
          </w:tcPr>
          <w:p w14:paraId="23452EE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1.13 </w:t>
            </w:r>
          </w:p>
        </w:tc>
      </w:tr>
      <w:tr w:rsidR="00365FA6" w:rsidRPr="00976541" w14:paraId="42F69289" w14:textId="77777777" w:rsidTr="00D856D2">
        <w:trPr>
          <w:trHeight w:val="278"/>
        </w:trPr>
        <w:tc>
          <w:tcPr>
            <w:tcW w:w="603" w:type="pct"/>
            <w:tcBorders>
              <w:left w:val="single" w:sz="12" w:space="0" w:color="auto"/>
            </w:tcBorders>
            <w:shd w:val="clear" w:color="auto" w:fill="auto"/>
            <w:noWrap/>
            <w:vAlign w:val="bottom"/>
            <w:hideMark/>
          </w:tcPr>
          <w:p w14:paraId="14DC1EEC"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12/2019</w:t>
            </w:r>
          </w:p>
        </w:tc>
        <w:tc>
          <w:tcPr>
            <w:tcW w:w="464" w:type="pct"/>
            <w:shd w:val="clear" w:color="auto" w:fill="auto"/>
            <w:noWrap/>
            <w:vAlign w:val="bottom"/>
            <w:hideMark/>
          </w:tcPr>
          <w:p w14:paraId="5B9AFED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0.82 </w:t>
            </w:r>
          </w:p>
        </w:tc>
        <w:tc>
          <w:tcPr>
            <w:tcW w:w="521" w:type="pct"/>
            <w:shd w:val="clear" w:color="auto" w:fill="auto"/>
            <w:noWrap/>
            <w:vAlign w:val="bottom"/>
            <w:hideMark/>
          </w:tcPr>
          <w:p w14:paraId="642FD71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1.30 </w:t>
            </w:r>
          </w:p>
        </w:tc>
        <w:tc>
          <w:tcPr>
            <w:tcW w:w="464" w:type="pct"/>
            <w:shd w:val="clear" w:color="auto" w:fill="auto"/>
            <w:noWrap/>
            <w:vAlign w:val="bottom"/>
            <w:hideMark/>
          </w:tcPr>
          <w:p w14:paraId="1A5BB51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0.30 </w:t>
            </w:r>
          </w:p>
        </w:tc>
        <w:tc>
          <w:tcPr>
            <w:tcW w:w="521" w:type="pct"/>
            <w:shd w:val="clear" w:color="auto" w:fill="auto"/>
            <w:noWrap/>
            <w:vAlign w:val="bottom"/>
            <w:hideMark/>
          </w:tcPr>
          <w:p w14:paraId="4B40345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-1.85 </w:t>
            </w:r>
          </w:p>
        </w:tc>
        <w:tc>
          <w:tcPr>
            <w:tcW w:w="463" w:type="pct"/>
            <w:shd w:val="clear" w:color="auto" w:fill="auto"/>
            <w:noWrap/>
            <w:vAlign w:val="bottom"/>
            <w:hideMark/>
          </w:tcPr>
          <w:p w14:paraId="7924AB6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-2.75 </w:t>
            </w:r>
          </w:p>
        </w:tc>
        <w:tc>
          <w:tcPr>
            <w:tcW w:w="521" w:type="pct"/>
            <w:shd w:val="clear" w:color="auto" w:fill="auto"/>
            <w:noWrap/>
            <w:vAlign w:val="bottom"/>
            <w:hideMark/>
          </w:tcPr>
          <w:p w14:paraId="0ED1227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-0.04 </w:t>
            </w:r>
          </w:p>
        </w:tc>
        <w:tc>
          <w:tcPr>
            <w:tcW w:w="463" w:type="pct"/>
            <w:shd w:val="clear" w:color="auto" w:fill="auto"/>
            <w:noWrap/>
            <w:vAlign w:val="bottom"/>
            <w:hideMark/>
          </w:tcPr>
          <w:p w14:paraId="08239C4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1.22 </w:t>
            </w:r>
          </w:p>
        </w:tc>
        <w:tc>
          <w:tcPr>
            <w:tcW w:w="521" w:type="pct"/>
            <w:shd w:val="clear" w:color="auto" w:fill="auto"/>
            <w:noWrap/>
            <w:vAlign w:val="bottom"/>
            <w:hideMark/>
          </w:tcPr>
          <w:p w14:paraId="592F04F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-0.02 </w:t>
            </w:r>
          </w:p>
        </w:tc>
        <w:tc>
          <w:tcPr>
            <w:tcW w:w="459" w:type="pct"/>
            <w:tcBorders>
              <w:right w:val="single" w:sz="12" w:space="0" w:color="auto"/>
            </w:tcBorders>
            <w:shd w:val="clear" w:color="auto" w:fill="auto"/>
            <w:noWrap/>
            <w:vAlign w:val="bottom"/>
            <w:hideMark/>
          </w:tcPr>
          <w:p w14:paraId="7BDF5CC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0.64 </w:t>
            </w:r>
          </w:p>
        </w:tc>
      </w:tr>
      <w:tr w:rsidR="00365FA6" w:rsidRPr="00976541" w14:paraId="65FE467F" w14:textId="77777777" w:rsidTr="00D856D2">
        <w:trPr>
          <w:trHeight w:val="278"/>
        </w:trPr>
        <w:tc>
          <w:tcPr>
            <w:tcW w:w="603" w:type="pct"/>
            <w:tcBorders>
              <w:left w:val="single" w:sz="12" w:space="0" w:color="auto"/>
            </w:tcBorders>
            <w:shd w:val="clear" w:color="auto" w:fill="auto"/>
            <w:noWrap/>
            <w:vAlign w:val="bottom"/>
            <w:hideMark/>
          </w:tcPr>
          <w:p w14:paraId="0860689D"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03/2020</w:t>
            </w:r>
          </w:p>
        </w:tc>
        <w:tc>
          <w:tcPr>
            <w:tcW w:w="464" w:type="pct"/>
            <w:shd w:val="clear" w:color="auto" w:fill="auto"/>
            <w:noWrap/>
            <w:vAlign w:val="bottom"/>
            <w:hideMark/>
          </w:tcPr>
          <w:p w14:paraId="759A168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-2.18 </w:t>
            </w:r>
          </w:p>
        </w:tc>
        <w:tc>
          <w:tcPr>
            <w:tcW w:w="521" w:type="pct"/>
            <w:shd w:val="clear" w:color="auto" w:fill="auto"/>
            <w:noWrap/>
            <w:vAlign w:val="bottom"/>
            <w:hideMark/>
          </w:tcPr>
          <w:p w14:paraId="335EAAB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-10.40 </w:t>
            </w:r>
          </w:p>
        </w:tc>
        <w:tc>
          <w:tcPr>
            <w:tcW w:w="464" w:type="pct"/>
            <w:shd w:val="clear" w:color="auto" w:fill="auto"/>
            <w:noWrap/>
            <w:vAlign w:val="bottom"/>
            <w:hideMark/>
          </w:tcPr>
          <w:p w14:paraId="51C8AD9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-1.77 </w:t>
            </w:r>
          </w:p>
        </w:tc>
        <w:tc>
          <w:tcPr>
            <w:tcW w:w="521" w:type="pct"/>
            <w:shd w:val="clear" w:color="auto" w:fill="auto"/>
            <w:noWrap/>
            <w:vAlign w:val="bottom"/>
            <w:hideMark/>
          </w:tcPr>
          <w:p w14:paraId="1AB9262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1.50 </w:t>
            </w:r>
          </w:p>
        </w:tc>
        <w:tc>
          <w:tcPr>
            <w:tcW w:w="463" w:type="pct"/>
            <w:shd w:val="clear" w:color="auto" w:fill="auto"/>
            <w:noWrap/>
            <w:vAlign w:val="bottom"/>
            <w:hideMark/>
          </w:tcPr>
          <w:p w14:paraId="4BFA1A0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0.51 </w:t>
            </w:r>
          </w:p>
        </w:tc>
        <w:tc>
          <w:tcPr>
            <w:tcW w:w="521" w:type="pct"/>
            <w:shd w:val="clear" w:color="auto" w:fill="auto"/>
            <w:noWrap/>
            <w:vAlign w:val="bottom"/>
            <w:hideMark/>
          </w:tcPr>
          <w:p w14:paraId="54C6948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0.24 </w:t>
            </w:r>
          </w:p>
        </w:tc>
        <w:tc>
          <w:tcPr>
            <w:tcW w:w="463" w:type="pct"/>
            <w:shd w:val="clear" w:color="auto" w:fill="auto"/>
            <w:noWrap/>
            <w:vAlign w:val="bottom"/>
            <w:hideMark/>
          </w:tcPr>
          <w:p w14:paraId="613BF7A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-1.28 </w:t>
            </w:r>
          </w:p>
        </w:tc>
        <w:tc>
          <w:tcPr>
            <w:tcW w:w="521" w:type="pct"/>
            <w:shd w:val="clear" w:color="auto" w:fill="auto"/>
            <w:noWrap/>
            <w:vAlign w:val="bottom"/>
            <w:hideMark/>
          </w:tcPr>
          <w:p w14:paraId="54986C8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-2.72 </w:t>
            </w:r>
          </w:p>
        </w:tc>
        <w:tc>
          <w:tcPr>
            <w:tcW w:w="459" w:type="pct"/>
            <w:tcBorders>
              <w:right w:val="single" w:sz="12" w:space="0" w:color="auto"/>
            </w:tcBorders>
            <w:shd w:val="clear" w:color="auto" w:fill="auto"/>
            <w:noWrap/>
            <w:vAlign w:val="bottom"/>
            <w:hideMark/>
          </w:tcPr>
          <w:p w14:paraId="76884CF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-1.36 </w:t>
            </w:r>
          </w:p>
        </w:tc>
      </w:tr>
      <w:tr w:rsidR="00365FA6" w:rsidRPr="00976541" w14:paraId="5A985031" w14:textId="77777777" w:rsidTr="00D856D2">
        <w:trPr>
          <w:trHeight w:val="278"/>
        </w:trPr>
        <w:tc>
          <w:tcPr>
            <w:tcW w:w="603" w:type="pct"/>
            <w:tcBorders>
              <w:left w:val="single" w:sz="12" w:space="0" w:color="auto"/>
            </w:tcBorders>
            <w:shd w:val="clear" w:color="auto" w:fill="auto"/>
            <w:noWrap/>
            <w:vAlign w:val="bottom"/>
            <w:hideMark/>
          </w:tcPr>
          <w:p w14:paraId="66E36627"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06/2020</w:t>
            </w:r>
          </w:p>
        </w:tc>
        <w:tc>
          <w:tcPr>
            <w:tcW w:w="464" w:type="pct"/>
            <w:shd w:val="clear" w:color="auto" w:fill="auto"/>
            <w:noWrap/>
            <w:vAlign w:val="bottom"/>
            <w:hideMark/>
          </w:tcPr>
          <w:p w14:paraId="3CD2D53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-8.95 </w:t>
            </w:r>
          </w:p>
        </w:tc>
        <w:tc>
          <w:tcPr>
            <w:tcW w:w="521" w:type="pct"/>
            <w:shd w:val="clear" w:color="auto" w:fill="auto"/>
            <w:noWrap/>
            <w:vAlign w:val="bottom"/>
            <w:hideMark/>
          </w:tcPr>
          <w:p w14:paraId="7F4A59C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11.50 </w:t>
            </w:r>
          </w:p>
        </w:tc>
        <w:tc>
          <w:tcPr>
            <w:tcW w:w="464" w:type="pct"/>
            <w:shd w:val="clear" w:color="auto" w:fill="auto"/>
            <w:noWrap/>
            <w:vAlign w:val="bottom"/>
            <w:hideMark/>
          </w:tcPr>
          <w:p w14:paraId="6263D78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-9.22 </w:t>
            </w:r>
          </w:p>
        </w:tc>
        <w:tc>
          <w:tcPr>
            <w:tcW w:w="521" w:type="pct"/>
            <w:shd w:val="clear" w:color="auto" w:fill="auto"/>
            <w:noWrap/>
            <w:vAlign w:val="bottom"/>
            <w:hideMark/>
          </w:tcPr>
          <w:p w14:paraId="2B4F350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-20.46 </w:t>
            </w:r>
          </w:p>
        </w:tc>
        <w:tc>
          <w:tcPr>
            <w:tcW w:w="463" w:type="pct"/>
            <w:shd w:val="clear" w:color="auto" w:fill="auto"/>
            <w:noWrap/>
            <w:vAlign w:val="bottom"/>
            <w:hideMark/>
          </w:tcPr>
          <w:p w14:paraId="18B1F3C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-7.76 </w:t>
            </w:r>
          </w:p>
        </w:tc>
        <w:tc>
          <w:tcPr>
            <w:tcW w:w="521" w:type="pct"/>
            <w:shd w:val="clear" w:color="auto" w:fill="auto"/>
            <w:noWrap/>
            <w:vAlign w:val="bottom"/>
            <w:hideMark/>
          </w:tcPr>
          <w:p w14:paraId="7DE1256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-16.89 </w:t>
            </w:r>
          </w:p>
        </w:tc>
        <w:tc>
          <w:tcPr>
            <w:tcW w:w="463" w:type="pct"/>
            <w:shd w:val="clear" w:color="auto" w:fill="auto"/>
            <w:noWrap/>
            <w:vAlign w:val="bottom"/>
            <w:hideMark/>
          </w:tcPr>
          <w:p w14:paraId="4163D42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-3.02 </w:t>
            </w:r>
          </w:p>
        </w:tc>
        <w:tc>
          <w:tcPr>
            <w:tcW w:w="521" w:type="pct"/>
            <w:shd w:val="clear" w:color="auto" w:fill="auto"/>
            <w:noWrap/>
            <w:vAlign w:val="bottom"/>
            <w:hideMark/>
          </w:tcPr>
          <w:p w14:paraId="2DCEB4C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-20.32 </w:t>
            </w:r>
          </w:p>
        </w:tc>
        <w:tc>
          <w:tcPr>
            <w:tcW w:w="459" w:type="pct"/>
            <w:tcBorders>
              <w:right w:val="single" w:sz="12" w:space="0" w:color="auto"/>
            </w:tcBorders>
            <w:shd w:val="clear" w:color="auto" w:fill="auto"/>
            <w:noWrap/>
            <w:vAlign w:val="bottom"/>
            <w:hideMark/>
          </w:tcPr>
          <w:p w14:paraId="6DFB3E7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-7.89 </w:t>
            </w:r>
          </w:p>
        </w:tc>
      </w:tr>
      <w:tr w:rsidR="00365FA6" w:rsidRPr="00976541" w14:paraId="6E6CDB03" w14:textId="77777777" w:rsidTr="00D856D2">
        <w:trPr>
          <w:trHeight w:val="278"/>
        </w:trPr>
        <w:tc>
          <w:tcPr>
            <w:tcW w:w="603" w:type="pct"/>
            <w:tcBorders>
              <w:left w:val="single" w:sz="12" w:space="0" w:color="auto"/>
            </w:tcBorders>
            <w:shd w:val="clear" w:color="auto" w:fill="auto"/>
            <w:noWrap/>
            <w:vAlign w:val="bottom"/>
            <w:hideMark/>
          </w:tcPr>
          <w:p w14:paraId="20495679"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09/2020</w:t>
            </w:r>
          </w:p>
        </w:tc>
        <w:tc>
          <w:tcPr>
            <w:tcW w:w="464" w:type="pct"/>
            <w:shd w:val="clear" w:color="auto" w:fill="auto"/>
            <w:noWrap/>
            <w:vAlign w:val="bottom"/>
            <w:hideMark/>
          </w:tcPr>
          <w:p w14:paraId="38871E4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7.99 </w:t>
            </w:r>
          </w:p>
        </w:tc>
        <w:tc>
          <w:tcPr>
            <w:tcW w:w="521" w:type="pct"/>
            <w:shd w:val="clear" w:color="auto" w:fill="auto"/>
            <w:noWrap/>
            <w:vAlign w:val="bottom"/>
            <w:hideMark/>
          </w:tcPr>
          <w:p w14:paraId="32A2283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3.40 </w:t>
            </w:r>
          </w:p>
        </w:tc>
        <w:tc>
          <w:tcPr>
            <w:tcW w:w="464" w:type="pct"/>
            <w:shd w:val="clear" w:color="auto" w:fill="auto"/>
            <w:noWrap/>
            <w:vAlign w:val="bottom"/>
            <w:hideMark/>
          </w:tcPr>
          <w:p w14:paraId="11EEBC2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8.91 </w:t>
            </w:r>
          </w:p>
        </w:tc>
        <w:tc>
          <w:tcPr>
            <w:tcW w:w="521" w:type="pct"/>
            <w:shd w:val="clear" w:color="auto" w:fill="auto"/>
            <w:noWrap/>
            <w:vAlign w:val="bottom"/>
            <w:hideMark/>
          </w:tcPr>
          <w:p w14:paraId="0EB5C22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18.81 </w:t>
            </w:r>
          </w:p>
        </w:tc>
        <w:tc>
          <w:tcPr>
            <w:tcW w:w="463" w:type="pct"/>
            <w:shd w:val="clear" w:color="auto" w:fill="auto"/>
            <w:noWrap/>
            <w:vAlign w:val="bottom"/>
            <w:hideMark/>
          </w:tcPr>
          <w:p w14:paraId="6DE6D1D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5.52 </w:t>
            </w:r>
          </w:p>
        </w:tc>
        <w:tc>
          <w:tcPr>
            <w:tcW w:w="521" w:type="pct"/>
            <w:shd w:val="clear" w:color="auto" w:fill="auto"/>
            <w:noWrap/>
            <w:vAlign w:val="bottom"/>
            <w:hideMark/>
          </w:tcPr>
          <w:p w14:paraId="4B0C5C3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13.73 </w:t>
            </w:r>
          </w:p>
        </w:tc>
        <w:tc>
          <w:tcPr>
            <w:tcW w:w="463" w:type="pct"/>
            <w:shd w:val="clear" w:color="auto" w:fill="auto"/>
            <w:noWrap/>
            <w:vAlign w:val="bottom"/>
            <w:hideMark/>
          </w:tcPr>
          <w:p w14:paraId="3439F48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2.31 </w:t>
            </w:r>
          </w:p>
        </w:tc>
        <w:tc>
          <w:tcPr>
            <w:tcW w:w="521" w:type="pct"/>
            <w:shd w:val="clear" w:color="auto" w:fill="auto"/>
            <w:noWrap/>
            <w:vAlign w:val="bottom"/>
            <w:hideMark/>
          </w:tcPr>
          <w:p w14:paraId="2E67D83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16.78 </w:t>
            </w:r>
          </w:p>
        </w:tc>
        <w:tc>
          <w:tcPr>
            <w:tcW w:w="459" w:type="pct"/>
            <w:tcBorders>
              <w:right w:val="single" w:sz="12" w:space="0" w:color="auto"/>
            </w:tcBorders>
            <w:shd w:val="clear" w:color="auto" w:fill="auto"/>
            <w:noWrap/>
            <w:vAlign w:val="bottom"/>
            <w:hideMark/>
          </w:tcPr>
          <w:p w14:paraId="60DF37C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7.76 </w:t>
            </w:r>
          </w:p>
        </w:tc>
      </w:tr>
      <w:tr w:rsidR="00365FA6" w:rsidRPr="00976541" w14:paraId="37C789B6" w14:textId="77777777" w:rsidTr="00D856D2">
        <w:trPr>
          <w:trHeight w:val="278"/>
        </w:trPr>
        <w:tc>
          <w:tcPr>
            <w:tcW w:w="603" w:type="pct"/>
            <w:tcBorders>
              <w:left w:val="single" w:sz="12" w:space="0" w:color="auto"/>
            </w:tcBorders>
            <w:shd w:val="clear" w:color="auto" w:fill="auto"/>
            <w:noWrap/>
            <w:vAlign w:val="bottom"/>
            <w:hideMark/>
          </w:tcPr>
          <w:p w14:paraId="611AE19F"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12/2020</w:t>
            </w:r>
          </w:p>
        </w:tc>
        <w:tc>
          <w:tcPr>
            <w:tcW w:w="464" w:type="pct"/>
            <w:shd w:val="clear" w:color="auto" w:fill="auto"/>
            <w:noWrap/>
            <w:vAlign w:val="bottom"/>
            <w:hideMark/>
          </w:tcPr>
          <w:p w14:paraId="5F4E816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3.67 </w:t>
            </w:r>
          </w:p>
        </w:tc>
        <w:tc>
          <w:tcPr>
            <w:tcW w:w="521" w:type="pct"/>
            <w:shd w:val="clear" w:color="auto" w:fill="auto"/>
            <w:noWrap/>
            <w:vAlign w:val="bottom"/>
            <w:hideMark/>
          </w:tcPr>
          <w:p w14:paraId="61C6404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2.60 </w:t>
            </w:r>
          </w:p>
        </w:tc>
        <w:tc>
          <w:tcPr>
            <w:tcW w:w="464" w:type="pct"/>
            <w:shd w:val="clear" w:color="auto" w:fill="auto"/>
            <w:noWrap/>
            <w:vAlign w:val="bottom"/>
            <w:hideMark/>
          </w:tcPr>
          <w:p w14:paraId="0D9DB08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0.78 </w:t>
            </w:r>
          </w:p>
        </w:tc>
        <w:tc>
          <w:tcPr>
            <w:tcW w:w="521" w:type="pct"/>
            <w:shd w:val="clear" w:color="auto" w:fill="auto"/>
            <w:noWrap/>
            <w:vAlign w:val="bottom"/>
            <w:hideMark/>
          </w:tcPr>
          <w:p w14:paraId="758ADE3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5.63 </w:t>
            </w:r>
          </w:p>
        </w:tc>
        <w:tc>
          <w:tcPr>
            <w:tcW w:w="463" w:type="pct"/>
            <w:shd w:val="clear" w:color="auto" w:fill="auto"/>
            <w:noWrap/>
            <w:vAlign w:val="bottom"/>
            <w:hideMark/>
          </w:tcPr>
          <w:p w14:paraId="6B7D0C9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1.85 </w:t>
            </w:r>
          </w:p>
        </w:tc>
        <w:tc>
          <w:tcPr>
            <w:tcW w:w="521" w:type="pct"/>
            <w:shd w:val="clear" w:color="auto" w:fill="auto"/>
            <w:noWrap/>
            <w:vAlign w:val="bottom"/>
            <w:hideMark/>
          </w:tcPr>
          <w:p w14:paraId="3759313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2.74 </w:t>
            </w:r>
          </w:p>
        </w:tc>
        <w:tc>
          <w:tcPr>
            <w:tcW w:w="463" w:type="pct"/>
            <w:shd w:val="clear" w:color="auto" w:fill="auto"/>
            <w:noWrap/>
            <w:vAlign w:val="bottom"/>
            <w:hideMark/>
          </w:tcPr>
          <w:p w14:paraId="73C1A02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1.35 </w:t>
            </w:r>
          </w:p>
        </w:tc>
        <w:tc>
          <w:tcPr>
            <w:tcW w:w="521" w:type="pct"/>
            <w:shd w:val="clear" w:color="auto" w:fill="auto"/>
            <w:noWrap/>
            <w:vAlign w:val="bottom"/>
            <w:hideMark/>
          </w:tcPr>
          <w:p w14:paraId="662B146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1.36 </w:t>
            </w:r>
          </w:p>
        </w:tc>
        <w:tc>
          <w:tcPr>
            <w:tcW w:w="459" w:type="pct"/>
            <w:tcBorders>
              <w:right w:val="single" w:sz="12" w:space="0" w:color="auto"/>
            </w:tcBorders>
            <w:shd w:val="clear" w:color="auto" w:fill="auto"/>
            <w:noWrap/>
            <w:vAlign w:val="bottom"/>
            <w:hideMark/>
          </w:tcPr>
          <w:p w14:paraId="1DBB5C1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1.04 </w:t>
            </w:r>
          </w:p>
        </w:tc>
      </w:tr>
      <w:tr w:rsidR="00365FA6" w:rsidRPr="00976541" w14:paraId="766572C3" w14:textId="77777777" w:rsidTr="00D856D2">
        <w:trPr>
          <w:trHeight w:val="278"/>
        </w:trPr>
        <w:tc>
          <w:tcPr>
            <w:tcW w:w="603" w:type="pct"/>
            <w:tcBorders>
              <w:left w:val="single" w:sz="12" w:space="0" w:color="auto"/>
            </w:tcBorders>
            <w:shd w:val="clear" w:color="auto" w:fill="auto"/>
            <w:noWrap/>
            <w:vAlign w:val="bottom"/>
            <w:hideMark/>
          </w:tcPr>
          <w:p w14:paraId="7CFAD1EC"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03/2021</w:t>
            </w:r>
          </w:p>
        </w:tc>
        <w:tc>
          <w:tcPr>
            <w:tcW w:w="464" w:type="pct"/>
            <w:shd w:val="clear" w:color="auto" w:fill="auto"/>
            <w:noWrap/>
            <w:vAlign w:val="bottom"/>
            <w:hideMark/>
          </w:tcPr>
          <w:p w14:paraId="3D543D8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1.05 </w:t>
            </w:r>
          </w:p>
        </w:tc>
        <w:tc>
          <w:tcPr>
            <w:tcW w:w="521" w:type="pct"/>
            <w:shd w:val="clear" w:color="auto" w:fill="auto"/>
            <w:noWrap/>
            <w:vAlign w:val="bottom"/>
            <w:hideMark/>
          </w:tcPr>
          <w:p w14:paraId="63C9220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0.70 </w:t>
            </w:r>
          </w:p>
        </w:tc>
        <w:tc>
          <w:tcPr>
            <w:tcW w:w="464" w:type="pct"/>
            <w:shd w:val="clear" w:color="auto" w:fill="auto"/>
            <w:noWrap/>
            <w:vAlign w:val="bottom"/>
            <w:hideMark/>
          </w:tcPr>
          <w:p w14:paraId="362A88E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-1.27 </w:t>
            </w:r>
          </w:p>
        </w:tc>
        <w:tc>
          <w:tcPr>
            <w:tcW w:w="521" w:type="pct"/>
            <w:shd w:val="clear" w:color="auto" w:fill="auto"/>
            <w:noWrap/>
            <w:vAlign w:val="bottom"/>
            <w:hideMark/>
          </w:tcPr>
          <w:p w14:paraId="18D21DF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2.87 </w:t>
            </w:r>
          </w:p>
        </w:tc>
        <w:tc>
          <w:tcPr>
            <w:tcW w:w="463" w:type="pct"/>
            <w:shd w:val="clear" w:color="auto" w:fill="auto"/>
            <w:noWrap/>
            <w:vAlign w:val="bottom"/>
            <w:hideMark/>
          </w:tcPr>
          <w:p w14:paraId="4FD5759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0.28 </w:t>
            </w:r>
          </w:p>
        </w:tc>
        <w:tc>
          <w:tcPr>
            <w:tcW w:w="521" w:type="pct"/>
            <w:shd w:val="clear" w:color="auto" w:fill="auto"/>
            <w:noWrap/>
            <w:vAlign w:val="bottom"/>
            <w:hideMark/>
          </w:tcPr>
          <w:p w14:paraId="4B0CCCF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0.64 </w:t>
            </w:r>
          </w:p>
        </w:tc>
        <w:tc>
          <w:tcPr>
            <w:tcW w:w="463" w:type="pct"/>
            <w:shd w:val="clear" w:color="auto" w:fill="auto"/>
            <w:noWrap/>
            <w:vAlign w:val="bottom"/>
            <w:hideMark/>
          </w:tcPr>
          <w:p w14:paraId="451EFE0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1.79 </w:t>
            </w:r>
          </w:p>
        </w:tc>
        <w:tc>
          <w:tcPr>
            <w:tcW w:w="521" w:type="pct"/>
            <w:shd w:val="clear" w:color="auto" w:fill="auto"/>
            <w:noWrap/>
            <w:vAlign w:val="bottom"/>
            <w:hideMark/>
          </w:tcPr>
          <w:p w14:paraId="510479D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-1.02 </w:t>
            </w:r>
          </w:p>
        </w:tc>
        <w:tc>
          <w:tcPr>
            <w:tcW w:w="459" w:type="pct"/>
            <w:tcBorders>
              <w:right w:val="single" w:sz="12" w:space="0" w:color="auto"/>
            </w:tcBorders>
            <w:shd w:val="clear" w:color="auto" w:fill="auto"/>
            <w:noWrap/>
            <w:vAlign w:val="bottom"/>
            <w:hideMark/>
          </w:tcPr>
          <w:p w14:paraId="33C3B78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1.29 </w:t>
            </w:r>
          </w:p>
        </w:tc>
      </w:tr>
      <w:tr w:rsidR="00365FA6" w:rsidRPr="00976541" w14:paraId="1549B2A8" w14:textId="77777777" w:rsidTr="00D856D2">
        <w:trPr>
          <w:trHeight w:val="278"/>
        </w:trPr>
        <w:tc>
          <w:tcPr>
            <w:tcW w:w="603" w:type="pct"/>
            <w:tcBorders>
              <w:left w:val="single" w:sz="12" w:space="0" w:color="auto"/>
            </w:tcBorders>
            <w:shd w:val="clear" w:color="auto" w:fill="auto"/>
            <w:noWrap/>
            <w:vAlign w:val="bottom"/>
            <w:hideMark/>
          </w:tcPr>
          <w:p w14:paraId="2CF09B2D"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06/2021</w:t>
            </w:r>
          </w:p>
        </w:tc>
        <w:tc>
          <w:tcPr>
            <w:tcW w:w="464" w:type="pct"/>
            <w:shd w:val="clear" w:color="auto" w:fill="auto"/>
            <w:noWrap/>
            <w:vAlign w:val="bottom"/>
            <w:hideMark/>
          </w:tcPr>
          <w:p w14:paraId="257DDC6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-0.68 </w:t>
            </w:r>
          </w:p>
        </w:tc>
        <w:tc>
          <w:tcPr>
            <w:tcW w:w="521" w:type="pct"/>
            <w:shd w:val="clear" w:color="auto" w:fill="auto"/>
            <w:noWrap/>
            <w:vAlign w:val="bottom"/>
            <w:hideMark/>
          </w:tcPr>
          <w:p w14:paraId="687D00B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1.20 </w:t>
            </w:r>
          </w:p>
        </w:tc>
        <w:tc>
          <w:tcPr>
            <w:tcW w:w="464" w:type="pct"/>
            <w:shd w:val="clear" w:color="auto" w:fill="auto"/>
            <w:noWrap/>
            <w:vAlign w:val="bottom"/>
            <w:hideMark/>
          </w:tcPr>
          <w:p w14:paraId="1E91F14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2.23 </w:t>
            </w:r>
          </w:p>
        </w:tc>
        <w:tc>
          <w:tcPr>
            <w:tcW w:w="521" w:type="pct"/>
            <w:shd w:val="clear" w:color="auto" w:fill="auto"/>
            <w:noWrap/>
            <w:vAlign w:val="bottom"/>
            <w:hideMark/>
          </w:tcPr>
          <w:p w14:paraId="5FE3225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-5.06 </w:t>
            </w:r>
          </w:p>
        </w:tc>
        <w:tc>
          <w:tcPr>
            <w:tcW w:w="463" w:type="pct"/>
            <w:shd w:val="clear" w:color="auto" w:fill="auto"/>
            <w:noWrap/>
            <w:vAlign w:val="bottom"/>
            <w:hideMark/>
          </w:tcPr>
          <w:p w14:paraId="27A937C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0.37 </w:t>
            </w:r>
          </w:p>
        </w:tc>
        <w:tc>
          <w:tcPr>
            <w:tcW w:w="521" w:type="pct"/>
            <w:shd w:val="clear" w:color="auto" w:fill="auto"/>
            <w:noWrap/>
            <w:vAlign w:val="bottom"/>
            <w:hideMark/>
          </w:tcPr>
          <w:p w14:paraId="21CC99E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1.30 </w:t>
            </w:r>
          </w:p>
        </w:tc>
        <w:tc>
          <w:tcPr>
            <w:tcW w:w="463" w:type="pct"/>
            <w:shd w:val="clear" w:color="auto" w:fill="auto"/>
            <w:noWrap/>
            <w:vAlign w:val="bottom"/>
            <w:hideMark/>
          </w:tcPr>
          <w:p w14:paraId="413985B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0.88 </w:t>
            </w:r>
          </w:p>
        </w:tc>
        <w:tc>
          <w:tcPr>
            <w:tcW w:w="521" w:type="pct"/>
            <w:shd w:val="clear" w:color="auto" w:fill="auto"/>
            <w:noWrap/>
            <w:vAlign w:val="bottom"/>
            <w:hideMark/>
          </w:tcPr>
          <w:p w14:paraId="56CAAF6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7.33 </w:t>
            </w:r>
          </w:p>
        </w:tc>
        <w:tc>
          <w:tcPr>
            <w:tcW w:w="459" w:type="pct"/>
            <w:tcBorders>
              <w:right w:val="single" w:sz="12" w:space="0" w:color="auto"/>
            </w:tcBorders>
            <w:shd w:val="clear" w:color="auto" w:fill="auto"/>
            <w:noWrap/>
            <w:vAlign w:val="bottom"/>
            <w:hideMark/>
          </w:tcPr>
          <w:p w14:paraId="38B866B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1.52 </w:t>
            </w:r>
          </w:p>
        </w:tc>
      </w:tr>
      <w:tr w:rsidR="00365FA6" w:rsidRPr="00976541" w14:paraId="3A24E68D" w14:textId="77777777" w:rsidTr="00D856D2">
        <w:trPr>
          <w:trHeight w:val="278"/>
        </w:trPr>
        <w:tc>
          <w:tcPr>
            <w:tcW w:w="603" w:type="pct"/>
            <w:tcBorders>
              <w:left w:val="single" w:sz="12" w:space="0" w:color="auto"/>
            </w:tcBorders>
            <w:shd w:val="clear" w:color="auto" w:fill="auto"/>
            <w:noWrap/>
            <w:vAlign w:val="bottom"/>
            <w:hideMark/>
          </w:tcPr>
          <w:p w14:paraId="47579CA4"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09/2021</w:t>
            </w:r>
          </w:p>
        </w:tc>
        <w:tc>
          <w:tcPr>
            <w:tcW w:w="464" w:type="pct"/>
            <w:shd w:val="clear" w:color="auto" w:fill="auto"/>
            <w:noWrap/>
            <w:vAlign w:val="bottom"/>
            <w:hideMark/>
          </w:tcPr>
          <w:p w14:paraId="07210F9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0.19 </w:t>
            </w:r>
          </w:p>
        </w:tc>
        <w:tc>
          <w:tcPr>
            <w:tcW w:w="521" w:type="pct"/>
            <w:shd w:val="clear" w:color="auto" w:fill="auto"/>
            <w:noWrap/>
            <w:vAlign w:val="bottom"/>
            <w:hideMark/>
          </w:tcPr>
          <w:p w14:paraId="1A60607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0.60 </w:t>
            </w:r>
          </w:p>
        </w:tc>
        <w:tc>
          <w:tcPr>
            <w:tcW w:w="464" w:type="pct"/>
            <w:shd w:val="clear" w:color="auto" w:fill="auto"/>
            <w:noWrap/>
            <w:vAlign w:val="bottom"/>
            <w:hideMark/>
          </w:tcPr>
          <w:p w14:paraId="7E62513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0.67 </w:t>
            </w:r>
          </w:p>
        </w:tc>
        <w:tc>
          <w:tcPr>
            <w:tcW w:w="521" w:type="pct"/>
            <w:shd w:val="clear" w:color="auto" w:fill="auto"/>
            <w:noWrap/>
            <w:vAlign w:val="bottom"/>
            <w:hideMark/>
          </w:tcPr>
          <w:p w14:paraId="1CD2482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5.62 </w:t>
            </w:r>
          </w:p>
        </w:tc>
        <w:tc>
          <w:tcPr>
            <w:tcW w:w="463" w:type="pct"/>
            <w:shd w:val="clear" w:color="auto" w:fill="auto"/>
            <w:noWrap/>
            <w:vAlign w:val="bottom"/>
            <w:hideMark/>
          </w:tcPr>
          <w:p w14:paraId="4A25E6C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-0.43 </w:t>
            </w:r>
          </w:p>
        </w:tc>
        <w:tc>
          <w:tcPr>
            <w:tcW w:w="521" w:type="pct"/>
            <w:shd w:val="clear" w:color="auto" w:fill="auto"/>
            <w:noWrap/>
            <w:vAlign w:val="bottom"/>
            <w:hideMark/>
          </w:tcPr>
          <w:p w14:paraId="2B13B43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-1.88 </w:t>
            </w:r>
          </w:p>
        </w:tc>
        <w:tc>
          <w:tcPr>
            <w:tcW w:w="463" w:type="pct"/>
            <w:shd w:val="clear" w:color="auto" w:fill="auto"/>
            <w:noWrap/>
            <w:vAlign w:val="bottom"/>
            <w:hideMark/>
          </w:tcPr>
          <w:p w14:paraId="2DF4895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0.13 </w:t>
            </w:r>
          </w:p>
        </w:tc>
        <w:tc>
          <w:tcPr>
            <w:tcW w:w="521" w:type="pct"/>
            <w:shd w:val="clear" w:color="auto" w:fill="auto"/>
            <w:noWrap/>
            <w:vAlign w:val="bottom"/>
            <w:hideMark/>
          </w:tcPr>
          <w:p w14:paraId="19461B7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1.72 </w:t>
            </w:r>
          </w:p>
        </w:tc>
        <w:tc>
          <w:tcPr>
            <w:tcW w:w="459" w:type="pct"/>
            <w:tcBorders>
              <w:right w:val="single" w:sz="12" w:space="0" w:color="auto"/>
            </w:tcBorders>
            <w:shd w:val="clear" w:color="auto" w:fill="auto"/>
            <w:noWrap/>
            <w:vAlign w:val="bottom"/>
            <w:hideMark/>
          </w:tcPr>
          <w:p w14:paraId="3198489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0.81 </w:t>
            </w:r>
          </w:p>
        </w:tc>
      </w:tr>
      <w:tr w:rsidR="00365FA6" w:rsidRPr="00976541" w14:paraId="4BC98E70" w14:textId="77777777" w:rsidTr="00D856D2">
        <w:trPr>
          <w:trHeight w:val="278"/>
        </w:trPr>
        <w:tc>
          <w:tcPr>
            <w:tcW w:w="603" w:type="pct"/>
            <w:tcBorders>
              <w:left w:val="single" w:sz="12" w:space="0" w:color="auto"/>
            </w:tcBorders>
            <w:shd w:val="clear" w:color="auto" w:fill="auto"/>
            <w:noWrap/>
            <w:vAlign w:val="bottom"/>
            <w:hideMark/>
          </w:tcPr>
          <w:p w14:paraId="34AD7D13"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12/2021</w:t>
            </w:r>
          </w:p>
        </w:tc>
        <w:tc>
          <w:tcPr>
            <w:tcW w:w="464" w:type="pct"/>
            <w:shd w:val="clear" w:color="auto" w:fill="auto"/>
            <w:noWrap/>
            <w:vAlign w:val="bottom"/>
            <w:hideMark/>
          </w:tcPr>
          <w:p w14:paraId="7EA4112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0.96 </w:t>
            </w:r>
          </w:p>
        </w:tc>
        <w:tc>
          <w:tcPr>
            <w:tcW w:w="521" w:type="pct"/>
            <w:shd w:val="clear" w:color="auto" w:fill="auto"/>
            <w:noWrap/>
            <w:vAlign w:val="bottom"/>
            <w:hideMark/>
          </w:tcPr>
          <w:p w14:paraId="7733CBE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1.70 </w:t>
            </w:r>
          </w:p>
        </w:tc>
        <w:tc>
          <w:tcPr>
            <w:tcW w:w="464" w:type="pct"/>
            <w:shd w:val="clear" w:color="auto" w:fill="auto"/>
            <w:noWrap/>
            <w:vAlign w:val="bottom"/>
            <w:hideMark/>
          </w:tcPr>
          <w:p w14:paraId="1923488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0.01 </w:t>
            </w:r>
          </w:p>
        </w:tc>
        <w:tc>
          <w:tcPr>
            <w:tcW w:w="521" w:type="pct"/>
            <w:shd w:val="clear" w:color="auto" w:fill="auto"/>
            <w:noWrap/>
            <w:vAlign w:val="bottom"/>
            <w:hideMark/>
          </w:tcPr>
          <w:p w14:paraId="79A2E9A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2.06 </w:t>
            </w:r>
          </w:p>
        </w:tc>
        <w:tc>
          <w:tcPr>
            <w:tcW w:w="463" w:type="pct"/>
            <w:shd w:val="clear" w:color="auto" w:fill="auto"/>
            <w:noWrap/>
            <w:vAlign w:val="bottom"/>
            <w:hideMark/>
          </w:tcPr>
          <w:p w14:paraId="79EB118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1.12 </w:t>
            </w:r>
          </w:p>
        </w:tc>
        <w:tc>
          <w:tcPr>
            <w:tcW w:w="521" w:type="pct"/>
            <w:shd w:val="clear" w:color="auto" w:fill="auto"/>
            <w:noWrap/>
            <w:vAlign w:val="bottom"/>
            <w:hideMark/>
          </w:tcPr>
          <w:p w14:paraId="4A0D0C3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1.37 </w:t>
            </w:r>
          </w:p>
        </w:tc>
        <w:tc>
          <w:tcPr>
            <w:tcW w:w="463" w:type="pct"/>
            <w:shd w:val="clear" w:color="auto" w:fill="auto"/>
            <w:noWrap/>
            <w:vAlign w:val="bottom"/>
            <w:hideMark/>
          </w:tcPr>
          <w:p w14:paraId="71996FA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1.40 </w:t>
            </w:r>
          </w:p>
        </w:tc>
        <w:tc>
          <w:tcPr>
            <w:tcW w:w="521" w:type="pct"/>
            <w:shd w:val="clear" w:color="auto" w:fill="auto"/>
            <w:noWrap/>
            <w:vAlign w:val="bottom"/>
            <w:hideMark/>
          </w:tcPr>
          <w:p w14:paraId="265DD1F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1.52 </w:t>
            </w:r>
          </w:p>
        </w:tc>
        <w:tc>
          <w:tcPr>
            <w:tcW w:w="459" w:type="pct"/>
            <w:tcBorders>
              <w:right w:val="single" w:sz="12" w:space="0" w:color="auto"/>
            </w:tcBorders>
            <w:shd w:val="clear" w:color="auto" w:fill="auto"/>
            <w:noWrap/>
            <w:vAlign w:val="bottom"/>
            <w:hideMark/>
          </w:tcPr>
          <w:p w14:paraId="784D628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1.70 </w:t>
            </w:r>
          </w:p>
        </w:tc>
      </w:tr>
      <w:tr w:rsidR="00365FA6" w:rsidRPr="00976541" w14:paraId="5D0995B5" w14:textId="77777777" w:rsidTr="00D856D2">
        <w:trPr>
          <w:trHeight w:val="278"/>
        </w:trPr>
        <w:tc>
          <w:tcPr>
            <w:tcW w:w="603" w:type="pct"/>
            <w:tcBorders>
              <w:left w:val="single" w:sz="12" w:space="0" w:color="auto"/>
            </w:tcBorders>
            <w:shd w:val="clear" w:color="auto" w:fill="auto"/>
            <w:noWrap/>
            <w:vAlign w:val="bottom"/>
            <w:hideMark/>
          </w:tcPr>
          <w:p w14:paraId="0E6A3DED"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03/2022</w:t>
            </w:r>
          </w:p>
        </w:tc>
        <w:tc>
          <w:tcPr>
            <w:tcW w:w="464" w:type="pct"/>
            <w:shd w:val="clear" w:color="auto" w:fill="auto"/>
            <w:noWrap/>
            <w:vAlign w:val="bottom"/>
            <w:hideMark/>
          </w:tcPr>
          <w:p w14:paraId="1CD65B6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0.98 </w:t>
            </w:r>
          </w:p>
        </w:tc>
        <w:tc>
          <w:tcPr>
            <w:tcW w:w="521" w:type="pct"/>
            <w:shd w:val="clear" w:color="auto" w:fill="auto"/>
            <w:noWrap/>
            <w:vAlign w:val="bottom"/>
            <w:hideMark/>
          </w:tcPr>
          <w:p w14:paraId="667D61F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0.80 </w:t>
            </w:r>
          </w:p>
        </w:tc>
        <w:tc>
          <w:tcPr>
            <w:tcW w:w="464" w:type="pct"/>
            <w:shd w:val="clear" w:color="auto" w:fill="auto"/>
            <w:noWrap/>
            <w:vAlign w:val="bottom"/>
            <w:hideMark/>
          </w:tcPr>
          <w:p w14:paraId="73255CD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1.00 </w:t>
            </w:r>
          </w:p>
        </w:tc>
        <w:tc>
          <w:tcPr>
            <w:tcW w:w="521" w:type="pct"/>
            <w:shd w:val="clear" w:color="auto" w:fill="auto"/>
            <w:noWrap/>
            <w:vAlign w:val="bottom"/>
            <w:hideMark/>
          </w:tcPr>
          <w:p w14:paraId="7B67587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1.49 </w:t>
            </w:r>
          </w:p>
        </w:tc>
        <w:tc>
          <w:tcPr>
            <w:tcW w:w="463" w:type="pct"/>
            <w:shd w:val="clear" w:color="auto" w:fill="auto"/>
            <w:noWrap/>
            <w:vAlign w:val="bottom"/>
            <w:hideMark/>
          </w:tcPr>
          <w:p w14:paraId="46BA3F5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-0.60 </w:t>
            </w:r>
          </w:p>
        </w:tc>
        <w:tc>
          <w:tcPr>
            <w:tcW w:w="521" w:type="pct"/>
            <w:shd w:val="clear" w:color="auto" w:fill="auto"/>
            <w:noWrap/>
            <w:vAlign w:val="bottom"/>
            <w:hideMark/>
          </w:tcPr>
          <w:p w14:paraId="721C287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1.53 </w:t>
            </w:r>
          </w:p>
        </w:tc>
        <w:tc>
          <w:tcPr>
            <w:tcW w:w="463" w:type="pct"/>
            <w:shd w:val="clear" w:color="auto" w:fill="auto"/>
            <w:noWrap/>
            <w:vAlign w:val="bottom"/>
            <w:hideMark/>
          </w:tcPr>
          <w:p w14:paraId="3D4A65B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0.66 </w:t>
            </w:r>
          </w:p>
        </w:tc>
        <w:tc>
          <w:tcPr>
            <w:tcW w:w="521" w:type="pct"/>
            <w:shd w:val="clear" w:color="auto" w:fill="auto"/>
            <w:noWrap/>
            <w:vAlign w:val="bottom"/>
            <w:hideMark/>
          </w:tcPr>
          <w:p w14:paraId="6A2C950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0.53 </w:t>
            </w:r>
          </w:p>
        </w:tc>
        <w:tc>
          <w:tcPr>
            <w:tcW w:w="459" w:type="pct"/>
            <w:tcBorders>
              <w:right w:val="single" w:sz="12" w:space="0" w:color="auto"/>
            </w:tcBorders>
            <w:shd w:val="clear" w:color="auto" w:fill="auto"/>
            <w:noWrap/>
            <w:vAlign w:val="bottom"/>
            <w:hideMark/>
          </w:tcPr>
          <w:p w14:paraId="4B5D802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-0.50 </w:t>
            </w:r>
          </w:p>
        </w:tc>
      </w:tr>
      <w:tr w:rsidR="00365FA6" w:rsidRPr="00976541" w14:paraId="6C7FF7D1" w14:textId="77777777" w:rsidTr="00D856D2">
        <w:trPr>
          <w:trHeight w:val="278"/>
        </w:trPr>
        <w:tc>
          <w:tcPr>
            <w:tcW w:w="603" w:type="pct"/>
            <w:tcBorders>
              <w:left w:val="single" w:sz="12" w:space="0" w:color="auto"/>
            </w:tcBorders>
            <w:shd w:val="clear" w:color="auto" w:fill="auto"/>
            <w:noWrap/>
            <w:vAlign w:val="bottom"/>
            <w:hideMark/>
          </w:tcPr>
          <w:p w14:paraId="53C1162C"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06/2022</w:t>
            </w:r>
          </w:p>
        </w:tc>
        <w:tc>
          <w:tcPr>
            <w:tcW w:w="464" w:type="pct"/>
            <w:shd w:val="clear" w:color="auto" w:fill="auto"/>
            <w:noWrap/>
            <w:vAlign w:val="bottom"/>
            <w:hideMark/>
          </w:tcPr>
          <w:p w14:paraId="317C728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1.30 </w:t>
            </w:r>
          </w:p>
        </w:tc>
        <w:tc>
          <w:tcPr>
            <w:tcW w:w="521" w:type="pct"/>
            <w:shd w:val="clear" w:color="auto" w:fill="auto"/>
            <w:noWrap/>
            <w:vAlign w:val="bottom"/>
            <w:hideMark/>
          </w:tcPr>
          <w:p w14:paraId="0E423EA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-2.30 </w:t>
            </w:r>
          </w:p>
        </w:tc>
        <w:tc>
          <w:tcPr>
            <w:tcW w:w="464" w:type="pct"/>
            <w:shd w:val="clear" w:color="auto" w:fill="auto"/>
            <w:noWrap/>
            <w:vAlign w:val="bottom"/>
            <w:hideMark/>
          </w:tcPr>
          <w:p w14:paraId="1E6B049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-0.13 </w:t>
            </w:r>
          </w:p>
        </w:tc>
        <w:tc>
          <w:tcPr>
            <w:tcW w:w="521" w:type="pct"/>
            <w:shd w:val="clear" w:color="auto" w:fill="auto"/>
            <w:noWrap/>
            <w:vAlign w:val="bottom"/>
            <w:hideMark/>
          </w:tcPr>
          <w:p w14:paraId="0A9C8A0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3.10 </w:t>
            </w:r>
          </w:p>
        </w:tc>
        <w:tc>
          <w:tcPr>
            <w:tcW w:w="463" w:type="pct"/>
            <w:shd w:val="clear" w:color="auto" w:fill="auto"/>
            <w:noWrap/>
            <w:vAlign w:val="bottom"/>
            <w:hideMark/>
          </w:tcPr>
          <w:p w14:paraId="3267C83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1.08 </w:t>
            </w:r>
          </w:p>
        </w:tc>
        <w:tc>
          <w:tcPr>
            <w:tcW w:w="521" w:type="pct"/>
            <w:shd w:val="clear" w:color="auto" w:fill="auto"/>
            <w:noWrap/>
            <w:vAlign w:val="bottom"/>
            <w:hideMark/>
          </w:tcPr>
          <w:p w14:paraId="5279D7F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-0.84 </w:t>
            </w:r>
          </w:p>
        </w:tc>
        <w:tc>
          <w:tcPr>
            <w:tcW w:w="463" w:type="pct"/>
            <w:shd w:val="clear" w:color="auto" w:fill="auto"/>
            <w:noWrap/>
            <w:vAlign w:val="bottom"/>
            <w:hideMark/>
          </w:tcPr>
          <w:p w14:paraId="275F696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0.75 </w:t>
            </w:r>
          </w:p>
        </w:tc>
        <w:tc>
          <w:tcPr>
            <w:tcW w:w="521" w:type="pct"/>
            <w:shd w:val="clear" w:color="auto" w:fill="auto"/>
            <w:noWrap/>
            <w:vAlign w:val="bottom"/>
            <w:hideMark/>
          </w:tcPr>
          <w:p w14:paraId="125BC7F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0.09 </w:t>
            </w:r>
          </w:p>
        </w:tc>
        <w:tc>
          <w:tcPr>
            <w:tcW w:w="459" w:type="pct"/>
            <w:tcBorders>
              <w:right w:val="single" w:sz="12" w:space="0" w:color="auto"/>
            </w:tcBorders>
            <w:shd w:val="clear" w:color="auto" w:fill="auto"/>
            <w:noWrap/>
            <w:vAlign w:val="bottom"/>
            <w:hideMark/>
          </w:tcPr>
          <w:p w14:paraId="661270D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-0.14 </w:t>
            </w:r>
          </w:p>
        </w:tc>
      </w:tr>
      <w:tr w:rsidR="00365FA6" w:rsidRPr="00976541" w14:paraId="6D151937" w14:textId="77777777" w:rsidTr="00D856D2">
        <w:trPr>
          <w:trHeight w:val="278"/>
        </w:trPr>
        <w:tc>
          <w:tcPr>
            <w:tcW w:w="603" w:type="pct"/>
            <w:tcBorders>
              <w:left w:val="single" w:sz="12" w:space="0" w:color="auto"/>
            </w:tcBorders>
            <w:shd w:val="clear" w:color="auto" w:fill="auto"/>
            <w:noWrap/>
            <w:vAlign w:val="bottom"/>
            <w:hideMark/>
          </w:tcPr>
          <w:p w14:paraId="0452F59B"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09/2022</w:t>
            </w:r>
          </w:p>
        </w:tc>
        <w:tc>
          <w:tcPr>
            <w:tcW w:w="464" w:type="pct"/>
            <w:shd w:val="clear" w:color="auto" w:fill="auto"/>
            <w:noWrap/>
            <w:vAlign w:val="bottom"/>
            <w:hideMark/>
          </w:tcPr>
          <w:p w14:paraId="7DA4E55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1.05 </w:t>
            </w:r>
          </w:p>
        </w:tc>
        <w:tc>
          <w:tcPr>
            <w:tcW w:w="521" w:type="pct"/>
            <w:shd w:val="clear" w:color="auto" w:fill="auto"/>
            <w:noWrap/>
            <w:vAlign w:val="bottom"/>
            <w:hideMark/>
          </w:tcPr>
          <w:p w14:paraId="39FF36F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3.70 </w:t>
            </w:r>
          </w:p>
        </w:tc>
        <w:tc>
          <w:tcPr>
            <w:tcW w:w="464" w:type="pct"/>
            <w:shd w:val="clear" w:color="auto" w:fill="auto"/>
            <w:noWrap/>
            <w:vAlign w:val="bottom"/>
            <w:hideMark/>
          </w:tcPr>
          <w:p w14:paraId="0EED4F7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0.36 </w:t>
            </w:r>
          </w:p>
        </w:tc>
        <w:tc>
          <w:tcPr>
            <w:tcW w:w="521" w:type="pct"/>
            <w:shd w:val="clear" w:color="auto" w:fill="auto"/>
            <w:noWrap/>
            <w:vAlign w:val="bottom"/>
            <w:hideMark/>
          </w:tcPr>
          <w:p w14:paraId="410E73F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-0.47 </w:t>
            </w:r>
          </w:p>
        </w:tc>
        <w:tc>
          <w:tcPr>
            <w:tcW w:w="463" w:type="pct"/>
            <w:shd w:val="clear" w:color="auto" w:fill="auto"/>
            <w:noWrap/>
            <w:vAlign w:val="bottom"/>
            <w:hideMark/>
          </w:tcPr>
          <w:p w14:paraId="62841F4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-0.10 </w:t>
            </w:r>
          </w:p>
        </w:tc>
        <w:tc>
          <w:tcPr>
            <w:tcW w:w="521" w:type="pct"/>
            <w:shd w:val="clear" w:color="auto" w:fill="auto"/>
            <w:noWrap/>
            <w:vAlign w:val="bottom"/>
            <w:hideMark/>
          </w:tcPr>
          <w:p w14:paraId="01B1B2E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1.77 </w:t>
            </w:r>
          </w:p>
        </w:tc>
        <w:tc>
          <w:tcPr>
            <w:tcW w:w="463" w:type="pct"/>
            <w:shd w:val="clear" w:color="auto" w:fill="auto"/>
            <w:noWrap/>
            <w:vAlign w:val="bottom"/>
            <w:hideMark/>
          </w:tcPr>
          <w:p w14:paraId="1928166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0.23 </w:t>
            </w:r>
          </w:p>
        </w:tc>
        <w:tc>
          <w:tcPr>
            <w:tcW w:w="521" w:type="pct"/>
            <w:shd w:val="clear" w:color="auto" w:fill="auto"/>
            <w:noWrap/>
            <w:vAlign w:val="bottom"/>
            <w:hideMark/>
          </w:tcPr>
          <w:p w14:paraId="31F0AE9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-0.08 </w:t>
            </w:r>
          </w:p>
        </w:tc>
        <w:tc>
          <w:tcPr>
            <w:tcW w:w="459" w:type="pct"/>
            <w:tcBorders>
              <w:right w:val="single" w:sz="12" w:space="0" w:color="auto"/>
            </w:tcBorders>
            <w:shd w:val="clear" w:color="auto" w:fill="auto"/>
            <w:noWrap/>
            <w:vAlign w:val="bottom"/>
            <w:hideMark/>
          </w:tcPr>
          <w:p w14:paraId="7966854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0.66 </w:t>
            </w:r>
          </w:p>
        </w:tc>
      </w:tr>
      <w:tr w:rsidR="00365FA6" w:rsidRPr="00976541" w14:paraId="132A89E2" w14:textId="77777777" w:rsidTr="00D856D2">
        <w:trPr>
          <w:trHeight w:val="278"/>
        </w:trPr>
        <w:tc>
          <w:tcPr>
            <w:tcW w:w="603" w:type="pct"/>
            <w:tcBorders>
              <w:left w:val="single" w:sz="12" w:space="0" w:color="auto"/>
            </w:tcBorders>
            <w:shd w:val="clear" w:color="auto" w:fill="auto"/>
            <w:noWrap/>
            <w:vAlign w:val="bottom"/>
            <w:hideMark/>
          </w:tcPr>
          <w:p w14:paraId="5D753403"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12/2022</w:t>
            </w:r>
          </w:p>
        </w:tc>
        <w:tc>
          <w:tcPr>
            <w:tcW w:w="464" w:type="pct"/>
            <w:shd w:val="clear" w:color="auto" w:fill="auto"/>
            <w:noWrap/>
            <w:vAlign w:val="bottom"/>
            <w:hideMark/>
          </w:tcPr>
          <w:p w14:paraId="7459399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-0.12 </w:t>
            </w:r>
          </w:p>
        </w:tc>
        <w:tc>
          <w:tcPr>
            <w:tcW w:w="521" w:type="pct"/>
            <w:shd w:val="clear" w:color="auto" w:fill="auto"/>
            <w:noWrap/>
            <w:vAlign w:val="bottom"/>
            <w:hideMark/>
          </w:tcPr>
          <w:p w14:paraId="1E045D2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0.80 </w:t>
            </w:r>
          </w:p>
        </w:tc>
        <w:tc>
          <w:tcPr>
            <w:tcW w:w="464" w:type="pct"/>
            <w:shd w:val="clear" w:color="auto" w:fill="auto"/>
            <w:noWrap/>
            <w:vAlign w:val="bottom"/>
            <w:hideMark/>
          </w:tcPr>
          <w:p w14:paraId="2875A93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-0.41 </w:t>
            </w:r>
          </w:p>
        </w:tc>
        <w:tc>
          <w:tcPr>
            <w:tcW w:w="521" w:type="pct"/>
            <w:shd w:val="clear" w:color="auto" w:fill="auto"/>
            <w:noWrap/>
            <w:vAlign w:val="bottom"/>
            <w:hideMark/>
          </w:tcPr>
          <w:p w14:paraId="44E9378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0.67 </w:t>
            </w:r>
          </w:p>
        </w:tc>
        <w:tc>
          <w:tcPr>
            <w:tcW w:w="463" w:type="pct"/>
            <w:shd w:val="clear" w:color="auto" w:fill="auto"/>
            <w:noWrap/>
            <w:vAlign w:val="bottom"/>
            <w:hideMark/>
          </w:tcPr>
          <w:p w14:paraId="42036D9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0.25 </w:t>
            </w:r>
          </w:p>
        </w:tc>
        <w:tc>
          <w:tcPr>
            <w:tcW w:w="521" w:type="pct"/>
            <w:shd w:val="clear" w:color="auto" w:fill="auto"/>
            <w:noWrap/>
            <w:vAlign w:val="bottom"/>
            <w:hideMark/>
          </w:tcPr>
          <w:p w14:paraId="188FFAE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-1.09 </w:t>
            </w:r>
          </w:p>
        </w:tc>
        <w:tc>
          <w:tcPr>
            <w:tcW w:w="463" w:type="pct"/>
            <w:shd w:val="clear" w:color="auto" w:fill="auto"/>
            <w:noWrap/>
            <w:vAlign w:val="bottom"/>
            <w:hideMark/>
          </w:tcPr>
          <w:p w14:paraId="6698F02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kern w:val="0"/>
                <w:sz w:val="21"/>
                <w:szCs w:val="21"/>
              </w:rPr>
              <w:t xml:space="preserve">-0.30 </w:t>
            </w:r>
          </w:p>
        </w:tc>
        <w:tc>
          <w:tcPr>
            <w:tcW w:w="521" w:type="pct"/>
            <w:shd w:val="clear" w:color="auto" w:fill="auto"/>
            <w:noWrap/>
            <w:vAlign w:val="bottom"/>
            <w:hideMark/>
          </w:tcPr>
          <w:p w14:paraId="144183D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0.10 </w:t>
            </w:r>
          </w:p>
        </w:tc>
        <w:tc>
          <w:tcPr>
            <w:tcW w:w="459" w:type="pct"/>
            <w:tcBorders>
              <w:right w:val="single" w:sz="12" w:space="0" w:color="auto"/>
            </w:tcBorders>
            <w:shd w:val="clear" w:color="auto" w:fill="auto"/>
            <w:noWrap/>
            <w:vAlign w:val="bottom"/>
            <w:hideMark/>
          </w:tcPr>
          <w:p w14:paraId="306AFAF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kern w:val="0"/>
                <w:sz w:val="21"/>
                <w:szCs w:val="21"/>
              </w:rPr>
              <w:t xml:space="preserve">0.64 </w:t>
            </w:r>
          </w:p>
        </w:tc>
      </w:tr>
      <w:tr w:rsidR="00365FA6" w:rsidRPr="00976541" w14:paraId="21912376" w14:textId="77777777" w:rsidTr="00D856D2">
        <w:trPr>
          <w:trHeight w:val="278"/>
        </w:trPr>
        <w:tc>
          <w:tcPr>
            <w:tcW w:w="5000" w:type="pct"/>
            <w:gridSpan w:val="10"/>
            <w:tcBorders>
              <w:top w:val="single" w:sz="12" w:space="0" w:color="auto"/>
              <w:left w:val="single" w:sz="12" w:space="0" w:color="auto"/>
              <w:bottom w:val="single" w:sz="12" w:space="0" w:color="auto"/>
              <w:right w:val="single" w:sz="12" w:space="0" w:color="auto"/>
            </w:tcBorders>
            <w:shd w:val="clear" w:color="auto" w:fill="auto"/>
            <w:noWrap/>
            <w:vAlign w:val="bottom"/>
          </w:tcPr>
          <w:p w14:paraId="61F866C3" w14:textId="77777777" w:rsidR="00365FA6" w:rsidRDefault="00365FA6" w:rsidP="00365FA6">
            <w:pPr>
              <w:widowControl/>
              <w:spacing w:line="264" w:lineRule="auto"/>
              <w:jc w:val="left"/>
              <w:rPr>
                <w:rFonts w:cs="Times New Roman"/>
                <w:kern w:val="0"/>
                <w:sz w:val="21"/>
                <w:szCs w:val="21"/>
              </w:rPr>
            </w:pPr>
            <w:r>
              <w:rPr>
                <w:rFonts w:cs="Times New Roman" w:hint="eastAsia"/>
                <w:kern w:val="0"/>
                <w:sz w:val="21"/>
                <w:szCs w:val="21"/>
              </w:rPr>
              <w:t>BRA:</w:t>
            </w:r>
            <w:r>
              <w:t xml:space="preserve"> </w:t>
            </w:r>
            <w:r w:rsidRPr="00A01313">
              <w:rPr>
                <w:rFonts w:cs="Times New Roman"/>
                <w:kern w:val="0"/>
                <w:sz w:val="21"/>
                <w:szCs w:val="21"/>
              </w:rPr>
              <w:t>Brazil</w:t>
            </w:r>
            <w:r>
              <w:rPr>
                <w:rFonts w:cs="Times New Roman" w:hint="eastAsia"/>
                <w:kern w:val="0"/>
                <w:sz w:val="21"/>
                <w:szCs w:val="21"/>
              </w:rPr>
              <w:t xml:space="preserve">, CHN: China, DEU: </w:t>
            </w:r>
            <w:r w:rsidRPr="00A01313">
              <w:rPr>
                <w:rFonts w:cs="Times New Roman"/>
                <w:kern w:val="0"/>
                <w:sz w:val="21"/>
                <w:szCs w:val="21"/>
              </w:rPr>
              <w:t>Germany</w:t>
            </w:r>
            <w:r>
              <w:rPr>
                <w:rFonts w:cs="Times New Roman" w:hint="eastAsia"/>
                <w:kern w:val="0"/>
                <w:sz w:val="21"/>
                <w:szCs w:val="21"/>
              </w:rPr>
              <w:t xml:space="preserve">, IND: </w:t>
            </w:r>
            <w:r w:rsidRPr="00A01313">
              <w:rPr>
                <w:rFonts w:cs="Times New Roman"/>
                <w:kern w:val="0"/>
                <w:sz w:val="21"/>
                <w:szCs w:val="21"/>
              </w:rPr>
              <w:t>India</w:t>
            </w:r>
            <w:r>
              <w:rPr>
                <w:rFonts w:cs="Times New Roman" w:hint="eastAsia"/>
                <w:kern w:val="0"/>
                <w:sz w:val="21"/>
                <w:szCs w:val="21"/>
              </w:rPr>
              <w:t xml:space="preserve">, JPN: </w:t>
            </w:r>
            <w:r w:rsidRPr="00A01313">
              <w:rPr>
                <w:rFonts w:cs="Times New Roman"/>
                <w:kern w:val="0"/>
                <w:sz w:val="21"/>
                <w:szCs w:val="21"/>
              </w:rPr>
              <w:t>Japan</w:t>
            </w:r>
            <w:r>
              <w:rPr>
                <w:rFonts w:cs="Times New Roman" w:hint="eastAsia"/>
                <w:kern w:val="0"/>
                <w:sz w:val="21"/>
                <w:szCs w:val="21"/>
              </w:rPr>
              <w:t xml:space="preserve">, ZAF: </w:t>
            </w:r>
            <w:r w:rsidRPr="00A01313">
              <w:rPr>
                <w:rFonts w:cs="Times New Roman"/>
                <w:kern w:val="0"/>
                <w:sz w:val="21"/>
                <w:szCs w:val="21"/>
              </w:rPr>
              <w:t>South Africa</w:t>
            </w:r>
            <w:r>
              <w:rPr>
                <w:rFonts w:cs="Times New Roman" w:hint="eastAsia"/>
                <w:kern w:val="0"/>
                <w:sz w:val="21"/>
                <w:szCs w:val="21"/>
              </w:rPr>
              <w:t xml:space="preserve">, PRK: </w:t>
            </w:r>
            <w:r w:rsidRPr="00A01313">
              <w:rPr>
                <w:rFonts w:cs="Times New Roman"/>
                <w:kern w:val="0"/>
                <w:sz w:val="21"/>
                <w:szCs w:val="21"/>
              </w:rPr>
              <w:t>South Korea</w:t>
            </w:r>
            <w:r>
              <w:rPr>
                <w:rFonts w:cs="Times New Roman" w:hint="eastAsia"/>
                <w:kern w:val="0"/>
                <w:sz w:val="21"/>
                <w:szCs w:val="21"/>
              </w:rPr>
              <w:t xml:space="preserve">, GBR: </w:t>
            </w:r>
            <w:r w:rsidRPr="00A01313">
              <w:rPr>
                <w:rFonts w:cs="Times New Roman"/>
                <w:kern w:val="0"/>
                <w:sz w:val="21"/>
                <w:szCs w:val="21"/>
              </w:rPr>
              <w:t>Britain</w:t>
            </w:r>
            <w:r>
              <w:rPr>
                <w:rFonts w:cs="Times New Roman" w:hint="eastAsia"/>
                <w:kern w:val="0"/>
                <w:sz w:val="21"/>
                <w:szCs w:val="21"/>
              </w:rPr>
              <w:t xml:space="preserve">, </w:t>
            </w:r>
            <w:r w:rsidRPr="00A01313">
              <w:rPr>
                <w:rFonts w:cs="Times New Roman"/>
                <w:kern w:val="0"/>
                <w:sz w:val="21"/>
                <w:szCs w:val="21"/>
              </w:rPr>
              <w:t>USA</w:t>
            </w:r>
            <w:r>
              <w:rPr>
                <w:rFonts w:cs="Times New Roman" w:hint="eastAsia"/>
                <w:kern w:val="0"/>
                <w:sz w:val="21"/>
                <w:szCs w:val="21"/>
              </w:rPr>
              <w:t>: America.</w:t>
            </w:r>
          </w:p>
          <w:p w14:paraId="118B2182" w14:textId="77777777" w:rsidR="00365FA6" w:rsidRPr="00A01313" w:rsidRDefault="00365FA6" w:rsidP="00365FA6">
            <w:pPr>
              <w:widowControl/>
              <w:spacing w:line="264" w:lineRule="auto"/>
              <w:jc w:val="left"/>
              <w:rPr>
                <w:rFonts w:cs="Times New Roman"/>
                <w:sz w:val="21"/>
                <w:szCs w:val="21"/>
              </w:rPr>
            </w:pPr>
            <w:r>
              <w:rPr>
                <w:rFonts w:cs="Times New Roman" w:hint="eastAsia"/>
                <w:sz w:val="21"/>
                <w:szCs w:val="21"/>
              </w:rPr>
              <w:t>T</w:t>
            </w:r>
            <w:r w:rsidRPr="00976541">
              <w:rPr>
                <w:rFonts w:cs="Times New Roman"/>
                <w:sz w:val="21"/>
                <w:szCs w:val="21"/>
              </w:rPr>
              <w:t>he countries are listed as alpha-3 code in ISO 3166 by International Organization for Standardization, https://www.iso.org/obp/ui/#search</w:t>
            </w:r>
            <w:r>
              <w:rPr>
                <w:rFonts w:cs="Times New Roman" w:hint="eastAsia"/>
                <w:sz w:val="21"/>
                <w:szCs w:val="21"/>
              </w:rPr>
              <w:t>.</w:t>
            </w:r>
          </w:p>
        </w:tc>
      </w:tr>
    </w:tbl>
    <w:p w14:paraId="580A384A" w14:textId="77777777" w:rsidR="00365FA6" w:rsidRDefault="00365FA6" w:rsidP="00365FA6">
      <w:pPr>
        <w:spacing w:after="120"/>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2"/>
        <w:gridCol w:w="845"/>
        <w:gridCol w:w="774"/>
        <w:gridCol w:w="845"/>
        <w:gridCol w:w="845"/>
        <w:gridCol w:w="739"/>
        <w:gridCol w:w="845"/>
        <w:gridCol w:w="780"/>
        <w:gridCol w:w="845"/>
        <w:gridCol w:w="766"/>
      </w:tblGrid>
      <w:tr w:rsidR="00365FA6" w:rsidRPr="00976541" w14:paraId="72B93FCF" w14:textId="77777777" w:rsidTr="00D856D2">
        <w:trPr>
          <w:trHeight w:val="278"/>
        </w:trPr>
        <w:tc>
          <w:tcPr>
            <w:tcW w:w="0" w:type="auto"/>
            <w:gridSpan w:val="10"/>
            <w:tcBorders>
              <w:top w:val="single" w:sz="12" w:space="0" w:color="auto"/>
              <w:left w:val="single" w:sz="12" w:space="0" w:color="auto"/>
              <w:right w:val="single" w:sz="12" w:space="0" w:color="auto"/>
            </w:tcBorders>
            <w:shd w:val="clear" w:color="auto" w:fill="D9E2F3" w:themeFill="accent1" w:themeFillTint="33"/>
            <w:noWrap/>
            <w:vAlign w:val="bottom"/>
          </w:tcPr>
          <w:p w14:paraId="1B1E413B" w14:textId="12D4D3ED"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 xml:space="preserve">Table </w:t>
            </w:r>
            <w:r>
              <w:rPr>
                <w:rFonts w:cs="Times New Roman" w:hint="eastAsia"/>
                <w:b/>
                <w:bCs/>
                <w:kern w:val="0"/>
                <w:sz w:val="21"/>
                <w:szCs w:val="21"/>
              </w:rPr>
              <w:t>S3</w:t>
            </w:r>
            <w:r w:rsidRPr="00976541">
              <w:rPr>
                <w:rFonts w:cs="Times New Roman"/>
                <w:b/>
                <w:bCs/>
                <w:kern w:val="0"/>
                <w:sz w:val="21"/>
                <w:szCs w:val="21"/>
              </w:rPr>
              <w:t xml:space="preserve">b GDP growth rate of representative countries </w:t>
            </w:r>
            <w:r w:rsidRPr="00976541">
              <w:rPr>
                <w:rFonts w:cs="Times New Roman" w:hint="eastAsia"/>
                <w:b/>
                <w:bCs/>
                <w:kern w:val="0"/>
                <w:sz w:val="21"/>
                <w:szCs w:val="21"/>
              </w:rPr>
              <w:t>(</w:t>
            </w:r>
            <w:r w:rsidRPr="00976541">
              <w:rPr>
                <w:rFonts w:cs="Times New Roman"/>
                <w:b/>
                <w:bCs/>
                <w:kern w:val="0"/>
                <w:sz w:val="21"/>
                <w:szCs w:val="21"/>
              </w:rPr>
              <w:t>same period last year</w:t>
            </w:r>
            <w:r>
              <w:rPr>
                <w:rFonts w:cs="Times New Roman" w:hint="eastAsia"/>
                <w:b/>
                <w:bCs/>
                <w:kern w:val="0"/>
                <w:sz w:val="21"/>
                <w:szCs w:val="21"/>
              </w:rPr>
              <w:t>, %</w:t>
            </w:r>
            <w:r w:rsidRPr="00976541">
              <w:rPr>
                <w:rFonts w:cs="Times New Roman"/>
                <w:b/>
                <w:bCs/>
                <w:kern w:val="0"/>
                <w:sz w:val="21"/>
                <w:szCs w:val="21"/>
              </w:rPr>
              <w:t>)</w:t>
            </w:r>
          </w:p>
        </w:tc>
      </w:tr>
      <w:tr w:rsidR="00365FA6" w:rsidRPr="00976541" w14:paraId="1FF19D9A" w14:textId="77777777" w:rsidTr="00D856D2">
        <w:trPr>
          <w:trHeight w:val="278"/>
        </w:trPr>
        <w:tc>
          <w:tcPr>
            <w:tcW w:w="0" w:type="auto"/>
            <w:tcBorders>
              <w:left w:val="single" w:sz="12" w:space="0" w:color="auto"/>
              <w:bottom w:val="single" w:sz="12" w:space="0" w:color="auto"/>
            </w:tcBorders>
            <w:shd w:val="clear" w:color="auto" w:fill="auto"/>
            <w:noWrap/>
            <w:vAlign w:val="bottom"/>
            <w:hideMark/>
          </w:tcPr>
          <w:p w14:paraId="47D1DE10" w14:textId="77777777" w:rsidR="00365FA6" w:rsidRPr="00976541" w:rsidRDefault="00365FA6" w:rsidP="00365FA6">
            <w:pPr>
              <w:widowControl/>
              <w:spacing w:line="264" w:lineRule="auto"/>
              <w:jc w:val="left"/>
              <w:rPr>
                <w:rFonts w:cs="Times New Roman"/>
                <w:b/>
                <w:bCs/>
                <w:kern w:val="0"/>
                <w:sz w:val="21"/>
                <w:szCs w:val="21"/>
              </w:rPr>
            </w:pPr>
          </w:p>
        </w:tc>
        <w:tc>
          <w:tcPr>
            <w:tcW w:w="0" w:type="auto"/>
            <w:tcBorders>
              <w:bottom w:val="single" w:sz="12" w:space="0" w:color="auto"/>
            </w:tcBorders>
            <w:shd w:val="clear" w:color="auto" w:fill="auto"/>
            <w:noWrap/>
            <w:vAlign w:val="bottom"/>
            <w:hideMark/>
          </w:tcPr>
          <w:p w14:paraId="5940DB03"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sz w:val="21"/>
                <w:szCs w:val="21"/>
              </w:rPr>
              <w:t>BRA</w:t>
            </w:r>
          </w:p>
        </w:tc>
        <w:tc>
          <w:tcPr>
            <w:tcW w:w="0" w:type="auto"/>
            <w:tcBorders>
              <w:bottom w:val="single" w:sz="12" w:space="0" w:color="auto"/>
            </w:tcBorders>
            <w:shd w:val="clear" w:color="auto" w:fill="auto"/>
            <w:noWrap/>
            <w:vAlign w:val="bottom"/>
            <w:hideMark/>
          </w:tcPr>
          <w:p w14:paraId="281EDBB5"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CHN</w:t>
            </w:r>
          </w:p>
        </w:tc>
        <w:tc>
          <w:tcPr>
            <w:tcW w:w="0" w:type="auto"/>
            <w:tcBorders>
              <w:bottom w:val="single" w:sz="12" w:space="0" w:color="auto"/>
            </w:tcBorders>
            <w:shd w:val="clear" w:color="auto" w:fill="auto"/>
            <w:noWrap/>
            <w:vAlign w:val="bottom"/>
            <w:hideMark/>
          </w:tcPr>
          <w:p w14:paraId="42DF6B85"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DEU</w:t>
            </w:r>
          </w:p>
        </w:tc>
        <w:tc>
          <w:tcPr>
            <w:tcW w:w="0" w:type="auto"/>
            <w:tcBorders>
              <w:bottom w:val="single" w:sz="12" w:space="0" w:color="auto"/>
            </w:tcBorders>
            <w:shd w:val="clear" w:color="auto" w:fill="auto"/>
            <w:noWrap/>
            <w:vAlign w:val="bottom"/>
            <w:hideMark/>
          </w:tcPr>
          <w:p w14:paraId="102CB313"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IND</w:t>
            </w:r>
          </w:p>
        </w:tc>
        <w:tc>
          <w:tcPr>
            <w:tcW w:w="0" w:type="auto"/>
            <w:tcBorders>
              <w:bottom w:val="single" w:sz="12" w:space="0" w:color="auto"/>
            </w:tcBorders>
            <w:shd w:val="clear" w:color="auto" w:fill="auto"/>
            <w:noWrap/>
            <w:vAlign w:val="bottom"/>
            <w:hideMark/>
          </w:tcPr>
          <w:p w14:paraId="1DDE86A5"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JPN</w:t>
            </w:r>
          </w:p>
        </w:tc>
        <w:tc>
          <w:tcPr>
            <w:tcW w:w="0" w:type="auto"/>
            <w:tcBorders>
              <w:bottom w:val="single" w:sz="12" w:space="0" w:color="auto"/>
            </w:tcBorders>
            <w:shd w:val="clear" w:color="auto" w:fill="auto"/>
            <w:noWrap/>
            <w:vAlign w:val="bottom"/>
            <w:hideMark/>
          </w:tcPr>
          <w:p w14:paraId="7CE017E4"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ZAF</w:t>
            </w:r>
          </w:p>
        </w:tc>
        <w:tc>
          <w:tcPr>
            <w:tcW w:w="0" w:type="auto"/>
            <w:tcBorders>
              <w:bottom w:val="single" w:sz="12" w:space="0" w:color="auto"/>
            </w:tcBorders>
            <w:shd w:val="clear" w:color="auto" w:fill="auto"/>
            <w:noWrap/>
            <w:vAlign w:val="bottom"/>
            <w:hideMark/>
          </w:tcPr>
          <w:p w14:paraId="3C018F9F" w14:textId="77777777" w:rsidR="00365FA6" w:rsidRPr="00976541" w:rsidRDefault="00365FA6" w:rsidP="00365FA6">
            <w:pPr>
              <w:widowControl/>
              <w:spacing w:line="264" w:lineRule="auto"/>
              <w:jc w:val="left"/>
              <w:rPr>
                <w:rFonts w:cs="Times New Roman"/>
                <w:b/>
                <w:bCs/>
                <w:kern w:val="0"/>
                <w:sz w:val="21"/>
                <w:szCs w:val="21"/>
              </w:rPr>
            </w:pPr>
            <w:r w:rsidRPr="00A01313">
              <w:rPr>
                <w:rFonts w:cs="Times New Roman"/>
                <w:b/>
                <w:bCs/>
                <w:kern w:val="0"/>
                <w:sz w:val="21"/>
                <w:szCs w:val="21"/>
              </w:rPr>
              <w:t>KOR</w:t>
            </w:r>
          </w:p>
        </w:tc>
        <w:tc>
          <w:tcPr>
            <w:tcW w:w="0" w:type="auto"/>
            <w:tcBorders>
              <w:bottom w:val="single" w:sz="12" w:space="0" w:color="auto"/>
            </w:tcBorders>
            <w:shd w:val="clear" w:color="auto" w:fill="auto"/>
            <w:noWrap/>
            <w:vAlign w:val="bottom"/>
            <w:hideMark/>
          </w:tcPr>
          <w:p w14:paraId="22EFA21A"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GBR</w:t>
            </w:r>
          </w:p>
        </w:tc>
        <w:tc>
          <w:tcPr>
            <w:tcW w:w="0" w:type="auto"/>
            <w:tcBorders>
              <w:bottom w:val="single" w:sz="12" w:space="0" w:color="auto"/>
              <w:right w:val="single" w:sz="12" w:space="0" w:color="auto"/>
            </w:tcBorders>
            <w:shd w:val="clear" w:color="auto" w:fill="auto"/>
            <w:noWrap/>
            <w:vAlign w:val="bottom"/>
            <w:hideMark/>
          </w:tcPr>
          <w:p w14:paraId="5E2A8307" w14:textId="77777777" w:rsidR="00365FA6" w:rsidRPr="00976541" w:rsidRDefault="00365FA6" w:rsidP="00365FA6">
            <w:pPr>
              <w:widowControl/>
              <w:spacing w:line="264" w:lineRule="auto"/>
              <w:jc w:val="left"/>
              <w:rPr>
                <w:rFonts w:cs="Times New Roman"/>
                <w:b/>
                <w:bCs/>
                <w:kern w:val="0"/>
                <w:sz w:val="21"/>
                <w:szCs w:val="21"/>
              </w:rPr>
            </w:pPr>
            <w:r w:rsidRPr="00976541">
              <w:rPr>
                <w:rFonts w:cs="Times New Roman"/>
                <w:b/>
                <w:bCs/>
                <w:kern w:val="0"/>
                <w:sz w:val="21"/>
                <w:szCs w:val="21"/>
              </w:rPr>
              <w:t>USA</w:t>
            </w:r>
          </w:p>
        </w:tc>
      </w:tr>
      <w:tr w:rsidR="00365FA6" w:rsidRPr="00976541" w14:paraId="205BC068" w14:textId="77777777" w:rsidTr="00D856D2">
        <w:trPr>
          <w:trHeight w:val="278"/>
        </w:trPr>
        <w:tc>
          <w:tcPr>
            <w:tcW w:w="0" w:type="auto"/>
            <w:tcBorders>
              <w:top w:val="single" w:sz="12" w:space="0" w:color="auto"/>
              <w:left w:val="single" w:sz="12" w:space="0" w:color="auto"/>
            </w:tcBorders>
            <w:shd w:val="clear" w:color="auto" w:fill="auto"/>
            <w:noWrap/>
            <w:vAlign w:val="bottom"/>
            <w:hideMark/>
          </w:tcPr>
          <w:p w14:paraId="1337F2AB"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03/2019</w:t>
            </w:r>
          </w:p>
        </w:tc>
        <w:tc>
          <w:tcPr>
            <w:tcW w:w="0" w:type="auto"/>
            <w:tcBorders>
              <w:top w:val="single" w:sz="12" w:space="0" w:color="auto"/>
            </w:tcBorders>
            <w:shd w:val="clear" w:color="auto" w:fill="auto"/>
            <w:noWrap/>
            <w:vAlign w:val="center"/>
            <w:hideMark/>
          </w:tcPr>
          <w:p w14:paraId="646535C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0.96 </w:t>
            </w:r>
          </w:p>
        </w:tc>
        <w:tc>
          <w:tcPr>
            <w:tcW w:w="0" w:type="auto"/>
            <w:tcBorders>
              <w:top w:val="single" w:sz="12" w:space="0" w:color="auto"/>
            </w:tcBorders>
            <w:shd w:val="clear" w:color="auto" w:fill="auto"/>
            <w:noWrap/>
            <w:vAlign w:val="center"/>
            <w:hideMark/>
          </w:tcPr>
          <w:p w14:paraId="19CDF5B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6.30 </w:t>
            </w:r>
          </w:p>
        </w:tc>
        <w:tc>
          <w:tcPr>
            <w:tcW w:w="0" w:type="auto"/>
            <w:tcBorders>
              <w:top w:val="single" w:sz="12" w:space="0" w:color="auto"/>
            </w:tcBorders>
            <w:shd w:val="clear" w:color="auto" w:fill="auto"/>
            <w:noWrap/>
            <w:vAlign w:val="center"/>
            <w:hideMark/>
          </w:tcPr>
          <w:p w14:paraId="0D57DA6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1.43 </w:t>
            </w:r>
          </w:p>
        </w:tc>
        <w:tc>
          <w:tcPr>
            <w:tcW w:w="0" w:type="auto"/>
            <w:tcBorders>
              <w:top w:val="single" w:sz="12" w:space="0" w:color="auto"/>
            </w:tcBorders>
            <w:shd w:val="clear" w:color="auto" w:fill="auto"/>
            <w:noWrap/>
            <w:vAlign w:val="center"/>
            <w:hideMark/>
          </w:tcPr>
          <w:p w14:paraId="7E61627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5.33 </w:t>
            </w:r>
          </w:p>
        </w:tc>
        <w:tc>
          <w:tcPr>
            <w:tcW w:w="0" w:type="auto"/>
            <w:tcBorders>
              <w:top w:val="single" w:sz="12" w:space="0" w:color="auto"/>
            </w:tcBorders>
            <w:shd w:val="clear" w:color="auto" w:fill="auto"/>
            <w:noWrap/>
            <w:vAlign w:val="center"/>
            <w:hideMark/>
          </w:tcPr>
          <w:p w14:paraId="790CA93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-0.11 </w:t>
            </w:r>
          </w:p>
        </w:tc>
        <w:tc>
          <w:tcPr>
            <w:tcW w:w="0" w:type="auto"/>
            <w:tcBorders>
              <w:top w:val="single" w:sz="12" w:space="0" w:color="auto"/>
            </w:tcBorders>
            <w:shd w:val="clear" w:color="auto" w:fill="auto"/>
            <w:noWrap/>
            <w:vAlign w:val="center"/>
            <w:hideMark/>
          </w:tcPr>
          <w:p w14:paraId="75C5297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0.37 </w:t>
            </w:r>
          </w:p>
        </w:tc>
        <w:tc>
          <w:tcPr>
            <w:tcW w:w="0" w:type="auto"/>
            <w:tcBorders>
              <w:top w:val="single" w:sz="12" w:space="0" w:color="auto"/>
            </w:tcBorders>
            <w:shd w:val="clear" w:color="auto" w:fill="auto"/>
            <w:noWrap/>
            <w:vAlign w:val="center"/>
            <w:hideMark/>
          </w:tcPr>
          <w:p w14:paraId="27D42C1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1.89 </w:t>
            </w:r>
          </w:p>
        </w:tc>
        <w:tc>
          <w:tcPr>
            <w:tcW w:w="0" w:type="auto"/>
            <w:tcBorders>
              <w:top w:val="single" w:sz="12" w:space="0" w:color="auto"/>
            </w:tcBorders>
            <w:shd w:val="clear" w:color="auto" w:fill="auto"/>
            <w:noWrap/>
            <w:vAlign w:val="center"/>
            <w:hideMark/>
          </w:tcPr>
          <w:p w14:paraId="11AB7BC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1.36 </w:t>
            </w:r>
          </w:p>
        </w:tc>
        <w:tc>
          <w:tcPr>
            <w:tcW w:w="0" w:type="auto"/>
            <w:tcBorders>
              <w:top w:val="single" w:sz="12" w:space="0" w:color="auto"/>
              <w:right w:val="single" w:sz="12" w:space="0" w:color="auto"/>
            </w:tcBorders>
            <w:shd w:val="clear" w:color="auto" w:fill="auto"/>
            <w:noWrap/>
            <w:vAlign w:val="center"/>
            <w:hideMark/>
          </w:tcPr>
          <w:p w14:paraId="7AB8D8A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1.85 </w:t>
            </w:r>
          </w:p>
        </w:tc>
      </w:tr>
      <w:tr w:rsidR="00365FA6" w:rsidRPr="00976541" w14:paraId="50A7AB66" w14:textId="77777777" w:rsidTr="00D856D2">
        <w:trPr>
          <w:trHeight w:val="278"/>
        </w:trPr>
        <w:tc>
          <w:tcPr>
            <w:tcW w:w="0" w:type="auto"/>
            <w:tcBorders>
              <w:left w:val="single" w:sz="12" w:space="0" w:color="auto"/>
            </w:tcBorders>
            <w:shd w:val="clear" w:color="auto" w:fill="auto"/>
            <w:noWrap/>
            <w:vAlign w:val="bottom"/>
            <w:hideMark/>
          </w:tcPr>
          <w:p w14:paraId="7AF10B80"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06/2019</w:t>
            </w:r>
          </w:p>
        </w:tc>
        <w:tc>
          <w:tcPr>
            <w:tcW w:w="0" w:type="auto"/>
            <w:shd w:val="clear" w:color="auto" w:fill="auto"/>
            <w:noWrap/>
            <w:vAlign w:val="center"/>
            <w:hideMark/>
          </w:tcPr>
          <w:p w14:paraId="0C5336C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1.58 </w:t>
            </w:r>
          </w:p>
        </w:tc>
        <w:tc>
          <w:tcPr>
            <w:tcW w:w="0" w:type="auto"/>
            <w:shd w:val="clear" w:color="auto" w:fill="auto"/>
            <w:noWrap/>
            <w:vAlign w:val="center"/>
            <w:hideMark/>
          </w:tcPr>
          <w:p w14:paraId="6F68F46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6.00 </w:t>
            </w:r>
          </w:p>
        </w:tc>
        <w:tc>
          <w:tcPr>
            <w:tcW w:w="0" w:type="auto"/>
            <w:shd w:val="clear" w:color="auto" w:fill="auto"/>
            <w:noWrap/>
            <w:vAlign w:val="center"/>
            <w:hideMark/>
          </w:tcPr>
          <w:p w14:paraId="28755FF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0.57 </w:t>
            </w:r>
          </w:p>
        </w:tc>
        <w:tc>
          <w:tcPr>
            <w:tcW w:w="0" w:type="auto"/>
            <w:shd w:val="clear" w:color="auto" w:fill="auto"/>
            <w:noWrap/>
            <w:vAlign w:val="center"/>
            <w:hideMark/>
          </w:tcPr>
          <w:p w14:paraId="39EFA8C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5.38 </w:t>
            </w:r>
          </w:p>
        </w:tc>
        <w:tc>
          <w:tcPr>
            <w:tcW w:w="0" w:type="auto"/>
            <w:shd w:val="clear" w:color="auto" w:fill="auto"/>
            <w:noWrap/>
            <w:vAlign w:val="center"/>
            <w:hideMark/>
          </w:tcPr>
          <w:p w14:paraId="3A2B960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-0.09 </w:t>
            </w:r>
          </w:p>
        </w:tc>
        <w:tc>
          <w:tcPr>
            <w:tcW w:w="0" w:type="auto"/>
            <w:shd w:val="clear" w:color="auto" w:fill="auto"/>
            <w:noWrap/>
            <w:vAlign w:val="center"/>
            <w:hideMark/>
          </w:tcPr>
          <w:p w14:paraId="3527E81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1.08 </w:t>
            </w:r>
          </w:p>
        </w:tc>
        <w:tc>
          <w:tcPr>
            <w:tcW w:w="0" w:type="auto"/>
            <w:shd w:val="clear" w:color="auto" w:fill="auto"/>
            <w:noWrap/>
            <w:vAlign w:val="center"/>
            <w:hideMark/>
          </w:tcPr>
          <w:p w14:paraId="570031E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2.30 </w:t>
            </w:r>
          </w:p>
        </w:tc>
        <w:tc>
          <w:tcPr>
            <w:tcW w:w="0" w:type="auto"/>
            <w:shd w:val="clear" w:color="auto" w:fill="auto"/>
            <w:noWrap/>
            <w:vAlign w:val="center"/>
            <w:hideMark/>
          </w:tcPr>
          <w:p w14:paraId="3D87E39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1.52 </w:t>
            </w:r>
          </w:p>
        </w:tc>
        <w:tc>
          <w:tcPr>
            <w:tcW w:w="0" w:type="auto"/>
            <w:tcBorders>
              <w:right w:val="single" w:sz="12" w:space="0" w:color="auto"/>
            </w:tcBorders>
            <w:shd w:val="clear" w:color="auto" w:fill="auto"/>
            <w:noWrap/>
            <w:vAlign w:val="center"/>
            <w:hideMark/>
          </w:tcPr>
          <w:p w14:paraId="213385F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2.15 </w:t>
            </w:r>
          </w:p>
        </w:tc>
      </w:tr>
      <w:tr w:rsidR="00365FA6" w:rsidRPr="00976541" w14:paraId="049FF706" w14:textId="77777777" w:rsidTr="00D856D2">
        <w:trPr>
          <w:trHeight w:val="278"/>
        </w:trPr>
        <w:tc>
          <w:tcPr>
            <w:tcW w:w="0" w:type="auto"/>
            <w:tcBorders>
              <w:left w:val="single" w:sz="12" w:space="0" w:color="auto"/>
            </w:tcBorders>
            <w:shd w:val="clear" w:color="auto" w:fill="auto"/>
            <w:noWrap/>
            <w:vAlign w:val="bottom"/>
            <w:hideMark/>
          </w:tcPr>
          <w:p w14:paraId="4B675141"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09/2019</w:t>
            </w:r>
          </w:p>
        </w:tc>
        <w:tc>
          <w:tcPr>
            <w:tcW w:w="0" w:type="auto"/>
            <w:shd w:val="clear" w:color="auto" w:fill="auto"/>
            <w:noWrap/>
            <w:vAlign w:val="center"/>
            <w:hideMark/>
          </w:tcPr>
          <w:p w14:paraId="55A5055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0.65 </w:t>
            </w:r>
          </w:p>
        </w:tc>
        <w:tc>
          <w:tcPr>
            <w:tcW w:w="0" w:type="auto"/>
            <w:shd w:val="clear" w:color="auto" w:fill="auto"/>
            <w:noWrap/>
            <w:vAlign w:val="center"/>
            <w:hideMark/>
          </w:tcPr>
          <w:p w14:paraId="36CB264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5.90 </w:t>
            </w:r>
          </w:p>
        </w:tc>
        <w:tc>
          <w:tcPr>
            <w:tcW w:w="0" w:type="auto"/>
            <w:shd w:val="clear" w:color="auto" w:fill="auto"/>
            <w:noWrap/>
            <w:vAlign w:val="center"/>
            <w:hideMark/>
          </w:tcPr>
          <w:p w14:paraId="2A87A6A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1.50 </w:t>
            </w:r>
          </w:p>
        </w:tc>
        <w:tc>
          <w:tcPr>
            <w:tcW w:w="0" w:type="auto"/>
            <w:shd w:val="clear" w:color="auto" w:fill="auto"/>
            <w:noWrap/>
            <w:vAlign w:val="center"/>
            <w:hideMark/>
          </w:tcPr>
          <w:p w14:paraId="3110B44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4.57 </w:t>
            </w:r>
          </w:p>
        </w:tc>
        <w:tc>
          <w:tcPr>
            <w:tcW w:w="0" w:type="auto"/>
            <w:shd w:val="clear" w:color="auto" w:fill="auto"/>
            <w:noWrap/>
            <w:vAlign w:val="center"/>
            <w:hideMark/>
          </w:tcPr>
          <w:p w14:paraId="68E1B5D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0.63 </w:t>
            </w:r>
          </w:p>
        </w:tc>
        <w:tc>
          <w:tcPr>
            <w:tcW w:w="0" w:type="auto"/>
            <w:shd w:val="clear" w:color="auto" w:fill="auto"/>
            <w:noWrap/>
            <w:vAlign w:val="center"/>
            <w:hideMark/>
          </w:tcPr>
          <w:p w14:paraId="3609674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-0.04 </w:t>
            </w:r>
          </w:p>
        </w:tc>
        <w:tc>
          <w:tcPr>
            <w:tcW w:w="0" w:type="auto"/>
            <w:shd w:val="clear" w:color="auto" w:fill="auto"/>
            <w:noWrap/>
            <w:vAlign w:val="center"/>
            <w:hideMark/>
          </w:tcPr>
          <w:p w14:paraId="21CBB96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2.10 </w:t>
            </w:r>
          </w:p>
        </w:tc>
        <w:tc>
          <w:tcPr>
            <w:tcW w:w="0" w:type="auto"/>
            <w:shd w:val="clear" w:color="auto" w:fill="auto"/>
            <w:noWrap/>
            <w:vAlign w:val="center"/>
            <w:hideMark/>
          </w:tcPr>
          <w:p w14:paraId="1F95720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1.92 </w:t>
            </w:r>
          </w:p>
        </w:tc>
        <w:tc>
          <w:tcPr>
            <w:tcW w:w="0" w:type="auto"/>
            <w:tcBorders>
              <w:right w:val="single" w:sz="12" w:space="0" w:color="auto"/>
            </w:tcBorders>
            <w:shd w:val="clear" w:color="auto" w:fill="auto"/>
            <w:noWrap/>
            <w:vAlign w:val="center"/>
            <w:hideMark/>
          </w:tcPr>
          <w:p w14:paraId="434336F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2.67 </w:t>
            </w:r>
          </w:p>
        </w:tc>
      </w:tr>
      <w:tr w:rsidR="00365FA6" w:rsidRPr="00976541" w14:paraId="37A1E821" w14:textId="77777777" w:rsidTr="00D856D2">
        <w:trPr>
          <w:trHeight w:val="278"/>
        </w:trPr>
        <w:tc>
          <w:tcPr>
            <w:tcW w:w="0" w:type="auto"/>
            <w:tcBorders>
              <w:left w:val="single" w:sz="12" w:space="0" w:color="auto"/>
            </w:tcBorders>
            <w:shd w:val="clear" w:color="auto" w:fill="auto"/>
            <w:noWrap/>
            <w:vAlign w:val="bottom"/>
            <w:hideMark/>
          </w:tcPr>
          <w:p w14:paraId="07D4667E"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12/2019</w:t>
            </w:r>
          </w:p>
        </w:tc>
        <w:tc>
          <w:tcPr>
            <w:tcW w:w="0" w:type="auto"/>
            <w:shd w:val="clear" w:color="auto" w:fill="auto"/>
            <w:noWrap/>
            <w:vAlign w:val="center"/>
            <w:hideMark/>
          </w:tcPr>
          <w:p w14:paraId="7A6CA3E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1.66 </w:t>
            </w:r>
          </w:p>
        </w:tc>
        <w:tc>
          <w:tcPr>
            <w:tcW w:w="0" w:type="auto"/>
            <w:shd w:val="clear" w:color="auto" w:fill="auto"/>
            <w:noWrap/>
            <w:vAlign w:val="center"/>
            <w:hideMark/>
          </w:tcPr>
          <w:p w14:paraId="34D97EC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5.80 </w:t>
            </w:r>
          </w:p>
        </w:tc>
        <w:tc>
          <w:tcPr>
            <w:tcW w:w="0" w:type="auto"/>
            <w:shd w:val="clear" w:color="auto" w:fill="auto"/>
            <w:noWrap/>
            <w:vAlign w:val="center"/>
            <w:hideMark/>
          </w:tcPr>
          <w:p w14:paraId="16E0B33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0.93 </w:t>
            </w:r>
          </w:p>
        </w:tc>
        <w:tc>
          <w:tcPr>
            <w:tcW w:w="0" w:type="auto"/>
            <w:shd w:val="clear" w:color="auto" w:fill="auto"/>
            <w:noWrap/>
            <w:vAlign w:val="center"/>
            <w:hideMark/>
          </w:tcPr>
          <w:p w14:paraId="45481D8C"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3.23 </w:t>
            </w:r>
          </w:p>
        </w:tc>
        <w:tc>
          <w:tcPr>
            <w:tcW w:w="0" w:type="auto"/>
            <w:shd w:val="clear" w:color="auto" w:fill="auto"/>
            <w:noWrap/>
            <w:vAlign w:val="center"/>
            <w:hideMark/>
          </w:tcPr>
          <w:p w14:paraId="7AA2522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-2.02 </w:t>
            </w:r>
          </w:p>
        </w:tc>
        <w:tc>
          <w:tcPr>
            <w:tcW w:w="0" w:type="auto"/>
            <w:shd w:val="clear" w:color="auto" w:fill="auto"/>
            <w:noWrap/>
            <w:vAlign w:val="center"/>
            <w:hideMark/>
          </w:tcPr>
          <w:p w14:paraId="4036C19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-0.36 </w:t>
            </w:r>
          </w:p>
        </w:tc>
        <w:tc>
          <w:tcPr>
            <w:tcW w:w="0" w:type="auto"/>
            <w:shd w:val="clear" w:color="auto" w:fill="auto"/>
            <w:noWrap/>
            <w:vAlign w:val="center"/>
            <w:hideMark/>
          </w:tcPr>
          <w:p w14:paraId="0FAE924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2.68 </w:t>
            </w:r>
          </w:p>
        </w:tc>
        <w:tc>
          <w:tcPr>
            <w:tcW w:w="0" w:type="auto"/>
            <w:shd w:val="clear" w:color="auto" w:fill="auto"/>
            <w:noWrap/>
            <w:vAlign w:val="center"/>
            <w:hideMark/>
          </w:tcPr>
          <w:p w14:paraId="372DA8D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1.77 </w:t>
            </w:r>
          </w:p>
        </w:tc>
        <w:tc>
          <w:tcPr>
            <w:tcW w:w="0" w:type="auto"/>
            <w:tcBorders>
              <w:right w:val="single" w:sz="12" w:space="0" w:color="auto"/>
            </w:tcBorders>
            <w:shd w:val="clear" w:color="auto" w:fill="auto"/>
            <w:noWrap/>
            <w:vAlign w:val="center"/>
            <w:hideMark/>
          </w:tcPr>
          <w:p w14:paraId="6DB4440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3.18 </w:t>
            </w:r>
          </w:p>
        </w:tc>
      </w:tr>
      <w:tr w:rsidR="00365FA6" w:rsidRPr="00976541" w14:paraId="56E8DBBB" w14:textId="77777777" w:rsidTr="00D856D2">
        <w:trPr>
          <w:trHeight w:val="278"/>
        </w:trPr>
        <w:tc>
          <w:tcPr>
            <w:tcW w:w="0" w:type="auto"/>
            <w:tcBorders>
              <w:left w:val="single" w:sz="12" w:space="0" w:color="auto"/>
            </w:tcBorders>
            <w:shd w:val="clear" w:color="auto" w:fill="auto"/>
            <w:noWrap/>
            <w:vAlign w:val="bottom"/>
            <w:hideMark/>
          </w:tcPr>
          <w:p w14:paraId="595306F0"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03/2020</w:t>
            </w:r>
          </w:p>
        </w:tc>
        <w:tc>
          <w:tcPr>
            <w:tcW w:w="0" w:type="auto"/>
            <w:shd w:val="clear" w:color="auto" w:fill="auto"/>
            <w:noWrap/>
            <w:vAlign w:val="center"/>
            <w:hideMark/>
          </w:tcPr>
          <w:p w14:paraId="613E13E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-0.85 </w:t>
            </w:r>
          </w:p>
        </w:tc>
        <w:tc>
          <w:tcPr>
            <w:tcW w:w="0" w:type="auto"/>
            <w:shd w:val="clear" w:color="auto" w:fill="auto"/>
            <w:noWrap/>
            <w:vAlign w:val="center"/>
            <w:hideMark/>
          </w:tcPr>
          <w:p w14:paraId="258F7D2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-6.90 </w:t>
            </w:r>
          </w:p>
        </w:tc>
        <w:tc>
          <w:tcPr>
            <w:tcW w:w="0" w:type="auto"/>
            <w:shd w:val="clear" w:color="auto" w:fill="auto"/>
            <w:noWrap/>
            <w:vAlign w:val="center"/>
            <w:hideMark/>
          </w:tcPr>
          <w:p w14:paraId="0CC05BD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-1.53 </w:t>
            </w:r>
          </w:p>
        </w:tc>
        <w:tc>
          <w:tcPr>
            <w:tcW w:w="0" w:type="auto"/>
            <w:shd w:val="clear" w:color="auto" w:fill="auto"/>
            <w:noWrap/>
            <w:vAlign w:val="center"/>
            <w:hideMark/>
          </w:tcPr>
          <w:p w14:paraId="4A91174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2.37 </w:t>
            </w:r>
          </w:p>
        </w:tc>
        <w:tc>
          <w:tcPr>
            <w:tcW w:w="0" w:type="auto"/>
            <w:shd w:val="clear" w:color="auto" w:fill="auto"/>
            <w:noWrap/>
            <w:vAlign w:val="center"/>
            <w:hideMark/>
          </w:tcPr>
          <w:p w14:paraId="3B380C5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-1.75 </w:t>
            </w:r>
          </w:p>
        </w:tc>
        <w:tc>
          <w:tcPr>
            <w:tcW w:w="0" w:type="auto"/>
            <w:shd w:val="clear" w:color="auto" w:fill="auto"/>
            <w:noWrap/>
            <w:vAlign w:val="center"/>
            <w:hideMark/>
          </w:tcPr>
          <w:p w14:paraId="703F1D6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0.76 </w:t>
            </w:r>
          </w:p>
        </w:tc>
        <w:tc>
          <w:tcPr>
            <w:tcW w:w="0" w:type="auto"/>
            <w:shd w:val="clear" w:color="auto" w:fill="auto"/>
            <w:noWrap/>
            <w:vAlign w:val="center"/>
            <w:hideMark/>
          </w:tcPr>
          <w:p w14:paraId="40570B0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1.44 </w:t>
            </w:r>
          </w:p>
        </w:tc>
        <w:tc>
          <w:tcPr>
            <w:tcW w:w="0" w:type="auto"/>
            <w:shd w:val="clear" w:color="auto" w:fill="auto"/>
            <w:noWrap/>
            <w:vAlign w:val="center"/>
            <w:hideMark/>
          </w:tcPr>
          <w:p w14:paraId="664EB78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-1.72 </w:t>
            </w:r>
          </w:p>
        </w:tc>
        <w:tc>
          <w:tcPr>
            <w:tcW w:w="0" w:type="auto"/>
            <w:tcBorders>
              <w:right w:val="single" w:sz="12" w:space="0" w:color="auto"/>
            </w:tcBorders>
            <w:shd w:val="clear" w:color="auto" w:fill="auto"/>
            <w:noWrap/>
            <w:vAlign w:val="center"/>
            <w:hideMark/>
          </w:tcPr>
          <w:p w14:paraId="74E3816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1.23 </w:t>
            </w:r>
          </w:p>
        </w:tc>
      </w:tr>
      <w:tr w:rsidR="00365FA6" w:rsidRPr="00976541" w14:paraId="5E620A69" w14:textId="77777777" w:rsidTr="00D856D2">
        <w:trPr>
          <w:trHeight w:val="278"/>
        </w:trPr>
        <w:tc>
          <w:tcPr>
            <w:tcW w:w="0" w:type="auto"/>
            <w:tcBorders>
              <w:left w:val="single" w:sz="12" w:space="0" w:color="auto"/>
            </w:tcBorders>
            <w:shd w:val="clear" w:color="auto" w:fill="auto"/>
            <w:noWrap/>
            <w:vAlign w:val="bottom"/>
            <w:hideMark/>
          </w:tcPr>
          <w:p w14:paraId="3E428A7F"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06/2020</w:t>
            </w:r>
          </w:p>
        </w:tc>
        <w:tc>
          <w:tcPr>
            <w:tcW w:w="0" w:type="auto"/>
            <w:shd w:val="clear" w:color="auto" w:fill="auto"/>
            <w:noWrap/>
            <w:vAlign w:val="center"/>
            <w:hideMark/>
          </w:tcPr>
          <w:p w14:paraId="19C803C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-10.12</w:t>
            </w:r>
          </w:p>
        </w:tc>
        <w:tc>
          <w:tcPr>
            <w:tcW w:w="0" w:type="auto"/>
            <w:shd w:val="clear" w:color="auto" w:fill="auto"/>
            <w:noWrap/>
            <w:vAlign w:val="center"/>
            <w:hideMark/>
          </w:tcPr>
          <w:p w14:paraId="2944BFE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3.10 </w:t>
            </w:r>
          </w:p>
        </w:tc>
        <w:tc>
          <w:tcPr>
            <w:tcW w:w="0" w:type="auto"/>
            <w:shd w:val="clear" w:color="auto" w:fill="auto"/>
            <w:noWrap/>
            <w:vAlign w:val="center"/>
            <w:hideMark/>
          </w:tcPr>
          <w:p w14:paraId="4D82007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-10.57 </w:t>
            </w:r>
          </w:p>
        </w:tc>
        <w:tc>
          <w:tcPr>
            <w:tcW w:w="0" w:type="auto"/>
            <w:shd w:val="clear" w:color="auto" w:fill="auto"/>
            <w:noWrap/>
            <w:vAlign w:val="center"/>
            <w:hideMark/>
          </w:tcPr>
          <w:p w14:paraId="0F59AEE1"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-21.90 </w:t>
            </w:r>
          </w:p>
        </w:tc>
        <w:tc>
          <w:tcPr>
            <w:tcW w:w="0" w:type="auto"/>
            <w:shd w:val="clear" w:color="auto" w:fill="auto"/>
            <w:noWrap/>
            <w:vAlign w:val="center"/>
            <w:hideMark/>
          </w:tcPr>
          <w:p w14:paraId="7E969DB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-9.69 </w:t>
            </w:r>
          </w:p>
        </w:tc>
        <w:tc>
          <w:tcPr>
            <w:tcW w:w="0" w:type="auto"/>
            <w:shd w:val="clear" w:color="auto" w:fill="auto"/>
            <w:noWrap/>
            <w:vAlign w:val="center"/>
            <w:hideMark/>
          </w:tcPr>
          <w:p w14:paraId="732C72B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-16.64 </w:t>
            </w:r>
          </w:p>
        </w:tc>
        <w:tc>
          <w:tcPr>
            <w:tcW w:w="0" w:type="auto"/>
            <w:shd w:val="clear" w:color="auto" w:fill="auto"/>
            <w:noWrap/>
            <w:vAlign w:val="center"/>
            <w:hideMark/>
          </w:tcPr>
          <w:p w14:paraId="0B3A4B4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-2.69 </w:t>
            </w:r>
          </w:p>
        </w:tc>
        <w:tc>
          <w:tcPr>
            <w:tcW w:w="0" w:type="auto"/>
            <w:shd w:val="clear" w:color="auto" w:fill="auto"/>
            <w:noWrap/>
            <w:vAlign w:val="center"/>
            <w:hideMark/>
          </w:tcPr>
          <w:p w14:paraId="5666801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-21.94 </w:t>
            </w:r>
          </w:p>
        </w:tc>
        <w:tc>
          <w:tcPr>
            <w:tcW w:w="0" w:type="auto"/>
            <w:tcBorders>
              <w:right w:val="single" w:sz="12" w:space="0" w:color="auto"/>
            </w:tcBorders>
            <w:shd w:val="clear" w:color="auto" w:fill="auto"/>
            <w:noWrap/>
            <w:vAlign w:val="center"/>
            <w:hideMark/>
          </w:tcPr>
          <w:p w14:paraId="354CCD0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-7.53 </w:t>
            </w:r>
          </w:p>
        </w:tc>
      </w:tr>
      <w:tr w:rsidR="00365FA6" w:rsidRPr="00976541" w14:paraId="63D7F287" w14:textId="77777777" w:rsidTr="00D856D2">
        <w:trPr>
          <w:trHeight w:val="278"/>
        </w:trPr>
        <w:tc>
          <w:tcPr>
            <w:tcW w:w="0" w:type="auto"/>
            <w:tcBorders>
              <w:left w:val="single" w:sz="12" w:space="0" w:color="auto"/>
            </w:tcBorders>
            <w:shd w:val="clear" w:color="auto" w:fill="auto"/>
            <w:noWrap/>
            <w:vAlign w:val="bottom"/>
            <w:hideMark/>
          </w:tcPr>
          <w:p w14:paraId="723656ED"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09/2020</w:t>
            </w:r>
          </w:p>
        </w:tc>
        <w:tc>
          <w:tcPr>
            <w:tcW w:w="0" w:type="auto"/>
            <w:shd w:val="clear" w:color="auto" w:fill="auto"/>
            <w:noWrap/>
            <w:vAlign w:val="center"/>
            <w:hideMark/>
          </w:tcPr>
          <w:p w14:paraId="29B1BAC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-3.04 </w:t>
            </w:r>
          </w:p>
        </w:tc>
        <w:tc>
          <w:tcPr>
            <w:tcW w:w="0" w:type="auto"/>
            <w:shd w:val="clear" w:color="auto" w:fill="auto"/>
            <w:noWrap/>
            <w:vAlign w:val="center"/>
            <w:hideMark/>
          </w:tcPr>
          <w:p w14:paraId="225862A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4.80 </w:t>
            </w:r>
          </w:p>
        </w:tc>
        <w:tc>
          <w:tcPr>
            <w:tcW w:w="0" w:type="auto"/>
            <w:shd w:val="clear" w:color="auto" w:fill="auto"/>
            <w:noWrap/>
            <w:vAlign w:val="center"/>
            <w:hideMark/>
          </w:tcPr>
          <w:p w14:paraId="33CD772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-2.58 </w:t>
            </w:r>
          </w:p>
        </w:tc>
        <w:tc>
          <w:tcPr>
            <w:tcW w:w="0" w:type="auto"/>
            <w:shd w:val="clear" w:color="auto" w:fill="auto"/>
            <w:noWrap/>
            <w:vAlign w:val="center"/>
            <w:hideMark/>
          </w:tcPr>
          <w:p w14:paraId="6C6044B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-5.01 </w:t>
            </w:r>
          </w:p>
        </w:tc>
        <w:tc>
          <w:tcPr>
            <w:tcW w:w="0" w:type="auto"/>
            <w:shd w:val="clear" w:color="auto" w:fill="auto"/>
            <w:noWrap/>
            <w:vAlign w:val="center"/>
            <w:hideMark/>
          </w:tcPr>
          <w:p w14:paraId="443919D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-4.90 </w:t>
            </w:r>
          </w:p>
        </w:tc>
        <w:tc>
          <w:tcPr>
            <w:tcW w:w="0" w:type="auto"/>
            <w:shd w:val="clear" w:color="auto" w:fill="auto"/>
            <w:noWrap/>
            <w:vAlign w:val="center"/>
            <w:hideMark/>
          </w:tcPr>
          <w:p w14:paraId="5DA2170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-5.29 </w:t>
            </w:r>
          </w:p>
        </w:tc>
        <w:tc>
          <w:tcPr>
            <w:tcW w:w="0" w:type="auto"/>
            <w:shd w:val="clear" w:color="auto" w:fill="auto"/>
            <w:noWrap/>
            <w:vAlign w:val="center"/>
            <w:hideMark/>
          </w:tcPr>
          <w:p w14:paraId="2E59C53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-0.85 </w:t>
            </w:r>
          </w:p>
        </w:tc>
        <w:tc>
          <w:tcPr>
            <w:tcW w:w="0" w:type="auto"/>
            <w:shd w:val="clear" w:color="auto" w:fill="auto"/>
            <w:noWrap/>
            <w:vAlign w:val="center"/>
            <w:hideMark/>
          </w:tcPr>
          <w:p w14:paraId="44F01491"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FF0000"/>
                <w:sz w:val="21"/>
                <w:szCs w:val="21"/>
              </w:rPr>
              <w:t xml:space="preserve">-9.51 </w:t>
            </w:r>
          </w:p>
        </w:tc>
        <w:tc>
          <w:tcPr>
            <w:tcW w:w="0" w:type="auto"/>
            <w:tcBorders>
              <w:right w:val="single" w:sz="12" w:space="0" w:color="auto"/>
            </w:tcBorders>
            <w:shd w:val="clear" w:color="auto" w:fill="auto"/>
            <w:noWrap/>
            <w:vAlign w:val="center"/>
            <w:hideMark/>
          </w:tcPr>
          <w:p w14:paraId="4951D7FD"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FF0000"/>
                <w:sz w:val="21"/>
                <w:szCs w:val="21"/>
              </w:rPr>
              <w:t xml:space="preserve">-1.47 </w:t>
            </w:r>
          </w:p>
        </w:tc>
      </w:tr>
      <w:tr w:rsidR="00365FA6" w:rsidRPr="00976541" w14:paraId="36F156F0" w14:textId="77777777" w:rsidTr="00D856D2">
        <w:trPr>
          <w:trHeight w:val="278"/>
        </w:trPr>
        <w:tc>
          <w:tcPr>
            <w:tcW w:w="0" w:type="auto"/>
            <w:tcBorders>
              <w:left w:val="single" w:sz="12" w:space="0" w:color="auto"/>
            </w:tcBorders>
            <w:shd w:val="clear" w:color="auto" w:fill="auto"/>
            <w:noWrap/>
            <w:vAlign w:val="bottom"/>
            <w:hideMark/>
          </w:tcPr>
          <w:p w14:paraId="6E801B47"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12/2020</w:t>
            </w:r>
          </w:p>
        </w:tc>
        <w:tc>
          <w:tcPr>
            <w:tcW w:w="0" w:type="auto"/>
            <w:shd w:val="clear" w:color="auto" w:fill="auto"/>
            <w:noWrap/>
            <w:vAlign w:val="center"/>
            <w:hideMark/>
          </w:tcPr>
          <w:p w14:paraId="43A364C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-0.28 </w:t>
            </w:r>
          </w:p>
        </w:tc>
        <w:tc>
          <w:tcPr>
            <w:tcW w:w="0" w:type="auto"/>
            <w:shd w:val="clear" w:color="auto" w:fill="auto"/>
            <w:noWrap/>
            <w:vAlign w:val="center"/>
            <w:hideMark/>
          </w:tcPr>
          <w:p w14:paraId="6E5D4AF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6.40 </w:t>
            </w:r>
          </w:p>
        </w:tc>
        <w:tc>
          <w:tcPr>
            <w:tcW w:w="0" w:type="auto"/>
            <w:shd w:val="clear" w:color="auto" w:fill="auto"/>
            <w:noWrap/>
            <w:vAlign w:val="center"/>
            <w:hideMark/>
          </w:tcPr>
          <w:p w14:paraId="0C1162B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-2.11 </w:t>
            </w:r>
          </w:p>
        </w:tc>
        <w:tc>
          <w:tcPr>
            <w:tcW w:w="0" w:type="auto"/>
            <w:shd w:val="clear" w:color="auto" w:fill="auto"/>
            <w:noWrap/>
            <w:vAlign w:val="center"/>
            <w:hideMark/>
          </w:tcPr>
          <w:p w14:paraId="120595F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1.25 </w:t>
            </w:r>
          </w:p>
        </w:tc>
        <w:tc>
          <w:tcPr>
            <w:tcW w:w="0" w:type="auto"/>
            <w:shd w:val="clear" w:color="auto" w:fill="auto"/>
            <w:noWrap/>
            <w:vAlign w:val="center"/>
            <w:hideMark/>
          </w:tcPr>
          <w:p w14:paraId="7B5641F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-0.33 </w:t>
            </w:r>
          </w:p>
        </w:tc>
        <w:tc>
          <w:tcPr>
            <w:tcW w:w="0" w:type="auto"/>
            <w:shd w:val="clear" w:color="auto" w:fill="auto"/>
            <w:noWrap/>
            <w:vAlign w:val="center"/>
            <w:hideMark/>
          </w:tcPr>
          <w:p w14:paraId="372DDE3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-2.66 </w:t>
            </w:r>
          </w:p>
        </w:tc>
        <w:tc>
          <w:tcPr>
            <w:tcW w:w="0" w:type="auto"/>
            <w:shd w:val="clear" w:color="auto" w:fill="auto"/>
            <w:noWrap/>
            <w:vAlign w:val="center"/>
            <w:hideMark/>
          </w:tcPr>
          <w:p w14:paraId="75B318C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-0.72 </w:t>
            </w:r>
          </w:p>
        </w:tc>
        <w:tc>
          <w:tcPr>
            <w:tcW w:w="0" w:type="auto"/>
            <w:shd w:val="clear" w:color="auto" w:fill="auto"/>
            <w:noWrap/>
            <w:vAlign w:val="center"/>
            <w:hideMark/>
          </w:tcPr>
          <w:p w14:paraId="72CA95F5"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FF0000"/>
                <w:sz w:val="21"/>
                <w:szCs w:val="21"/>
              </w:rPr>
              <w:t xml:space="preserve">-8.26 </w:t>
            </w:r>
          </w:p>
        </w:tc>
        <w:tc>
          <w:tcPr>
            <w:tcW w:w="0" w:type="auto"/>
            <w:tcBorders>
              <w:right w:val="single" w:sz="12" w:space="0" w:color="auto"/>
            </w:tcBorders>
            <w:shd w:val="clear" w:color="auto" w:fill="auto"/>
            <w:noWrap/>
            <w:vAlign w:val="center"/>
            <w:hideMark/>
          </w:tcPr>
          <w:p w14:paraId="60E7C805"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FF0000"/>
                <w:sz w:val="21"/>
                <w:szCs w:val="21"/>
              </w:rPr>
              <w:t xml:space="preserve">-1.08 </w:t>
            </w:r>
          </w:p>
        </w:tc>
      </w:tr>
      <w:tr w:rsidR="00365FA6" w:rsidRPr="00976541" w14:paraId="5220CACF" w14:textId="77777777" w:rsidTr="00D856D2">
        <w:trPr>
          <w:trHeight w:val="278"/>
        </w:trPr>
        <w:tc>
          <w:tcPr>
            <w:tcW w:w="0" w:type="auto"/>
            <w:tcBorders>
              <w:left w:val="single" w:sz="12" w:space="0" w:color="auto"/>
            </w:tcBorders>
            <w:shd w:val="clear" w:color="auto" w:fill="auto"/>
            <w:noWrap/>
            <w:vAlign w:val="bottom"/>
            <w:hideMark/>
          </w:tcPr>
          <w:p w14:paraId="63A0F6F9"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03/2021</w:t>
            </w:r>
          </w:p>
        </w:tc>
        <w:tc>
          <w:tcPr>
            <w:tcW w:w="0" w:type="auto"/>
            <w:shd w:val="clear" w:color="auto" w:fill="auto"/>
            <w:noWrap/>
            <w:vAlign w:val="center"/>
            <w:hideMark/>
          </w:tcPr>
          <w:p w14:paraId="312F9AB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2.99 </w:t>
            </w:r>
          </w:p>
        </w:tc>
        <w:tc>
          <w:tcPr>
            <w:tcW w:w="0" w:type="auto"/>
            <w:shd w:val="clear" w:color="auto" w:fill="auto"/>
            <w:noWrap/>
            <w:vAlign w:val="center"/>
            <w:hideMark/>
          </w:tcPr>
          <w:p w14:paraId="0A4FBD7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18.70 </w:t>
            </w:r>
          </w:p>
        </w:tc>
        <w:tc>
          <w:tcPr>
            <w:tcW w:w="0" w:type="auto"/>
            <w:shd w:val="clear" w:color="auto" w:fill="auto"/>
            <w:noWrap/>
            <w:vAlign w:val="center"/>
            <w:hideMark/>
          </w:tcPr>
          <w:p w14:paraId="30246DA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-1.62 </w:t>
            </w:r>
          </w:p>
        </w:tc>
        <w:tc>
          <w:tcPr>
            <w:tcW w:w="0" w:type="auto"/>
            <w:shd w:val="clear" w:color="auto" w:fill="auto"/>
            <w:noWrap/>
            <w:vAlign w:val="center"/>
            <w:hideMark/>
          </w:tcPr>
          <w:p w14:paraId="008F56F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2.41 </w:t>
            </w:r>
          </w:p>
        </w:tc>
        <w:tc>
          <w:tcPr>
            <w:tcW w:w="0" w:type="auto"/>
            <w:shd w:val="clear" w:color="auto" w:fill="auto"/>
            <w:noWrap/>
            <w:vAlign w:val="center"/>
            <w:hideMark/>
          </w:tcPr>
          <w:p w14:paraId="16081D8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-0.60 </w:t>
            </w:r>
          </w:p>
        </w:tc>
        <w:tc>
          <w:tcPr>
            <w:tcW w:w="0" w:type="auto"/>
            <w:shd w:val="clear" w:color="auto" w:fill="auto"/>
            <w:noWrap/>
            <w:vAlign w:val="center"/>
            <w:hideMark/>
          </w:tcPr>
          <w:p w14:paraId="50613E5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FF0000"/>
                <w:sz w:val="21"/>
                <w:szCs w:val="21"/>
              </w:rPr>
              <w:t xml:space="preserve">-2.26 </w:t>
            </w:r>
          </w:p>
        </w:tc>
        <w:tc>
          <w:tcPr>
            <w:tcW w:w="0" w:type="auto"/>
            <w:shd w:val="clear" w:color="auto" w:fill="auto"/>
            <w:noWrap/>
            <w:vAlign w:val="center"/>
            <w:hideMark/>
          </w:tcPr>
          <w:p w14:paraId="3DA1C92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2.36 </w:t>
            </w:r>
          </w:p>
        </w:tc>
        <w:tc>
          <w:tcPr>
            <w:tcW w:w="0" w:type="auto"/>
            <w:shd w:val="clear" w:color="auto" w:fill="auto"/>
            <w:noWrap/>
            <w:vAlign w:val="center"/>
            <w:hideMark/>
          </w:tcPr>
          <w:p w14:paraId="02AF36EA"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FF0000"/>
                <w:sz w:val="21"/>
                <w:szCs w:val="21"/>
              </w:rPr>
              <w:t xml:space="preserve">-6.66 </w:t>
            </w:r>
          </w:p>
        </w:tc>
        <w:tc>
          <w:tcPr>
            <w:tcW w:w="0" w:type="auto"/>
            <w:tcBorders>
              <w:right w:val="single" w:sz="12" w:space="0" w:color="auto"/>
            </w:tcBorders>
            <w:shd w:val="clear" w:color="auto" w:fill="auto"/>
            <w:noWrap/>
            <w:vAlign w:val="center"/>
            <w:hideMark/>
          </w:tcPr>
          <w:p w14:paraId="16DA5CA4"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1.57 </w:t>
            </w:r>
          </w:p>
        </w:tc>
      </w:tr>
      <w:tr w:rsidR="00365FA6" w:rsidRPr="00976541" w14:paraId="4340F6E0" w14:textId="77777777" w:rsidTr="00D856D2">
        <w:trPr>
          <w:trHeight w:val="278"/>
        </w:trPr>
        <w:tc>
          <w:tcPr>
            <w:tcW w:w="0" w:type="auto"/>
            <w:tcBorders>
              <w:left w:val="single" w:sz="12" w:space="0" w:color="auto"/>
            </w:tcBorders>
            <w:shd w:val="clear" w:color="auto" w:fill="auto"/>
            <w:noWrap/>
            <w:vAlign w:val="bottom"/>
            <w:hideMark/>
          </w:tcPr>
          <w:p w14:paraId="4F113FC4"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06/2021</w:t>
            </w:r>
          </w:p>
        </w:tc>
        <w:tc>
          <w:tcPr>
            <w:tcW w:w="0" w:type="auto"/>
            <w:shd w:val="clear" w:color="auto" w:fill="auto"/>
            <w:noWrap/>
            <w:vAlign w:val="center"/>
            <w:hideMark/>
          </w:tcPr>
          <w:p w14:paraId="63C8108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12.30 </w:t>
            </w:r>
          </w:p>
        </w:tc>
        <w:tc>
          <w:tcPr>
            <w:tcW w:w="0" w:type="auto"/>
            <w:shd w:val="clear" w:color="auto" w:fill="auto"/>
            <w:noWrap/>
            <w:vAlign w:val="center"/>
            <w:hideMark/>
          </w:tcPr>
          <w:p w14:paraId="0D2DF79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8.30 </w:t>
            </w:r>
          </w:p>
        </w:tc>
        <w:tc>
          <w:tcPr>
            <w:tcW w:w="0" w:type="auto"/>
            <w:shd w:val="clear" w:color="auto" w:fill="auto"/>
            <w:noWrap/>
            <w:vAlign w:val="center"/>
            <w:hideMark/>
          </w:tcPr>
          <w:p w14:paraId="377FFD5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10.79 </w:t>
            </w:r>
          </w:p>
        </w:tc>
        <w:tc>
          <w:tcPr>
            <w:tcW w:w="0" w:type="auto"/>
            <w:shd w:val="clear" w:color="auto" w:fill="auto"/>
            <w:noWrap/>
            <w:vAlign w:val="center"/>
            <w:hideMark/>
          </w:tcPr>
          <w:p w14:paraId="4427209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23.20 </w:t>
            </w:r>
          </w:p>
        </w:tc>
        <w:tc>
          <w:tcPr>
            <w:tcW w:w="0" w:type="auto"/>
            <w:shd w:val="clear" w:color="auto" w:fill="auto"/>
            <w:noWrap/>
            <w:vAlign w:val="center"/>
            <w:hideMark/>
          </w:tcPr>
          <w:p w14:paraId="2C1A11D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8.20 </w:t>
            </w:r>
          </w:p>
        </w:tc>
        <w:tc>
          <w:tcPr>
            <w:tcW w:w="0" w:type="auto"/>
            <w:shd w:val="clear" w:color="auto" w:fill="auto"/>
            <w:noWrap/>
            <w:vAlign w:val="center"/>
            <w:hideMark/>
          </w:tcPr>
          <w:p w14:paraId="7F2BBF9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19.12 </w:t>
            </w:r>
          </w:p>
        </w:tc>
        <w:tc>
          <w:tcPr>
            <w:tcW w:w="0" w:type="auto"/>
            <w:shd w:val="clear" w:color="auto" w:fill="auto"/>
            <w:noWrap/>
            <w:vAlign w:val="center"/>
            <w:hideMark/>
          </w:tcPr>
          <w:p w14:paraId="4C621D8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6.47 </w:t>
            </w:r>
          </w:p>
        </w:tc>
        <w:tc>
          <w:tcPr>
            <w:tcW w:w="0" w:type="auto"/>
            <w:shd w:val="clear" w:color="auto" w:fill="auto"/>
            <w:noWrap/>
            <w:vAlign w:val="center"/>
            <w:hideMark/>
          </w:tcPr>
          <w:p w14:paraId="6B13D939"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25.73 </w:t>
            </w:r>
          </w:p>
        </w:tc>
        <w:tc>
          <w:tcPr>
            <w:tcW w:w="0" w:type="auto"/>
            <w:tcBorders>
              <w:right w:val="single" w:sz="12" w:space="0" w:color="auto"/>
            </w:tcBorders>
            <w:shd w:val="clear" w:color="auto" w:fill="auto"/>
            <w:noWrap/>
            <w:vAlign w:val="center"/>
            <w:hideMark/>
          </w:tcPr>
          <w:p w14:paraId="73815258"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11.95 </w:t>
            </w:r>
          </w:p>
        </w:tc>
      </w:tr>
      <w:tr w:rsidR="00365FA6" w:rsidRPr="00976541" w14:paraId="2686BEA1" w14:textId="77777777" w:rsidTr="00D856D2">
        <w:trPr>
          <w:trHeight w:val="278"/>
        </w:trPr>
        <w:tc>
          <w:tcPr>
            <w:tcW w:w="0" w:type="auto"/>
            <w:tcBorders>
              <w:left w:val="single" w:sz="12" w:space="0" w:color="auto"/>
            </w:tcBorders>
            <w:shd w:val="clear" w:color="auto" w:fill="auto"/>
            <w:noWrap/>
            <w:vAlign w:val="bottom"/>
            <w:hideMark/>
          </w:tcPr>
          <w:p w14:paraId="2E4BC16C"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09/2021</w:t>
            </w:r>
          </w:p>
        </w:tc>
        <w:tc>
          <w:tcPr>
            <w:tcW w:w="0" w:type="auto"/>
            <w:shd w:val="clear" w:color="auto" w:fill="auto"/>
            <w:noWrap/>
            <w:vAlign w:val="center"/>
            <w:hideMark/>
          </w:tcPr>
          <w:p w14:paraId="2B48221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4.20 </w:t>
            </w:r>
          </w:p>
        </w:tc>
        <w:tc>
          <w:tcPr>
            <w:tcW w:w="0" w:type="auto"/>
            <w:shd w:val="clear" w:color="auto" w:fill="auto"/>
            <w:noWrap/>
            <w:vAlign w:val="center"/>
            <w:hideMark/>
          </w:tcPr>
          <w:p w14:paraId="09511F6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5.20 </w:t>
            </w:r>
          </w:p>
        </w:tc>
        <w:tc>
          <w:tcPr>
            <w:tcW w:w="0" w:type="auto"/>
            <w:shd w:val="clear" w:color="auto" w:fill="auto"/>
            <w:noWrap/>
            <w:vAlign w:val="center"/>
            <w:hideMark/>
          </w:tcPr>
          <w:p w14:paraId="082F8C9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2.40 </w:t>
            </w:r>
          </w:p>
        </w:tc>
        <w:tc>
          <w:tcPr>
            <w:tcW w:w="0" w:type="auto"/>
            <w:shd w:val="clear" w:color="auto" w:fill="auto"/>
            <w:noWrap/>
            <w:vAlign w:val="center"/>
            <w:hideMark/>
          </w:tcPr>
          <w:p w14:paraId="2331373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9.93 </w:t>
            </w:r>
          </w:p>
        </w:tc>
        <w:tc>
          <w:tcPr>
            <w:tcW w:w="0" w:type="auto"/>
            <w:shd w:val="clear" w:color="auto" w:fill="auto"/>
            <w:noWrap/>
            <w:vAlign w:val="center"/>
            <w:hideMark/>
          </w:tcPr>
          <w:p w14:paraId="322072A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2.03 </w:t>
            </w:r>
          </w:p>
        </w:tc>
        <w:tc>
          <w:tcPr>
            <w:tcW w:w="0" w:type="auto"/>
            <w:shd w:val="clear" w:color="auto" w:fill="auto"/>
            <w:noWrap/>
            <w:vAlign w:val="center"/>
            <w:hideMark/>
          </w:tcPr>
          <w:p w14:paraId="21DB4E8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2.78 </w:t>
            </w:r>
          </w:p>
        </w:tc>
        <w:tc>
          <w:tcPr>
            <w:tcW w:w="0" w:type="auto"/>
            <w:shd w:val="clear" w:color="auto" w:fill="auto"/>
            <w:noWrap/>
            <w:vAlign w:val="center"/>
            <w:hideMark/>
          </w:tcPr>
          <w:p w14:paraId="756167E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4.20 </w:t>
            </w:r>
          </w:p>
        </w:tc>
        <w:tc>
          <w:tcPr>
            <w:tcW w:w="0" w:type="auto"/>
            <w:shd w:val="clear" w:color="auto" w:fill="auto"/>
            <w:noWrap/>
            <w:vAlign w:val="center"/>
            <w:hideMark/>
          </w:tcPr>
          <w:p w14:paraId="34DC5D0A"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9.52 </w:t>
            </w:r>
          </w:p>
        </w:tc>
        <w:tc>
          <w:tcPr>
            <w:tcW w:w="0" w:type="auto"/>
            <w:tcBorders>
              <w:right w:val="single" w:sz="12" w:space="0" w:color="auto"/>
            </w:tcBorders>
            <w:shd w:val="clear" w:color="auto" w:fill="auto"/>
            <w:noWrap/>
            <w:vAlign w:val="center"/>
            <w:hideMark/>
          </w:tcPr>
          <w:p w14:paraId="04EA2B2B"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4.74 </w:t>
            </w:r>
          </w:p>
        </w:tc>
      </w:tr>
      <w:tr w:rsidR="00365FA6" w:rsidRPr="00976541" w14:paraId="4B258A18" w14:textId="77777777" w:rsidTr="00D856D2">
        <w:trPr>
          <w:trHeight w:val="278"/>
        </w:trPr>
        <w:tc>
          <w:tcPr>
            <w:tcW w:w="0" w:type="auto"/>
            <w:tcBorders>
              <w:left w:val="single" w:sz="12" w:space="0" w:color="auto"/>
            </w:tcBorders>
            <w:shd w:val="clear" w:color="auto" w:fill="auto"/>
            <w:noWrap/>
            <w:vAlign w:val="bottom"/>
            <w:hideMark/>
          </w:tcPr>
          <w:p w14:paraId="1A4BEE33"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12/2021</w:t>
            </w:r>
          </w:p>
        </w:tc>
        <w:tc>
          <w:tcPr>
            <w:tcW w:w="0" w:type="auto"/>
            <w:shd w:val="clear" w:color="auto" w:fill="auto"/>
            <w:noWrap/>
            <w:vAlign w:val="center"/>
            <w:hideMark/>
          </w:tcPr>
          <w:p w14:paraId="6DFDC77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1.60 </w:t>
            </w:r>
          </w:p>
        </w:tc>
        <w:tc>
          <w:tcPr>
            <w:tcW w:w="0" w:type="auto"/>
            <w:shd w:val="clear" w:color="auto" w:fill="auto"/>
            <w:noWrap/>
            <w:vAlign w:val="center"/>
            <w:hideMark/>
          </w:tcPr>
          <w:p w14:paraId="3BDAB94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4.30 </w:t>
            </w:r>
          </w:p>
        </w:tc>
        <w:tc>
          <w:tcPr>
            <w:tcW w:w="0" w:type="auto"/>
            <w:shd w:val="clear" w:color="auto" w:fill="auto"/>
            <w:noWrap/>
            <w:vAlign w:val="center"/>
            <w:hideMark/>
          </w:tcPr>
          <w:p w14:paraId="51030C3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1.61 </w:t>
            </w:r>
          </w:p>
        </w:tc>
        <w:tc>
          <w:tcPr>
            <w:tcW w:w="0" w:type="auto"/>
            <w:shd w:val="clear" w:color="auto" w:fill="auto"/>
            <w:noWrap/>
            <w:vAlign w:val="center"/>
            <w:hideMark/>
          </w:tcPr>
          <w:p w14:paraId="7CF9A7D9"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4.89 </w:t>
            </w:r>
          </w:p>
        </w:tc>
        <w:tc>
          <w:tcPr>
            <w:tcW w:w="0" w:type="auto"/>
            <w:shd w:val="clear" w:color="auto" w:fill="auto"/>
            <w:noWrap/>
            <w:vAlign w:val="center"/>
            <w:hideMark/>
          </w:tcPr>
          <w:p w14:paraId="10A91D4E"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1.38 </w:t>
            </w:r>
          </w:p>
        </w:tc>
        <w:tc>
          <w:tcPr>
            <w:tcW w:w="0" w:type="auto"/>
            <w:shd w:val="clear" w:color="auto" w:fill="auto"/>
            <w:noWrap/>
            <w:vAlign w:val="center"/>
            <w:hideMark/>
          </w:tcPr>
          <w:p w14:paraId="42D5FB5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1.41 </w:t>
            </w:r>
          </w:p>
        </w:tc>
        <w:tc>
          <w:tcPr>
            <w:tcW w:w="0" w:type="auto"/>
            <w:shd w:val="clear" w:color="auto" w:fill="auto"/>
            <w:noWrap/>
            <w:vAlign w:val="center"/>
            <w:hideMark/>
          </w:tcPr>
          <w:p w14:paraId="26186026"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4.25 </w:t>
            </w:r>
          </w:p>
        </w:tc>
        <w:tc>
          <w:tcPr>
            <w:tcW w:w="0" w:type="auto"/>
            <w:shd w:val="clear" w:color="auto" w:fill="auto"/>
            <w:noWrap/>
            <w:vAlign w:val="center"/>
            <w:hideMark/>
          </w:tcPr>
          <w:p w14:paraId="102D4AFA"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9.69 </w:t>
            </w:r>
          </w:p>
        </w:tc>
        <w:tc>
          <w:tcPr>
            <w:tcW w:w="0" w:type="auto"/>
            <w:tcBorders>
              <w:right w:val="single" w:sz="12" w:space="0" w:color="auto"/>
            </w:tcBorders>
            <w:shd w:val="clear" w:color="auto" w:fill="auto"/>
            <w:noWrap/>
            <w:vAlign w:val="center"/>
            <w:hideMark/>
          </w:tcPr>
          <w:p w14:paraId="34A22300"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5.42 </w:t>
            </w:r>
          </w:p>
        </w:tc>
      </w:tr>
      <w:tr w:rsidR="00365FA6" w:rsidRPr="00976541" w14:paraId="4B6A23A5" w14:textId="77777777" w:rsidTr="00D856D2">
        <w:trPr>
          <w:trHeight w:val="278"/>
        </w:trPr>
        <w:tc>
          <w:tcPr>
            <w:tcW w:w="0" w:type="auto"/>
            <w:tcBorders>
              <w:left w:val="single" w:sz="12" w:space="0" w:color="auto"/>
            </w:tcBorders>
            <w:shd w:val="clear" w:color="auto" w:fill="auto"/>
            <w:noWrap/>
            <w:vAlign w:val="bottom"/>
            <w:hideMark/>
          </w:tcPr>
          <w:p w14:paraId="7A2FA56A"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03/2022</w:t>
            </w:r>
          </w:p>
        </w:tc>
        <w:tc>
          <w:tcPr>
            <w:tcW w:w="0" w:type="auto"/>
            <w:shd w:val="clear" w:color="auto" w:fill="auto"/>
            <w:noWrap/>
            <w:vAlign w:val="center"/>
            <w:hideMark/>
          </w:tcPr>
          <w:p w14:paraId="10E9C687"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1.50 </w:t>
            </w:r>
          </w:p>
        </w:tc>
        <w:tc>
          <w:tcPr>
            <w:tcW w:w="0" w:type="auto"/>
            <w:shd w:val="clear" w:color="auto" w:fill="auto"/>
            <w:noWrap/>
            <w:vAlign w:val="center"/>
            <w:hideMark/>
          </w:tcPr>
          <w:p w14:paraId="7371D59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4.80 </w:t>
            </w:r>
          </w:p>
        </w:tc>
        <w:tc>
          <w:tcPr>
            <w:tcW w:w="0" w:type="auto"/>
            <w:shd w:val="clear" w:color="auto" w:fill="auto"/>
            <w:noWrap/>
            <w:vAlign w:val="center"/>
            <w:hideMark/>
          </w:tcPr>
          <w:p w14:paraId="711D37E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3.96 </w:t>
            </w:r>
          </w:p>
        </w:tc>
        <w:tc>
          <w:tcPr>
            <w:tcW w:w="0" w:type="auto"/>
            <w:shd w:val="clear" w:color="auto" w:fill="auto"/>
            <w:noWrap/>
            <w:vAlign w:val="center"/>
            <w:hideMark/>
          </w:tcPr>
          <w:p w14:paraId="08F5D483"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4.01 </w:t>
            </w:r>
          </w:p>
        </w:tc>
        <w:tc>
          <w:tcPr>
            <w:tcW w:w="0" w:type="auto"/>
            <w:shd w:val="clear" w:color="auto" w:fill="auto"/>
            <w:noWrap/>
            <w:vAlign w:val="center"/>
            <w:hideMark/>
          </w:tcPr>
          <w:p w14:paraId="59E65F5C"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0.41 </w:t>
            </w:r>
          </w:p>
        </w:tc>
        <w:tc>
          <w:tcPr>
            <w:tcW w:w="0" w:type="auto"/>
            <w:shd w:val="clear" w:color="auto" w:fill="auto"/>
            <w:noWrap/>
            <w:vAlign w:val="center"/>
            <w:hideMark/>
          </w:tcPr>
          <w:p w14:paraId="75E527F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2.31 </w:t>
            </w:r>
          </w:p>
        </w:tc>
        <w:tc>
          <w:tcPr>
            <w:tcW w:w="0" w:type="auto"/>
            <w:shd w:val="clear" w:color="auto" w:fill="auto"/>
            <w:noWrap/>
            <w:vAlign w:val="center"/>
            <w:hideMark/>
          </w:tcPr>
          <w:p w14:paraId="733BC70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3.10 </w:t>
            </w:r>
          </w:p>
        </w:tc>
        <w:tc>
          <w:tcPr>
            <w:tcW w:w="0" w:type="auto"/>
            <w:shd w:val="clear" w:color="auto" w:fill="auto"/>
            <w:noWrap/>
            <w:vAlign w:val="center"/>
            <w:hideMark/>
          </w:tcPr>
          <w:p w14:paraId="574F920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11.42 </w:t>
            </w:r>
          </w:p>
        </w:tc>
        <w:tc>
          <w:tcPr>
            <w:tcW w:w="0" w:type="auto"/>
            <w:tcBorders>
              <w:right w:val="single" w:sz="12" w:space="0" w:color="auto"/>
            </w:tcBorders>
            <w:shd w:val="clear" w:color="auto" w:fill="auto"/>
            <w:noWrap/>
            <w:vAlign w:val="center"/>
            <w:hideMark/>
          </w:tcPr>
          <w:p w14:paraId="22A26785"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3.57 </w:t>
            </w:r>
          </w:p>
        </w:tc>
      </w:tr>
      <w:tr w:rsidR="00365FA6" w:rsidRPr="00976541" w14:paraId="0F152F76" w14:textId="77777777" w:rsidTr="00D856D2">
        <w:trPr>
          <w:trHeight w:val="278"/>
        </w:trPr>
        <w:tc>
          <w:tcPr>
            <w:tcW w:w="0" w:type="auto"/>
            <w:tcBorders>
              <w:left w:val="single" w:sz="12" w:space="0" w:color="auto"/>
            </w:tcBorders>
            <w:shd w:val="clear" w:color="auto" w:fill="auto"/>
            <w:noWrap/>
            <w:vAlign w:val="bottom"/>
            <w:hideMark/>
          </w:tcPr>
          <w:p w14:paraId="41E651F9"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06/2022</w:t>
            </w:r>
          </w:p>
        </w:tc>
        <w:tc>
          <w:tcPr>
            <w:tcW w:w="0" w:type="auto"/>
            <w:shd w:val="clear" w:color="auto" w:fill="auto"/>
            <w:noWrap/>
            <w:vAlign w:val="center"/>
            <w:hideMark/>
          </w:tcPr>
          <w:p w14:paraId="3BE39FE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3.39 </w:t>
            </w:r>
          </w:p>
        </w:tc>
        <w:tc>
          <w:tcPr>
            <w:tcW w:w="0" w:type="auto"/>
            <w:shd w:val="clear" w:color="auto" w:fill="auto"/>
            <w:noWrap/>
            <w:vAlign w:val="center"/>
            <w:hideMark/>
          </w:tcPr>
          <w:p w14:paraId="267AA16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0.40 </w:t>
            </w:r>
          </w:p>
        </w:tc>
        <w:tc>
          <w:tcPr>
            <w:tcW w:w="0" w:type="auto"/>
            <w:shd w:val="clear" w:color="auto" w:fill="auto"/>
            <w:noWrap/>
            <w:vAlign w:val="center"/>
            <w:hideMark/>
          </w:tcPr>
          <w:p w14:paraId="498F04F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1.56 </w:t>
            </w:r>
          </w:p>
        </w:tc>
        <w:tc>
          <w:tcPr>
            <w:tcW w:w="0" w:type="auto"/>
            <w:shd w:val="clear" w:color="auto" w:fill="auto"/>
            <w:noWrap/>
            <w:vAlign w:val="center"/>
            <w:hideMark/>
          </w:tcPr>
          <w:p w14:paraId="0EBE9768"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12.72 </w:t>
            </w:r>
          </w:p>
        </w:tc>
        <w:tc>
          <w:tcPr>
            <w:tcW w:w="0" w:type="auto"/>
            <w:shd w:val="clear" w:color="auto" w:fill="auto"/>
            <w:noWrap/>
            <w:vAlign w:val="center"/>
            <w:hideMark/>
          </w:tcPr>
          <w:p w14:paraId="40C3272E"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1.19 </w:t>
            </w:r>
          </w:p>
        </w:tc>
        <w:tc>
          <w:tcPr>
            <w:tcW w:w="0" w:type="auto"/>
            <w:shd w:val="clear" w:color="auto" w:fill="auto"/>
            <w:noWrap/>
            <w:vAlign w:val="center"/>
            <w:hideMark/>
          </w:tcPr>
          <w:p w14:paraId="19C2E49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0.15 </w:t>
            </w:r>
          </w:p>
        </w:tc>
        <w:tc>
          <w:tcPr>
            <w:tcW w:w="0" w:type="auto"/>
            <w:shd w:val="clear" w:color="auto" w:fill="auto"/>
            <w:noWrap/>
            <w:vAlign w:val="center"/>
            <w:hideMark/>
          </w:tcPr>
          <w:p w14:paraId="64C8E06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2.96 </w:t>
            </w:r>
          </w:p>
        </w:tc>
        <w:tc>
          <w:tcPr>
            <w:tcW w:w="0" w:type="auto"/>
            <w:shd w:val="clear" w:color="auto" w:fill="auto"/>
            <w:noWrap/>
            <w:vAlign w:val="center"/>
            <w:hideMark/>
          </w:tcPr>
          <w:p w14:paraId="0956B8C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3.90 </w:t>
            </w:r>
          </w:p>
        </w:tc>
        <w:tc>
          <w:tcPr>
            <w:tcW w:w="0" w:type="auto"/>
            <w:tcBorders>
              <w:right w:val="single" w:sz="12" w:space="0" w:color="auto"/>
            </w:tcBorders>
            <w:shd w:val="clear" w:color="auto" w:fill="auto"/>
            <w:noWrap/>
            <w:vAlign w:val="center"/>
            <w:hideMark/>
          </w:tcPr>
          <w:p w14:paraId="5EFC45F8"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1.87 </w:t>
            </w:r>
          </w:p>
        </w:tc>
      </w:tr>
      <w:tr w:rsidR="00365FA6" w:rsidRPr="00976541" w14:paraId="1F569949" w14:textId="77777777" w:rsidTr="00D856D2">
        <w:trPr>
          <w:trHeight w:val="278"/>
        </w:trPr>
        <w:tc>
          <w:tcPr>
            <w:tcW w:w="0" w:type="auto"/>
            <w:tcBorders>
              <w:left w:val="single" w:sz="12" w:space="0" w:color="auto"/>
            </w:tcBorders>
            <w:shd w:val="clear" w:color="auto" w:fill="auto"/>
            <w:noWrap/>
            <w:vAlign w:val="bottom"/>
            <w:hideMark/>
          </w:tcPr>
          <w:p w14:paraId="3ACA78B7"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09/2022</w:t>
            </w:r>
          </w:p>
        </w:tc>
        <w:tc>
          <w:tcPr>
            <w:tcW w:w="0" w:type="auto"/>
            <w:shd w:val="clear" w:color="auto" w:fill="auto"/>
            <w:noWrap/>
            <w:vAlign w:val="center"/>
            <w:hideMark/>
          </w:tcPr>
          <w:p w14:paraId="0485DCD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4.25 </w:t>
            </w:r>
          </w:p>
        </w:tc>
        <w:tc>
          <w:tcPr>
            <w:tcW w:w="0" w:type="auto"/>
            <w:shd w:val="clear" w:color="auto" w:fill="auto"/>
            <w:noWrap/>
            <w:vAlign w:val="center"/>
            <w:hideMark/>
          </w:tcPr>
          <w:p w14:paraId="1E75440D"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3.90 </w:t>
            </w:r>
          </w:p>
        </w:tc>
        <w:tc>
          <w:tcPr>
            <w:tcW w:w="0" w:type="auto"/>
            <w:shd w:val="clear" w:color="auto" w:fill="auto"/>
            <w:noWrap/>
            <w:vAlign w:val="center"/>
            <w:hideMark/>
          </w:tcPr>
          <w:p w14:paraId="13C05F7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1.25 </w:t>
            </w:r>
          </w:p>
        </w:tc>
        <w:tc>
          <w:tcPr>
            <w:tcW w:w="0" w:type="auto"/>
            <w:shd w:val="clear" w:color="auto" w:fill="auto"/>
            <w:noWrap/>
            <w:vAlign w:val="center"/>
            <w:hideMark/>
          </w:tcPr>
          <w:p w14:paraId="561A5F25"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5.14 </w:t>
            </w:r>
          </w:p>
        </w:tc>
        <w:tc>
          <w:tcPr>
            <w:tcW w:w="0" w:type="auto"/>
            <w:shd w:val="clear" w:color="auto" w:fill="auto"/>
            <w:noWrap/>
            <w:vAlign w:val="center"/>
            <w:hideMark/>
          </w:tcPr>
          <w:p w14:paraId="4CC0FA43" w14:textId="77777777" w:rsidR="00365FA6" w:rsidRPr="00A01313" w:rsidRDefault="00365FA6" w:rsidP="00365FA6">
            <w:pPr>
              <w:widowControl/>
              <w:spacing w:line="264" w:lineRule="auto"/>
              <w:jc w:val="right"/>
              <w:rPr>
                <w:rFonts w:cs="Times New Roman"/>
                <w:kern w:val="0"/>
                <w:sz w:val="21"/>
                <w:szCs w:val="21"/>
              </w:rPr>
            </w:pPr>
            <w:r w:rsidRPr="00A01313">
              <w:rPr>
                <w:rFonts w:cs="Times New Roman"/>
                <w:color w:val="000000"/>
                <w:sz w:val="21"/>
                <w:szCs w:val="21"/>
              </w:rPr>
              <w:t xml:space="preserve">1.48 </w:t>
            </w:r>
          </w:p>
        </w:tc>
        <w:tc>
          <w:tcPr>
            <w:tcW w:w="0" w:type="auto"/>
            <w:shd w:val="clear" w:color="auto" w:fill="auto"/>
            <w:noWrap/>
            <w:vAlign w:val="center"/>
            <w:hideMark/>
          </w:tcPr>
          <w:p w14:paraId="224DC4C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3.88 </w:t>
            </w:r>
          </w:p>
        </w:tc>
        <w:tc>
          <w:tcPr>
            <w:tcW w:w="0" w:type="auto"/>
            <w:shd w:val="clear" w:color="auto" w:fill="auto"/>
            <w:noWrap/>
            <w:vAlign w:val="center"/>
            <w:hideMark/>
          </w:tcPr>
          <w:p w14:paraId="1C835B2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3.07 </w:t>
            </w:r>
          </w:p>
        </w:tc>
        <w:tc>
          <w:tcPr>
            <w:tcW w:w="0" w:type="auto"/>
            <w:shd w:val="clear" w:color="auto" w:fill="auto"/>
            <w:noWrap/>
            <w:vAlign w:val="center"/>
            <w:hideMark/>
          </w:tcPr>
          <w:p w14:paraId="764D35A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2.07 </w:t>
            </w:r>
          </w:p>
        </w:tc>
        <w:tc>
          <w:tcPr>
            <w:tcW w:w="0" w:type="auto"/>
            <w:tcBorders>
              <w:right w:val="single" w:sz="12" w:space="0" w:color="auto"/>
            </w:tcBorders>
            <w:shd w:val="clear" w:color="auto" w:fill="auto"/>
            <w:noWrap/>
            <w:vAlign w:val="center"/>
            <w:hideMark/>
          </w:tcPr>
          <w:p w14:paraId="0B10D20B"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1.71 </w:t>
            </w:r>
          </w:p>
        </w:tc>
      </w:tr>
      <w:tr w:rsidR="00365FA6" w:rsidRPr="00976541" w14:paraId="1557ABC5" w14:textId="77777777" w:rsidTr="00D856D2">
        <w:trPr>
          <w:trHeight w:val="278"/>
        </w:trPr>
        <w:tc>
          <w:tcPr>
            <w:tcW w:w="0" w:type="auto"/>
            <w:tcBorders>
              <w:left w:val="single" w:sz="12" w:space="0" w:color="auto"/>
            </w:tcBorders>
            <w:shd w:val="clear" w:color="auto" w:fill="auto"/>
            <w:noWrap/>
            <w:vAlign w:val="bottom"/>
            <w:hideMark/>
          </w:tcPr>
          <w:p w14:paraId="58433C37" w14:textId="77777777" w:rsidR="00365FA6" w:rsidRPr="00976541" w:rsidRDefault="00365FA6" w:rsidP="00365FA6">
            <w:pPr>
              <w:widowControl/>
              <w:spacing w:line="264" w:lineRule="auto"/>
              <w:jc w:val="right"/>
              <w:rPr>
                <w:rFonts w:cs="Times New Roman"/>
                <w:color w:val="000000"/>
                <w:kern w:val="0"/>
                <w:sz w:val="21"/>
                <w:szCs w:val="21"/>
              </w:rPr>
            </w:pPr>
            <w:r w:rsidRPr="00976541">
              <w:rPr>
                <w:rFonts w:cs="Times New Roman"/>
                <w:color w:val="000000"/>
                <w:kern w:val="0"/>
                <w:sz w:val="21"/>
                <w:szCs w:val="21"/>
              </w:rPr>
              <w:t>12/2022</w:t>
            </w:r>
          </w:p>
        </w:tc>
        <w:tc>
          <w:tcPr>
            <w:tcW w:w="0" w:type="auto"/>
            <w:shd w:val="clear" w:color="auto" w:fill="auto"/>
            <w:noWrap/>
            <w:vAlign w:val="center"/>
            <w:hideMark/>
          </w:tcPr>
          <w:p w14:paraId="2669FAC0"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3.37 </w:t>
            </w:r>
          </w:p>
        </w:tc>
        <w:tc>
          <w:tcPr>
            <w:tcW w:w="0" w:type="auto"/>
            <w:shd w:val="clear" w:color="auto" w:fill="auto"/>
            <w:noWrap/>
            <w:vAlign w:val="center"/>
            <w:hideMark/>
          </w:tcPr>
          <w:p w14:paraId="4AC55963"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2.90 </w:t>
            </w:r>
          </w:p>
        </w:tc>
        <w:tc>
          <w:tcPr>
            <w:tcW w:w="0" w:type="auto"/>
            <w:shd w:val="clear" w:color="auto" w:fill="auto"/>
            <w:noWrap/>
            <w:vAlign w:val="center"/>
            <w:hideMark/>
          </w:tcPr>
          <w:p w14:paraId="1003094E"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0.82 </w:t>
            </w:r>
          </w:p>
        </w:tc>
        <w:tc>
          <w:tcPr>
            <w:tcW w:w="0" w:type="auto"/>
            <w:shd w:val="clear" w:color="auto" w:fill="auto"/>
            <w:noWrap/>
            <w:vAlign w:val="center"/>
            <w:hideMark/>
          </w:tcPr>
          <w:p w14:paraId="5F889CB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4.41 </w:t>
            </w:r>
          </w:p>
        </w:tc>
        <w:tc>
          <w:tcPr>
            <w:tcW w:w="0" w:type="auto"/>
            <w:shd w:val="clear" w:color="auto" w:fill="auto"/>
            <w:noWrap/>
            <w:vAlign w:val="center"/>
            <w:hideMark/>
          </w:tcPr>
          <w:p w14:paraId="16F23A0F"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0.70 </w:t>
            </w:r>
          </w:p>
        </w:tc>
        <w:tc>
          <w:tcPr>
            <w:tcW w:w="0" w:type="auto"/>
            <w:shd w:val="clear" w:color="auto" w:fill="auto"/>
            <w:noWrap/>
            <w:vAlign w:val="center"/>
            <w:hideMark/>
          </w:tcPr>
          <w:p w14:paraId="65AA0FCA"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1.35 </w:t>
            </w:r>
          </w:p>
        </w:tc>
        <w:tc>
          <w:tcPr>
            <w:tcW w:w="0" w:type="auto"/>
            <w:shd w:val="clear" w:color="auto" w:fill="auto"/>
            <w:noWrap/>
            <w:vAlign w:val="center"/>
            <w:hideMark/>
          </w:tcPr>
          <w:p w14:paraId="482C9704"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1.35 </w:t>
            </w:r>
          </w:p>
        </w:tc>
        <w:tc>
          <w:tcPr>
            <w:tcW w:w="0" w:type="auto"/>
            <w:shd w:val="clear" w:color="auto" w:fill="auto"/>
            <w:noWrap/>
            <w:vAlign w:val="center"/>
            <w:hideMark/>
          </w:tcPr>
          <w:p w14:paraId="71AA5E19"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0.64 </w:t>
            </w:r>
          </w:p>
        </w:tc>
        <w:tc>
          <w:tcPr>
            <w:tcW w:w="0" w:type="auto"/>
            <w:tcBorders>
              <w:right w:val="single" w:sz="12" w:space="0" w:color="auto"/>
            </w:tcBorders>
            <w:shd w:val="clear" w:color="auto" w:fill="auto"/>
            <w:noWrap/>
            <w:vAlign w:val="center"/>
            <w:hideMark/>
          </w:tcPr>
          <w:p w14:paraId="2FE8E9A2" w14:textId="77777777" w:rsidR="00365FA6" w:rsidRPr="00976541" w:rsidRDefault="00365FA6" w:rsidP="00365FA6">
            <w:pPr>
              <w:widowControl/>
              <w:spacing w:line="264" w:lineRule="auto"/>
              <w:jc w:val="right"/>
              <w:rPr>
                <w:rFonts w:cs="Times New Roman"/>
                <w:kern w:val="0"/>
                <w:sz w:val="21"/>
                <w:szCs w:val="21"/>
              </w:rPr>
            </w:pPr>
            <w:r w:rsidRPr="00976541">
              <w:rPr>
                <w:rFonts w:cs="Times New Roman"/>
                <w:color w:val="000000"/>
                <w:sz w:val="21"/>
                <w:szCs w:val="21"/>
              </w:rPr>
              <w:t xml:space="preserve">0.65 </w:t>
            </w:r>
          </w:p>
        </w:tc>
      </w:tr>
      <w:tr w:rsidR="00365FA6" w:rsidRPr="00976541" w14:paraId="1B14F9E7" w14:textId="77777777" w:rsidTr="00D856D2">
        <w:trPr>
          <w:trHeight w:val="278"/>
        </w:trPr>
        <w:tc>
          <w:tcPr>
            <w:tcW w:w="0" w:type="auto"/>
            <w:gridSpan w:val="10"/>
            <w:tcBorders>
              <w:top w:val="single" w:sz="12" w:space="0" w:color="auto"/>
              <w:left w:val="single" w:sz="12" w:space="0" w:color="auto"/>
              <w:bottom w:val="single" w:sz="12" w:space="0" w:color="auto"/>
              <w:right w:val="single" w:sz="12" w:space="0" w:color="auto"/>
            </w:tcBorders>
            <w:shd w:val="clear" w:color="auto" w:fill="auto"/>
            <w:noWrap/>
            <w:vAlign w:val="bottom"/>
          </w:tcPr>
          <w:p w14:paraId="5F6555B8" w14:textId="77777777" w:rsidR="00365FA6" w:rsidRDefault="00365FA6" w:rsidP="00365FA6">
            <w:pPr>
              <w:widowControl/>
              <w:spacing w:line="264" w:lineRule="auto"/>
              <w:jc w:val="left"/>
              <w:rPr>
                <w:rFonts w:cs="Times New Roman"/>
                <w:kern w:val="0"/>
                <w:sz w:val="21"/>
                <w:szCs w:val="21"/>
              </w:rPr>
            </w:pPr>
            <w:r>
              <w:rPr>
                <w:rFonts w:cs="Times New Roman" w:hint="eastAsia"/>
                <w:kern w:val="0"/>
                <w:sz w:val="21"/>
                <w:szCs w:val="21"/>
              </w:rPr>
              <w:t>BRA:</w:t>
            </w:r>
            <w:r>
              <w:t xml:space="preserve"> </w:t>
            </w:r>
            <w:r w:rsidRPr="00A01313">
              <w:rPr>
                <w:rFonts w:cs="Times New Roman"/>
                <w:kern w:val="0"/>
                <w:sz w:val="21"/>
                <w:szCs w:val="21"/>
              </w:rPr>
              <w:t>Brazil</w:t>
            </w:r>
            <w:r>
              <w:rPr>
                <w:rFonts w:cs="Times New Roman" w:hint="eastAsia"/>
                <w:kern w:val="0"/>
                <w:sz w:val="21"/>
                <w:szCs w:val="21"/>
              </w:rPr>
              <w:t xml:space="preserve">, CHN: China, DEU: </w:t>
            </w:r>
            <w:r w:rsidRPr="00A01313">
              <w:rPr>
                <w:rFonts w:cs="Times New Roman"/>
                <w:kern w:val="0"/>
                <w:sz w:val="21"/>
                <w:szCs w:val="21"/>
              </w:rPr>
              <w:t>Germany</w:t>
            </w:r>
            <w:r>
              <w:rPr>
                <w:rFonts w:cs="Times New Roman" w:hint="eastAsia"/>
                <w:kern w:val="0"/>
                <w:sz w:val="21"/>
                <w:szCs w:val="21"/>
              </w:rPr>
              <w:t xml:space="preserve">, IND: </w:t>
            </w:r>
            <w:r w:rsidRPr="00A01313">
              <w:rPr>
                <w:rFonts w:cs="Times New Roman"/>
                <w:kern w:val="0"/>
                <w:sz w:val="21"/>
                <w:szCs w:val="21"/>
              </w:rPr>
              <w:t>India</w:t>
            </w:r>
            <w:r>
              <w:rPr>
                <w:rFonts w:cs="Times New Roman" w:hint="eastAsia"/>
                <w:kern w:val="0"/>
                <w:sz w:val="21"/>
                <w:szCs w:val="21"/>
              </w:rPr>
              <w:t xml:space="preserve">, JPN: </w:t>
            </w:r>
            <w:r w:rsidRPr="00A01313">
              <w:rPr>
                <w:rFonts w:cs="Times New Roman"/>
                <w:kern w:val="0"/>
                <w:sz w:val="21"/>
                <w:szCs w:val="21"/>
              </w:rPr>
              <w:t>Japan</w:t>
            </w:r>
            <w:r>
              <w:rPr>
                <w:rFonts w:cs="Times New Roman" w:hint="eastAsia"/>
                <w:kern w:val="0"/>
                <w:sz w:val="21"/>
                <w:szCs w:val="21"/>
              </w:rPr>
              <w:t xml:space="preserve">, ZAF: </w:t>
            </w:r>
            <w:r w:rsidRPr="00A01313">
              <w:rPr>
                <w:rFonts w:cs="Times New Roman"/>
                <w:kern w:val="0"/>
                <w:sz w:val="21"/>
                <w:szCs w:val="21"/>
              </w:rPr>
              <w:t>South Africa</w:t>
            </w:r>
            <w:r>
              <w:rPr>
                <w:rFonts w:cs="Times New Roman" w:hint="eastAsia"/>
                <w:kern w:val="0"/>
                <w:sz w:val="21"/>
                <w:szCs w:val="21"/>
              </w:rPr>
              <w:t xml:space="preserve">, PRK: </w:t>
            </w:r>
            <w:r w:rsidRPr="00A01313">
              <w:rPr>
                <w:rFonts w:cs="Times New Roman"/>
                <w:kern w:val="0"/>
                <w:sz w:val="21"/>
                <w:szCs w:val="21"/>
              </w:rPr>
              <w:t>South Korea</w:t>
            </w:r>
            <w:r>
              <w:rPr>
                <w:rFonts w:cs="Times New Roman" w:hint="eastAsia"/>
                <w:kern w:val="0"/>
                <w:sz w:val="21"/>
                <w:szCs w:val="21"/>
              </w:rPr>
              <w:t xml:space="preserve">, GBR: </w:t>
            </w:r>
            <w:r w:rsidRPr="00A01313">
              <w:rPr>
                <w:rFonts w:cs="Times New Roman"/>
                <w:kern w:val="0"/>
                <w:sz w:val="21"/>
                <w:szCs w:val="21"/>
              </w:rPr>
              <w:t>Britain</w:t>
            </w:r>
            <w:r>
              <w:rPr>
                <w:rFonts w:cs="Times New Roman" w:hint="eastAsia"/>
                <w:kern w:val="0"/>
                <w:sz w:val="21"/>
                <w:szCs w:val="21"/>
              </w:rPr>
              <w:t xml:space="preserve">, </w:t>
            </w:r>
            <w:r w:rsidRPr="00A01313">
              <w:rPr>
                <w:rFonts w:cs="Times New Roman"/>
                <w:kern w:val="0"/>
                <w:sz w:val="21"/>
                <w:szCs w:val="21"/>
              </w:rPr>
              <w:t>USA</w:t>
            </w:r>
            <w:r>
              <w:rPr>
                <w:rFonts w:cs="Times New Roman" w:hint="eastAsia"/>
                <w:kern w:val="0"/>
                <w:sz w:val="21"/>
                <w:szCs w:val="21"/>
              </w:rPr>
              <w:t>: America.</w:t>
            </w:r>
          </w:p>
          <w:p w14:paraId="4D9653AD" w14:textId="77777777" w:rsidR="00365FA6" w:rsidRPr="00976541" w:rsidRDefault="00365FA6" w:rsidP="00365FA6">
            <w:pPr>
              <w:widowControl/>
              <w:spacing w:line="264" w:lineRule="auto"/>
              <w:jc w:val="left"/>
              <w:rPr>
                <w:rFonts w:cs="Times New Roman"/>
                <w:kern w:val="0"/>
                <w:sz w:val="21"/>
                <w:szCs w:val="21"/>
              </w:rPr>
            </w:pPr>
            <w:r>
              <w:rPr>
                <w:rFonts w:cs="Times New Roman" w:hint="eastAsia"/>
                <w:sz w:val="21"/>
                <w:szCs w:val="21"/>
              </w:rPr>
              <w:t>T</w:t>
            </w:r>
            <w:r w:rsidRPr="00976541">
              <w:rPr>
                <w:rFonts w:cs="Times New Roman"/>
                <w:sz w:val="21"/>
                <w:szCs w:val="21"/>
              </w:rPr>
              <w:t>he countries are listed as alpha-3 code in ISO 3166 by International Organization for Standardization, https://www.iso.org/obp/ui/#search</w:t>
            </w:r>
            <w:r>
              <w:rPr>
                <w:rFonts w:cs="Times New Roman" w:hint="eastAsia"/>
                <w:sz w:val="21"/>
                <w:szCs w:val="21"/>
              </w:rPr>
              <w:t>.</w:t>
            </w:r>
          </w:p>
        </w:tc>
      </w:tr>
    </w:tbl>
    <w:p w14:paraId="08384566" w14:textId="77777777" w:rsidR="00365FA6" w:rsidRDefault="00365FA6" w:rsidP="00B64BD8">
      <w:pPr>
        <w:spacing w:line="276" w:lineRule="auto"/>
        <w:rPr>
          <w:sz w:val="21"/>
          <w:szCs w:val="21"/>
        </w:rPr>
      </w:pPr>
    </w:p>
    <w:p w14:paraId="7583974F" w14:textId="0EF491E6" w:rsidR="00363708" w:rsidRDefault="00363708">
      <w:pPr>
        <w:widowControl/>
        <w:jc w:val="left"/>
        <w:rPr>
          <w:sz w:val="21"/>
          <w:szCs w:val="21"/>
        </w:rPr>
      </w:pPr>
      <w:r>
        <w:rPr>
          <w:sz w:val="21"/>
          <w:szCs w:val="21"/>
        </w:rPr>
        <w:br w:type="page"/>
      </w:r>
    </w:p>
    <w:p w14:paraId="111D3494" w14:textId="771AAA49" w:rsidR="00E004DF" w:rsidRDefault="002554E1" w:rsidP="002E1DF2">
      <w:pPr>
        <w:pStyle w:val="2"/>
      </w:pPr>
      <w:r>
        <w:rPr>
          <w:rFonts w:hint="eastAsia"/>
        </w:rPr>
        <w:t>H</w:t>
      </w:r>
      <w:r w:rsidR="00976541">
        <w:rPr>
          <w:rFonts w:hint="eastAsia"/>
        </w:rPr>
        <w:t>.</w:t>
      </w:r>
      <w:r w:rsidR="00E004DF" w:rsidRPr="0071342B">
        <w:rPr>
          <w:rFonts w:hint="eastAsia"/>
        </w:rPr>
        <w:t xml:space="preserve"> </w:t>
      </w:r>
      <w:r w:rsidR="00E004DF" w:rsidRPr="00D3219E">
        <w:t>Prevention and control of COVID-19 documents from 2019 to 2023 in China</w:t>
      </w:r>
    </w:p>
    <w:p w14:paraId="2876C1F2" w14:textId="77777777" w:rsidR="00E004DF" w:rsidRPr="0005633C" w:rsidRDefault="00E004DF" w:rsidP="002E1DF2">
      <w:pPr>
        <w:spacing w:after="120" w:line="288" w:lineRule="auto"/>
        <w:ind w:firstLine="420"/>
        <w:rPr>
          <w:rFonts w:cs="Times New Roman"/>
          <w:sz w:val="21"/>
          <w:szCs w:val="20"/>
        </w:rPr>
      </w:pPr>
      <w:r w:rsidRPr="0005633C">
        <w:rPr>
          <w:rFonts w:cs="Times New Roman"/>
          <w:sz w:val="21"/>
          <w:szCs w:val="20"/>
        </w:rPr>
        <w:t xml:space="preserve">Prevention and control of COVID-19 policy of China with ten versions in total adjusted accordingly with the COVID-19 pandemic. China’s government adjusted the documents several times till September 15, 2020, and the next version was issued on May 14, 2022, which was practically implemented till the reopening on December 07, 2022. </w:t>
      </w:r>
    </w:p>
    <w:p w14:paraId="48CC770E" w14:textId="08F7A6C5" w:rsidR="00C43D3B" w:rsidRPr="00F13C8C" w:rsidRDefault="00E004DF" w:rsidP="002E1DF2">
      <w:pPr>
        <w:spacing w:after="120" w:line="288" w:lineRule="auto"/>
        <w:ind w:firstLine="420"/>
        <w:rPr>
          <w:rFonts w:cs="Times New Roman"/>
          <w:sz w:val="21"/>
          <w:szCs w:val="20"/>
        </w:rPr>
      </w:pPr>
      <w:r w:rsidRPr="0005633C">
        <w:rPr>
          <w:rFonts w:cs="Times New Roman"/>
          <w:sz w:val="21"/>
          <w:szCs w:val="20"/>
        </w:rPr>
        <w:t xml:space="preserve">These documents in </w:t>
      </w:r>
      <w:r w:rsidRPr="0005633C">
        <w:rPr>
          <w:rFonts w:cs="Times New Roman"/>
          <w:color w:val="0070C0"/>
          <w:sz w:val="21"/>
          <w:szCs w:val="20"/>
        </w:rPr>
        <w:t xml:space="preserve">Table </w:t>
      </w:r>
      <w:r w:rsidR="00C52E06">
        <w:rPr>
          <w:rFonts w:cs="Times New Roman" w:hint="eastAsia"/>
          <w:color w:val="0070C0"/>
          <w:sz w:val="21"/>
          <w:szCs w:val="20"/>
        </w:rPr>
        <w:t>S</w:t>
      </w:r>
      <w:r w:rsidRPr="0005633C">
        <w:rPr>
          <w:rFonts w:cs="Times New Roman"/>
          <w:color w:val="0070C0"/>
          <w:sz w:val="21"/>
          <w:szCs w:val="20"/>
        </w:rPr>
        <w:t>4</w:t>
      </w:r>
      <w:r w:rsidRPr="0005633C">
        <w:rPr>
          <w:rFonts w:cs="Times New Roman"/>
          <w:sz w:val="21"/>
          <w:szCs w:val="20"/>
        </w:rPr>
        <w:t xml:space="preserve"> show great concerns of China’s government on the restriction of transport and communication, among which “lockdown” was a common way to address the potential transmission in high-risk areas</w:t>
      </w:r>
      <w:r w:rsidR="00812BB7">
        <w:rPr>
          <w:rFonts w:cs="Times New Roman" w:hint="eastAsia"/>
          <w:sz w:val="21"/>
          <w:szCs w:val="20"/>
        </w:rPr>
        <w:t xml:space="preserve"> </w:t>
      </w:r>
      <w:r w:rsidR="00812BB7" w:rsidRPr="00812BB7">
        <w:rPr>
          <w:rFonts w:cs="Times New Roman"/>
          <w:color w:val="0070C0"/>
          <w:sz w:val="21"/>
          <w:szCs w:val="20"/>
        </w:rPr>
        <w:t>(Joint Prevention and Control Mechanism of the State Council, 2020a, 2020b, 2020c, 2020d, 2020e, 2020f, 2021, 2022b, 2023)</w:t>
      </w:r>
      <w:r w:rsidRPr="0005633C">
        <w:rPr>
          <w:rFonts w:cs="Times New Roman"/>
          <w:sz w:val="21"/>
          <w:szCs w:val="20"/>
        </w:rPr>
        <w:t>. Restriction policies on the transport and communication system were severe during almost the whole of 2022</w:t>
      </w:r>
      <w:r w:rsidR="00F13C8C">
        <w:rPr>
          <w:rFonts w:cs="Times New Roman" w:hint="eastAsia"/>
          <w:sz w:val="21"/>
          <w:szCs w:val="20"/>
        </w:rPr>
        <w:t xml:space="preserve"> </w:t>
      </w:r>
      <w:r w:rsidRPr="0005633C">
        <w:rPr>
          <w:rFonts w:cs="Times New Roman"/>
          <w:sz w:val="21"/>
          <w:szCs w:val="20"/>
        </w:rPr>
        <w:t xml:space="preserve">according to the administrative documents in </w:t>
      </w:r>
      <w:r w:rsidRPr="0005633C">
        <w:rPr>
          <w:rFonts w:cs="Times New Roman"/>
          <w:color w:val="0070C0"/>
          <w:sz w:val="21"/>
          <w:szCs w:val="20"/>
        </w:rPr>
        <w:t xml:space="preserve">Table </w:t>
      </w:r>
      <w:r w:rsidR="00C52E06">
        <w:rPr>
          <w:rFonts w:cs="Times New Roman" w:hint="eastAsia"/>
          <w:color w:val="0070C0"/>
          <w:sz w:val="21"/>
          <w:szCs w:val="20"/>
        </w:rPr>
        <w:t>S</w:t>
      </w:r>
      <w:r w:rsidRPr="0005633C">
        <w:rPr>
          <w:rFonts w:cs="Times New Roman"/>
          <w:color w:val="0070C0"/>
          <w:sz w:val="21"/>
          <w:szCs w:val="20"/>
        </w:rPr>
        <w:t>4</w:t>
      </w:r>
      <w:r w:rsidRPr="0005633C">
        <w:rPr>
          <w:rFonts w:cs="Times New Roman"/>
          <w:sz w:val="21"/>
          <w:szCs w:val="20"/>
        </w:rPr>
        <w:t>. Policies in 2020 and 2021 were more flexible. The turning point is March 2022, when the regular nucleic acid testing was implemented formally</w:t>
      </w:r>
      <w:r w:rsidR="00812BB7">
        <w:rPr>
          <w:rFonts w:cs="Times New Roman" w:hint="eastAsia"/>
          <w:sz w:val="21"/>
          <w:szCs w:val="20"/>
        </w:rPr>
        <w:t xml:space="preserve"> </w:t>
      </w:r>
      <w:r w:rsidR="00812BB7" w:rsidRPr="00812BB7">
        <w:rPr>
          <w:rFonts w:cs="Times New Roman"/>
          <w:color w:val="0070C0"/>
          <w:sz w:val="21"/>
          <w:szCs w:val="20"/>
        </w:rPr>
        <w:t>(Joint Prevention and Control Mechanism of the State Council, 2022a)</w:t>
      </w:r>
      <w:r w:rsidRPr="0005633C">
        <w:rPr>
          <w:rFonts w:cs="Times New Roman"/>
          <w:sz w:val="21"/>
          <w:szCs w:val="20"/>
        </w:rPr>
        <w:t xml:space="preserve">. Later, the transportation transport and communication system </w:t>
      </w:r>
      <w:proofErr w:type="gramStart"/>
      <w:r w:rsidRPr="0005633C">
        <w:rPr>
          <w:rFonts w:cs="Times New Roman"/>
          <w:sz w:val="21"/>
          <w:szCs w:val="20"/>
        </w:rPr>
        <w:t>was</w:t>
      </w:r>
      <w:proofErr w:type="gramEnd"/>
      <w:r w:rsidRPr="0005633C">
        <w:rPr>
          <w:rFonts w:cs="Times New Roman"/>
          <w:sz w:val="21"/>
          <w:szCs w:val="20"/>
        </w:rPr>
        <w:t xml:space="preserve"> continuously hampered and incredibly disrupted for the weekly or even daily nucleic acid testing. </w:t>
      </w:r>
    </w:p>
    <w:p w14:paraId="0A792B18" w14:textId="77777777" w:rsidR="00C43D3B" w:rsidRPr="00A768E2" w:rsidRDefault="00C43D3B" w:rsidP="00E004DF">
      <w:pPr>
        <w:spacing w:after="120"/>
        <w:rPr>
          <w:rFonts w:cs="Times New Roman"/>
        </w:rPr>
      </w:pPr>
    </w:p>
    <w:tbl>
      <w:tblPr>
        <w:tblStyle w:val="a7"/>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948"/>
        <w:gridCol w:w="2031"/>
        <w:gridCol w:w="2220"/>
        <w:gridCol w:w="1180"/>
        <w:gridCol w:w="897"/>
      </w:tblGrid>
      <w:tr w:rsidR="00E004DF" w:rsidRPr="00976541" w14:paraId="5393BCF7" w14:textId="77777777" w:rsidTr="006A19D9">
        <w:tc>
          <w:tcPr>
            <w:tcW w:w="0" w:type="auto"/>
            <w:gridSpan w:val="5"/>
            <w:tcBorders>
              <w:bottom w:val="nil"/>
            </w:tcBorders>
            <w:shd w:val="clear" w:color="auto" w:fill="D9E2F3" w:themeFill="accent1" w:themeFillTint="33"/>
          </w:tcPr>
          <w:p w14:paraId="35DBFD5E" w14:textId="7D6AEED4" w:rsidR="00E004DF" w:rsidRPr="00976541" w:rsidRDefault="00E004DF" w:rsidP="00365FA6">
            <w:pPr>
              <w:spacing w:after="120" w:line="264" w:lineRule="auto"/>
              <w:rPr>
                <w:rFonts w:cs="Times New Roman"/>
                <w:b/>
                <w:bCs/>
                <w:sz w:val="21"/>
                <w:szCs w:val="21"/>
              </w:rPr>
            </w:pPr>
            <w:r w:rsidRPr="00976541">
              <w:rPr>
                <w:rFonts w:cs="Times New Roman"/>
                <w:b/>
                <w:bCs/>
                <w:sz w:val="21"/>
                <w:szCs w:val="21"/>
              </w:rPr>
              <w:t xml:space="preserve">Table </w:t>
            </w:r>
            <w:r w:rsidR="00C52E06">
              <w:rPr>
                <w:rFonts w:cs="Times New Roman" w:hint="eastAsia"/>
                <w:b/>
                <w:bCs/>
                <w:sz w:val="21"/>
                <w:szCs w:val="21"/>
              </w:rPr>
              <w:t>S</w:t>
            </w:r>
            <w:r w:rsidR="00976541" w:rsidRPr="00976541">
              <w:rPr>
                <w:rFonts w:cs="Times New Roman" w:hint="eastAsia"/>
                <w:b/>
                <w:bCs/>
                <w:sz w:val="21"/>
                <w:szCs w:val="21"/>
              </w:rPr>
              <w:t>4</w:t>
            </w:r>
            <w:r w:rsidRPr="00976541">
              <w:rPr>
                <w:rFonts w:cs="Times New Roman"/>
                <w:b/>
                <w:bCs/>
                <w:sz w:val="21"/>
                <w:szCs w:val="21"/>
              </w:rPr>
              <w:t xml:space="preserve"> Prevention and control of COVID-19 documents from 2019 to 2023 in China</w:t>
            </w:r>
          </w:p>
        </w:tc>
      </w:tr>
      <w:tr w:rsidR="00E004DF" w:rsidRPr="00976541" w14:paraId="7CB10F2F" w14:textId="77777777" w:rsidTr="006A19D9">
        <w:trPr>
          <w:trHeight w:val="584"/>
        </w:trPr>
        <w:tc>
          <w:tcPr>
            <w:tcW w:w="0" w:type="auto"/>
            <w:tcBorders>
              <w:top w:val="nil"/>
              <w:bottom w:val="single" w:sz="12" w:space="0" w:color="auto"/>
              <w:right w:val="single" w:sz="6" w:space="0" w:color="auto"/>
            </w:tcBorders>
            <w:hideMark/>
          </w:tcPr>
          <w:p w14:paraId="65C523F3" w14:textId="77777777" w:rsidR="00E004DF" w:rsidRPr="00976541" w:rsidRDefault="00E004DF" w:rsidP="00365FA6">
            <w:pPr>
              <w:spacing w:after="120" w:line="264" w:lineRule="auto"/>
              <w:rPr>
                <w:rFonts w:cs="Times New Roman"/>
                <w:b/>
                <w:bCs/>
                <w:sz w:val="21"/>
                <w:szCs w:val="21"/>
              </w:rPr>
            </w:pPr>
            <w:r w:rsidRPr="00976541">
              <w:rPr>
                <w:rFonts w:cs="Times New Roman"/>
                <w:b/>
                <w:bCs/>
                <w:sz w:val="21"/>
                <w:szCs w:val="21"/>
              </w:rPr>
              <w:t>low-risk areas</w:t>
            </w:r>
          </w:p>
        </w:tc>
        <w:tc>
          <w:tcPr>
            <w:tcW w:w="0" w:type="auto"/>
            <w:tcBorders>
              <w:top w:val="nil"/>
              <w:left w:val="single" w:sz="6" w:space="0" w:color="auto"/>
              <w:bottom w:val="single" w:sz="12" w:space="0" w:color="auto"/>
              <w:right w:val="single" w:sz="6" w:space="0" w:color="auto"/>
            </w:tcBorders>
            <w:hideMark/>
          </w:tcPr>
          <w:p w14:paraId="57010169" w14:textId="77777777" w:rsidR="00E004DF" w:rsidRPr="00976541" w:rsidRDefault="00E004DF" w:rsidP="00365FA6">
            <w:pPr>
              <w:spacing w:after="120" w:line="264" w:lineRule="auto"/>
              <w:rPr>
                <w:rFonts w:cs="Times New Roman"/>
                <w:b/>
                <w:bCs/>
                <w:sz w:val="21"/>
                <w:szCs w:val="21"/>
              </w:rPr>
            </w:pPr>
            <w:r w:rsidRPr="00976541">
              <w:rPr>
                <w:rFonts w:cs="Times New Roman"/>
                <w:b/>
                <w:bCs/>
                <w:sz w:val="21"/>
                <w:szCs w:val="21"/>
              </w:rPr>
              <w:t>Medium-risk areas</w:t>
            </w:r>
          </w:p>
        </w:tc>
        <w:tc>
          <w:tcPr>
            <w:tcW w:w="0" w:type="auto"/>
            <w:tcBorders>
              <w:top w:val="nil"/>
              <w:left w:val="single" w:sz="6" w:space="0" w:color="auto"/>
              <w:bottom w:val="single" w:sz="12" w:space="0" w:color="auto"/>
              <w:right w:val="single" w:sz="6" w:space="0" w:color="auto"/>
            </w:tcBorders>
            <w:hideMark/>
          </w:tcPr>
          <w:p w14:paraId="5C9FF4B5" w14:textId="77777777" w:rsidR="00E004DF" w:rsidRPr="00976541" w:rsidRDefault="00E004DF" w:rsidP="00365FA6">
            <w:pPr>
              <w:spacing w:after="120" w:line="264" w:lineRule="auto"/>
              <w:rPr>
                <w:rFonts w:cs="Times New Roman"/>
                <w:b/>
                <w:bCs/>
                <w:sz w:val="21"/>
                <w:szCs w:val="21"/>
              </w:rPr>
            </w:pPr>
            <w:r w:rsidRPr="00976541">
              <w:rPr>
                <w:rFonts w:cs="Times New Roman"/>
                <w:b/>
                <w:bCs/>
                <w:sz w:val="21"/>
                <w:szCs w:val="21"/>
              </w:rPr>
              <w:t>High-risk areas</w:t>
            </w:r>
          </w:p>
        </w:tc>
        <w:tc>
          <w:tcPr>
            <w:tcW w:w="0" w:type="auto"/>
            <w:tcBorders>
              <w:top w:val="nil"/>
              <w:left w:val="single" w:sz="6" w:space="0" w:color="auto"/>
              <w:bottom w:val="single" w:sz="12" w:space="0" w:color="auto"/>
              <w:right w:val="single" w:sz="6" w:space="0" w:color="auto"/>
            </w:tcBorders>
          </w:tcPr>
          <w:p w14:paraId="7F7B9C3E" w14:textId="77777777" w:rsidR="00E004DF" w:rsidRPr="00976541" w:rsidRDefault="00E004DF" w:rsidP="00365FA6">
            <w:pPr>
              <w:spacing w:after="120" w:line="264" w:lineRule="auto"/>
              <w:rPr>
                <w:rFonts w:cs="Times New Roman"/>
                <w:sz w:val="21"/>
                <w:szCs w:val="21"/>
              </w:rPr>
            </w:pPr>
            <w:r w:rsidRPr="00976541">
              <w:rPr>
                <w:rFonts w:cs="Times New Roman"/>
                <w:b/>
                <w:bCs/>
                <w:sz w:val="21"/>
                <w:szCs w:val="21"/>
              </w:rPr>
              <w:t>Effective Date</w:t>
            </w:r>
          </w:p>
        </w:tc>
        <w:tc>
          <w:tcPr>
            <w:tcW w:w="0" w:type="auto"/>
            <w:tcBorders>
              <w:top w:val="nil"/>
              <w:left w:val="single" w:sz="6" w:space="0" w:color="auto"/>
              <w:bottom w:val="single" w:sz="12" w:space="0" w:color="auto"/>
            </w:tcBorders>
          </w:tcPr>
          <w:p w14:paraId="4425E438" w14:textId="71FEB3E0" w:rsidR="00E004DF" w:rsidRPr="00976541" w:rsidRDefault="00E004DF" w:rsidP="00365FA6">
            <w:pPr>
              <w:spacing w:after="120" w:line="264" w:lineRule="auto"/>
              <w:jc w:val="center"/>
              <w:rPr>
                <w:rFonts w:cs="Times New Roman"/>
                <w:sz w:val="21"/>
                <w:szCs w:val="21"/>
              </w:rPr>
            </w:pPr>
            <w:r w:rsidRPr="00976541">
              <w:rPr>
                <w:rFonts w:cs="Times New Roman"/>
                <w:b/>
                <w:bCs/>
                <w:sz w:val="21"/>
                <w:szCs w:val="21"/>
              </w:rPr>
              <w:t>Version</w:t>
            </w:r>
          </w:p>
        </w:tc>
      </w:tr>
      <w:tr w:rsidR="00E004DF" w:rsidRPr="00976541" w14:paraId="58347AAA" w14:textId="77777777" w:rsidTr="006A19D9">
        <w:trPr>
          <w:trHeight w:val="584"/>
        </w:trPr>
        <w:tc>
          <w:tcPr>
            <w:tcW w:w="0" w:type="auto"/>
            <w:gridSpan w:val="3"/>
            <w:tcBorders>
              <w:top w:val="single" w:sz="12" w:space="0" w:color="auto"/>
              <w:bottom w:val="single" w:sz="6" w:space="0" w:color="auto"/>
              <w:right w:val="single" w:sz="6" w:space="0" w:color="auto"/>
            </w:tcBorders>
            <w:hideMark/>
          </w:tcPr>
          <w:p w14:paraId="0F609005" w14:textId="77777777" w:rsidR="00F71DB3" w:rsidRPr="00F71DB3" w:rsidRDefault="00F71DB3" w:rsidP="00365FA6">
            <w:pPr>
              <w:spacing w:line="264" w:lineRule="auto"/>
              <w:jc w:val="center"/>
              <w:rPr>
                <w:rFonts w:cs="Times New Roman"/>
                <w:sz w:val="21"/>
                <w:szCs w:val="21"/>
              </w:rPr>
            </w:pPr>
            <w:r w:rsidRPr="00F71DB3">
              <w:rPr>
                <w:rFonts w:cs="Times New Roman"/>
                <w:sz w:val="21"/>
                <w:szCs w:val="21"/>
              </w:rPr>
              <w:t xml:space="preserve">Home Quarantine (2nd to 3rd Edition); </w:t>
            </w:r>
          </w:p>
          <w:p w14:paraId="2FA06BEC" w14:textId="057E2E41" w:rsidR="00E004DF" w:rsidRPr="00976541" w:rsidRDefault="00F71DB3" w:rsidP="00365FA6">
            <w:pPr>
              <w:spacing w:line="264" w:lineRule="auto"/>
              <w:jc w:val="center"/>
              <w:rPr>
                <w:rFonts w:cs="Times New Roman"/>
                <w:sz w:val="21"/>
                <w:szCs w:val="21"/>
              </w:rPr>
            </w:pPr>
            <w:r w:rsidRPr="00F71DB3">
              <w:rPr>
                <w:rFonts w:cs="Times New Roman"/>
                <w:sz w:val="21"/>
                <w:szCs w:val="21"/>
              </w:rPr>
              <w:t>Home Quarantine, strengthened observation of Wuhan citizens (4</w:t>
            </w:r>
            <w:r w:rsidRPr="00F71DB3">
              <w:rPr>
                <w:rFonts w:cs="Times New Roman"/>
                <w:sz w:val="21"/>
                <w:szCs w:val="21"/>
                <w:vertAlign w:val="superscript"/>
              </w:rPr>
              <w:t>th</w:t>
            </w:r>
            <w:r w:rsidRPr="00F71DB3">
              <w:rPr>
                <w:rFonts w:cs="Times New Roman"/>
                <w:sz w:val="21"/>
                <w:szCs w:val="21"/>
              </w:rPr>
              <w:t xml:space="preserve"> Edition)</w:t>
            </w:r>
          </w:p>
        </w:tc>
        <w:tc>
          <w:tcPr>
            <w:tcW w:w="0" w:type="auto"/>
            <w:tcBorders>
              <w:top w:val="single" w:sz="12" w:space="0" w:color="auto"/>
              <w:left w:val="single" w:sz="6" w:space="0" w:color="auto"/>
              <w:bottom w:val="single" w:sz="6" w:space="0" w:color="auto"/>
              <w:right w:val="single" w:sz="6" w:space="0" w:color="auto"/>
            </w:tcBorders>
          </w:tcPr>
          <w:p w14:paraId="7427C003" w14:textId="77777777" w:rsidR="00F71DB3" w:rsidRPr="00F71DB3" w:rsidRDefault="00F71DB3" w:rsidP="00365FA6">
            <w:pPr>
              <w:spacing w:after="120" w:line="264" w:lineRule="auto"/>
              <w:rPr>
                <w:rFonts w:cs="Times New Roman"/>
                <w:sz w:val="21"/>
                <w:szCs w:val="21"/>
              </w:rPr>
            </w:pPr>
            <w:r w:rsidRPr="00F71DB3">
              <w:rPr>
                <w:rFonts w:cs="Times New Roman"/>
                <w:sz w:val="21"/>
                <w:szCs w:val="21"/>
              </w:rPr>
              <w:t>01/22/2020</w:t>
            </w:r>
          </w:p>
          <w:p w14:paraId="33FE34F1" w14:textId="77777777" w:rsidR="00F71DB3" w:rsidRPr="00F71DB3" w:rsidRDefault="00F71DB3" w:rsidP="00365FA6">
            <w:pPr>
              <w:spacing w:after="120" w:line="264" w:lineRule="auto"/>
              <w:rPr>
                <w:rFonts w:cs="Times New Roman"/>
                <w:sz w:val="21"/>
                <w:szCs w:val="21"/>
              </w:rPr>
            </w:pPr>
            <w:r w:rsidRPr="00F71DB3">
              <w:rPr>
                <w:rFonts w:cs="Times New Roman"/>
                <w:sz w:val="21"/>
                <w:szCs w:val="21"/>
              </w:rPr>
              <w:t>01/28/2020</w:t>
            </w:r>
          </w:p>
          <w:p w14:paraId="48AD8626" w14:textId="3A41D326" w:rsidR="00E004DF" w:rsidRPr="00976541" w:rsidRDefault="00F71DB3" w:rsidP="00365FA6">
            <w:pPr>
              <w:spacing w:after="120" w:line="264" w:lineRule="auto"/>
              <w:rPr>
                <w:rFonts w:cs="Times New Roman"/>
                <w:sz w:val="21"/>
                <w:szCs w:val="21"/>
              </w:rPr>
            </w:pPr>
            <w:r w:rsidRPr="00F71DB3">
              <w:rPr>
                <w:rFonts w:cs="Times New Roman"/>
                <w:sz w:val="21"/>
                <w:szCs w:val="21"/>
              </w:rPr>
              <w:t>02/06/2020</w:t>
            </w:r>
          </w:p>
        </w:tc>
        <w:tc>
          <w:tcPr>
            <w:tcW w:w="0" w:type="auto"/>
            <w:tcBorders>
              <w:top w:val="single" w:sz="12" w:space="0" w:color="auto"/>
              <w:left w:val="single" w:sz="6" w:space="0" w:color="auto"/>
              <w:bottom w:val="single" w:sz="6" w:space="0" w:color="auto"/>
            </w:tcBorders>
          </w:tcPr>
          <w:p w14:paraId="44003D17" w14:textId="73DD226A" w:rsidR="00E004DF" w:rsidRPr="00976541" w:rsidRDefault="00F71DB3" w:rsidP="00365FA6">
            <w:pPr>
              <w:spacing w:after="120" w:line="264" w:lineRule="auto"/>
              <w:jc w:val="center"/>
              <w:rPr>
                <w:rFonts w:cs="Times New Roman"/>
                <w:sz w:val="21"/>
                <w:szCs w:val="21"/>
              </w:rPr>
            </w:pPr>
            <w:r>
              <w:rPr>
                <w:rFonts w:cs="Times New Roman" w:hint="eastAsia"/>
                <w:sz w:val="21"/>
                <w:szCs w:val="21"/>
              </w:rPr>
              <w:t>2</w:t>
            </w:r>
            <w:r w:rsidR="00E004DF" w:rsidRPr="00976541">
              <w:rPr>
                <w:rFonts w:cs="Times New Roman"/>
                <w:sz w:val="21"/>
                <w:szCs w:val="21"/>
              </w:rPr>
              <w:t>-4</w:t>
            </w:r>
          </w:p>
        </w:tc>
      </w:tr>
      <w:tr w:rsidR="00E004DF" w:rsidRPr="00976541" w14:paraId="002F5655" w14:textId="77777777" w:rsidTr="006A19D9">
        <w:trPr>
          <w:trHeight w:val="584"/>
        </w:trPr>
        <w:tc>
          <w:tcPr>
            <w:tcW w:w="0" w:type="auto"/>
            <w:tcBorders>
              <w:top w:val="single" w:sz="6" w:space="0" w:color="auto"/>
              <w:bottom w:val="single" w:sz="6" w:space="0" w:color="auto"/>
              <w:right w:val="single" w:sz="6" w:space="0" w:color="auto"/>
            </w:tcBorders>
            <w:hideMark/>
          </w:tcPr>
          <w:p w14:paraId="7052A764"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Implement the strategy of “external prevention and importation”. Strengthen the tracking and management of the inflow of people from serious epidemic areas and high-risk areas, and do a good job of health monitoring and services.</w:t>
            </w:r>
          </w:p>
        </w:tc>
        <w:tc>
          <w:tcPr>
            <w:tcW w:w="0" w:type="auto"/>
            <w:tcBorders>
              <w:top w:val="single" w:sz="6" w:space="0" w:color="auto"/>
              <w:left w:val="single" w:sz="6" w:space="0" w:color="auto"/>
              <w:bottom w:val="single" w:sz="6" w:space="0" w:color="auto"/>
              <w:right w:val="single" w:sz="6" w:space="0" w:color="auto"/>
            </w:tcBorders>
            <w:hideMark/>
          </w:tcPr>
          <w:p w14:paraId="2DECAD27"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Implement the strategy of "preventing importation from outside and spreading from inside". Based on the measures taken in low-risk areas, preparations have been made for medical treatment, disease prevention, and control of relevant personnel, materials, and places, and close contacts of cases have been isolated for medical observation and management.</w:t>
            </w:r>
          </w:p>
        </w:tc>
        <w:tc>
          <w:tcPr>
            <w:tcW w:w="0" w:type="auto"/>
            <w:tcBorders>
              <w:top w:val="single" w:sz="6" w:space="0" w:color="auto"/>
              <w:left w:val="single" w:sz="6" w:space="0" w:color="auto"/>
              <w:bottom w:val="single" w:sz="6" w:space="0" w:color="auto"/>
              <w:right w:val="single" w:sz="6" w:space="0" w:color="auto"/>
            </w:tcBorders>
            <w:hideMark/>
          </w:tcPr>
          <w:p w14:paraId="6BBB7487"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Implement the strategy of "internal prevention of proliferation, external prevention of export, and strict control". Based on the measures taken in medium-risk areas, gatherings of activities will be stopped, and regional traffic control can be implemented after approval by the law and procedures</w:t>
            </w:r>
          </w:p>
        </w:tc>
        <w:tc>
          <w:tcPr>
            <w:tcW w:w="0" w:type="auto"/>
            <w:tcBorders>
              <w:top w:val="single" w:sz="6" w:space="0" w:color="auto"/>
              <w:left w:val="single" w:sz="6" w:space="0" w:color="auto"/>
              <w:bottom w:val="single" w:sz="6" w:space="0" w:color="auto"/>
              <w:right w:val="single" w:sz="6" w:space="0" w:color="auto"/>
            </w:tcBorders>
          </w:tcPr>
          <w:p w14:paraId="11724433"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02/22/2020</w:t>
            </w:r>
          </w:p>
          <w:p w14:paraId="67AF1465"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03/07/2020</w:t>
            </w:r>
          </w:p>
        </w:tc>
        <w:tc>
          <w:tcPr>
            <w:tcW w:w="0" w:type="auto"/>
            <w:tcBorders>
              <w:top w:val="single" w:sz="6" w:space="0" w:color="auto"/>
              <w:left w:val="single" w:sz="6" w:space="0" w:color="auto"/>
              <w:bottom w:val="single" w:sz="6" w:space="0" w:color="auto"/>
            </w:tcBorders>
          </w:tcPr>
          <w:p w14:paraId="42AE458D" w14:textId="77777777" w:rsidR="00E004DF" w:rsidRPr="00976541" w:rsidRDefault="00E004DF" w:rsidP="00365FA6">
            <w:pPr>
              <w:spacing w:after="120" w:line="264" w:lineRule="auto"/>
              <w:jc w:val="center"/>
              <w:rPr>
                <w:rFonts w:cs="Times New Roman"/>
                <w:sz w:val="21"/>
                <w:szCs w:val="21"/>
              </w:rPr>
            </w:pPr>
            <w:r w:rsidRPr="00976541">
              <w:rPr>
                <w:rFonts w:cs="Times New Roman"/>
                <w:sz w:val="21"/>
                <w:szCs w:val="21"/>
              </w:rPr>
              <w:t>5</w:t>
            </w:r>
          </w:p>
          <w:p w14:paraId="32AF0A6A" w14:textId="77777777" w:rsidR="00E004DF" w:rsidRPr="00976541" w:rsidRDefault="00E004DF" w:rsidP="00365FA6">
            <w:pPr>
              <w:spacing w:after="120" w:line="264" w:lineRule="auto"/>
              <w:jc w:val="center"/>
              <w:rPr>
                <w:rFonts w:cs="Times New Roman"/>
                <w:sz w:val="21"/>
                <w:szCs w:val="21"/>
              </w:rPr>
            </w:pPr>
            <w:r w:rsidRPr="00976541">
              <w:rPr>
                <w:rFonts w:cs="Times New Roman"/>
                <w:sz w:val="21"/>
                <w:szCs w:val="21"/>
              </w:rPr>
              <w:t>6</w:t>
            </w:r>
          </w:p>
        </w:tc>
      </w:tr>
      <w:tr w:rsidR="00E004DF" w:rsidRPr="00976541" w14:paraId="132ECF3C" w14:textId="77777777" w:rsidTr="006A19D9">
        <w:trPr>
          <w:trHeight w:val="584"/>
        </w:trPr>
        <w:tc>
          <w:tcPr>
            <w:tcW w:w="0" w:type="auto"/>
            <w:tcBorders>
              <w:top w:val="single" w:sz="6" w:space="0" w:color="auto"/>
              <w:bottom w:val="single" w:sz="6" w:space="0" w:color="auto"/>
              <w:right w:val="single" w:sz="6" w:space="0" w:color="auto"/>
            </w:tcBorders>
            <w:hideMark/>
          </w:tcPr>
          <w:p w14:paraId="330FBBD8"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Implement normalized prevention and control work, strengthen epidemic monitoring, and make preparations for epidemic disposal.</w:t>
            </w:r>
          </w:p>
        </w:tc>
        <w:tc>
          <w:tcPr>
            <w:tcW w:w="0" w:type="auto"/>
            <w:tcBorders>
              <w:top w:val="single" w:sz="6" w:space="0" w:color="auto"/>
              <w:left w:val="single" w:sz="6" w:space="0" w:color="auto"/>
              <w:bottom w:val="single" w:sz="6" w:space="0" w:color="auto"/>
              <w:right w:val="single" w:sz="6" w:space="0" w:color="auto"/>
            </w:tcBorders>
            <w:hideMark/>
          </w:tcPr>
          <w:p w14:paraId="7DA61373"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 xml:space="preserve">Based on the relevant measures in low-risk areas, delineate the scope of the minimum prevention and control area, initiate 14-day intensive surveillance, monitoring of medical institutions, monitoring of key places and key institutions, community-initiated screening, nucleic acid testing of risk groups, and terminal disinfection. </w:t>
            </w:r>
          </w:p>
        </w:tc>
        <w:tc>
          <w:tcPr>
            <w:tcW w:w="0" w:type="auto"/>
            <w:tcBorders>
              <w:top w:val="single" w:sz="6" w:space="0" w:color="auto"/>
              <w:left w:val="single" w:sz="6" w:space="0" w:color="auto"/>
              <w:bottom w:val="single" w:sz="6" w:space="0" w:color="auto"/>
              <w:right w:val="single" w:sz="6" w:space="0" w:color="auto"/>
            </w:tcBorders>
            <w:hideMark/>
          </w:tcPr>
          <w:p w14:paraId="67452407"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 xml:space="preserve">Based on the implementation of all prevention and control measures in medium-risk areas, expand the scope of prevention and control areas, conduct comprehensive investigations, restrict crowd-gathering activities, regional control, and activate the corresponding level of emergency response. </w:t>
            </w:r>
          </w:p>
        </w:tc>
        <w:tc>
          <w:tcPr>
            <w:tcW w:w="0" w:type="auto"/>
            <w:tcBorders>
              <w:top w:val="single" w:sz="6" w:space="0" w:color="auto"/>
              <w:left w:val="single" w:sz="6" w:space="0" w:color="auto"/>
              <w:bottom w:val="single" w:sz="6" w:space="0" w:color="auto"/>
              <w:right w:val="single" w:sz="6" w:space="0" w:color="auto"/>
            </w:tcBorders>
          </w:tcPr>
          <w:p w14:paraId="6284071E"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09/15/2020</w:t>
            </w:r>
          </w:p>
        </w:tc>
        <w:tc>
          <w:tcPr>
            <w:tcW w:w="0" w:type="auto"/>
            <w:tcBorders>
              <w:top w:val="single" w:sz="6" w:space="0" w:color="auto"/>
              <w:left w:val="single" w:sz="6" w:space="0" w:color="auto"/>
              <w:bottom w:val="single" w:sz="6" w:space="0" w:color="auto"/>
            </w:tcBorders>
          </w:tcPr>
          <w:p w14:paraId="7E11FD49" w14:textId="77777777" w:rsidR="00E004DF" w:rsidRPr="00976541" w:rsidRDefault="00E004DF" w:rsidP="00365FA6">
            <w:pPr>
              <w:spacing w:after="120" w:line="264" w:lineRule="auto"/>
              <w:jc w:val="center"/>
              <w:rPr>
                <w:rFonts w:cs="Times New Roman"/>
                <w:sz w:val="21"/>
                <w:szCs w:val="21"/>
              </w:rPr>
            </w:pPr>
            <w:r w:rsidRPr="00976541">
              <w:rPr>
                <w:rFonts w:cs="Times New Roman"/>
                <w:sz w:val="21"/>
                <w:szCs w:val="21"/>
              </w:rPr>
              <w:t>7</w:t>
            </w:r>
          </w:p>
        </w:tc>
      </w:tr>
      <w:tr w:rsidR="00E004DF" w:rsidRPr="00976541" w14:paraId="6B11A1BD" w14:textId="77777777" w:rsidTr="006A19D9">
        <w:trPr>
          <w:trHeight w:val="584"/>
        </w:trPr>
        <w:tc>
          <w:tcPr>
            <w:tcW w:w="0" w:type="auto"/>
            <w:tcBorders>
              <w:top w:val="single" w:sz="6" w:space="0" w:color="auto"/>
              <w:bottom w:val="single" w:sz="6" w:space="0" w:color="auto"/>
              <w:right w:val="single" w:sz="6" w:space="0" w:color="auto"/>
            </w:tcBorders>
            <w:hideMark/>
          </w:tcPr>
          <w:p w14:paraId="05D0F210"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health education, environmental remediation, personnel screening, home management, management of key places and key institutions, care services, epidemic prevention and control preparations.</w:t>
            </w:r>
          </w:p>
        </w:tc>
        <w:tc>
          <w:tcPr>
            <w:tcW w:w="0" w:type="auto"/>
            <w:gridSpan w:val="2"/>
            <w:tcBorders>
              <w:top w:val="single" w:sz="6" w:space="0" w:color="auto"/>
              <w:left w:val="single" w:sz="6" w:space="0" w:color="auto"/>
              <w:bottom w:val="single" w:sz="6" w:space="0" w:color="auto"/>
              <w:right w:val="single" w:sz="6" w:space="0" w:color="auto"/>
            </w:tcBorders>
            <w:hideMark/>
          </w:tcPr>
          <w:p w14:paraId="3BE30B4E"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Implement the smallest unit of closed control only in and out of the area, regional control and restriction or closure of places of business, full closed management of villages not to be in and out of the area vehicles are prohibited from entering and exiting the village, disinfection of the environment, psychological guidance and life protection.</w:t>
            </w:r>
          </w:p>
        </w:tc>
        <w:tc>
          <w:tcPr>
            <w:tcW w:w="0" w:type="auto"/>
            <w:tcBorders>
              <w:top w:val="single" w:sz="6" w:space="0" w:color="auto"/>
              <w:left w:val="single" w:sz="6" w:space="0" w:color="auto"/>
              <w:bottom w:val="single" w:sz="6" w:space="0" w:color="auto"/>
              <w:right w:val="single" w:sz="6" w:space="0" w:color="auto"/>
            </w:tcBorders>
          </w:tcPr>
          <w:p w14:paraId="103591B8"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05/14/2021</w:t>
            </w:r>
          </w:p>
        </w:tc>
        <w:tc>
          <w:tcPr>
            <w:tcW w:w="0" w:type="auto"/>
            <w:tcBorders>
              <w:top w:val="single" w:sz="6" w:space="0" w:color="auto"/>
              <w:left w:val="single" w:sz="6" w:space="0" w:color="auto"/>
              <w:bottom w:val="single" w:sz="6" w:space="0" w:color="auto"/>
            </w:tcBorders>
          </w:tcPr>
          <w:p w14:paraId="72240646" w14:textId="77777777" w:rsidR="00E004DF" w:rsidRPr="00976541" w:rsidRDefault="00E004DF" w:rsidP="00365FA6">
            <w:pPr>
              <w:spacing w:after="120" w:line="264" w:lineRule="auto"/>
              <w:jc w:val="center"/>
              <w:rPr>
                <w:rFonts w:cs="Times New Roman"/>
                <w:sz w:val="21"/>
                <w:szCs w:val="21"/>
              </w:rPr>
            </w:pPr>
            <w:r w:rsidRPr="00976541">
              <w:rPr>
                <w:rFonts w:cs="Times New Roman"/>
                <w:sz w:val="21"/>
                <w:szCs w:val="21"/>
              </w:rPr>
              <w:t>8</w:t>
            </w:r>
          </w:p>
        </w:tc>
      </w:tr>
      <w:tr w:rsidR="00E004DF" w:rsidRPr="00976541" w14:paraId="177E70F5" w14:textId="77777777" w:rsidTr="006A19D9">
        <w:trPr>
          <w:trHeight w:val="584"/>
        </w:trPr>
        <w:tc>
          <w:tcPr>
            <w:tcW w:w="0" w:type="auto"/>
            <w:tcBorders>
              <w:top w:val="single" w:sz="6" w:space="0" w:color="auto"/>
              <w:bottom w:val="single" w:sz="6" w:space="0" w:color="auto"/>
              <w:right w:val="single" w:sz="6" w:space="0" w:color="auto"/>
            </w:tcBorders>
            <w:hideMark/>
          </w:tcPr>
          <w:p w14:paraId="1E76C8AC"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Low-risk areas in the high-risk areas in the county (city, district, flag) in other areas for low-risk areas. The implementation of "personal protection, avoid gathering", leaves the city with a 48-hour proof of negative nucleic acid test.</w:t>
            </w:r>
          </w:p>
        </w:tc>
        <w:tc>
          <w:tcPr>
            <w:tcW w:w="0" w:type="auto"/>
            <w:tcBorders>
              <w:top w:val="single" w:sz="6" w:space="0" w:color="auto"/>
              <w:left w:val="single" w:sz="6" w:space="0" w:color="auto"/>
              <w:bottom w:val="single" w:sz="6" w:space="0" w:color="auto"/>
              <w:right w:val="single" w:sz="6" w:space="0" w:color="auto"/>
            </w:tcBorders>
            <w:hideMark/>
          </w:tcPr>
          <w:p w14:paraId="4DFD2F72"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implement control measures, during the period of "people do not go out of the area, staggered pickup" for 7 consecutive days without new infected people, and the seventh day of the risk of all people in the region No new infected person for 7 consecutive days, and all persons in the risk area are negative on the 7th day after completing a round of nucleic acid screening, and the area is downgraded to a low-risk area.</w:t>
            </w:r>
          </w:p>
        </w:tc>
        <w:tc>
          <w:tcPr>
            <w:tcW w:w="0" w:type="auto"/>
            <w:tcBorders>
              <w:top w:val="single" w:sz="6" w:space="0" w:color="auto"/>
              <w:left w:val="single" w:sz="6" w:space="0" w:color="auto"/>
              <w:bottom w:val="single" w:sz="6" w:space="0" w:color="auto"/>
              <w:right w:val="single" w:sz="6" w:space="0" w:color="auto"/>
            </w:tcBorders>
            <w:hideMark/>
          </w:tcPr>
          <w:p w14:paraId="051214C4"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The high-risk area is under control measures, during which "no one leaves the area, door-to-door service" is provided. During the sealing and control period, newly infected persons are found, and the local joint prevention and control mechanism organizes and carries out risk study and judgment, and by the requirements of "one policy for one area", the original sealing and control area can be extended in whole or in part to seal and control time for 7 consecutive days with no new infected persons, and on the 7th day, all the persons in the risk area have completed one round of negative nucleic acid screening, and then it will be downgraded to the medium-risk area; 3 consecutive days with no new infected persons will be downgraded to the medium-risk area. No new infected person for 3 consecutive days is downgraded to a low-risk area.</w:t>
            </w:r>
          </w:p>
        </w:tc>
        <w:tc>
          <w:tcPr>
            <w:tcW w:w="0" w:type="auto"/>
            <w:tcBorders>
              <w:top w:val="single" w:sz="6" w:space="0" w:color="auto"/>
              <w:left w:val="single" w:sz="6" w:space="0" w:color="auto"/>
              <w:bottom w:val="single" w:sz="6" w:space="0" w:color="auto"/>
              <w:right w:val="single" w:sz="6" w:space="0" w:color="auto"/>
            </w:tcBorders>
          </w:tcPr>
          <w:p w14:paraId="21B34958"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06/28/2022</w:t>
            </w:r>
          </w:p>
        </w:tc>
        <w:tc>
          <w:tcPr>
            <w:tcW w:w="0" w:type="auto"/>
            <w:tcBorders>
              <w:top w:val="single" w:sz="6" w:space="0" w:color="auto"/>
              <w:left w:val="single" w:sz="6" w:space="0" w:color="auto"/>
              <w:bottom w:val="single" w:sz="6" w:space="0" w:color="auto"/>
            </w:tcBorders>
          </w:tcPr>
          <w:p w14:paraId="761179E6" w14:textId="77777777" w:rsidR="00E004DF" w:rsidRPr="00976541" w:rsidRDefault="00E004DF" w:rsidP="00365FA6">
            <w:pPr>
              <w:spacing w:after="120" w:line="264" w:lineRule="auto"/>
              <w:jc w:val="center"/>
              <w:rPr>
                <w:rFonts w:cs="Times New Roman"/>
                <w:sz w:val="21"/>
                <w:szCs w:val="21"/>
              </w:rPr>
            </w:pPr>
            <w:r w:rsidRPr="00976541">
              <w:rPr>
                <w:rFonts w:cs="Times New Roman"/>
                <w:sz w:val="21"/>
                <w:szCs w:val="21"/>
              </w:rPr>
              <w:t>9</w:t>
            </w:r>
          </w:p>
        </w:tc>
      </w:tr>
      <w:tr w:rsidR="00E004DF" w:rsidRPr="00976541" w14:paraId="7D4392BE" w14:textId="77777777" w:rsidTr="000E67A8">
        <w:trPr>
          <w:trHeight w:val="592"/>
        </w:trPr>
        <w:tc>
          <w:tcPr>
            <w:tcW w:w="0" w:type="auto"/>
            <w:gridSpan w:val="3"/>
            <w:tcBorders>
              <w:top w:val="single" w:sz="6" w:space="0" w:color="auto"/>
              <w:bottom w:val="single" w:sz="12" w:space="0" w:color="auto"/>
              <w:right w:val="single" w:sz="6" w:space="0" w:color="auto"/>
            </w:tcBorders>
            <w:vAlign w:val="center"/>
            <w:hideMark/>
          </w:tcPr>
          <w:p w14:paraId="2C8B34F2"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Reopening of the whole country in practice</w:t>
            </w:r>
          </w:p>
        </w:tc>
        <w:tc>
          <w:tcPr>
            <w:tcW w:w="0" w:type="auto"/>
            <w:tcBorders>
              <w:top w:val="single" w:sz="6" w:space="0" w:color="auto"/>
              <w:left w:val="single" w:sz="6" w:space="0" w:color="auto"/>
              <w:bottom w:val="single" w:sz="12" w:space="0" w:color="auto"/>
              <w:right w:val="single" w:sz="6" w:space="0" w:color="auto"/>
            </w:tcBorders>
            <w:vAlign w:val="center"/>
          </w:tcPr>
          <w:p w14:paraId="4C0893F2" w14:textId="77777777" w:rsidR="00E004DF" w:rsidRPr="00976541" w:rsidRDefault="00E004DF" w:rsidP="00365FA6">
            <w:pPr>
              <w:spacing w:after="120" w:line="264" w:lineRule="auto"/>
              <w:rPr>
                <w:rFonts w:cs="Times New Roman"/>
                <w:sz w:val="21"/>
                <w:szCs w:val="21"/>
              </w:rPr>
            </w:pPr>
            <w:r w:rsidRPr="00976541">
              <w:rPr>
                <w:rFonts w:cs="Times New Roman"/>
                <w:sz w:val="21"/>
                <w:szCs w:val="21"/>
              </w:rPr>
              <w:t>12/07/2022</w:t>
            </w:r>
          </w:p>
        </w:tc>
        <w:tc>
          <w:tcPr>
            <w:tcW w:w="0" w:type="auto"/>
            <w:tcBorders>
              <w:top w:val="single" w:sz="6" w:space="0" w:color="auto"/>
              <w:left w:val="single" w:sz="6" w:space="0" w:color="auto"/>
              <w:bottom w:val="single" w:sz="12" w:space="0" w:color="auto"/>
            </w:tcBorders>
            <w:vAlign w:val="center"/>
          </w:tcPr>
          <w:p w14:paraId="002096BD" w14:textId="753DDAD8" w:rsidR="00E004DF" w:rsidRPr="00976541" w:rsidRDefault="00253C5E" w:rsidP="00365FA6">
            <w:pPr>
              <w:spacing w:after="120" w:line="264" w:lineRule="auto"/>
              <w:jc w:val="center"/>
              <w:rPr>
                <w:rFonts w:cs="Times New Roman"/>
                <w:sz w:val="21"/>
                <w:szCs w:val="21"/>
              </w:rPr>
            </w:pPr>
            <w:r>
              <w:rPr>
                <w:rFonts w:cs="Times New Roman" w:hint="eastAsia"/>
                <w:sz w:val="21"/>
                <w:szCs w:val="21"/>
              </w:rPr>
              <w:t>-</w:t>
            </w:r>
          </w:p>
        </w:tc>
      </w:tr>
    </w:tbl>
    <w:p w14:paraId="492D18AA" w14:textId="4E42AC9C" w:rsidR="002E1DF2" w:rsidRDefault="002E1DF2" w:rsidP="002E1DF2"/>
    <w:p w14:paraId="3DF800BF" w14:textId="77777777" w:rsidR="0094779C" w:rsidRDefault="0094779C" w:rsidP="002E1DF2"/>
    <w:p w14:paraId="6208155E" w14:textId="77777777" w:rsidR="0094779C" w:rsidRDefault="0094779C" w:rsidP="002E1DF2"/>
    <w:p w14:paraId="79189837" w14:textId="07155192" w:rsidR="004B362E" w:rsidRPr="004C4288" w:rsidRDefault="00E004DF" w:rsidP="002E1DF2">
      <w:pPr>
        <w:pStyle w:val="2"/>
        <w:spacing w:line="288" w:lineRule="auto"/>
      </w:pPr>
      <w:r>
        <w:rPr>
          <w:rFonts w:hint="eastAsia"/>
        </w:rPr>
        <w:t>R</w:t>
      </w:r>
      <w:r w:rsidR="004C4288" w:rsidRPr="004C4288">
        <w:rPr>
          <w:rFonts w:hint="eastAsia"/>
        </w:rPr>
        <w:t>eference</w:t>
      </w:r>
      <w:r>
        <w:rPr>
          <w:rFonts w:hint="eastAsia"/>
        </w:rPr>
        <w:t>s</w:t>
      </w:r>
    </w:p>
    <w:p w14:paraId="59485E21" w14:textId="77777777" w:rsidR="00D5568F" w:rsidRPr="00D5568F" w:rsidRDefault="00D5568F" w:rsidP="00F80B3A">
      <w:pPr>
        <w:spacing w:line="276" w:lineRule="auto"/>
        <w:ind w:left="420" w:hangingChars="200" w:hanging="420"/>
        <w:rPr>
          <w:sz w:val="21"/>
          <w:szCs w:val="20"/>
        </w:rPr>
      </w:pPr>
      <w:r w:rsidRPr="00D5568F">
        <w:rPr>
          <w:sz w:val="21"/>
          <w:szCs w:val="20"/>
        </w:rPr>
        <w:t xml:space="preserve">Belzer, M. H., &amp; Sedo, S. A. (2018). Why do long distance truck drivers work extremely long </w:t>
      </w:r>
      <w:proofErr w:type="gramStart"/>
      <w:r w:rsidRPr="00D5568F">
        <w:rPr>
          <w:sz w:val="21"/>
          <w:szCs w:val="20"/>
        </w:rPr>
        <w:t>hours?.</w:t>
      </w:r>
      <w:proofErr w:type="gramEnd"/>
      <w:r w:rsidRPr="00D5568F">
        <w:rPr>
          <w:sz w:val="21"/>
          <w:szCs w:val="20"/>
        </w:rPr>
        <w:t> </w:t>
      </w:r>
      <w:r w:rsidRPr="00D5568F">
        <w:rPr>
          <w:i/>
          <w:iCs/>
          <w:sz w:val="21"/>
          <w:szCs w:val="20"/>
        </w:rPr>
        <w:t xml:space="preserve">The Economic and </w:t>
      </w:r>
      <w:proofErr w:type="spellStart"/>
      <w:r w:rsidRPr="00D5568F">
        <w:rPr>
          <w:i/>
          <w:iCs/>
          <w:sz w:val="21"/>
          <w:szCs w:val="20"/>
        </w:rPr>
        <w:t>Labour</w:t>
      </w:r>
      <w:proofErr w:type="spellEnd"/>
      <w:r w:rsidRPr="00D5568F">
        <w:rPr>
          <w:i/>
          <w:iCs/>
          <w:sz w:val="21"/>
          <w:szCs w:val="20"/>
        </w:rPr>
        <w:t xml:space="preserve"> Relations Review</w:t>
      </w:r>
      <w:r w:rsidRPr="00D5568F">
        <w:rPr>
          <w:sz w:val="21"/>
          <w:szCs w:val="20"/>
        </w:rPr>
        <w:t>, </w:t>
      </w:r>
      <w:r w:rsidRPr="00D5568F">
        <w:rPr>
          <w:i/>
          <w:iCs/>
          <w:sz w:val="21"/>
          <w:szCs w:val="20"/>
        </w:rPr>
        <w:t>29</w:t>
      </w:r>
      <w:r w:rsidRPr="00D5568F">
        <w:rPr>
          <w:sz w:val="21"/>
          <w:szCs w:val="20"/>
        </w:rPr>
        <w:t>(1), 59-79.</w:t>
      </w:r>
    </w:p>
    <w:p w14:paraId="484FEF5B" w14:textId="77777777" w:rsidR="00D5568F" w:rsidRPr="00D5568F" w:rsidRDefault="00D5568F" w:rsidP="00F80B3A">
      <w:pPr>
        <w:spacing w:line="276" w:lineRule="auto"/>
        <w:ind w:left="420" w:hangingChars="200" w:hanging="420"/>
        <w:rPr>
          <w:sz w:val="21"/>
          <w:szCs w:val="20"/>
        </w:rPr>
      </w:pPr>
      <w:r w:rsidRPr="00D5568F">
        <w:rPr>
          <w:sz w:val="21"/>
          <w:szCs w:val="20"/>
        </w:rPr>
        <w:t>Chen, G. X., Sieber, W. K., Lincoln, J. E., Birdsey, J., Hitchcock, E. M., Nakata, A., ... &amp; Sweeney, M. H. (2015). NIOSH national survey of long-haul truck drivers: injury and safety. </w:t>
      </w:r>
      <w:r w:rsidRPr="00D5568F">
        <w:rPr>
          <w:i/>
          <w:iCs/>
          <w:sz w:val="21"/>
          <w:szCs w:val="20"/>
        </w:rPr>
        <w:t>Accident Analysis &amp; Prevention</w:t>
      </w:r>
      <w:r w:rsidRPr="00D5568F">
        <w:rPr>
          <w:sz w:val="21"/>
          <w:szCs w:val="20"/>
        </w:rPr>
        <w:t>, </w:t>
      </w:r>
      <w:r w:rsidRPr="00D5568F">
        <w:rPr>
          <w:i/>
          <w:iCs/>
          <w:sz w:val="21"/>
          <w:szCs w:val="20"/>
        </w:rPr>
        <w:t>85</w:t>
      </w:r>
      <w:r w:rsidRPr="00D5568F">
        <w:rPr>
          <w:sz w:val="21"/>
          <w:szCs w:val="20"/>
        </w:rPr>
        <w:t>, 66-72.</w:t>
      </w:r>
    </w:p>
    <w:p w14:paraId="3D9E47F5" w14:textId="77777777" w:rsidR="00D5568F" w:rsidRPr="0005633C" w:rsidRDefault="00D5568F" w:rsidP="00F80B3A">
      <w:pPr>
        <w:spacing w:line="276" w:lineRule="auto"/>
        <w:ind w:left="420" w:hangingChars="200" w:hanging="420"/>
        <w:rPr>
          <w:sz w:val="21"/>
          <w:szCs w:val="20"/>
        </w:rPr>
      </w:pPr>
      <w:bookmarkStart w:id="1" w:name="_Hlk163092088"/>
      <w:r w:rsidRPr="0005633C">
        <w:rPr>
          <w:sz w:val="21"/>
          <w:szCs w:val="20"/>
        </w:rPr>
        <w:t>Chen</w:t>
      </w:r>
      <w:bookmarkEnd w:id="1"/>
      <w:r w:rsidRPr="0005633C">
        <w:rPr>
          <w:sz w:val="21"/>
          <w:szCs w:val="20"/>
        </w:rPr>
        <w:t>, S., Qiao, X., &amp; Zhu, Z. (2021). Chasing or cheating? Theory and evidence on China's GDP manipulation. </w:t>
      </w:r>
      <w:r w:rsidRPr="0005633C">
        <w:rPr>
          <w:i/>
          <w:iCs/>
          <w:sz w:val="21"/>
          <w:szCs w:val="20"/>
        </w:rPr>
        <w:t>Journal of Economic Behavior &amp; Organization</w:t>
      </w:r>
      <w:r w:rsidRPr="0005633C">
        <w:rPr>
          <w:sz w:val="21"/>
          <w:szCs w:val="20"/>
        </w:rPr>
        <w:t>, </w:t>
      </w:r>
      <w:r w:rsidRPr="0005633C">
        <w:rPr>
          <w:i/>
          <w:iCs/>
          <w:sz w:val="21"/>
          <w:szCs w:val="20"/>
        </w:rPr>
        <w:t>189</w:t>
      </w:r>
      <w:r w:rsidRPr="0005633C">
        <w:rPr>
          <w:sz w:val="21"/>
          <w:szCs w:val="20"/>
        </w:rPr>
        <w:t>, 657-671.</w:t>
      </w:r>
    </w:p>
    <w:p w14:paraId="7C3B49EF" w14:textId="77777777" w:rsidR="00D5568F" w:rsidRPr="0005633C" w:rsidRDefault="00D5568F" w:rsidP="00F80B3A">
      <w:pPr>
        <w:spacing w:line="276" w:lineRule="auto"/>
        <w:ind w:left="420" w:hangingChars="200" w:hanging="420"/>
        <w:rPr>
          <w:sz w:val="21"/>
          <w:szCs w:val="20"/>
        </w:rPr>
      </w:pPr>
      <w:r w:rsidRPr="0005633C">
        <w:rPr>
          <w:sz w:val="21"/>
          <w:szCs w:val="20"/>
        </w:rPr>
        <w:t xml:space="preserve">Chen, X., &amp; </w:t>
      </w:r>
      <w:bookmarkStart w:id="2" w:name="_Hlk163091957"/>
      <w:r w:rsidRPr="0005633C">
        <w:rPr>
          <w:sz w:val="21"/>
          <w:szCs w:val="20"/>
        </w:rPr>
        <w:t>Nordhaus,</w:t>
      </w:r>
      <w:bookmarkEnd w:id="2"/>
      <w:r w:rsidRPr="0005633C">
        <w:rPr>
          <w:sz w:val="21"/>
          <w:szCs w:val="20"/>
        </w:rPr>
        <w:t xml:space="preserve"> W. D. (2011). Using luminosity data as a proxy for economic statistics. </w:t>
      </w:r>
      <w:r w:rsidRPr="0005633C">
        <w:rPr>
          <w:i/>
          <w:iCs/>
          <w:sz w:val="21"/>
          <w:szCs w:val="20"/>
        </w:rPr>
        <w:t>Proceedings of the National Academy of Sciences</w:t>
      </w:r>
      <w:r w:rsidRPr="0005633C">
        <w:rPr>
          <w:sz w:val="21"/>
          <w:szCs w:val="20"/>
        </w:rPr>
        <w:t>, </w:t>
      </w:r>
      <w:r w:rsidRPr="0005633C">
        <w:rPr>
          <w:i/>
          <w:iCs/>
          <w:sz w:val="21"/>
          <w:szCs w:val="20"/>
        </w:rPr>
        <w:t>108</w:t>
      </w:r>
      <w:r w:rsidRPr="0005633C">
        <w:rPr>
          <w:sz w:val="21"/>
          <w:szCs w:val="20"/>
        </w:rPr>
        <w:t>(21), 8589-8594.</w:t>
      </w:r>
    </w:p>
    <w:p w14:paraId="09903E0E" w14:textId="77777777" w:rsidR="00D5568F" w:rsidRPr="0005633C" w:rsidRDefault="00D5568F" w:rsidP="00F80B3A">
      <w:pPr>
        <w:spacing w:line="276" w:lineRule="auto"/>
        <w:ind w:left="420" w:hangingChars="200" w:hanging="420"/>
        <w:rPr>
          <w:sz w:val="21"/>
          <w:szCs w:val="20"/>
        </w:rPr>
      </w:pPr>
      <w:r w:rsidRPr="0005633C">
        <w:rPr>
          <w:sz w:val="21"/>
          <w:szCs w:val="20"/>
        </w:rPr>
        <w:t>Dinerstein, M., Einav, L., Levin, J., &amp; Sundaresan, N. (2018). Consumer price search and platform design in internet commerce. </w:t>
      </w:r>
      <w:r w:rsidRPr="0005633C">
        <w:rPr>
          <w:i/>
          <w:iCs/>
          <w:sz w:val="21"/>
          <w:szCs w:val="20"/>
        </w:rPr>
        <w:t>American Economic Review</w:t>
      </w:r>
      <w:r w:rsidRPr="0005633C">
        <w:rPr>
          <w:sz w:val="21"/>
          <w:szCs w:val="20"/>
        </w:rPr>
        <w:t>, </w:t>
      </w:r>
      <w:r w:rsidRPr="0005633C">
        <w:rPr>
          <w:i/>
          <w:iCs/>
          <w:sz w:val="21"/>
          <w:szCs w:val="20"/>
        </w:rPr>
        <w:t>108</w:t>
      </w:r>
      <w:r w:rsidRPr="0005633C">
        <w:rPr>
          <w:sz w:val="21"/>
          <w:szCs w:val="20"/>
        </w:rPr>
        <w:t>(7), 1820-1859.</w:t>
      </w:r>
    </w:p>
    <w:p w14:paraId="7DA945AC" w14:textId="77777777" w:rsidR="00D5568F" w:rsidRPr="00D5568F" w:rsidRDefault="00D5568F" w:rsidP="00F80B3A">
      <w:pPr>
        <w:spacing w:line="276" w:lineRule="auto"/>
        <w:ind w:left="420" w:hangingChars="200" w:hanging="420"/>
        <w:rPr>
          <w:sz w:val="21"/>
          <w:szCs w:val="20"/>
        </w:rPr>
      </w:pPr>
      <w:r w:rsidRPr="00D5568F">
        <w:rPr>
          <w:sz w:val="21"/>
          <w:szCs w:val="20"/>
        </w:rPr>
        <w:t>Fang, C., &amp; Yu, D. (2017). Urban agglomeration: An evolving concept of an emerging phenomenon. </w:t>
      </w:r>
      <w:r w:rsidRPr="00D5568F">
        <w:rPr>
          <w:i/>
          <w:iCs/>
          <w:sz w:val="21"/>
          <w:szCs w:val="20"/>
        </w:rPr>
        <w:t xml:space="preserve">Landscape and </w:t>
      </w:r>
      <w:r w:rsidRPr="00D5568F">
        <w:rPr>
          <w:rFonts w:hint="eastAsia"/>
          <w:i/>
          <w:iCs/>
          <w:sz w:val="21"/>
          <w:szCs w:val="20"/>
        </w:rPr>
        <w:t>U</w:t>
      </w:r>
      <w:r w:rsidRPr="00D5568F">
        <w:rPr>
          <w:i/>
          <w:iCs/>
          <w:sz w:val="21"/>
          <w:szCs w:val="20"/>
        </w:rPr>
        <w:t xml:space="preserve">rban </w:t>
      </w:r>
      <w:r w:rsidRPr="00D5568F">
        <w:rPr>
          <w:rFonts w:hint="eastAsia"/>
          <w:i/>
          <w:iCs/>
          <w:sz w:val="21"/>
          <w:szCs w:val="20"/>
        </w:rPr>
        <w:t>P</w:t>
      </w:r>
      <w:r w:rsidRPr="00D5568F">
        <w:rPr>
          <w:i/>
          <w:iCs/>
          <w:sz w:val="21"/>
          <w:szCs w:val="20"/>
        </w:rPr>
        <w:t>lanning</w:t>
      </w:r>
      <w:r w:rsidRPr="00D5568F">
        <w:rPr>
          <w:sz w:val="21"/>
          <w:szCs w:val="20"/>
        </w:rPr>
        <w:t>, </w:t>
      </w:r>
      <w:r w:rsidRPr="00D5568F">
        <w:rPr>
          <w:i/>
          <w:iCs/>
          <w:sz w:val="21"/>
          <w:szCs w:val="20"/>
        </w:rPr>
        <w:t>162</w:t>
      </w:r>
      <w:r w:rsidRPr="00D5568F">
        <w:rPr>
          <w:sz w:val="21"/>
          <w:szCs w:val="20"/>
        </w:rPr>
        <w:t>, 126-136.</w:t>
      </w:r>
    </w:p>
    <w:p w14:paraId="61E2C63A" w14:textId="77777777" w:rsidR="00D5568F" w:rsidRPr="00D5568F" w:rsidRDefault="00D5568F" w:rsidP="00F80B3A">
      <w:pPr>
        <w:spacing w:line="276" w:lineRule="auto"/>
        <w:ind w:left="420" w:hangingChars="200" w:hanging="420"/>
        <w:rPr>
          <w:sz w:val="21"/>
          <w:szCs w:val="20"/>
        </w:rPr>
      </w:pPr>
      <w:r w:rsidRPr="00D5568F">
        <w:rPr>
          <w:sz w:val="21"/>
          <w:szCs w:val="20"/>
        </w:rPr>
        <w:t>Fang, D., Guo, Y., &amp; Zhang, H. (2023). Diversification, vertical integration and economic resilience: evidence from intercity truck flows during COVID-19 in China. </w:t>
      </w:r>
      <w:r w:rsidRPr="00D5568F">
        <w:rPr>
          <w:i/>
          <w:iCs/>
          <w:sz w:val="21"/>
          <w:szCs w:val="20"/>
        </w:rPr>
        <w:t>Journal of Economic Geography</w:t>
      </w:r>
      <w:r w:rsidRPr="00D5568F">
        <w:rPr>
          <w:sz w:val="21"/>
          <w:szCs w:val="20"/>
        </w:rPr>
        <w:t>, </w:t>
      </w:r>
      <w:r w:rsidRPr="00D5568F">
        <w:rPr>
          <w:i/>
          <w:iCs/>
          <w:sz w:val="21"/>
          <w:szCs w:val="20"/>
        </w:rPr>
        <w:t>23</w:t>
      </w:r>
      <w:r w:rsidRPr="00D5568F">
        <w:rPr>
          <w:sz w:val="21"/>
          <w:szCs w:val="20"/>
        </w:rPr>
        <w:t>(6), 1345-1370.</w:t>
      </w:r>
    </w:p>
    <w:p w14:paraId="53DB8AE4" w14:textId="77777777" w:rsidR="00D5568F" w:rsidRDefault="00D5568F" w:rsidP="00F80B3A">
      <w:pPr>
        <w:spacing w:line="276" w:lineRule="auto"/>
        <w:ind w:left="420" w:hangingChars="200" w:hanging="420"/>
        <w:rPr>
          <w:sz w:val="21"/>
          <w:szCs w:val="20"/>
        </w:rPr>
      </w:pPr>
      <w:r w:rsidRPr="0005633C">
        <w:rPr>
          <w:sz w:val="21"/>
          <w:szCs w:val="20"/>
        </w:rPr>
        <w:t xml:space="preserve">Gibson, J., Olivia, S., </w:t>
      </w:r>
      <w:proofErr w:type="spellStart"/>
      <w:r w:rsidRPr="0005633C">
        <w:rPr>
          <w:sz w:val="21"/>
          <w:szCs w:val="20"/>
        </w:rPr>
        <w:t>Boe</w:t>
      </w:r>
      <w:proofErr w:type="spellEnd"/>
      <w:r w:rsidRPr="0005633C">
        <w:rPr>
          <w:sz w:val="21"/>
          <w:szCs w:val="20"/>
        </w:rPr>
        <w:t xml:space="preserve">-Gibson, G., &amp; Li, C. (2021). Which night lights data should we use in economics, and </w:t>
      </w:r>
      <w:proofErr w:type="gramStart"/>
      <w:r w:rsidRPr="0005633C">
        <w:rPr>
          <w:sz w:val="21"/>
          <w:szCs w:val="20"/>
        </w:rPr>
        <w:t>where?.</w:t>
      </w:r>
      <w:proofErr w:type="gramEnd"/>
      <w:r w:rsidRPr="0005633C">
        <w:rPr>
          <w:sz w:val="21"/>
          <w:szCs w:val="20"/>
        </w:rPr>
        <w:t> </w:t>
      </w:r>
      <w:r w:rsidRPr="0005633C">
        <w:rPr>
          <w:i/>
          <w:iCs/>
          <w:sz w:val="21"/>
          <w:szCs w:val="20"/>
        </w:rPr>
        <w:t>Journal of Development Economics</w:t>
      </w:r>
      <w:r w:rsidRPr="0005633C">
        <w:rPr>
          <w:sz w:val="21"/>
          <w:szCs w:val="20"/>
        </w:rPr>
        <w:t>, </w:t>
      </w:r>
      <w:r w:rsidRPr="0005633C">
        <w:rPr>
          <w:i/>
          <w:iCs/>
          <w:sz w:val="21"/>
          <w:szCs w:val="20"/>
        </w:rPr>
        <w:t>149</w:t>
      </w:r>
      <w:r w:rsidRPr="0005633C">
        <w:rPr>
          <w:sz w:val="21"/>
          <w:szCs w:val="20"/>
        </w:rPr>
        <w:t>, 102602.</w:t>
      </w:r>
    </w:p>
    <w:p w14:paraId="72673AA5" w14:textId="59F1D392" w:rsidR="002E1DF2" w:rsidRPr="0005633C" w:rsidRDefault="002E1DF2" w:rsidP="00F80B3A">
      <w:pPr>
        <w:spacing w:line="276" w:lineRule="auto"/>
        <w:ind w:left="420" w:hangingChars="200" w:hanging="420"/>
        <w:rPr>
          <w:sz w:val="21"/>
          <w:szCs w:val="20"/>
        </w:rPr>
      </w:pPr>
      <w:r w:rsidRPr="002E1DF2">
        <w:rPr>
          <w:sz w:val="21"/>
          <w:szCs w:val="20"/>
        </w:rPr>
        <w:t xml:space="preserve">Gong, D., Shang, Z., Su, Y., Yan, A., &amp; Zhang, Q. (2024). Economic impacts of China's zero-COVID policies. </w:t>
      </w:r>
      <w:r w:rsidRPr="002E1DF2">
        <w:rPr>
          <w:i/>
          <w:sz w:val="21"/>
          <w:szCs w:val="20"/>
        </w:rPr>
        <w:t>China Economic Review</w:t>
      </w:r>
      <w:r w:rsidRPr="002E1DF2">
        <w:rPr>
          <w:sz w:val="21"/>
          <w:szCs w:val="20"/>
        </w:rPr>
        <w:t>,</w:t>
      </w:r>
      <w:r w:rsidRPr="002E1DF2">
        <w:rPr>
          <w:i/>
          <w:sz w:val="21"/>
          <w:szCs w:val="20"/>
        </w:rPr>
        <w:t xml:space="preserve"> 83</w:t>
      </w:r>
      <w:r w:rsidRPr="002E1DF2">
        <w:rPr>
          <w:sz w:val="21"/>
          <w:szCs w:val="20"/>
        </w:rPr>
        <w:t xml:space="preserve">, 102101. </w:t>
      </w:r>
    </w:p>
    <w:p w14:paraId="286C3548" w14:textId="77777777" w:rsidR="00D5568F" w:rsidRPr="0005633C" w:rsidRDefault="00D5568F" w:rsidP="00F80B3A">
      <w:pPr>
        <w:spacing w:line="276" w:lineRule="auto"/>
        <w:ind w:left="420" w:hangingChars="200" w:hanging="420"/>
        <w:rPr>
          <w:sz w:val="21"/>
          <w:szCs w:val="20"/>
        </w:rPr>
      </w:pPr>
      <w:bookmarkStart w:id="3" w:name="_Hlk163091933"/>
      <w:r w:rsidRPr="0005633C">
        <w:rPr>
          <w:sz w:val="21"/>
          <w:szCs w:val="20"/>
        </w:rPr>
        <w:t>Henderson</w:t>
      </w:r>
      <w:bookmarkEnd w:id="3"/>
      <w:r w:rsidRPr="0005633C">
        <w:rPr>
          <w:sz w:val="21"/>
          <w:szCs w:val="20"/>
        </w:rPr>
        <w:t xml:space="preserve">, J. V., </w:t>
      </w:r>
      <w:proofErr w:type="spellStart"/>
      <w:r w:rsidRPr="0005633C">
        <w:rPr>
          <w:sz w:val="21"/>
          <w:szCs w:val="20"/>
        </w:rPr>
        <w:t>Storeygard</w:t>
      </w:r>
      <w:proofErr w:type="spellEnd"/>
      <w:r w:rsidRPr="0005633C">
        <w:rPr>
          <w:sz w:val="21"/>
          <w:szCs w:val="20"/>
        </w:rPr>
        <w:t>, A., &amp; Weil, D. N. (2012). Measuring economic growth from outer space. </w:t>
      </w:r>
      <w:r w:rsidRPr="0005633C">
        <w:rPr>
          <w:i/>
          <w:iCs/>
          <w:sz w:val="21"/>
          <w:szCs w:val="20"/>
        </w:rPr>
        <w:t xml:space="preserve">American </w:t>
      </w:r>
      <w:r w:rsidRPr="0005633C">
        <w:rPr>
          <w:rFonts w:hint="eastAsia"/>
          <w:i/>
          <w:iCs/>
          <w:sz w:val="21"/>
          <w:szCs w:val="20"/>
        </w:rPr>
        <w:t>E</w:t>
      </w:r>
      <w:r w:rsidRPr="0005633C">
        <w:rPr>
          <w:i/>
          <w:iCs/>
          <w:sz w:val="21"/>
          <w:szCs w:val="20"/>
        </w:rPr>
        <w:t xml:space="preserve">conomic </w:t>
      </w:r>
      <w:r w:rsidRPr="0005633C">
        <w:rPr>
          <w:rFonts w:hint="eastAsia"/>
          <w:i/>
          <w:iCs/>
          <w:sz w:val="21"/>
          <w:szCs w:val="20"/>
        </w:rPr>
        <w:t>R</w:t>
      </w:r>
      <w:r w:rsidRPr="0005633C">
        <w:rPr>
          <w:i/>
          <w:iCs/>
          <w:sz w:val="21"/>
          <w:szCs w:val="20"/>
        </w:rPr>
        <w:t>eview</w:t>
      </w:r>
      <w:r w:rsidRPr="0005633C">
        <w:rPr>
          <w:sz w:val="21"/>
          <w:szCs w:val="20"/>
        </w:rPr>
        <w:t>, </w:t>
      </w:r>
      <w:r w:rsidRPr="0005633C">
        <w:rPr>
          <w:i/>
          <w:iCs/>
          <w:sz w:val="21"/>
          <w:szCs w:val="20"/>
        </w:rPr>
        <w:t>102</w:t>
      </w:r>
      <w:r w:rsidRPr="0005633C">
        <w:rPr>
          <w:sz w:val="21"/>
          <w:szCs w:val="20"/>
        </w:rPr>
        <w:t>(2), 994-1028.</w:t>
      </w:r>
    </w:p>
    <w:p w14:paraId="5A44C693" w14:textId="77777777" w:rsidR="00D5568F" w:rsidRPr="0005633C" w:rsidRDefault="00D5568F" w:rsidP="00F80B3A">
      <w:pPr>
        <w:spacing w:line="276" w:lineRule="auto"/>
        <w:ind w:left="420" w:hangingChars="200" w:hanging="420"/>
        <w:rPr>
          <w:sz w:val="21"/>
          <w:szCs w:val="20"/>
        </w:rPr>
      </w:pPr>
      <w:r w:rsidRPr="0005633C">
        <w:rPr>
          <w:sz w:val="21"/>
          <w:szCs w:val="20"/>
        </w:rPr>
        <w:t xml:space="preserve">Henderson, V., </w:t>
      </w:r>
      <w:proofErr w:type="spellStart"/>
      <w:r w:rsidRPr="0005633C">
        <w:rPr>
          <w:sz w:val="21"/>
          <w:szCs w:val="20"/>
        </w:rPr>
        <w:t>Storeygard</w:t>
      </w:r>
      <w:proofErr w:type="spellEnd"/>
      <w:r w:rsidRPr="0005633C">
        <w:rPr>
          <w:sz w:val="21"/>
          <w:szCs w:val="20"/>
        </w:rPr>
        <w:t>, A., &amp; Weil, D. N. (2011). A bright idea for measuring economic growth. </w:t>
      </w:r>
      <w:r w:rsidRPr="0005633C">
        <w:rPr>
          <w:i/>
          <w:iCs/>
          <w:sz w:val="21"/>
          <w:szCs w:val="20"/>
        </w:rPr>
        <w:t>American Economic Review</w:t>
      </w:r>
      <w:r w:rsidRPr="0005633C">
        <w:rPr>
          <w:sz w:val="21"/>
          <w:szCs w:val="20"/>
        </w:rPr>
        <w:t>, </w:t>
      </w:r>
      <w:r w:rsidRPr="0005633C">
        <w:rPr>
          <w:i/>
          <w:iCs/>
          <w:sz w:val="21"/>
          <w:szCs w:val="20"/>
        </w:rPr>
        <w:t>101</w:t>
      </w:r>
      <w:r w:rsidRPr="0005633C">
        <w:rPr>
          <w:sz w:val="21"/>
          <w:szCs w:val="20"/>
        </w:rPr>
        <w:t>(3), 194-199.</w:t>
      </w:r>
    </w:p>
    <w:p w14:paraId="0491AC7C" w14:textId="77777777" w:rsidR="00D5568F" w:rsidRPr="0005633C" w:rsidRDefault="00D5568F" w:rsidP="00F80B3A">
      <w:pPr>
        <w:spacing w:line="276" w:lineRule="auto"/>
        <w:ind w:left="420" w:hangingChars="200" w:hanging="420"/>
        <w:rPr>
          <w:sz w:val="21"/>
          <w:szCs w:val="20"/>
        </w:rPr>
      </w:pPr>
      <w:r w:rsidRPr="0005633C">
        <w:rPr>
          <w:rFonts w:hint="eastAsia"/>
          <w:sz w:val="21"/>
          <w:szCs w:val="20"/>
        </w:rPr>
        <w:t>Hu, Y., &amp; Yao, J. (2022). Illuminating economic growth. </w:t>
      </w:r>
      <w:r w:rsidRPr="0005633C">
        <w:rPr>
          <w:rFonts w:hint="eastAsia"/>
          <w:i/>
          <w:iCs/>
          <w:sz w:val="21"/>
          <w:szCs w:val="20"/>
        </w:rPr>
        <w:t>Journal of Econometrics</w:t>
      </w:r>
      <w:r w:rsidRPr="0005633C">
        <w:rPr>
          <w:rFonts w:hint="eastAsia"/>
          <w:sz w:val="21"/>
          <w:szCs w:val="20"/>
        </w:rPr>
        <w:t>, </w:t>
      </w:r>
      <w:r w:rsidRPr="0005633C">
        <w:rPr>
          <w:rFonts w:hint="eastAsia"/>
          <w:i/>
          <w:iCs/>
          <w:sz w:val="21"/>
          <w:szCs w:val="20"/>
        </w:rPr>
        <w:t>228</w:t>
      </w:r>
      <w:r w:rsidRPr="0005633C">
        <w:rPr>
          <w:rFonts w:hint="eastAsia"/>
          <w:sz w:val="21"/>
          <w:szCs w:val="20"/>
        </w:rPr>
        <w:t>(2), 359-378.</w:t>
      </w:r>
    </w:p>
    <w:p w14:paraId="6392BA41"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(2020a, 2020-01-23). </w:t>
      </w:r>
      <w:r w:rsidRPr="00D5568F">
        <w:rPr>
          <w:rFonts w:cs="Times New Roman"/>
          <w:i/>
          <w:noProof/>
          <w:sz w:val="21"/>
          <w:szCs w:val="20"/>
        </w:rPr>
        <w:t>Prevention and control of COVID19 (2nd Edition)</w:t>
      </w:r>
      <w:r w:rsidRPr="00D5568F">
        <w:rPr>
          <w:rFonts w:cs="Times New Roman"/>
          <w:noProof/>
          <w:sz w:val="21"/>
          <w:szCs w:val="20"/>
        </w:rPr>
        <w:t>. https://www.gov.cn/xinwen/2020-01/23/content_5471768.htm</w:t>
      </w:r>
    </w:p>
    <w:p w14:paraId="0F004C13"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(2020b, 2020-01-28). </w:t>
      </w:r>
      <w:r w:rsidRPr="00D5568F">
        <w:rPr>
          <w:rFonts w:cs="Times New Roman"/>
          <w:i/>
          <w:noProof/>
          <w:sz w:val="21"/>
          <w:szCs w:val="20"/>
        </w:rPr>
        <w:t>Prevention and control of COVID19 (3rd Edition)</w:t>
      </w:r>
      <w:r w:rsidRPr="00D5568F">
        <w:rPr>
          <w:rFonts w:cs="Times New Roman"/>
          <w:noProof/>
          <w:sz w:val="21"/>
          <w:szCs w:val="20"/>
        </w:rPr>
        <w:t>. https://www.gov.cn/zhengce/zhengceku/2020-01/29/content_5472893.htm</w:t>
      </w:r>
    </w:p>
    <w:p w14:paraId="19731D11"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(2020c, 2020-02-06). </w:t>
      </w:r>
      <w:r w:rsidRPr="00D5568F">
        <w:rPr>
          <w:rFonts w:cs="Times New Roman"/>
          <w:i/>
          <w:noProof/>
          <w:sz w:val="21"/>
          <w:szCs w:val="20"/>
        </w:rPr>
        <w:t>Prevention and control of COVID19 (4th Edition)</w:t>
      </w:r>
      <w:r w:rsidRPr="00D5568F">
        <w:rPr>
          <w:rFonts w:cs="Times New Roman"/>
          <w:noProof/>
          <w:sz w:val="21"/>
          <w:szCs w:val="20"/>
        </w:rPr>
        <w:t>. https://www.gov.cn/zhengce/zhengceku/2020-02/07/content_5475813.htm</w:t>
      </w:r>
    </w:p>
    <w:p w14:paraId="702ED670"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(2020d, 2020-02-22). </w:t>
      </w:r>
      <w:r w:rsidRPr="00D5568F">
        <w:rPr>
          <w:rFonts w:cs="Times New Roman"/>
          <w:i/>
          <w:noProof/>
          <w:sz w:val="21"/>
          <w:szCs w:val="20"/>
        </w:rPr>
        <w:t>Prevention and control of COVID19 (5th Edition)</w:t>
      </w:r>
      <w:r w:rsidRPr="00D5568F">
        <w:rPr>
          <w:rFonts w:cs="Times New Roman"/>
          <w:noProof/>
          <w:sz w:val="21"/>
          <w:szCs w:val="20"/>
        </w:rPr>
        <w:t>. https://www.gov.cn/zhengce/zhengceku/2020-02/22/content_5482010.htm</w:t>
      </w:r>
    </w:p>
    <w:p w14:paraId="4FE5688B"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(2020e, 2020-03-07). </w:t>
      </w:r>
      <w:r w:rsidRPr="00D5568F">
        <w:rPr>
          <w:rFonts w:cs="Times New Roman"/>
          <w:i/>
          <w:noProof/>
          <w:sz w:val="21"/>
          <w:szCs w:val="20"/>
        </w:rPr>
        <w:t>Prevention and control of COVID19 (6th Edition)</w:t>
      </w:r>
      <w:r w:rsidRPr="00D5568F">
        <w:rPr>
          <w:rFonts w:cs="Times New Roman"/>
          <w:noProof/>
          <w:sz w:val="21"/>
          <w:szCs w:val="20"/>
        </w:rPr>
        <w:t>. http://www.nhc.gov.cn/jkj/s3577/202003/4856d5b0458141fa9f376853224d41d7.shtml</w:t>
      </w:r>
    </w:p>
    <w:p w14:paraId="2EE87F07"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(2020f, 2020-09-15). </w:t>
      </w:r>
      <w:r w:rsidRPr="00D5568F">
        <w:rPr>
          <w:rFonts w:cs="Times New Roman"/>
          <w:i/>
          <w:noProof/>
          <w:sz w:val="21"/>
          <w:szCs w:val="20"/>
        </w:rPr>
        <w:t>Prevention and control of COVID19 (7th Edition)</w:t>
      </w:r>
      <w:r w:rsidRPr="00D5568F">
        <w:rPr>
          <w:rFonts w:cs="Times New Roman"/>
          <w:noProof/>
          <w:sz w:val="21"/>
          <w:szCs w:val="20"/>
        </w:rPr>
        <w:t>. https://www.gov.cn/xinwen/2020-09/15/content_5543680.htm</w:t>
      </w:r>
    </w:p>
    <w:p w14:paraId="285E03EA"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(2021, 2021-05-14). </w:t>
      </w:r>
      <w:r w:rsidRPr="00D5568F">
        <w:rPr>
          <w:rFonts w:cs="Times New Roman"/>
          <w:i/>
          <w:noProof/>
          <w:sz w:val="21"/>
          <w:szCs w:val="20"/>
        </w:rPr>
        <w:t>Prevention and control of COVID19 (8th Edition)</w:t>
      </w:r>
      <w:r w:rsidRPr="00D5568F">
        <w:rPr>
          <w:rFonts w:cs="Times New Roman"/>
          <w:noProof/>
          <w:sz w:val="21"/>
          <w:szCs w:val="20"/>
        </w:rPr>
        <w:t>. https://www.gov.cn/xinwen/2021-05/14/content_5606469.htm</w:t>
      </w:r>
    </w:p>
    <w:p w14:paraId="39C8EFB7"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(2022a, 2022-03-18). </w:t>
      </w:r>
      <w:r w:rsidRPr="00D5568F">
        <w:rPr>
          <w:rFonts w:cs="Times New Roman"/>
          <w:i/>
          <w:noProof/>
          <w:sz w:val="21"/>
          <w:szCs w:val="20"/>
        </w:rPr>
        <w:t>Guidelines for Implementation of Novel Coronavirus Nucleic Acid Testing (3rd Edition)</w:t>
      </w:r>
      <w:r w:rsidRPr="00D5568F">
        <w:rPr>
          <w:rFonts w:cs="Times New Roman"/>
          <w:noProof/>
          <w:sz w:val="21"/>
          <w:szCs w:val="20"/>
        </w:rPr>
        <w:t>. Retrieved 2023-12-29 from http://www.nhc.gov.cn/xcs/zhengcwj/202203/b5aaa96dfe1b4f14b19bf2f888a10673.shtml</w:t>
      </w:r>
    </w:p>
    <w:p w14:paraId="6CA112CC"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(2022b, 2022-06-28). </w:t>
      </w:r>
      <w:r w:rsidRPr="00D5568F">
        <w:rPr>
          <w:rFonts w:cs="Times New Roman"/>
          <w:i/>
          <w:noProof/>
          <w:sz w:val="21"/>
          <w:szCs w:val="20"/>
        </w:rPr>
        <w:t>Prevention and control of COVID19 (9th Edition)</w:t>
      </w:r>
      <w:r w:rsidRPr="00D5568F">
        <w:rPr>
          <w:rFonts w:cs="Times New Roman"/>
          <w:noProof/>
          <w:sz w:val="21"/>
          <w:szCs w:val="20"/>
        </w:rPr>
        <w:t>. https://www.gov.cn/xinwen/2022-06/28/content_5698168.htm</w:t>
      </w:r>
    </w:p>
    <w:p w14:paraId="7A5B1BB6" w14:textId="77777777" w:rsidR="00D5568F" w:rsidRPr="00D5568F" w:rsidRDefault="00D5568F" w:rsidP="00F80B3A">
      <w:pPr>
        <w:spacing w:line="276" w:lineRule="auto"/>
        <w:ind w:left="420" w:hangingChars="200" w:hanging="420"/>
        <w:jc w:val="left"/>
        <w:rPr>
          <w:rFonts w:cs="Times New Roman"/>
          <w:noProof/>
          <w:sz w:val="21"/>
          <w:szCs w:val="20"/>
        </w:rPr>
      </w:pPr>
      <w:r w:rsidRPr="00D5568F">
        <w:rPr>
          <w:rFonts w:cs="Times New Roman"/>
          <w:noProof/>
          <w:sz w:val="21"/>
          <w:szCs w:val="20"/>
        </w:rPr>
        <w:t xml:space="preserve">Joint Prevention and Control Mechanism of the State Council. (2023, 2023-01-07). </w:t>
      </w:r>
      <w:r w:rsidRPr="00D5568F">
        <w:rPr>
          <w:rFonts w:cs="Times New Roman"/>
          <w:i/>
          <w:noProof/>
          <w:sz w:val="21"/>
          <w:szCs w:val="20"/>
        </w:rPr>
        <w:t>Prevention and control of COVID19 (10th Edition)</w:t>
      </w:r>
      <w:r w:rsidRPr="00D5568F">
        <w:rPr>
          <w:rFonts w:cs="Times New Roman"/>
          <w:noProof/>
          <w:sz w:val="21"/>
          <w:szCs w:val="20"/>
        </w:rPr>
        <w:t>. https://www.gov.cn/fuwu/2023-01/07/content_5735448.htm</w:t>
      </w:r>
    </w:p>
    <w:p w14:paraId="68C46881" w14:textId="2B302FE4" w:rsidR="00D5568F" w:rsidRPr="00D5568F" w:rsidRDefault="00D5568F" w:rsidP="00F80B3A">
      <w:pPr>
        <w:spacing w:line="276" w:lineRule="auto"/>
        <w:ind w:left="420" w:hangingChars="200" w:hanging="420"/>
        <w:rPr>
          <w:rFonts w:cs="Times New Roman"/>
          <w:noProof/>
          <w:sz w:val="21"/>
          <w:szCs w:val="20"/>
        </w:rPr>
      </w:pPr>
      <w:r w:rsidRPr="00C52E06">
        <w:rPr>
          <w:rFonts w:cs="Times New Roman"/>
          <w:noProof/>
          <w:sz w:val="21"/>
          <w:szCs w:val="20"/>
        </w:rPr>
        <w:t xml:space="preserve">Li, B., Gao, S., Liang, Y., Kang, Y., Prestby, T., Gao, Y., &amp; Xiao, R. (2020). Estimation of Regional Economic Development Indicator from Transportation Network Analytics. </w:t>
      </w:r>
      <w:r w:rsidRPr="00C52E06">
        <w:rPr>
          <w:rFonts w:cs="Times New Roman"/>
          <w:i/>
          <w:noProof/>
          <w:sz w:val="21"/>
          <w:szCs w:val="20"/>
        </w:rPr>
        <w:t>Scientific Reports</w:t>
      </w:r>
      <w:r w:rsidRPr="00C52E06">
        <w:rPr>
          <w:rFonts w:cs="Times New Roman"/>
          <w:noProof/>
          <w:sz w:val="21"/>
          <w:szCs w:val="20"/>
        </w:rPr>
        <w:t>,</w:t>
      </w:r>
      <w:r w:rsidRPr="00C52E06">
        <w:rPr>
          <w:rFonts w:cs="Times New Roman"/>
          <w:i/>
          <w:noProof/>
          <w:sz w:val="21"/>
          <w:szCs w:val="20"/>
        </w:rPr>
        <w:t xml:space="preserve"> 10</w:t>
      </w:r>
      <w:r w:rsidRPr="00C52E06">
        <w:rPr>
          <w:rFonts w:cs="Times New Roman"/>
          <w:noProof/>
          <w:sz w:val="21"/>
          <w:szCs w:val="20"/>
        </w:rPr>
        <w:t>(1), 2647.</w:t>
      </w:r>
    </w:p>
    <w:p w14:paraId="1BA69B28" w14:textId="77777777" w:rsidR="00D5568F" w:rsidRPr="0005633C" w:rsidRDefault="00D5568F" w:rsidP="00F80B3A">
      <w:pPr>
        <w:spacing w:line="276" w:lineRule="auto"/>
        <w:ind w:left="420" w:hangingChars="200" w:hanging="420"/>
        <w:rPr>
          <w:sz w:val="21"/>
          <w:szCs w:val="20"/>
        </w:rPr>
      </w:pPr>
      <w:r w:rsidRPr="0005633C">
        <w:rPr>
          <w:sz w:val="21"/>
          <w:szCs w:val="20"/>
        </w:rPr>
        <w:t>Lyu, C., Wang, K., Zhang, F., &amp; Zhang, X. (2018). GDP management to meet or beat growth targets. </w:t>
      </w:r>
      <w:r w:rsidRPr="0005633C">
        <w:rPr>
          <w:i/>
          <w:iCs/>
          <w:sz w:val="21"/>
          <w:szCs w:val="20"/>
        </w:rPr>
        <w:t>Journal of Accounting and Economics</w:t>
      </w:r>
      <w:r w:rsidRPr="0005633C">
        <w:rPr>
          <w:sz w:val="21"/>
          <w:szCs w:val="20"/>
        </w:rPr>
        <w:t>, </w:t>
      </w:r>
      <w:r w:rsidRPr="0005633C">
        <w:rPr>
          <w:i/>
          <w:iCs/>
          <w:sz w:val="21"/>
          <w:szCs w:val="20"/>
        </w:rPr>
        <w:t>66</w:t>
      </w:r>
      <w:r w:rsidRPr="0005633C">
        <w:rPr>
          <w:sz w:val="21"/>
          <w:szCs w:val="20"/>
        </w:rPr>
        <w:t>(1), 318-338.</w:t>
      </w:r>
    </w:p>
    <w:p w14:paraId="11AAE51A" w14:textId="77777777" w:rsidR="00D5568F" w:rsidRPr="00D5568F" w:rsidRDefault="00D5568F" w:rsidP="00F80B3A">
      <w:pPr>
        <w:spacing w:line="276" w:lineRule="auto"/>
        <w:ind w:left="420" w:hangingChars="200" w:hanging="420"/>
        <w:rPr>
          <w:rFonts w:cs="Times New Roman"/>
          <w:noProof/>
          <w:sz w:val="21"/>
          <w:szCs w:val="20"/>
        </w:rPr>
      </w:pPr>
      <w:r w:rsidRPr="00D5568F">
        <w:rPr>
          <w:rFonts w:cs="Times New Roman"/>
          <w:noProof/>
          <w:sz w:val="21"/>
          <w:szCs w:val="20"/>
        </w:rPr>
        <w:t xml:space="preserve">Martinez, L. R. (2022). How much should we trust the dictator’s GDP growth estimates? </w:t>
      </w:r>
      <w:r w:rsidRPr="00D5568F">
        <w:rPr>
          <w:rFonts w:cs="Times New Roman"/>
          <w:i/>
          <w:noProof/>
          <w:sz w:val="21"/>
          <w:szCs w:val="20"/>
        </w:rPr>
        <w:t>Journal of Political Economy</w:t>
      </w:r>
      <w:r w:rsidRPr="00D5568F">
        <w:rPr>
          <w:rFonts w:cs="Times New Roman"/>
          <w:noProof/>
          <w:sz w:val="21"/>
          <w:szCs w:val="20"/>
        </w:rPr>
        <w:t>,</w:t>
      </w:r>
      <w:r w:rsidRPr="00D5568F">
        <w:rPr>
          <w:rFonts w:cs="Times New Roman"/>
          <w:i/>
          <w:noProof/>
          <w:sz w:val="21"/>
          <w:szCs w:val="20"/>
        </w:rPr>
        <w:t xml:space="preserve"> 130</w:t>
      </w:r>
      <w:r w:rsidRPr="00D5568F">
        <w:rPr>
          <w:rFonts w:cs="Times New Roman"/>
          <w:noProof/>
          <w:sz w:val="21"/>
          <w:szCs w:val="20"/>
        </w:rPr>
        <w:t xml:space="preserve">(10), 2731-2769. </w:t>
      </w:r>
    </w:p>
    <w:p w14:paraId="4C48516E" w14:textId="77777777" w:rsidR="00D5568F" w:rsidRPr="00D5568F" w:rsidRDefault="00D5568F" w:rsidP="00F80B3A">
      <w:pPr>
        <w:spacing w:line="276" w:lineRule="auto"/>
        <w:ind w:left="420" w:hangingChars="200" w:hanging="420"/>
        <w:rPr>
          <w:sz w:val="21"/>
          <w:szCs w:val="20"/>
        </w:rPr>
      </w:pPr>
      <w:r w:rsidRPr="00D5568F">
        <w:rPr>
          <w:sz w:val="21"/>
          <w:szCs w:val="20"/>
        </w:rPr>
        <w:t>Mi, X., Wang, S., Shao, C., Zhang, P., &amp; Chen, M. (2021). Resident travel mode prediction model in Beijing metropolitan area. </w:t>
      </w:r>
      <w:proofErr w:type="spellStart"/>
      <w:r w:rsidRPr="00D5568F">
        <w:rPr>
          <w:i/>
          <w:iCs/>
          <w:sz w:val="21"/>
          <w:szCs w:val="20"/>
        </w:rPr>
        <w:t>Plos</w:t>
      </w:r>
      <w:proofErr w:type="spellEnd"/>
      <w:r w:rsidRPr="00D5568F">
        <w:rPr>
          <w:i/>
          <w:iCs/>
          <w:sz w:val="21"/>
          <w:szCs w:val="20"/>
        </w:rPr>
        <w:t xml:space="preserve"> </w:t>
      </w:r>
      <w:r w:rsidRPr="00D5568F">
        <w:rPr>
          <w:rFonts w:hint="eastAsia"/>
          <w:i/>
          <w:iCs/>
          <w:sz w:val="21"/>
          <w:szCs w:val="20"/>
        </w:rPr>
        <w:t>O</w:t>
      </w:r>
      <w:r w:rsidRPr="00D5568F">
        <w:rPr>
          <w:i/>
          <w:iCs/>
          <w:sz w:val="21"/>
          <w:szCs w:val="20"/>
        </w:rPr>
        <w:t>ne</w:t>
      </w:r>
      <w:r w:rsidRPr="00D5568F">
        <w:rPr>
          <w:sz w:val="21"/>
          <w:szCs w:val="20"/>
        </w:rPr>
        <w:t>, </w:t>
      </w:r>
      <w:r w:rsidRPr="00D5568F">
        <w:rPr>
          <w:i/>
          <w:iCs/>
          <w:sz w:val="21"/>
          <w:szCs w:val="20"/>
        </w:rPr>
        <w:t>16</w:t>
      </w:r>
      <w:r w:rsidRPr="00D5568F">
        <w:rPr>
          <w:sz w:val="21"/>
          <w:szCs w:val="20"/>
        </w:rPr>
        <w:t>(11), e0259793.</w:t>
      </w:r>
    </w:p>
    <w:p w14:paraId="0D68D6A9" w14:textId="77777777" w:rsidR="00D5568F" w:rsidRPr="00D5568F" w:rsidRDefault="00D5568F" w:rsidP="00F80B3A">
      <w:pPr>
        <w:spacing w:line="276" w:lineRule="auto"/>
        <w:ind w:left="420" w:hangingChars="200" w:hanging="420"/>
        <w:rPr>
          <w:rFonts w:cs="Times New Roman"/>
          <w:noProof/>
          <w:sz w:val="21"/>
          <w:szCs w:val="20"/>
        </w:rPr>
      </w:pPr>
      <w:r w:rsidRPr="00D5568F">
        <w:rPr>
          <w:rFonts w:cs="Times New Roman"/>
          <w:noProof/>
          <w:sz w:val="21"/>
          <w:szCs w:val="20"/>
        </w:rPr>
        <w:t xml:space="preserve">Pangallo, M., Aleta, A., del Rio-Chanona, R. M., Pichler, A., Martín-Corral, D., Chinazzi, M., Lafond, F., Ajelli, M., Moro, E., &amp; Moreno, Y. (2023). The unequal effects of the health–economy trade-off during the COVID-19 pandemic. </w:t>
      </w:r>
      <w:r w:rsidRPr="00D5568F">
        <w:rPr>
          <w:rFonts w:cs="Times New Roman"/>
          <w:i/>
          <w:noProof/>
          <w:sz w:val="21"/>
          <w:szCs w:val="20"/>
        </w:rPr>
        <w:t>Nature Human Behaviour</w:t>
      </w:r>
      <w:r w:rsidRPr="00D5568F">
        <w:rPr>
          <w:rFonts w:cs="Times New Roman"/>
          <w:noProof/>
          <w:sz w:val="21"/>
          <w:szCs w:val="20"/>
        </w:rPr>
        <w:t xml:space="preserve">, 1-12. </w:t>
      </w:r>
    </w:p>
    <w:p w14:paraId="065F3757" w14:textId="77777777" w:rsidR="00D5568F" w:rsidRPr="00D5568F" w:rsidRDefault="00D5568F" w:rsidP="00F80B3A">
      <w:pPr>
        <w:spacing w:line="276" w:lineRule="auto"/>
        <w:ind w:left="420" w:hangingChars="200" w:hanging="420"/>
        <w:rPr>
          <w:sz w:val="21"/>
          <w:szCs w:val="20"/>
        </w:rPr>
      </w:pPr>
      <w:r w:rsidRPr="00D5568F">
        <w:rPr>
          <w:sz w:val="21"/>
          <w:szCs w:val="20"/>
        </w:rPr>
        <w:t xml:space="preserve">Rodríguez García, M., Domínguez Caamaño, P., </w:t>
      </w:r>
      <w:proofErr w:type="spellStart"/>
      <w:r w:rsidRPr="00D5568F">
        <w:rPr>
          <w:sz w:val="21"/>
          <w:szCs w:val="20"/>
        </w:rPr>
        <w:t>Comesaña</w:t>
      </w:r>
      <w:proofErr w:type="spellEnd"/>
      <w:r w:rsidRPr="00D5568F">
        <w:rPr>
          <w:sz w:val="21"/>
          <w:szCs w:val="20"/>
        </w:rPr>
        <w:t xml:space="preserve"> Benavides, J. A., &amp; Prado-Prado, J. C. (2018). Designing a fair, financially sustainable pay rate for owner-operator truck drivers. Modeling and case study. </w:t>
      </w:r>
      <w:r w:rsidRPr="00D5568F">
        <w:rPr>
          <w:i/>
          <w:iCs/>
          <w:sz w:val="21"/>
          <w:szCs w:val="20"/>
        </w:rPr>
        <w:t>The Engineering Economist</w:t>
      </w:r>
      <w:r w:rsidRPr="00D5568F">
        <w:rPr>
          <w:sz w:val="21"/>
          <w:szCs w:val="20"/>
        </w:rPr>
        <w:t>, </w:t>
      </w:r>
      <w:r w:rsidRPr="00D5568F">
        <w:rPr>
          <w:i/>
          <w:iCs/>
          <w:sz w:val="21"/>
          <w:szCs w:val="20"/>
        </w:rPr>
        <w:t>63</w:t>
      </w:r>
      <w:r w:rsidRPr="00D5568F">
        <w:rPr>
          <w:sz w:val="21"/>
          <w:szCs w:val="20"/>
        </w:rPr>
        <w:t>(3), 250-272.</w:t>
      </w:r>
    </w:p>
    <w:p w14:paraId="53E18AB1" w14:textId="4EAF17D9" w:rsidR="00CC570D" w:rsidRPr="00CC570D" w:rsidRDefault="00D5568F" w:rsidP="00F80B3A">
      <w:pPr>
        <w:spacing w:line="276" w:lineRule="auto"/>
        <w:ind w:left="420" w:hangingChars="200" w:hanging="420"/>
        <w:rPr>
          <w:rFonts w:cs="Times New Roman"/>
          <w:noProof/>
          <w:sz w:val="21"/>
          <w:szCs w:val="20"/>
        </w:rPr>
      </w:pPr>
      <w:r w:rsidRPr="00D5568F">
        <w:rPr>
          <w:rFonts w:cs="Times New Roman"/>
          <w:noProof/>
          <w:sz w:val="21"/>
          <w:szCs w:val="20"/>
        </w:rPr>
        <w:t xml:space="preserve">Silva, S., Goosby, E., &amp; Reid, M. J. (2023). Assessing the impact of one million COVID-19 deaths in America: economic and life expectancy losses. </w:t>
      </w:r>
      <w:r w:rsidRPr="00D5568F">
        <w:rPr>
          <w:rFonts w:cs="Times New Roman"/>
          <w:i/>
          <w:noProof/>
          <w:sz w:val="21"/>
          <w:szCs w:val="20"/>
        </w:rPr>
        <w:t>Scientific Reports</w:t>
      </w:r>
      <w:r w:rsidRPr="00D5568F">
        <w:rPr>
          <w:rFonts w:cs="Times New Roman"/>
          <w:noProof/>
          <w:sz w:val="21"/>
          <w:szCs w:val="20"/>
        </w:rPr>
        <w:t>,</w:t>
      </w:r>
      <w:r w:rsidRPr="00D5568F">
        <w:rPr>
          <w:rFonts w:cs="Times New Roman"/>
          <w:i/>
          <w:noProof/>
          <w:sz w:val="21"/>
          <w:szCs w:val="20"/>
        </w:rPr>
        <w:t xml:space="preserve"> 13</w:t>
      </w:r>
      <w:r w:rsidRPr="00D5568F">
        <w:rPr>
          <w:rFonts w:cs="Times New Roman"/>
          <w:noProof/>
          <w:sz w:val="21"/>
          <w:szCs w:val="20"/>
        </w:rPr>
        <w:t xml:space="preserve">(1), 3065. </w:t>
      </w:r>
    </w:p>
    <w:p w14:paraId="05B91FC7" w14:textId="77777777" w:rsidR="00D5568F" w:rsidRPr="00D5568F" w:rsidRDefault="00D5568F" w:rsidP="00F80B3A">
      <w:pPr>
        <w:spacing w:line="276" w:lineRule="auto"/>
        <w:ind w:left="420" w:hangingChars="200" w:hanging="420"/>
        <w:rPr>
          <w:sz w:val="21"/>
          <w:szCs w:val="20"/>
        </w:rPr>
      </w:pPr>
      <w:r w:rsidRPr="00D5568F">
        <w:rPr>
          <w:sz w:val="21"/>
          <w:szCs w:val="20"/>
        </w:rPr>
        <w:t>Xu, X., Chase, N., &amp; Peng, T. (2021). Economic structural change and freight transport demand in China. </w:t>
      </w:r>
      <w:r w:rsidRPr="00D5568F">
        <w:rPr>
          <w:i/>
          <w:iCs/>
          <w:sz w:val="21"/>
          <w:szCs w:val="20"/>
        </w:rPr>
        <w:t>Energy Policy</w:t>
      </w:r>
      <w:r w:rsidRPr="00D5568F">
        <w:rPr>
          <w:sz w:val="21"/>
          <w:szCs w:val="20"/>
        </w:rPr>
        <w:t>, </w:t>
      </w:r>
      <w:r w:rsidRPr="00D5568F">
        <w:rPr>
          <w:i/>
          <w:iCs/>
          <w:sz w:val="21"/>
          <w:szCs w:val="20"/>
        </w:rPr>
        <w:t>158</w:t>
      </w:r>
      <w:r w:rsidRPr="00D5568F">
        <w:rPr>
          <w:sz w:val="21"/>
          <w:szCs w:val="20"/>
        </w:rPr>
        <w:t>, 112567.</w:t>
      </w:r>
    </w:p>
    <w:p w14:paraId="542A959A" w14:textId="0814EA77" w:rsidR="00F13C8C" w:rsidRPr="00C52E06" w:rsidRDefault="00D5568F" w:rsidP="00F80B3A">
      <w:pPr>
        <w:spacing w:line="276" w:lineRule="auto"/>
        <w:ind w:left="420" w:hangingChars="200" w:hanging="420"/>
        <w:rPr>
          <w:rFonts w:cs="Times New Roman"/>
          <w:noProof/>
          <w:sz w:val="21"/>
          <w:szCs w:val="20"/>
        </w:rPr>
      </w:pPr>
      <w:r w:rsidRPr="00C52E06">
        <w:rPr>
          <w:rFonts w:cs="Times New Roman"/>
          <w:noProof/>
          <w:sz w:val="21"/>
          <w:szCs w:val="20"/>
        </w:rPr>
        <w:t xml:space="preserve">Yang, Y., Lu, X., Chen, J., &amp; Li, N. (2022). Factor mobility, transportation network and green economic growth of the urban agglomeration. </w:t>
      </w:r>
      <w:r w:rsidRPr="00C52E06">
        <w:rPr>
          <w:rFonts w:cs="Times New Roman"/>
          <w:i/>
          <w:noProof/>
          <w:sz w:val="21"/>
          <w:szCs w:val="20"/>
        </w:rPr>
        <w:t>Scientific Reports</w:t>
      </w:r>
      <w:r w:rsidRPr="00C52E06">
        <w:rPr>
          <w:rFonts w:cs="Times New Roman"/>
          <w:noProof/>
          <w:sz w:val="21"/>
          <w:szCs w:val="20"/>
        </w:rPr>
        <w:t>,</w:t>
      </w:r>
      <w:r w:rsidRPr="00C52E06">
        <w:rPr>
          <w:rFonts w:cs="Times New Roman"/>
          <w:i/>
          <w:noProof/>
          <w:sz w:val="21"/>
          <w:szCs w:val="20"/>
        </w:rPr>
        <w:t xml:space="preserve"> 12</w:t>
      </w:r>
      <w:r w:rsidRPr="00C52E06">
        <w:rPr>
          <w:rFonts w:cs="Times New Roman"/>
          <w:noProof/>
          <w:sz w:val="21"/>
          <w:szCs w:val="20"/>
        </w:rPr>
        <w:t>(1), 20094.</w:t>
      </w:r>
      <w:r w:rsidRPr="00D5568F">
        <w:rPr>
          <w:rFonts w:cs="Times New Roman"/>
          <w:noProof/>
          <w:sz w:val="21"/>
          <w:szCs w:val="20"/>
        </w:rPr>
        <w:t xml:space="preserve"> </w:t>
      </w:r>
    </w:p>
    <w:sectPr w:rsidR="00F13C8C" w:rsidRPr="00C52E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48459" w14:textId="77777777" w:rsidR="0040772E" w:rsidRDefault="0040772E" w:rsidP="00A76CA8">
      <w:r>
        <w:separator/>
      </w:r>
    </w:p>
  </w:endnote>
  <w:endnote w:type="continuationSeparator" w:id="0">
    <w:p w14:paraId="26A0D8DF" w14:textId="77777777" w:rsidR="0040772E" w:rsidRDefault="0040772E" w:rsidP="00A7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C4A0A" w14:textId="77777777" w:rsidR="0040772E" w:rsidRDefault="0040772E" w:rsidP="00A76CA8">
      <w:r>
        <w:separator/>
      </w:r>
    </w:p>
  </w:footnote>
  <w:footnote w:type="continuationSeparator" w:id="0">
    <w:p w14:paraId="17439CDF" w14:textId="77777777" w:rsidR="0040772E" w:rsidRDefault="0040772E" w:rsidP="00A76CA8">
      <w:r>
        <w:continuationSeparator/>
      </w:r>
    </w:p>
  </w:footnote>
  <w:footnote w:id="1">
    <w:p w14:paraId="1A8F3B76" w14:textId="77777777" w:rsidR="002554E1" w:rsidRDefault="002554E1" w:rsidP="002554E1">
      <w:pPr>
        <w:pStyle w:val="a8"/>
      </w:pPr>
      <w:r>
        <w:rPr>
          <w:rStyle w:val="aa"/>
        </w:rPr>
        <w:footnoteRef/>
      </w:r>
      <w:r>
        <w:t xml:space="preserve"> Data of risk-level counties were </w:t>
      </w:r>
      <w:r>
        <w:rPr>
          <w:rFonts w:hint="eastAsia"/>
        </w:rPr>
        <w:t xml:space="preserve">described in </w:t>
      </w:r>
      <w:r w:rsidRPr="00C12318">
        <w:t>Gong et al.</w:t>
      </w:r>
      <w:r>
        <w:rPr>
          <w:rFonts w:hint="eastAsia"/>
        </w:rPr>
        <w:t xml:space="preserve"> </w:t>
      </w:r>
      <w:r w:rsidRPr="00C12318">
        <w:t>(2024)</w:t>
      </w:r>
      <w:r>
        <w:rPr>
          <w:rFonts w:hint="eastAsia"/>
        </w:rPr>
        <w:t xml:space="preserve"> and </w:t>
      </w:r>
      <w:r>
        <w:t>available at</w:t>
      </w:r>
      <w:r>
        <w:rPr>
          <w:rFonts w:hint="eastAsia"/>
        </w:rPr>
        <w:t xml:space="preserve"> </w:t>
      </w:r>
      <w:r w:rsidRPr="009C4ADD">
        <w:t>https://github.com/dadasmash/China_COVID_Risk_Level_Dataset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0A"/>
    <w:rsid w:val="00021AD1"/>
    <w:rsid w:val="00023E21"/>
    <w:rsid w:val="00037F42"/>
    <w:rsid w:val="00040CE0"/>
    <w:rsid w:val="0005633C"/>
    <w:rsid w:val="00062AE6"/>
    <w:rsid w:val="0009064A"/>
    <w:rsid w:val="000959F5"/>
    <w:rsid w:val="000E67A8"/>
    <w:rsid w:val="0010157F"/>
    <w:rsid w:val="00112A32"/>
    <w:rsid w:val="00117E77"/>
    <w:rsid w:val="00117EE1"/>
    <w:rsid w:val="001477F2"/>
    <w:rsid w:val="00150ECC"/>
    <w:rsid w:val="001848B8"/>
    <w:rsid w:val="001B3624"/>
    <w:rsid w:val="001B4102"/>
    <w:rsid w:val="001C3F80"/>
    <w:rsid w:val="001E0ED2"/>
    <w:rsid w:val="001F7D59"/>
    <w:rsid w:val="00235453"/>
    <w:rsid w:val="0024237C"/>
    <w:rsid w:val="00253C5E"/>
    <w:rsid w:val="002554E1"/>
    <w:rsid w:val="00267BB8"/>
    <w:rsid w:val="002713FD"/>
    <w:rsid w:val="00286C83"/>
    <w:rsid w:val="00292039"/>
    <w:rsid w:val="00293A3F"/>
    <w:rsid w:val="00297EB8"/>
    <w:rsid w:val="002A4AE0"/>
    <w:rsid w:val="002A6964"/>
    <w:rsid w:val="002C08A3"/>
    <w:rsid w:val="002D156B"/>
    <w:rsid w:val="002D5E2C"/>
    <w:rsid w:val="002E1DF2"/>
    <w:rsid w:val="002F467F"/>
    <w:rsid w:val="003047DC"/>
    <w:rsid w:val="00305095"/>
    <w:rsid w:val="00322A95"/>
    <w:rsid w:val="00354866"/>
    <w:rsid w:val="00363708"/>
    <w:rsid w:val="00365662"/>
    <w:rsid w:val="00365FA6"/>
    <w:rsid w:val="003A61F5"/>
    <w:rsid w:val="003D3FCD"/>
    <w:rsid w:val="003D4168"/>
    <w:rsid w:val="003D5FAC"/>
    <w:rsid w:val="003D6004"/>
    <w:rsid w:val="003E10CA"/>
    <w:rsid w:val="003E7179"/>
    <w:rsid w:val="0040772E"/>
    <w:rsid w:val="00424275"/>
    <w:rsid w:val="00426003"/>
    <w:rsid w:val="00442C0E"/>
    <w:rsid w:val="00460EEC"/>
    <w:rsid w:val="004617C8"/>
    <w:rsid w:val="00494585"/>
    <w:rsid w:val="004974F7"/>
    <w:rsid w:val="004B05A2"/>
    <w:rsid w:val="004B362E"/>
    <w:rsid w:val="004C4288"/>
    <w:rsid w:val="004C5611"/>
    <w:rsid w:val="00501D72"/>
    <w:rsid w:val="0052174C"/>
    <w:rsid w:val="0053235A"/>
    <w:rsid w:val="00561BD7"/>
    <w:rsid w:val="00577664"/>
    <w:rsid w:val="005A1C6B"/>
    <w:rsid w:val="005B5422"/>
    <w:rsid w:val="005C24AB"/>
    <w:rsid w:val="005D1E44"/>
    <w:rsid w:val="005E36BA"/>
    <w:rsid w:val="005E740A"/>
    <w:rsid w:val="00630410"/>
    <w:rsid w:val="00631C57"/>
    <w:rsid w:val="006357FD"/>
    <w:rsid w:val="00635D62"/>
    <w:rsid w:val="00670287"/>
    <w:rsid w:val="00674B8E"/>
    <w:rsid w:val="006A19D9"/>
    <w:rsid w:val="006B2475"/>
    <w:rsid w:val="006C4DD7"/>
    <w:rsid w:val="006D0326"/>
    <w:rsid w:val="006E1757"/>
    <w:rsid w:val="006E3777"/>
    <w:rsid w:val="00700711"/>
    <w:rsid w:val="00710B56"/>
    <w:rsid w:val="0071245C"/>
    <w:rsid w:val="00725F0A"/>
    <w:rsid w:val="00733574"/>
    <w:rsid w:val="00761368"/>
    <w:rsid w:val="007B495B"/>
    <w:rsid w:val="007C47C4"/>
    <w:rsid w:val="007C5030"/>
    <w:rsid w:val="007E371E"/>
    <w:rsid w:val="007F3AA5"/>
    <w:rsid w:val="007F7215"/>
    <w:rsid w:val="00812BB7"/>
    <w:rsid w:val="008219A9"/>
    <w:rsid w:val="00836621"/>
    <w:rsid w:val="00854F98"/>
    <w:rsid w:val="008718D6"/>
    <w:rsid w:val="00885688"/>
    <w:rsid w:val="008B481F"/>
    <w:rsid w:val="008B4C61"/>
    <w:rsid w:val="00902A39"/>
    <w:rsid w:val="009058E5"/>
    <w:rsid w:val="00927DBD"/>
    <w:rsid w:val="0094779C"/>
    <w:rsid w:val="00976541"/>
    <w:rsid w:val="009B0B73"/>
    <w:rsid w:val="009B34FD"/>
    <w:rsid w:val="00A01222"/>
    <w:rsid w:val="00A01313"/>
    <w:rsid w:val="00A152C1"/>
    <w:rsid w:val="00A175A5"/>
    <w:rsid w:val="00A21EBD"/>
    <w:rsid w:val="00A52FA6"/>
    <w:rsid w:val="00A705A8"/>
    <w:rsid w:val="00A738B5"/>
    <w:rsid w:val="00A76CA8"/>
    <w:rsid w:val="00A951A8"/>
    <w:rsid w:val="00AA28F5"/>
    <w:rsid w:val="00AB3A74"/>
    <w:rsid w:val="00AD3CBE"/>
    <w:rsid w:val="00B3107F"/>
    <w:rsid w:val="00B61623"/>
    <w:rsid w:val="00B64BD8"/>
    <w:rsid w:val="00B76BB2"/>
    <w:rsid w:val="00B95774"/>
    <w:rsid w:val="00BB5A99"/>
    <w:rsid w:val="00BC5DDE"/>
    <w:rsid w:val="00BE4170"/>
    <w:rsid w:val="00C047E1"/>
    <w:rsid w:val="00C12318"/>
    <w:rsid w:val="00C15A62"/>
    <w:rsid w:val="00C22525"/>
    <w:rsid w:val="00C241D2"/>
    <w:rsid w:val="00C43D3B"/>
    <w:rsid w:val="00C4545B"/>
    <w:rsid w:val="00C52E06"/>
    <w:rsid w:val="00C722D9"/>
    <w:rsid w:val="00CA32AB"/>
    <w:rsid w:val="00CC032B"/>
    <w:rsid w:val="00CC570D"/>
    <w:rsid w:val="00CD34F8"/>
    <w:rsid w:val="00CE2C5F"/>
    <w:rsid w:val="00CF4C79"/>
    <w:rsid w:val="00D01266"/>
    <w:rsid w:val="00D277F9"/>
    <w:rsid w:val="00D33115"/>
    <w:rsid w:val="00D34BDB"/>
    <w:rsid w:val="00D35B1E"/>
    <w:rsid w:val="00D51473"/>
    <w:rsid w:val="00D5568F"/>
    <w:rsid w:val="00D6401C"/>
    <w:rsid w:val="00D65721"/>
    <w:rsid w:val="00D70713"/>
    <w:rsid w:val="00D86C76"/>
    <w:rsid w:val="00DC06F8"/>
    <w:rsid w:val="00DC1551"/>
    <w:rsid w:val="00DC638D"/>
    <w:rsid w:val="00E004DF"/>
    <w:rsid w:val="00E118F8"/>
    <w:rsid w:val="00E31C0E"/>
    <w:rsid w:val="00E35144"/>
    <w:rsid w:val="00E50946"/>
    <w:rsid w:val="00E64434"/>
    <w:rsid w:val="00E81B2B"/>
    <w:rsid w:val="00E84252"/>
    <w:rsid w:val="00EA4E37"/>
    <w:rsid w:val="00EB3EED"/>
    <w:rsid w:val="00EC468D"/>
    <w:rsid w:val="00EF6667"/>
    <w:rsid w:val="00F013DD"/>
    <w:rsid w:val="00F05D2D"/>
    <w:rsid w:val="00F11599"/>
    <w:rsid w:val="00F13C8C"/>
    <w:rsid w:val="00F71DB3"/>
    <w:rsid w:val="00F76099"/>
    <w:rsid w:val="00F80B3A"/>
    <w:rsid w:val="00F837A0"/>
    <w:rsid w:val="00F916AE"/>
    <w:rsid w:val="00FA75DB"/>
    <w:rsid w:val="00FB0EFF"/>
    <w:rsid w:val="00FB5DDD"/>
    <w:rsid w:val="00FD2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1A927"/>
  <w15:docId w15:val="{C42A2FFF-68EC-4F03-BB34-E1DF8C4F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B56"/>
    <w:pPr>
      <w:widowControl w:val="0"/>
      <w:jc w:val="both"/>
    </w:pPr>
  </w:style>
  <w:style w:type="paragraph" w:styleId="2">
    <w:name w:val="heading 2"/>
    <w:basedOn w:val="a"/>
    <w:next w:val="a"/>
    <w:link w:val="20"/>
    <w:autoRedefine/>
    <w:uiPriority w:val="9"/>
    <w:unhideWhenUsed/>
    <w:qFormat/>
    <w:rsid w:val="002E1DF2"/>
    <w:pPr>
      <w:spacing w:beforeLines="50" w:before="156" w:afterLines="50" w:after="156" w:line="360" w:lineRule="auto"/>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CA8"/>
    <w:pPr>
      <w:tabs>
        <w:tab w:val="center" w:pos="4153"/>
        <w:tab w:val="right" w:pos="8306"/>
      </w:tabs>
      <w:snapToGrid w:val="0"/>
      <w:jc w:val="center"/>
    </w:pPr>
    <w:rPr>
      <w:sz w:val="18"/>
      <w:szCs w:val="18"/>
    </w:rPr>
  </w:style>
  <w:style w:type="character" w:customStyle="1" w:styleId="a4">
    <w:name w:val="页眉 字符"/>
    <w:basedOn w:val="a0"/>
    <w:link w:val="a3"/>
    <w:uiPriority w:val="99"/>
    <w:rsid w:val="00A76CA8"/>
    <w:rPr>
      <w:sz w:val="18"/>
      <w:szCs w:val="18"/>
    </w:rPr>
  </w:style>
  <w:style w:type="paragraph" w:styleId="a5">
    <w:name w:val="footer"/>
    <w:basedOn w:val="a"/>
    <w:link w:val="a6"/>
    <w:uiPriority w:val="99"/>
    <w:unhideWhenUsed/>
    <w:rsid w:val="00A76CA8"/>
    <w:pPr>
      <w:tabs>
        <w:tab w:val="center" w:pos="4153"/>
        <w:tab w:val="right" w:pos="8306"/>
      </w:tabs>
      <w:snapToGrid w:val="0"/>
      <w:jc w:val="left"/>
    </w:pPr>
    <w:rPr>
      <w:sz w:val="18"/>
      <w:szCs w:val="18"/>
    </w:rPr>
  </w:style>
  <w:style w:type="character" w:customStyle="1" w:styleId="a6">
    <w:name w:val="页脚 字符"/>
    <w:basedOn w:val="a0"/>
    <w:link w:val="a5"/>
    <w:uiPriority w:val="99"/>
    <w:rsid w:val="00A76CA8"/>
    <w:rPr>
      <w:sz w:val="18"/>
      <w:szCs w:val="18"/>
    </w:rPr>
  </w:style>
  <w:style w:type="table" w:styleId="a7">
    <w:name w:val="Table Grid"/>
    <w:basedOn w:val="a1"/>
    <w:uiPriority w:val="39"/>
    <w:rsid w:val="003E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7"/>
    <w:uiPriority w:val="39"/>
    <w:rsid w:val="00FB0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2E1DF2"/>
    <w:rPr>
      <w:b/>
      <w:bCs/>
    </w:rPr>
  </w:style>
  <w:style w:type="paragraph" w:styleId="a8">
    <w:name w:val="footnote text"/>
    <w:link w:val="a9"/>
    <w:autoRedefine/>
    <w:uiPriority w:val="99"/>
    <w:unhideWhenUsed/>
    <w:qFormat/>
    <w:rsid w:val="00E004DF"/>
    <w:pPr>
      <w:snapToGrid w:val="0"/>
    </w:pPr>
    <w:rPr>
      <w:sz w:val="18"/>
      <w:szCs w:val="18"/>
    </w:rPr>
  </w:style>
  <w:style w:type="character" w:customStyle="1" w:styleId="a9">
    <w:name w:val="脚注文本 字符"/>
    <w:basedOn w:val="a0"/>
    <w:link w:val="a8"/>
    <w:uiPriority w:val="99"/>
    <w:qFormat/>
    <w:rsid w:val="00E004DF"/>
    <w:rPr>
      <w:sz w:val="18"/>
      <w:szCs w:val="18"/>
    </w:rPr>
  </w:style>
  <w:style w:type="character" w:styleId="aa">
    <w:name w:val="footnote reference"/>
    <w:basedOn w:val="a0"/>
    <w:uiPriority w:val="99"/>
    <w:semiHidden/>
    <w:unhideWhenUsed/>
    <w:rsid w:val="00E004DF"/>
    <w:rPr>
      <w:vertAlign w:val="superscript"/>
    </w:rPr>
  </w:style>
  <w:style w:type="character" w:styleId="ab">
    <w:name w:val="annotation reference"/>
    <w:basedOn w:val="a0"/>
    <w:uiPriority w:val="99"/>
    <w:semiHidden/>
    <w:unhideWhenUsed/>
    <w:rsid w:val="00D86C76"/>
    <w:rPr>
      <w:sz w:val="21"/>
      <w:szCs w:val="21"/>
    </w:rPr>
  </w:style>
  <w:style w:type="paragraph" w:styleId="ac">
    <w:name w:val="annotation text"/>
    <w:basedOn w:val="a"/>
    <w:link w:val="ad"/>
    <w:uiPriority w:val="99"/>
    <w:semiHidden/>
    <w:unhideWhenUsed/>
    <w:rsid w:val="00D86C76"/>
    <w:pPr>
      <w:jc w:val="left"/>
    </w:pPr>
  </w:style>
  <w:style w:type="character" w:customStyle="1" w:styleId="ad">
    <w:name w:val="批注文字 字符"/>
    <w:basedOn w:val="a0"/>
    <w:link w:val="ac"/>
    <w:uiPriority w:val="99"/>
    <w:semiHidden/>
    <w:rsid w:val="00D86C76"/>
  </w:style>
  <w:style w:type="paragraph" w:styleId="ae">
    <w:name w:val="annotation subject"/>
    <w:basedOn w:val="ac"/>
    <w:next w:val="ac"/>
    <w:link w:val="af"/>
    <w:uiPriority w:val="99"/>
    <w:semiHidden/>
    <w:unhideWhenUsed/>
    <w:rsid w:val="00D86C76"/>
    <w:rPr>
      <w:b/>
      <w:bCs/>
    </w:rPr>
  </w:style>
  <w:style w:type="character" w:customStyle="1" w:styleId="af">
    <w:name w:val="批注主题 字符"/>
    <w:basedOn w:val="ad"/>
    <w:link w:val="ae"/>
    <w:uiPriority w:val="99"/>
    <w:semiHidden/>
    <w:rsid w:val="00D86C76"/>
    <w:rPr>
      <w:b/>
      <w:bCs/>
    </w:rPr>
  </w:style>
  <w:style w:type="character" w:styleId="af0">
    <w:name w:val="Hyperlink"/>
    <w:basedOn w:val="a0"/>
    <w:uiPriority w:val="99"/>
    <w:unhideWhenUsed/>
    <w:rsid w:val="00A01313"/>
    <w:rPr>
      <w:color w:val="0563C1" w:themeColor="hyperlink"/>
      <w:u w:val="single"/>
    </w:rPr>
  </w:style>
  <w:style w:type="character" w:styleId="af1">
    <w:name w:val="Unresolved Mention"/>
    <w:basedOn w:val="a0"/>
    <w:uiPriority w:val="99"/>
    <w:semiHidden/>
    <w:unhideWhenUsed/>
    <w:rsid w:val="00A01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985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3.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footnotes" Target="footnotes.xml"/><Relationship Id="rId9" Type="http://schemas.openxmlformats.org/officeDocument/2006/relationships/image" Target="media/image1.tif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Documents\Academic%20Affairs\Notes%20&amp;%20Assignments%20&amp;%20Resources\&#25102;&#29634;\&#39033;&#30446;\1%20&#27178;&#21521;\&#20013;&#20132;&#20852;&#36335;\&#25991;&#29486;&#32508;&#36848;\covid19\&#33609;&#33683;&#31185;&#30740;&#32593;%202020-2022&#24180;&#26032;&#20896;&#30123;&#24773;&#25968;&#25454;\national_monthly_new_ca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cuments\Academic%20Affairs\Notes%20&amp;%20Assignments%20&amp;%20Resources\&#25102;&#29634;\&#39033;&#30446;\1%20&#27178;&#21521;\&#20013;&#20132;&#20852;&#36335;\draft\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cuments\Academic%20Affairs\Notes%20&amp;%20Assignments%20&amp;%20Resources\&#25102;&#29634;\&#39033;&#30446;\1%20&#27178;&#21521;\&#20013;&#20132;&#20852;&#36335;\draft\summar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a</a:t>
            </a:r>
            <a:endParaRPr lang="en-US" b="1">
              <a:solidFill>
                <a:sysClr val="windowText" lastClr="000000"/>
              </a:solidFill>
            </a:endParaRPr>
          </a:p>
        </c:rich>
      </c:tx>
      <c:layout>
        <c:manualLayout>
          <c:xMode val="edge"/>
          <c:yMode val="edge"/>
          <c:x val="4.4094488188976377E-2"/>
          <c:y val="2.7804142005285415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autoTitleDeleted val="0"/>
    <c:plotArea>
      <c:layout/>
      <c:barChart>
        <c:barDir val="col"/>
        <c:grouping val="clustered"/>
        <c:varyColors val="0"/>
        <c:ser>
          <c:idx val="0"/>
          <c:order val="0"/>
          <c:tx>
            <c:strRef>
              <c:f>Sheet1!$B$1</c:f>
              <c:strCache>
                <c:ptCount val="1"/>
                <c:pt idx="0">
                  <c:v>new confirmed cases</c:v>
                </c:pt>
              </c:strCache>
            </c:strRef>
          </c:tx>
          <c:spPr>
            <a:solidFill>
              <a:schemeClr val="accent3"/>
            </a:solidFill>
            <a:ln>
              <a:noFill/>
            </a:ln>
            <a:effectLst/>
          </c:spPr>
          <c:invertIfNegative val="0"/>
          <c:cat>
            <c:strRef>
              <c:f>Sheet1!$A$2:$A$37</c:f>
              <c:strCache>
                <c:ptCount val="36"/>
                <c:pt idx="0">
                  <c:v>2020-01</c:v>
                </c:pt>
                <c:pt idx="1">
                  <c:v>2020-02</c:v>
                </c:pt>
                <c:pt idx="2">
                  <c:v>2020-03</c:v>
                </c:pt>
                <c:pt idx="3">
                  <c:v>2020-04</c:v>
                </c:pt>
                <c:pt idx="4">
                  <c:v>2020-05</c:v>
                </c:pt>
                <c:pt idx="5">
                  <c:v>2020-06</c:v>
                </c:pt>
                <c:pt idx="6">
                  <c:v>2020-07</c:v>
                </c:pt>
                <c:pt idx="7">
                  <c:v>2020-08</c:v>
                </c:pt>
                <c:pt idx="8">
                  <c:v>2020-09</c:v>
                </c:pt>
                <c:pt idx="9">
                  <c:v>2020-10</c:v>
                </c:pt>
                <c:pt idx="10">
                  <c:v>2020-11</c:v>
                </c:pt>
                <c:pt idx="11">
                  <c:v>2020-12</c:v>
                </c:pt>
                <c:pt idx="12">
                  <c:v>2021-01</c:v>
                </c:pt>
                <c:pt idx="13">
                  <c:v>2021-02</c:v>
                </c:pt>
                <c:pt idx="14">
                  <c:v>2021-03</c:v>
                </c:pt>
                <c:pt idx="15">
                  <c:v>2021-04</c:v>
                </c:pt>
                <c:pt idx="16">
                  <c:v>2021-05</c:v>
                </c:pt>
                <c:pt idx="17">
                  <c:v>2021-06</c:v>
                </c:pt>
                <c:pt idx="18">
                  <c:v>2021-07</c:v>
                </c:pt>
                <c:pt idx="19">
                  <c:v>2021-08</c:v>
                </c:pt>
                <c:pt idx="20">
                  <c:v>2021-09</c:v>
                </c:pt>
                <c:pt idx="21">
                  <c:v>2021-10</c:v>
                </c:pt>
                <c:pt idx="22">
                  <c:v>2021-11</c:v>
                </c:pt>
                <c:pt idx="23">
                  <c:v>2021-12</c:v>
                </c:pt>
                <c:pt idx="24">
                  <c:v>2022-01</c:v>
                </c:pt>
                <c:pt idx="25">
                  <c:v>2022-02</c:v>
                </c:pt>
                <c:pt idx="26">
                  <c:v>2022-03</c:v>
                </c:pt>
                <c:pt idx="27">
                  <c:v>2022-04</c:v>
                </c:pt>
                <c:pt idx="28">
                  <c:v>2022-05</c:v>
                </c:pt>
                <c:pt idx="29">
                  <c:v>2022-06</c:v>
                </c:pt>
                <c:pt idx="30">
                  <c:v>2022-07</c:v>
                </c:pt>
                <c:pt idx="31">
                  <c:v>2022-08</c:v>
                </c:pt>
                <c:pt idx="32">
                  <c:v>2022-09</c:v>
                </c:pt>
                <c:pt idx="33">
                  <c:v>2022-10</c:v>
                </c:pt>
                <c:pt idx="34">
                  <c:v>2022-11</c:v>
                </c:pt>
                <c:pt idx="35">
                  <c:v>2022-12</c:v>
                </c:pt>
              </c:strCache>
            </c:strRef>
          </c:cat>
          <c:val>
            <c:numRef>
              <c:f>Sheet1!$B$2:$B$37</c:f>
              <c:numCache>
                <c:formatCode>General</c:formatCode>
                <c:ptCount val="36"/>
                <c:pt idx="0">
                  <c:v>11776</c:v>
                </c:pt>
                <c:pt idx="1">
                  <c:v>68048</c:v>
                </c:pt>
                <c:pt idx="2">
                  <c:v>1730</c:v>
                </c:pt>
                <c:pt idx="3">
                  <c:v>1320</c:v>
                </c:pt>
                <c:pt idx="4">
                  <c:v>144</c:v>
                </c:pt>
                <c:pt idx="5">
                  <c:v>521</c:v>
                </c:pt>
                <c:pt idx="6">
                  <c:v>798</c:v>
                </c:pt>
                <c:pt idx="7">
                  <c:v>716</c:v>
                </c:pt>
                <c:pt idx="8">
                  <c:v>352</c:v>
                </c:pt>
                <c:pt idx="9">
                  <c:v>582</c:v>
                </c:pt>
                <c:pt idx="10">
                  <c:v>544</c:v>
                </c:pt>
                <c:pt idx="11">
                  <c:v>526</c:v>
                </c:pt>
                <c:pt idx="12">
                  <c:v>2490</c:v>
                </c:pt>
                <c:pt idx="13">
                  <c:v>348</c:v>
                </c:pt>
                <c:pt idx="14">
                  <c:v>303</c:v>
                </c:pt>
                <c:pt idx="15">
                  <c:v>454</c:v>
                </c:pt>
                <c:pt idx="16">
                  <c:v>451</c:v>
                </c:pt>
                <c:pt idx="17">
                  <c:v>670</c:v>
                </c:pt>
                <c:pt idx="18">
                  <c:v>1213</c:v>
                </c:pt>
                <c:pt idx="19">
                  <c:v>1893</c:v>
                </c:pt>
                <c:pt idx="20">
                  <c:v>1264</c:v>
                </c:pt>
                <c:pt idx="21">
                  <c:v>1081</c:v>
                </c:pt>
                <c:pt idx="22">
                  <c:v>1582</c:v>
                </c:pt>
                <c:pt idx="23">
                  <c:v>3489</c:v>
                </c:pt>
                <c:pt idx="24">
                  <c:v>3825</c:v>
                </c:pt>
                <c:pt idx="25">
                  <c:v>3388</c:v>
                </c:pt>
                <c:pt idx="26">
                  <c:v>41577</c:v>
                </c:pt>
                <c:pt idx="27">
                  <c:v>65481</c:v>
                </c:pt>
                <c:pt idx="28">
                  <c:v>7547</c:v>
                </c:pt>
                <c:pt idx="29">
                  <c:v>1541</c:v>
                </c:pt>
                <c:pt idx="30">
                  <c:v>3919</c:v>
                </c:pt>
                <c:pt idx="31">
                  <c:v>13855</c:v>
                </c:pt>
                <c:pt idx="32">
                  <c:v>7172</c:v>
                </c:pt>
                <c:pt idx="33">
                  <c:v>9884</c:v>
                </c:pt>
                <c:pt idx="34">
                  <c:v>63184</c:v>
                </c:pt>
                <c:pt idx="35">
                  <c:v>47729</c:v>
                </c:pt>
              </c:numCache>
            </c:numRef>
          </c:val>
          <c:extLst>
            <c:ext xmlns:c16="http://schemas.microsoft.com/office/drawing/2014/chart" uri="{C3380CC4-5D6E-409C-BE32-E72D297353CC}">
              <c16:uniqueId val="{00000000-5B1F-4DBC-BE39-D8B55E5FF65C}"/>
            </c:ext>
          </c:extLst>
        </c:ser>
        <c:dLbls>
          <c:showLegendKey val="0"/>
          <c:showVal val="0"/>
          <c:showCatName val="0"/>
          <c:showSerName val="0"/>
          <c:showPercent val="0"/>
          <c:showBubbleSize val="0"/>
        </c:dLbls>
        <c:gapWidth val="219"/>
        <c:overlap val="-27"/>
        <c:axId val="1889956592"/>
        <c:axId val="2122225520"/>
      </c:barChart>
      <c:catAx>
        <c:axId val="188995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2122225520"/>
        <c:crosses val="autoZero"/>
        <c:auto val="1"/>
        <c:lblAlgn val="ctr"/>
        <c:lblOffset val="100"/>
        <c:noMultiLvlLbl val="0"/>
      </c:catAx>
      <c:valAx>
        <c:axId val="212222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1889956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1200" b="1">
                <a:solidFill>
                  <a:sysClr val="windowText" lastClr="000000"/>
                </a:solidFill>
              </a:rPr>
              <a:t>b</a:t>
            </a:r>
            <a:endParaRPr lang="zh-CN" altLang="en-US">
              <a:solidFill>
                <a:sysClr val="windowText" lastClr="000000"/>
              </a:solidFill>
            </a:endParaRPr>
          </a:p>
        </c:rich>
      </c:tx>
      <c:layout>
        <c:manualLayout>
          <c:xMode val="edge"/>
          <c:yMode val="edge"/>
          <c:x val="4.7315193835781359E-2"/>
          <c:y val="2.420819043776477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autoTitleDeleted val="0"/>
    <c:plotArea>
      <c:layout/>
      <c:lineChart>
        <c:grouping val="standard"/>
        <c:varyColors val="0"/>
        <c:ser>
          <c:idx val="2"/>
          <c:order val="0"/>
          <c:tx>
            <c:strRef>
              <c:f>'national monthly  sum'!$D$1</c:f>
              <c:strCache>
                <c:ptCount val="1"/>
                <c:pt idx="0">
                  <c:v>mid/high_risk county</c:v>
                </c:pt>
              </c:strCache>
            </c:strRef>
          </c:tx>
          <c:spPr>
            <a:ln w="15875" cap="rnd">
              <a:solidFill>
                <a:schemeClr val="tx2"/>
              </a:solidFill>
              <a:round/>
            </a:ln>
            <a:effectLst/>
          </c:spPr>
          <c:marker>
            <c:symbol val="square"/>
            <c:size val="5"/>
            <c:spPr>
              <a:solidFill>
                <a:schemeClr val="accent1">
                  <a:lumMod val="40000"/>
                  <a:lumOff val="60000"/>
                </a:schemeClr>
              </a:solidFill>
              <a:ln w="9525">
                <a:solidFill>
                  <a:schemeClr val="bg1"/>
                </a:solidFill>
              </a:ln>
              <a:effectLst/>
            </c:spPr>
          </c:marker>
          <c:cat>
            <c:numRef>
              <c:f>'national monthly  sum'!$A$2:$A$22</c:f>
              <c:numCache>
                <c:formatCode>yyyy\-m</c:formatCode>
                <c:ptCount val="21"/>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numCache>
            </c:numRef>
          </c:cat>
          <c:val>
            <c:numRef>
              <c:f>'national monthly  sum'!$D$2:$D$22</c:f>
              <c:numCache>
                <c:formatCode>General</c:formatCode>
                <c:ptCount val="21"/>
                <c:pt idx="0">
                  <c:v>1</c:v>
                </c:pt>
                <c:pt idx="1">
                  <c:v>10</c:v>
                </c:pt>
                <c:pt idx="2">
                  <c:v>12</c:v>
                </c:pt>
                <c:pt idx="3">
                  <c:v>35</c:v>
                </c:pt>
                <c:pt idx="4">
                  <c:v>69</c:v>
                </c:pt>
                <c:pt idx="5">
                  <c:v>19</c:v>
                </c:pt>
                <c:pt idx="6">
                  <c:v>27</c:v>
                </c:pt>
                <c:pt idx="7">
                  <c:v>47</c:v>
                </c:pt>
                <c:pt idx="8">
                  <c:v>33</c:v>
                </c:pt>
                <c:pt idx="9">
                  <c:v>43</c:v>
                </c:pt>
                <c:pt idx="10">
                  <c:v>56</c:v>
                </c:pt>
                <c:pt idx="11">
                  <c:v>175</c:v>
                </c:pt>
                <c:pt idx="12">
                  <c:v>136</c:v>
                </c:pt>
                <c:pt idx="13">
                  <c:v>40</c:v>
                </c:pt>
                <c:pt idx="14">
                  <c:v>28</c:v>
                </c:pt>
                <c:pt idx="15">
                  <c:v>180</c:v>
                </c:pt>
                <c:pt idx="16">
                  <c:v>373</c:v>
                </c:pt>
                <c:pt idx="17">
                  <c:v>371</c:v>
                </c:pt>
                <c:pt idx="18">
                  <c:v>507</c:v>
                </c:pt>
                <c:pt idx="19">
                  <c:v>1231</c:v>
                </c:pt>
                <c:pt idx="20">
                  <c:v>1174</c:v>
                </c:pt>
              </c:numCache>
            </c:numRef>
          </c:val>
          <c:smooth val="0"/>
          <c:extLst>
            <c:ext xmlns:c16="http://schemas.microsoft.com/office/drawing/2014/chart" uri="{C3380CC4-5D6E-409C-BE32-E72D297353CC}">
              <c16:uniqueId val="{00000000-8D0F-44A5-8F55-4E71D6E3A2B2}"/>
            </c:ext>
          </c:extLst>
        </c:ser>
        <c:ser>
          <c:idx val="3"/>
          <c:order val="1"/>
          <c:tx>
            <c:strRef>
              <c:f>'national monthly  sum'!$E$1</c:f>
              <c:strCache>
                <c:ptCount val="1"/>
                <c:pt idx="0">
                  <c:v>high_risk county</c:v>
                </c:pt>
              </c:strCache>
            </c:strRef>
          </c:tx>
          <c:spPr>
            <a:ln w="15875" cap="rnd">
              <a:solidFill>
                <a:schemeClr val="accent6">
                  <a:lumMod val="75000"/>
                </a:schemeClr>
              </a:solidFill>
              <a:round/>
            </a:ln>
            <a:effectLst/>
          </c:spPr>
          <c:marker>
            <c:symbol val="square"/>
            <c:size val="5"/>
            <c:spPr>
              <a:solidFill>
                <a:schemeClr val="accent6">
                  <a:lumMod val="60000"/>
                  <a:lumOff val="40000"/>
                </a:schemeClr>
              </a:solidFill>
              <a:ln w="9525">
                <a:solidFill>
                  <a:schemeClr val="bg1"/>
                </a:solidFill>
              </a:ln>
              <a:effectLst/>
            </c:spPr>
          </c:marker>
          <c:cat>
            <c:numRef>
              <c:f>'national monthly  sum'!$A$2:$A$22</c:f>
              <c:numCache>
                <c:formatCode>yyyy\-m</c:formatCode>
                <c:ptCount val="21"/>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numCache>
            </c:numRef>
          </c:cat>
          <c:val>
            <c:numRef>
              <c:f>'national monthly  sum'!$E$2:$E$22</c:f>
              <c:numCache>
                <c:formatCode>General</c:formatCode>
                <c:ptCount val="21"/>
                <c:pt idx="0">
                  <c:v>1</c:v>
                </c:pt>
                <c:pt idx="1">
                  <c:v>0</c:v>
                </c:pt>
                <c:pt idx="2">
                  <c:v>1</c:v>
                </c:pt>
                <c:pt idx="3">
                  <c:v>3</c:v>
                </c:pt>
                <c:pt idx="4">
                  <c:v>10</c:v>
                </c:pt>
                <c:pt idx="5">
                  <c:v>3</c:v>
                </c:pt>
                <c:pt idx="6">
                  <c:v>5</c:v>
                </c:pt>
                <c:pt idx="7">
                  <c:v>8</c:v>
                </c:pt>
                <c:pt idx="8">
                  <c:v>6</c:v>
                </c:pt>
                <c:pt idx="9">
                  <c:v>10</c:v>
                </c:pt>
                <c:pt idx="10">
                  <c:v>14</c:v>
                </c:pt>
                <c:pt idx="11">
                  <c:v>45</c:v>
                </c:pt>
                <c:pt idx="12">
                  <c:v>36</c:v>
                </c:pt>
                <c:pt idx="13">
                  <c:v>5</c:v>
                </c:pt>
                <c:pt idx="14">
                  <c:v>5</c:v>
                </c:pt>
                <c:pt idx="15">
                  <c:v>159</c:v>
                </c:pt>
                <c:pt idx="16">
                  <c:v>318</c:v>
                </c:pt>
                <c:pt idx="17">
                  <c:v>313</c:v>
                </c:pt>
                <c:pt idx="18">
                  <c:v>392</c:v>
                </c:pt>
                <c:pt idx="19">
                  <c:v>1206</c:v>
                </c:pt>
                <c:pt idx="20">
                  <c:v>1174</c:v>
                </c:pt>
              </c:numCache>
            </c:numRef>
          </c:val>
          <c:smooth val="0"/>
          <c:extLst>
            <c:ext xmlns:c16="http://schemas.microsoft.com/office/drawing/2014/chart" uri="{C3380CC4-5D6E-409C-BE32-E72D297353CC}">
              <c16:uniqueId val="{00000001-8D0F-44A5-8F55-4E71D6E3A2B2}"/>
            </c:ext>
          </c:extLst>
        </c:ser>
        <c:dLbls>
          <c:showLegendKey val="0"/>
          <c:showVal val="0"/>
          <c:showCatName val="0"/>
          <c:showSerName val="0"/>
          <c:showPercent val="0"/>
          <c:showBubbleSize val="0"/>
        </c:dLbls>
        <c:marker val="1"/>
        <c:smooth val="0"/>
        <c:axId val="456233232"/>
        <c:axId val="456234896"/>
      </c:lineChart>
      <c:dateAx>
        <c:axId val="456233232"/>
        <c:scaling>
          <c:orientation val="minMax"/>
        </c:scaling>
        <c:delete val="0"/>
        <c:axPos val="b"/>
        <c:numFmt formatCode="yyyy\-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456234896"/>
        <c:crosses val="autoZero"/>
        <c:auto val="1"/>
        <c:lblOffset val="100"/>
        <c:baseTimeUnit val="months"/>
      </c:dateAx>
      <c:valAx>
        <c:axId val="45623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1050">
                    <a:solidFill>
                      <a:sysClr val="windowText" lastClr="000000"/>
                    </a:solidFill>
                  </a:rPr>
                  <a:t>Number of counties with </a:t>
                </a:r>
                <a:r>
                  <a:rPr lang="en-US" altLang="zh-CN" sz="1050" b="0" i="0" u="none" strike="noStrike" baseline="0">
                    <a:solidFill>
                      <a:sysClr val="windowText" lastClr="000000"/>
                    </a:solidFill>
                    <a:effectLst/>
                  </a:rPr>
                  <a:t>medium or high-risk areas</a:t>
                </a:r>
                <a:r>
                  <a:rPr lang="en-US" altLang="zh-CN" sz="1050">
                    <a:solidFill>
                      <a:sysClr val="windowText" lastClr="000000"/>
                    </a:solidFill>
                  </a:rPr>
                  <a:t> </a:t>
                </a:r>
                <a:endParaRPr lang="zh-CN" sz="105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45623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1200" b="1">
                <a:solidFill>
                  <a:sysClr val="windowText" lastClr="000000"/>
                </a:solidFill>
              </a:rPr>
              <a:t>c</a:t>
            </a:r>
            <a:endParaRPr lang="zh-CN" altLang="en-US">
              <a:solidFill>
                <a:sysClr val="windowText" lastClr="000000"/>
              </a:solidFill>
            </a:endParaRPr>
          </a:p>
        </c:rich>
      </c:tx>
      <c:layout>
        <c:manualLayout>
          <c:xMode val="edge"/>
          <c:yMode val="edge"/>
          <c:x val="4.7315193835781359E-2"/>
          <c:y val="2.420819043776477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autoTitleDeleted val="0"/>
    <c:plotArea>
      <c:layout/>
      <c:lineChart>
        <c:grouping val="standard"/>
        <c:varyColors val="0"/>
        <c:ser>
          <c:idx val="0"/>
          <c:order val="0"/>
          <c:tx>
            <c:strRef>
              <c:f>'national monthly  sum'!$B$1</c:f>
              <c:strCache>
                <c:ptCount val="1"/>
                <c:pt idx="0">
                  <c:v>mid/high_risk county*period</c:v>
                </c:pt>
              </c:strCache>
            </c:strRef>
          </c:tx>
          <c:spPr>
            <a:ln w="15875" cap="rnd">
              <a:solidFill>
                <a:schemeClr val="tx2"/>
              </a:solidFill>
              <a:round/>
            </a:ln>
            <a:effectLst/>
          </c:spPr>
          <c:marker>
            <c:symbol val="circle"/>
            <c:size val="5"/>
            <c:spPr>
              <a:solidFill>
                <a:schemeClr val="tx2"/>
              </a:solidFill>
              <a:ln w="9525">
                <a:solidFill>
                  <a:schemeClr val="bg1"/>
                </a:solidFill>
              </a:ln>
              <a:effectLst/>
            </c:spPr>
          </c:marker>
          <c:cat>
            <c:numRef>
              <c:f>'national monthly  sum'!$A$2:$A$22</c:f>
              <c:numCache>
                <c:formatCode>yyyy\-m</c:formatCode>
                <c:ptCount val="21"/>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numCache>
            </c:numRef>
          </c:cat>
          <c:val>
            <c:numRef>
              <c:f>'national monthly  sum'!$B$2:$B$22</c:f>
              <c:numCache>
                <c:formatCode>General</c:formatCode>
                <c:ptCount val="21"/>
                <c:pt idx="0">
                  <c:v>53</c:v>
                </c:pt>
                <c:pt idx="1">
                  <c:v>105</c:v>
                </c:pt>
                <c:pt idx="2">
                  <c:v>202</c:v>
                </c:pt>
                <c:pt idx="3">
                  <c:v>188</c:v>
                </c:pt>
                <c:pt idx="4">
                  <c:v>1120</c:v>
                </c:pt>
                <c:pt idx="5">
                  <c:v>200</c:v>
                </c:pt>
                <c:pt idx="6">
                  <c:v>220</c:v>
                </c:pt>
                <c:pt idx="7">
                  <c:v>683</c:v>
                </c:pt>
                <c:pt idx="8">
                  <c:v>492</c:v>
                </c:pt>
                <c:pt idx="9">
                  <c:v>656</c:v>
                </c:pt>
                <c:pt idx="10">
                  <c:v>612</c:v>
                </c:pt>
                <c:pt idx="11">
                  <c:v>3093</c:v>
                </c:pt>
                <c:pt idx="12">
                  <c:v>2105</c:v>
                </c:pt>
                <c:pt idx="13">
                  <c:v>1195</c:v>
                </c:pt>
                <c:pt idx="14">
                  <c:v>492</c:v>
                </c:pt>
                <c:pt idx="15">
                  <c:v>3865</c:v>
                </c:pt>
                <c:pt idx="16">
                  <c:v>6909</c:v>
                </c:pt>
                <c:pt idx="17">
                  <c:v>7810</c:v>
                </c:pt>
                <c:pt idx="18">
                  <c:v>10464</c:v>
                </c:pt>
                <c:pt idx="19">
                  <c:v>22110</c:v>
                </c:pt>
                <c:pt idx="20">
                  <c:v>13651</c:v>
                </c:pt>
              </c:numCache>
            </c:numRef>
          </c:val>
          <c:smooth val="0"/>
          <c:extLst>
            <c:ext xmlns:c16="http://schemas.microsoft.com/office/drawing/2014/chart" uri="{C3380CC4-5D6E-409C-BE32-E72D297353CC}">
              <c16:uniqueId val="{00000000-CC3B-4243-8C3F-F82D5EAB7B6A}"/>
            </c:ext>
          </c:extLst>
        </c:ser>
        <c:ser>
          <c:idx val="1"/>
          <c:order val="1"/>
          <c:tx>
            <c:strRef>
              <c:f>'national monthly  sum'!$C$1</c:f>
              <c:strCache>
                <c:ptCount val="1"/>
                <c:pt idx="0">
                  <c:v>high_risk county*period</c:v>
                </c:pt>
              </c:strCache>
            </c:strRef>
          </c:tx>
          <c:spPr>
            <a:ln w="15875" cap="rnd">
              <a:solidFill>
                <a:schemeClr val="accent6">
                  <a:lumMod val="75000"/>
                </a:schemeClr>
              </a:solidFill>
              <a:round/>
            </a:ln>
            <a:effectLst/>
          </c:spPr>
          <c:marker>
            <c:symbol val="circle"/>
            <c:size val="5"/>
            <c:spPr>
              <a:solidFill>
                <a:schemeClr val="accent6">
                  <a:lumMod val="75000"/>
                </a:schemeClr>
              </a:solidFill>
              <a:ln w="9525">
                <a:solidFill>
                  <a:schemeClr val="bg1"/>
                </a:solidFill>
              </a:ln>
              <a:effectLst/>
            </c:spPr>
          </c:marker>
          <c:cat>
            <c:numRef>
              <c:f>'national monthly  sum'!$A$2:$A$22</c:f>
              <c:numCache>
                <c:formatCode>yyyy\-m</c:formatCode>
                <c:ptCount val="21"/>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numCache>
            </c:numRef>
          </c:cat>
          <c:val>
            <c:numRef>
              <c:f>'national monthly  sum'!$C$2:$C$22</c:f>
              <c:numCache>
                <c:formatCode>General</c:formatCode>
                <c:ptCount val="21"/>
                <c:pt idx="0">
                  <c:v>24</c:v>
                </c:pt>
                <c:pt idx="1">
                  <c:v>0</c:v>
                </c:pt>
                <c:pt idx="2">
                  <c:v>20</c:v>
                </c:pt>
                <c:pt idx="3">
                  <c:v>34</c:v>
                </c:pt>
                <c:pt idx="4">
                  <c:v>151</c:v>
                </c:pt>
                <c:pt idx="5">
                  <c:v>37</c:v>
                </c:pt>
                <c:pt idx="6">
                  <c:v>37</c:v>
                </c:pt>
                <c:pt idx="7">
                  <c:v>94</c:v>
                </c:pt>
                <c:pt idx="8">
                  <c:v>89</c:v>
                </c:pt>
                <c:pt idx="9">
                  <c:v>119</c:v>
                </c:pt>
                <c:pt idx="10">
                  <c:v>104</c:v>
                </c:pt>
                <c:pt idx="11">
                  <c:v>567</c:v>
                </c:pt>
                <c:pt idx="12">
                  <c:v>403</c:v>
                </c:pt>
                <c:pt idx="13">
                  <c:v>286</c:v>
                </c:pt>
                <c:pt idx="14">
                  <c:v>46</c:v>
                </c:pt>
                <c:pt idx="15">
                  <c:v>1713</c:v>
                </c:pt>
                <c:pt idx="16">
                  <c:v>3088</c:v>
                </c:pt>
                <c:pt idx="17">
                  <c:v>3450</c:v>
                </c:pt>
                <c:pt idx="18">
                  <c:v>4491</c:v>
                </c:pt>
                <c:pt idx="19">
                  <c:v>18186</c:v>
                </c:pt>
                <c:pt idx="20">
                  <c:v>13651</c:v>
                </c:pt>
              </c:numCache>
            </c:numRef>
          </c:val>
          <c:smooth val="0"/>
          <c:extLst>
            <c:ext xmlns:c16="http://schemas.microsoft.com/office/drawing/2014/chart" uri="{C3380CC4-5D6E-409C-BE32-E72D297353CC}">
              <c16:uniqueId val="{00000001-CC3B-4243-8C3F-F82D5EAB7B6A}"/>
            </c:ext>
          </c:extLst>
        </c:ser>
        <c:dLbls>
          <c:showLegendKey val="0"/>
          <c:showVal val="0"/>
          <c:showCatName val="0"/>
          <c:showSerName val="0"/>
          <c:showPercent val="0"/>
          <c:showBubbleSize val="0"/>
        </c:dLbls>
        <c:marker val="1"/>
        <c:smooth val="0"/>
        <c:axId val="456233232"/>
        <c:axId val="456234896"/>
      </c:lineChart>
      <c:dateAx>
        <c:axId val="456233232"/>
        <c:scaling>
          <c:orientation val="minMax"/>
        </c:scaling>
        <c:delete val="0"/>
        <c:axPos val="b"/>
        <c:numFmt formatCode="yyyy\-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456234896"/>
        <c:crosses val="autoZero"/>
        <c:auto val="1"/>
        <c:lblOffset val="100"/>
        <c:baseTimeUnit val="months"/>
      </c:dateAx>
      <c:valAx>
        <c:axId val="45623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1050" b="0" i="0" u="none" strike="noStrike" baseline="0">
                    <a:solidFill>
                      <a:sysClr val="windowText" lastClr="000000"/>
                    </a:solidFill>
                    <a:effectLst/>
                  </a:rPr>
                  <a:t>Total days of counties with medium or high-Risk areas</a:t>
                </a:r>
                <a:endParaRPr lang="zh-CN" sz="105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45623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3829</Words>
  <Characters>21827</Characters>
  <Application>Microsoft Office Word</Application>
  <DocSecurity>0</DocSecurity>
  <Lines>181</Lines>
  <Paragraphs>51</Paragraphs>
  <ScaleCrop>false</ScaleCrop>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Jiexin Wang</dc:creator>
  <cp:keywords/>
  <dc:description/>
  <cp:lastModifiedBy>Jiexin Wang</cp:lastModifiedBy>
  <cp:revision>8</cp:revision>
  <cp:lastPrinted>2024-04-06T04:37:00Z</cp:lastPrinted>
  <dcterms:created xsi:type="dcterms:W3CDTF">2024-04-19T01:04:00Z</dcterms:created>
  <dcterms:modified xsi:type="dcterms:W3CDTF">2024-04-19T02:53:00Z</dcterms:modified>
</cp:coreProperties>
</file>