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C776DA" w14:textId="77777777" w:rsidR="009971E9" w:rsidRPr="00694152" w:rsidRDefault="00694152" w:rsidP="009971E9">
      <w:pPr>
        <w:rPr>
          <w:rFonts w:ascii="Times New Roman" w:hAnsi="Times New Roman" w:cs="Times New Roman"/>
          <w:b/>
          <w:sz w:val="24"/>
          <w:szCs w:val="24"/>
        </w:rPr>
      </w:pPr>
      <w:bookmarkStart w:id="0" w:name="_Hlk138966596"/>
      <w:r w:rsidRPr="00694152">
        <w:rPr>
          <w:rFonts w:ascii="Times New Roman" w:hAnsi="Times New Roman" w:cs="Times New Roman"/>
          <w:b/>
          <w:sz w:val="24"/>
          <w:szCs w:val="24"/>
        </w:rPr>
        <w:t>Supporting Information</w:t>
      </w:r>
    </w:p>
    <w:p w14:paraId="23C776DB" w14:textId="77777777" w:rsidR="009971E9" w:rsidRPr="00694152" w:rsidRDefault="009971E9" w:rsidP="009971E9">
      <w:pPr>
        <w:rPr>
          <w:rFonts w:ascii="Times New Roman" w:hAnsi="Times New Roman" w:cs="Times New Roman"/>
          <w:b/>
          <w:i/>
          <w:sz w:val="24"/>
          <w:szCs w:val="24"/>
        </w:rPr>
      </w:pPr>
      <w:r w:rsidRPr="00694152">
        <w:rPr>
          <w:rFonts w:ascii="Times New Roman" w:hAnsi="Times New Roman" w:cs="Times New Roman"/>
          <w:b/>
          <w:i/>
          <w:sz w:val="24"/>
          <w:szCs w:val="24"/>
        </w:rPr>
        <w:t>Bacterial 16S metabarcoding</w:t>
      </w:r>
      <w:r w:rsidR="00694152" w:rsidRPr="00694152">
        <w:rPr>
          <w:rFonts w:ascii="Times New Roman" w:hAnsi="Times New Roman" w:cs="Times New Roman"/>
          <w:b/>
          <w:i/>
          <w:sz w:val="24"/>
          <w:szCs w:val="24"/>
        </w:rPr>
        <w:t xml:space="preserve"> methods</w:t>
      </w:r>
    </w:p>
    <w:p w14:paraId="23C776DC" w14:textId="77777777" w:rsidR="009971E9" w:rsidRPr="00694152" w:rsidRDefault="009971E9" w:rsidP="00694152">
      <w:pPr>
        <w:spacing w:line="360" w:lineRule="auto"/>
        <w:rPr>
          <w:rFonts w:ascii="Times New Roman" w:hAnsi="Times New Roman" w:cs="Times New Roman"/>
          <w:sz w:val="24"/>
          <w:szCs w:val="24"/>
        </w:rPr>
      </w:pPr>
      <w:r w:rsidRPr="00694152">
        <w:rPr>
          <w:rFonts w:ascii="Times New Roman" w:hAnsi="Times New Roman" w:cs="Times New Roman"/>
          <w:sz w:val="24"/>
          <w:szCs w:val="24"/>
        </w:rPr>
        <w:t xml:space="preserve">The initial PCR mixture amplifying community bacterial DNA used 1X AccuPrime SuperMix II (Invitrogen, Eugene, OR, USA), 0.5 μM (each) forward and reverse primers, ~5 ng DNA, and DNase/RNase-free water to a final volume of 20 μL. The PCR profile consisted of an initial denaturation step at 95°C for 2 min, followed by 30 cycles of 95°C for 15 s, 55°C for 15 s, and 68°C for 40 s and a final elongation step at 68°C for 4 min. </w:t>
      </w:r>
    </w:p>
    <w:p w14:paraId="23C776DD" w14:textId="77777777" w:rsidR="009971E9" w:rsidRPr="00694152" w:rsidRDefault="009971E9" w:rsidP="00694152">
      <w:pPr>
        <w:spacing w:line="360" w:lineRule="auto"/>
        <w:rPr>
          <w:rFonts w:ascii="Times New Roman" w:hAnsi="Times New Roman" w:cs="Times New Roman"/>
          <w:sz w:val="24"/>
          <w:szCs w:val="24"/>
        </w:rPr>
      </w:pPr>
      <w:r w:rsidRPr="00694152">
        <w:rPr>
          <w:rFonts w:ascii="Times New Roman" w:hAnsi="Times New Roman" w:cs="Times New Roman"/>
          <w:sz w:val="24"/>
          <w:szCs w:val="24"/>
        </w:rPr>
        <w:t xml:space="preserve">Dual indices and sequencing adapters were attached to the amplicons in an additional PCR reaction using a Nextera XT v2 index kit (Illumina Inc.). Five microliters of the first PCR product, 12 μL AccuPrime SuperMix II (Invitrogen, Eugene, OR, USA), 2 μL of each Nextera i7 and i5 index primer, and DNase/RNase-free water were mixed to a final volume of 28 μL in the second PCR. The PCRII profile consisted of an initial denaturation step </w:t>
      </w:r>
      <w:r w:rsidR="00250DAC" w:rsidRPr="00694152">
        <w:rPr>
          <w:rFonts w:ascii="Times New Roman" w:hAnsi="Times New Roman" w:cs="Times New Roman"/>
          <w:sz w:val="24"/>
          <w:szCs w:val="24"/>
        </w:rPr>
        <w:t>at 95°C for 2 min, followed by 5-7</w:t>
      </w:r>
      <w:r w:rsidRPr="00694152">
        <w:rPr>
          <w:rFonts w:ascii="Times New Roman" w:hAnsi="Times New Roman" w:cs="Times New Roman"/>
          <w:sz w:val="24"/>
          <w:szCs w:val="24"/>
        </w:rPr>
        <w:t xml:space="preserve"> cycles of 95°C for 10 s, 55°C for 20 s, and 68°C for 20 s and a final elongation step at 68°C for 5 min. </w:t>
      </w:r>
    </w:p>
    <w:p w14:paraId="23C776DE" w14:textId="77777777" w:rsidR="00E32836" w:rsidRDefault="009971E9" w:rsidP="00694152">
      <w:pPr>
        <w:spacing w:line="360" w:lineRule="auto"/>
        <w:rPr>
          <w:rFonts w:ascii="Times New Roman" w:hAnsi="Times New Roman" w:cs="Times New Roman"/>
          <w:sz w:val="24"/>
          <w:szCs w:val="24"/>
        </w:rPr>
      </w:pPr>
      <w:r w:rsidRPr="00694152">
        <w:rPr>
          <w:rFonts w:ascii="Times New Roman" w:hAnsi="Times New Roman" w:cs="Times New Roman"/>
          <w:sz w:val="24"/>
          <w:szCs w:val="24"/>
        </w:rPr>
        <w:t>Prior to sequencing, the final PCR products were visualized on a 2% agarose gel electrophoresis, pooled equimolar (or of each blank at the volume of the least concentrated sample), and purified with a 0.7X ratio of Agencourt AMPure bead purification (Beckman Coulter, Inc, Brea, California), following the manufacturer’s protocol. Final concentrations were measured on a Qubit</w:t>
      </w:r>
      <w:r w:rsidRPr="00BD2660">
        <w:rPr>
          <w:rFonts w:ascii="Times New Roman" w:hAnsi="Times New Roman" w:cs="Times New Roman"/>
          <w:sz w:val="24"/>
          <w:szCs w:val="24"/>
          <w:vertAlign w:val="superscript"/>
        </w:rPr>
        <w:t>TM</w:t>
      </w:r>
      <w:r w:rsidRPr="00694152">
        <w:rPr>
          <w:rFonts w:ascii="Times New Roman" w:hAnsi="Times New Roman" w:cs="Times New Roman"/>
          <w:sz w:val="24"/>
          <w:szCs w:val="24"/>
        </w:rPr>
        <w:t xml:space="preserve"> and library quality was verified on the 2200 TapeStation prior to sequencing on an Illumina MiSeq platform using 250PE chemistry</w:t>
      </w:r>
      <w:r w:rsidR="00694152">
        <w:rPr>
          <w:rFonts w:ascii="Times New Roman" w:hAnsi="Times New Roman" w:cs="Times New Roman"/>
          <w:sz w:val="24"/>
          <w:szCs w:val="24"/>
        </w:rPr>
        <w:t>.</w:t>
      </w:r>
    </w:p>
    <w:p w14:paraId="23C776DF" w14:textId="77777777" w:rsidR="00E2600A" w:rsidRDefault="00E2600A">
      <w:pPr>
        <w:rPr>
          <w:rFonts w:ascii="Times New Roman" w:hAnsi="Times New Roman" w:cs="Times New Roman"/>
          <w:sz w:val="24"/>
          <w:szCs w:val="24"/>
        </w:rPr>
      </w:pPr>
      <w:r>
        <w:rPr>
          <w:rFonts w:ascii="Times New Roman" w:hAnsi="Times New Roman" w:cs="Times New Roman"/>
          <w:sz w:val="24"/>
          <w:szCs w:val="24"/>
        </w:rPr>
        <w:br w:type="page"/>
      </w:r>
    </w:p>
    <w:p w14:paraId="23C776E0" w14:textId="77777777" w:rsidR="00B523C4" w:rsidRDefault="00E2600A" w:rsidP="00694152">
      <w:pPr>
        <w:spacing w:line="360" w:lineRule="auto"/>
        <w:rPr>
          <w:rFonts w:ascii="Times New Roman" w:hAnsi="Times New Roman" w:cs="Times New Roman"/>
          <w:b/>
          <w:i/>
          <w:sz w:val="24"/>
          <w:szCs w:val="24"/>
        </w:rPr>
      </w:pPr>
      <w:r w:rsidRPr="00E2600A">
        <w:rPr>
          <w:rFonts w:ascii="Times New Roman" w:hAnsi="Times New Roman" w:cs="Times New Roman"/>
          <w:b/>
          <w:i/>
          <w:sz w:val="24"/>
          <w:szCs w:val="24"/>
        </w:rPr>
        <w:lastRenderedPageBreak/>
        <w:t>Supplementary Figures:</w:t>
      </w:r>
    </w:p>
    <w:p w14:paraId="1AB31F15" w14:textId="0A3ACDB5" w:rsidR="005F6253" w:rsidRPr="005F6253" w:rsidRDefault="00285191" w:rsidP="00694152">
      <w:pPr>
        <w:spacing w:line="360" w:lineRule="auto"/>
        <w:rPr>
          <w:rFonts w:ascii="Times New Roman" w:hAnsi="Times New Roman" w:cs="Times New Roman"/>
          <w:b/>
          <w:iCs/>
          <w:sz w:val="24"/>
          <w:szCs w:val="24"/>
        </w:rPr>
      </w:pPr>
      <w:r>
        <w:rPr>
          <w:rFonts w:ascii="Times New Roman" w:hAnsi="Times New Roman" w:cs="Times New Roman"/>
          <w:b/>
          <w:iCs/>
          <w:noProof/>
          <w:sz w:val="24"/>
          <w:szCs w:val="24"/>
        </w:rPr>
        <w:drawing>
          <wp:inline distT="0" distB="0" distL="0" distR="0" wp14:anchorId="0CF243B1" wp14:editId="186D339F">
            <wp:extent cx="5943600" cy="2971800"/>
            <wp:effectExtent l="0" t="0" r="0" b="0"/>
            <wp:docPr id="15979578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95787" name="Picture 1" descr="A screenshot of a grap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061479D3" w14:textId="5F365598" w:rsidR="001420E0" w:rsidRPr="001420E0" w:rsidRDefault="001420E0" w:rsidP="001420E0">
      <w:pPr>
        <w:spacing w:line="360" w:lineRule="auto"/>
        <w:rPr>
          <w:rFonts w:ascii="Times New Roman" w:hAnsi="Times New Roman" w:cs="Times New Roman"/>
          <w:sz w:val="20"/>
          <w:szCs w:val="20"/>
        </w:rPr>
      </w:pPr>
      <w:r w:rsidRPr="001420E0">
        <w:rPr>
          <w:rFonts w:ascii="Times New Roman" w:hAnsi="Times New Roman" w:cs="Times New Roman"/>
          <w:b/>
          <w:sz w:val="20"/>
          <w:szCs w:val="20"/>
        </w:rPr>
        <w:t xml:space="preserve">Suppl. Fig. </w:t>
      </w:r>
      <w:r>
        <w:rPr>
          <w:rFonts w:ascii="Times New Roman" w:hAnsi="Times New Roman" w:cs="Times New Roman"/>
          <w:b/>
          <w:sz w:val="20"/>
          <w:szCs w:val="20"/>
        </w:rPr>
        <w:t>1</w:t>
      </w:r>
      <w:r w:rsidRPr="001420E0">
        <w:rPr>
          <w:rFonts w:ascii="Times New Roman" w:hAnsi="Times New Roman" w:cs="Times New Roman"/>
          <w:b/>
          <w:sz w:val="20"/>
          <w:szCs w:val="20"/>
        </w:rPr>
        <w:t xml:space="preserve">. Ordination of the gut microbial communities of </w:t>
      </w:r>
      <w:r w:rsidR="00FE5284">
        <w:rPr>
          <w:rFonts w:ascii="Times New Roman" w:hAnsi="Times New Roman" w:cs="Times New Roman"/>
          <w:b/>
          <w:sz w:val="20"/>
          <w:szCs w:val="20"/>
        </w:rPr>
        <w:t>foxes</w:t>
      </w:r>
      <w:r w:rsidRPr="001420E0">
        <w:rPr>
          <w:rFonts w:ascii="Times New Roman" w:hAnsi="Times New Roman" w:cs="Times New Roman"/>
          <w:b/>
          <w:sz w:val="20"/>
          <w:szCs w:val="20"/>
        </w:rPr>
        <w:t xml:space="preserve"> </w:t>
      </w:r>
      <w:r w:rsidR="006D2F8E">
        <w:rPr>
          <w:rFonts w:ascii="Times New Roman" w:hAnsi="Times New Roman" w:cs="Times New Roman"/>
          <w:b/>
          <w:sz w:val="20"/>
          <w:szCs w:val="20"/>
        </w:rPr>
        <w:t>indicate</w:t>
      </w:r>
      <w:r w:rsidR="004226E1">
        <w:rPr>
          <w:rFonts w:ascii="Times New Roman" w:hAnsi="Times New Roman" w:cs="Times New Roman"/>
          <w:b/>
          <w:sz w:val="20"/>
          <w:szCs w:val="20"/>
        </w:rPr>
        <w:t>s</w:t>
      </w:r>
      <w:r w:rsidR="006D2F8E">
        <w:rPr>
          <w:rFonts w:ascii="Times New Roman" w:hAnsi="Times New Roman" w:cs="Times New Roman"/>
          <w:b/>
          <w:sz w:val="20"/>
          <w:szCs w:val="20"/>
        </w:rPr>
        <w:t xml:space="preserve"> strong batch </w:t>
      </w:r>
      <w:r w:rsidR="007745DA">
        <w:rPr>
          <w:rFonts w:ascii="Times New Roman" w:hAnsi="Times New Roman" w:cs="Times New Roman"/>
          <w:b/>
          <w:sz w:val="20"/>
          <w:szCs w:val="20"/>
        </w:rPr>
        <w:t>effects between collection year</w:t>
      </w:r>
      <w:r w:rsidR="003D60F1">
        <w:rPr>
          <w:rFonts w:ascii="Times New Roman" w:hAnsi="Times New Roman" w:cs="Times New Roman"/>
          <w:b/>
          <w:sz w:val="20"/>
          <w:szCs w:val="20"/>
        </w:rPr>
        <w:t>s</w:t>
      </w:r>
      <w:r w:rsidRPr="001420E0">
        <w:rPr>
          <w:rFonts w:ascii="Times New Roman" w:hAnsi="Times New Roman" w:cs="Times New Roman"/>
          <w:b/>
          <w:sz w:val="20"/>
          <w:szCs w:val="20"/>
        </w:rPr>
        <w:t xml:space="preserve">. A) </w:t>
      </w:r>
      <w:r w:rsidRPr="001420E0">
        <w:rPr>
          <w:rFonts w:ascii="Times New Roman" w:hAnsi="Times New Roman" w:cs="Times New Roman"/>
          <w:sz w:val="20"/>
          <w:szCs w:val="20"/>
        </w:rPr>
        <w:t xml:space="preserve">Principle coordinate analysis (PCoA) of the Bray-Curtis dissimilarity matrices of the relative abundance of bacterial 16S ASV sequence data. </w:t>
      </w:r>
      <w:r w:rsidRPr="001420E0">
        <w:rPr>
          <w:rFonts w:ascii="Times New Roman" w:hAnsi="Times New Roman" w:cs="Times New Roman"/>
          <w:b/>
          <w:sz w:val="20"/>
          <w:szCs w:val="20"/>
        </w:rPr>
        <w:t>B)</w:t>
      </w:r>
      <w:r w:rsidRPr="001420E0">
        <w:rPr>
          <w:rFonts w:ascii="Times New Roman" w:hAnsi="Times New Roman" w:cs="Times New Roman"/>
          <w:sz w:val="20"/>
          <w:szCs w:val="20"/>
        </w:rPr>
        <w:t xml:space="preserve"> Principle component analysis of the log-ratios of the number of reads mapped to each of the MAGs per </w:t>
      </w:r>
      <w:r w:rsidR="00FE5284">
        <w:rPr>
          <w:rFonts w:ascii="Times New Roman" w:hAnsi="Times New Roman" w:cs="Times New Roman"/>
          <w:sz w:val="20"/>
          <w:szCs w:val="20"/>
        </w:rPr>
        <w:t>fox</w:t>
      </w:r>
      <w:r w:rsidRPr="001420E0">
        <w:rPr>
          <w:rFonts w:ascii="Times New Roman" w:hAnsi="Times New Roman" w:cs="Times New Roman"/>
          <w:sz w:val="20"/>
          <w:szCs w:val="20"/>
        </w:rPr>
        <w:t xml:space="preserve"> sample.  Both ordination plots show </w:t>
      </w:r>
      <w:r w:rsidR="00FE5284">
        <w:rPr>
          <w:rFonts w:ascii="Times New Roman" w:hAnsi="Times New Roman" w:cs="Times New Roman"/>
          <w:sz w:val="20"/>
          <w:szCs w:val="20"/>
        </w:rPr>
        <w:t xml:space="preserve">clear batch effects between the 2015 data </w:t>
      </w:r>
      <w:r w:rsidR="00C76032">
        <w:rPr>
          <w:rFonts w:ascii="Times New Roman" w:hAnsi="Times New Roman" w:cs="Times New Roman"/>
          <w:sz w:val="20"/>
          <w:szCs w:val="20"/>
        </w:rPr>
        <w:t>(</w:t>
      </w:r>
      <w:r w:rsidR="0038525A">
        <w:rPr>
          <w:rFonts w:ascii="Times New Roman" w:hAnsi="Times New Roman" w:cs="Times New Roman"/>
          <w:sz w:val="20"/>
          <w:szCs w:val="20"/>
        </w:rPr>
        <w:t xml:space="preserve">n=20; </w:t>
      </w:r>
      <w:r w:rsidR="00C76032">
        <w:rPr>
          <w:rFonts w:ascii="Times New Roman" w:hAnsi="Times New Roman" w:cs="Times New Roman"/>
          <w:sz w:val="20"/>
          <w:szCs w:val="20"/>
        </w:rPr>
        <w:t>frozen -20°C) and the 2017 data (</w:t>
      </w:r>
      <w:r w:rsidR="0038525A">
        <w:rPr>
          <w:rFonts w:ascii="Times New Roman" w:hAnsi="Times New Roman" w:cs="Times New Roman"/>
          <w:sz w:val="20"/>
          <w:szCs w:val="20"/>
        </w:rPr>
        <w:t xml:space="preserve">n=103; </w:t>
      </w:r>
      <w:r w:rsidR="000F35BA">
        <w:rPr>
          <w:rFonts w:ascii="Times New Roman" w:hAnsi="Times New Roman" w:cs="Times New Roman"/>
          <w:sz w:val="20"/>
          <w:szCs w:val="20"/>
        </w:rPr>
        <w:t>preserved in RNAlater)</w:t>
      </w:r>
      <w:r w:rsidR="0038525A">
        <w:rPr>
          <w:rFonts w:ascii="Times New Roman" w:hAnsi="Times New Roman" w:cs="Times New Roman"/>
          <w:sz w:val="20"/>
          <w:szCs w:val="20"/>
        </w:rPr>
        <w:t xml:space="preserve">. </w:t>
      </w:r>
    </w:p>
    <w:p w14:paraId="22356AF6" w14:textId="77777777" w:rsidR="005F6253" w:rsidRDefault="005F6253" w:rsidP="00694152">
      <w:pPr>
        <w:spacing w:line="360" w:lineRule="auto"/>
        <w:rPr>
          <w:rFonts w:ascii="Times New Roman" w:hAnsi="Times New Roman" w:cs="Times New Roman"/>
          <w:sz w:val="20"/>
          <w:szCs w:val="20"/>
        </w:rPr>
      </w:pPr>
    </w:p>
    <w:p w14:paraId="23C776E1" w14:textId="77777777" w:rsidR="00E2600A" w:rsidRDefault="00CF5982" w:rsidP="00E2600A">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3C776EC" wp14:editId="23C776ED">
            <wp:extent cx="5943600" cy="47548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X_MAG_quality.pdf.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23C776E2" w14:textId="28BABFB2" w:rsidR="00E2600A" w:rsidRPr="00EE6800" w:rsidRDefault="00E2600A" w:rsidP="00E2600A">
      <w:pPr>
        <w:spacing w:line="360" w:lineRule="auto"/>
        <w:rPr>
          <w:rFonts w:ascii="Times New Roman" w:hAnsi="Times New Roman" w:cs="Times New Roman"/>
        </w:rPr>
      </w:pPr>
      <w:r w:rsidRPr="00EE6800">
        <w:rPr>
          <w:rFonts w:ascii="Times New Roman" w:hAnsi="Times New Roman" w:cs="Times New Roman"/>
          <w:b/>
          <w:bCs/>
        </w:rPr>
        <w:t xml:space="preserve">Suppl. Fig. </w:t>
      </w:r>
      <w:r w:rsidR="00CD3BAC">
        <w:rPr>
          <w:rFonts w:ascii="Times New Roman" w:hAnsi="Times New Roman" w:cs="Times New Roman"/>
          <w:b/>
          <w:bCs/>
        </w:rPr>
        <w:t>2</w:t>
      </w:r>
      <w:r w:rsidRPr="00EE6800">
        <w:rPr>
          <w:rFonts w:ascii="Times New Roman" w:hAnsi="Times New Roman" w:cs="Times New Roman"/>
          <w:b/>
          <w:bCs/>
        </w:rPr>
        <w:t>.</w:t>
      </w:r>
      <w:r w:rsidRPr="00EE6800">
        <w:rPr>
          <w:rFonts w:ascii="Times New Roman" w:hAnsi="Times New Roman" w:cs="Times New Roman"/>
        </w:rPr>
        <w:t xml:space="preserve"> </w:t>
      </w:r>
      <w:r w:rsidRPr="00EE6800">
        <w:rPr>
          <w:rFonts w:ascii="Times New Roman" w:hAnsi="Times New Roman" w:cs="Times New Roman"/>
          <w:b/>
          <w:bCs/>
        </w:rPr>
        <w:t xml:space="preserve">Quality metrics estimated by Anvi’o for the </w:t>
      </w:r>
      <w:r w:rsidR="004D2743" w:rsidRPr="00EE6800">
        <w:rPr>
          <w:rFonts w:ascii="Times New Roman" w:hAnsi="Times New Roman" w:cs="Times New Roman"/>
          <w:b/>
          <w:bCs/>
        </w:rPr>
        <w:t>237</w:t>
      </w:r>
      <w:r w:rsidR="00CF5982" w:rsidRPr="00EE6800">
        <w:rPr>
          <w:rFonts w:ascii="Times New Roman" w:hAnsi="Times New Roman" w:cs="Times New Roman"/>
          <w:b/>
          <w:bCs/>
        </w:rPr>
        <w:t xml:space="preserve"> fox</w:t>
      </w:r>
      <w:r w:rsidRPr="00EE6800">
        <w:rPr>
          <w:rFonts w:ascii="Times New Roman" w:hAnsi="Times New Roman" w:cs="Times New Roman"/>
          <w:b/>
          <w:bCs/>
        </w:rPr>
        <w:t xml:space="preserve"> bins generated by a manual binning strategy within the anvi’o framework. </w:t>
      </w:r>
      <w:r w:rsidRPr="00EE6800">
        <w:rPr>
          <w:rFonts w:ascii="Times New Roman" w:hAnsi="Times New Roman" w:cs="Times New Roman"/>
        </w:rPr>
        <w:t xml:space="preserve">Low quality BINs were removed from the analyses. </w:t>
      </w:r>
      <w:r w:rsidRPr="00EE6800">
        <w:rPr>
          <w:rFonts w:ascii="Times New Roman" w:hAnsi="Times New Roman" w:cs="Times New Roman"/>
          <w:b/>
          <w:bCs/>
        </w:rPr>
        <w:t> A)</w:t>
      </w:r>
      <w:r w:rsidRPr="00EE6800">
        <w:rPr>
          <w:rFonts w:ascii="Times New Roman" w:hAnsi="Times New Roman" w:cs="Times New Roman"/>
        </w:rPr>
        <w:t xml:space="preserve">  Number of bins recovered according to the level of genome completeness and redundancy. Box and whisker plots for the </w:t>
      </w:r>
      <w:r w:rsidRPr="00EE6800">
        <w:rPr>
          <w:rFonts w:ascii="Times New Roman" w:hAnsi="Times New Roman" w:cs="Times New Roman"/>
          <w:b/>
          <w:bCs/>
        </w:rPr>
        <w:t>B)</w:t>
      </w:r>
      <w:r w:rsidRPr="00EE6800">
        <w:rPr>
          <w:rFonts w:ascii="Times New Roman" w:hAnsi="Times New Roman" w:cs="Times New Roman"/>
        </w:rPr>
        <w:t xml:space="preserve"> percentage of completion and </w:t>
      </w:r>
      <w:r w:rsidRPr="00EE6800">
        <w:rPr>
          <w:rFonts w:ascii="Times New Roman" w:hAnsi="Times New Roman" w:cs="Times New Roman"/>
          <w:b/>
          <w:bCs/>
        </w:rPr>
        <w:t>C)</w:t>
      </w:r>
      <w:r w:rsidRPr="00EE6800">
        <w:rPr>
          <w:rFonts w:ascii="Times New Roman" w:hAnsi="Times New Roman" w:cs="Times New Roman"/>
        </w:rPr>
        <w:t xml:space="preserve"> percentage of redundancy for each bin grouped by the quality standard of the draft genome.  QS = completeness – (5 × contamination).</w:t>
      </w:r>
    </w:p>
    <w:p w14:paraId="23C776E3" w14:textId="77777777" w:rsidR="00E2600A" w:rsidRDefault="00E2600A" w:rsidP="00E2600A">
      <w:pPr>
        <w:spacing w:line="360" w:lineRule="auto"/>
        <w:rPr>
          <w:rFonts w:ascii="Times New Roman" w:hAnsi="Times New Roman" w:cs="Times New Roman"/>
          <w:sz w:val="20"/>
          <w:szCs w:val="20"/>
        </w:rPr>
      </w:pPr>
    </w:p>
    <w:p w14:paraId="23C776E4" w14:textId="77777777" w:rsidR="00E2600A" w:rsidRDefault="00E2600A" w:rsidP="004D2743">
      <w:pPr>
        <w:spacing w:line="360" w:lineRule="auto"/>
        <w:jc w:val="center"/>
        <w:rPr>
          <w:rFonts w:ascii="Times New Roman" w:hAnsi="Times New Roman" w:cs="Times New Roman"/>
          <w:sz w:val="20"/>
          <w:szCs w:val="20"/>
        </w:rPr>
      </w:pPr>
    </w:p>
    <w:p w14:paraId="23C776E5" w14:textId="77777777" w:rsidR="00CF5982" w:rsidRDefault="00CF5982" w:rsidP="004D2743">
      <w:pPr>
        <w:spacing w:line="360" w:lineRule="auto"/>
        <w:jc w:val="center"/>
        <w:rPr>
          <w:rFonts w:ascii="Times New Roman" w:hAnsi="Times New Roman" w:cs="Times New Roman"/>
          <w:sz w:val="20"/>
          <w:szCs w:val="20"/>
        </w:rPr>
      </w:pPr>
    </w:p>
    <w:p w14:paraId="23C776E6" w14:textId="77777777" w:rsidR="00CF5982" w:rsidRDefault="00CF5982" w:rsidP="004D2743">
      <w:pPr>
        <w:spacing w:line="360" w:lineRule="auto"/>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23C776EE" wp14:editId="23C776EF">
            <wp:extent cx="6217920" cy="28598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BM_freq_compare_edi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17920" cy="2859845"/>
                    </a:xfrm>
                    <a:prstGeom prst="rect">
                      <a:avLst/>
                    </a:prstGeom>
                  </pic:spPr>
                </pic:pic>
              </a:graphicData>
            </a:graphic>
          </wp:inline>
        </w:drawing>
      </w:r>
    </w:p>
    <w:p w14:paraId="23C776E7" w14:textId="77777777" w:rsidR="00CF5982" w:rsidRDefault="00CF5982" w:rsidP="00E2600A">
      <w:pPr>
        <w:spacing w:line="360" w:lineRule="auto"/>
        <w:rPr>
          <w:rFonts w:ascii="Times New Roman" w:hAnsi="Times New Roman" w:cs="Times New Roman"/>
          <w:b/>
          <w:bCs/>
          <w:sz w:val="20"/>
          <w:szCs w:val="20"/>
        </w:rPr>
      </w:pPr>
    </w:p>
    <w:p w14:paraId="23C776E8" w14:textId="2D3FD6DC" w:rsidR="00CF5982" w:rsidRPr="00CF5982" w:rsidRDefault="00E2600A" w:rsidP="00CF5982">
      <w:pPr>
        <w:rPr>
          <w:rFonts w:ascii="Times New Roman" w:hAnsi="Times New Roman" w:cs="Times New Roman"/>
        </w:rPr>
      </w:pPr>
      <w:r w:rsidRPr="00CF5982">
        <w:rPr>
          <w:rFonts w:ascii="Times New Roman" w:hAnsi="Times New Roman" w:cs="Times New Roman"/>
          <w:b/>
          <w:bCs/>
        </w:rPr>
        <w:t xml:space="preserve">Suppl. Fig. </w:t>
      </w:r>
      <w:r w:rsidR="00CD3BAC">
        <w:rPr>
          <w:rFonts w:ascii="Times New Roman" w:hAnsi="Times New Roman" w:cs="Times New Roman"/>
          <w:b/>
          <w:bCs/>
        </w:rPr>
        <w:t>3</w:t>
      </w:r>
      <w:r w:rsidRPr="00CF5982">
        <w:rPr>
          <w:rFonts w:ascii="Times New Roman" w:hAnsi="Times New Roman" w:cs="Times New Roman"/>
          <w:b/>
          <w:bCs/>
        </w:rPr>
        <w:t xml:space="preserve">. </w:t>
      </w:r>
      <w:r w:rsidR="00CF5982" w:rsidRPr="00CF5982">
        <w:rPr>
          <w:rFonts w:ascii="Times New Roman" w:hAnsi="Times New Roman" w:cs="Times New Roman"/>
          <w:b/>
        </w:rPr>
        <w:t>Comparison of gut-brain-module (GBM) distribution in human, red junglefowl and fox microbial genomes</w:t>
      </w:r>
      <w:r w:rsidR="00CF5982" w:rsidRPr="00CF5982">
        <w:rPr>
          <w:rFonts w:ascii="Times New Roman" w:hAnsi="Times New Roman" w:cs="Times New Roman"/>
        </w:rPr>
        <w:t xml:space="preserve">. GBM detection frequency in </w:t>
      </w:r>
      <w:r w:rsidR="00CF5982" w:rsidRPr="00CF5982">
        <w:rPr>
          <w:rFonts w:ascii="Times New Roman" w:hAnsi="Times New Roman" w:cs="Times New Roman"/>
          <w:b/>
        </w:rPr>
        <w:t>HUM)</w:t>
      </w:r>
      <w:r w:rsidR="00CF5982" w:rsidRPr="00CF5982">
        <w:rPr>
          <w:rFonts w:ascii="Times New Roman" w:hAnsi="Times New Roman" w:cs="Times New Roman"/>
        </w:rPr>
        <w:t xml:space="preserve"> human gut-associated microbial reference genomes (n = 532) drawn from </w:t>
      </w:r>
      <w:r w:rsidR="00CF5982" w:rsidRPr="00CF5982">
        <w:rPr>
          <w:rFonts w:ascii="Times New Roman" w:hAnsi="Times New Roman" w:cs="Times New Roman"/>
        </w:rPr>
        <w:fldChar w:fldCharType="begin" w:fldLock="1"/>
      </w:r>
      <w:r w:rsidR="00CF5982" w:rsidRPr="00CF5982">
        <w:rPr>
          <w:rFonts w:ascii="Times New Roman" w:hAnsi="Times New Roman" w:cs="Times New Roman"/>
        </w:rPr>
        <w:instrText>ADDIN CSL_CITATION {"citationItems":[{"id":"ITEM-1","itemData":{"DOI":"10.1038/s41564-018-0337-x","ISSN":"2058-5276","abstract":"The relationship between gut microbial metabolism and mental health is one of the most intriguing and controversial topics in microbiome research. Bidirectional microbiota–gut–brain communication has mostly been explored in animal models, with human research lagging behind. Large-scale metagenomics studies could facilitate the translational process, but their interpretation is hampered by a lack of dedicated reference databases and tools to study the microbial neuroactive potential. Surveying a large microbiome population cohort (Flemish Gut Flora Project, n = 1,054) with validation in independent data sets (ntotal = 1,070), we studied how microbiome features correlate with host quality of life and depression. Butyrate-producing Faecalibacterium and Coprococcus bacteria were consistently associated with higher quality of life indicators. Together with Dialister, Coprococcus spp. were also depleted in depression, even after correcting for the confounding effects of antidepressants. Using a module-based analytical framework, we assembled a catalogue of neuroactive potential of sequenced gut prokaryotes. Gut–brain module analysis of faecal metagenomes identified the microbial synthesis potential of the dopamine metabolite 3,4-dihydroxyphenylacetic acid as correlating positively with mental quality of life and indicated a potential role of microbial γ-aminobutyric acid production in depression. Our results provide population-scale evidence for microbiome links to mental health, while emphasizing confounder importance.","author":[{"dropping-particle":"","family":"Valles-Colomer","given":"Mireia","non-dropping-particle":"","parse-names":false,"suffix":""},{"dropping-particle":"","family":"Falony","given":"Gwen","non-dropping-particle":"","parse-names":false,"suffix":""},{"dropping-particle":"","family":"Darzi","given":"Youssef","non-dropping-particle":"","parse-names":false,"suffix":""},{"dropping-particle":"","family":"Tigchelaar","given":"Ettje F","non-dropping-particle":"","parse-names":false,"suffix":""},{"dropping-particle":"","family":"Wang","given":"Jun","non-dropping-particle":"","parse-names":false,"suffix":""},{"dropping-particle":"","family":"Tito","given":"Raul Y","non-dropping-particle":"","parse-names":false,"suffix":""},{"dropping-particle":"","family":"Schiweck","given":"Carmen","non-dropping-particle":"","parse-names":false,"suffix":""},{"dropping-particle":"","family":"Kurilshikov","given":"Alexander","non-dropping-particle":"","parse-names":false,"suffix":""},{"dropping-particle":"","family":"Joossens","given":"Marie","non-dropping-particle":"","parse-names":false,"suffix":""},{"dropping-particle":"","family":"Wijmenga","given":"Cisca","non-dropping-particle":"","parse-names":false,"suffix":""},{"dropping-particle":"","family":"Claes","given":"Stephan","non-dropping-particle":"","parse-names":false,"suffix":""},{"dropping-particle":"","family":"Oudenhove","given":"Lukas","non-dropping-particle":"Van","parse-names":false,"suffix":""},{"dropping-particle":"","family":"Zhernakova","given":"Alexandra","non-dropping-particle":"","parse-names":false,"suffix":""},{"dropping-particle":"","family":"Vieira-Silva","given":"Sara","non-dropping-particle":"","parse-names":false,"suffix":""},{"dropping-particle":"","family":"Raes","given":"Jeroen","non-dropping-particle":"","parse-names":false,"suffix":""}],"container-title":"Nature Microbiology","id":"ITEM-1","issue":"4","issued":{"date-parts":[["2019"]]},"page":"623-632","title":"The neuroactive potential of the human gut microbiota in quality of life and depression","type":"article-journal","volume":"4"},"uris":["http://www.mendeley.com/documents/?uuid=11b67877-39c6-46bb-ad14-33b457626e81"]}],"mendeley":{"formattedCitation":"(Valles-Colomer &lt;i&gt;et al.&lt;/i&gt;, 2019)","plainTextFormattedCitation":"(Valles-Colomer et al., 2019)"},"properties":{"noteIndex":0},"schema":"https://github.com/citation-style-language/schema/raw/master/csl-citation.json"}</w:instrText>
      </w:r>
      <w:r w:rsidR="00CF5982" w:rsidRPr="00CF5982">
        <w:rPr>
          <w:rFonts w:ascii="Times New Roman" w:hAnsi="Times New Roman" w:cs="Times New Roman"/>
        </w:rPr>
        <w:fldChar w:fldCharType="separate"/>
      </w:r>
      <w:r w:rsidR="00CF5982" w:rsidRPr="00CF5982">
        <w:rPr>
          <w:rFonts w:ascii="Times New Roman" w:hAnsi="Times New Roman" w:cs="Times New Roman"/>
          <w:noProof/>
        </w:rPr>
        <w:t xml:space="preserve">(Valles-Colomer </w:t>
      </w:r>
      <w:r w:rsidR="00CF5982" w:rsidRPr="00CF5982">
        <w:rPr>
          <w:rFonts w:ascii="Times New Roman" w:hAnsi="Times New Roman" w:cs="Times New Roman"/>
          <w:i/>
          <w:noProof/>
        </w:rPr>
        <w:t>et al.</w:t>
      </w:r>
      <w:r w:rsidR="00CF5982" w:rsidRPr="00CF5982">
        <w:rPr>
          <w:rFonts w:ascii="Times New Roman" w:hAnsi="Times New Roman" w:cs="Times New Roman"/>
          <w:noProof/>
        </w:rPr>
        <w:t>, 2019)</w:t>
      </w:r>
      <w:r w:rsidR="00CF5982" w:rsidRPr="00CF5982">
        <w:rPr>
          <w:rFonts w:ascii="Times New Roman" w:hAnsi="Times New Roman" w:cs="Times New Roman"/>
        </w:rPr>
        <w:fldChar w:fldCharType="end"/>
      </w:r>
      <w:r w:rsidR="00CF5982" w:rsidRPr="00CF5982">
        <w:rPr>
          <w:rFonts w:ascii="Times New Roman" w:hAnsi="Times New Roman" w:cs="Times New Roman"/>
        </w:rPr>
        <w:t xml:space="preserve"> and previously used to validate the GBM framework, </w:t>
      </w:r>
      <w:r w:rsidR="00CF5982" w:rsidRPr="00CF5982">
        <w:rPr>
          <w:rFonts w:ascii="Times New Roman" w:hAnsi="Times New Roman" w:cs="Times New Roman"/>
          <w:b/>
        </w:rPr>
        <w:t xml:space="preserve">RJF) </w:t>
      </w:r>
      <w:r w:rsidR="00CF5982" w:rsidRPr="00CF5982">
        <w:rPr>
          <w:rFonts w:ascii="Times New Roman" w:hAnsi="Times New Roman" w:cs="Times New Roman"/>
        </w:rPr>
        <w:t>red junglefowl MAGs (n=194) identified from fecal samples in previously published study (Puetz et al., 2021)</w:t>
      </w:r>
      <w:r w:rsidR="00CF5982" w:rsidRPr="00CF5982">
        <w:rPr>
          <w:rFonts w:ascii="Times New Roman" w:hAnsi="Times New Roman" w:cs="Times New Roman"/>
          <w:b/>
        </w:rPr>
        <w:t xml:space="preserve"> </w:t>
      </w:r>
      <w:r w:rsidR="00CF5982" w:rsidRPr="00CF5982">
        <w:rPr>
          <w:rFonts w:ascii="Times New Roman" w:hAnsi="Times New Roman" w:cs="Times New Roman"/>
        </w:rPr>
        <w:t>and</w:t>
      </w:r>
      <w:r w:rsidR="00CF5982" w:rsidRPr="00CF5982">
        <w:rPr>
          <w:rFonts w:ascii="Times New Roman" w:hAnsi="Times New Roman" w:cs="Times New Roman"/>
          <w:b/>
        </w:rPr>
        <w:t xml:space="preserve"> FOX) </w:t>
      </w:r>
      <w:r w:rsidR="00CF5982" w:rsidRPr="00CF5982">
        <w:rPr>
          <w:rFonts w:ascii="Times New Roman" w:hAnsi="Times New Roman" w:cs="Times New Roman"/>
        </w:rPr>
        <w:t>fox  MAGs (n=237) identified from fecal samples in current study. Rare (&lt; 5% of genomes) and ubiquitous GBMs (&gt; 90% genomes) are highlighted, while others are in grey. Figure modified from (Valles-Colomer et al., 2019).</w:t>
      </w:r>
    </w:p>
    <w:bookmarkEnd w:id="0"/>
    <w:p w14:paraId="23C776E9" w14:textId="77777777" w:rsidR="004D2743" w:rsidRDefault="004D2743" w:rsidP="00E2600A">
      <w:pPr>
        <w:spacing w:line="360" w:lineRule="auto"/>
        <w:rPr>
          <w:rFonts w:ascii="Times New Roman" w:hAnsi="Times New Roman" w:cs="Times New Roman"/>
          <w:b/>
          <w:bCs/>
          <w:sz w:val="20"/>
          <w:szCs w:val="20"/>
        </w:rPr>
      </w:pPr>
    </w:p>
    <w:p w14:paraId="23C776EA" w14:textId="77777777" w:rsidR="00104EC8" w:rsidRDefault="00104EC8" w:rsidP="00E2600A">
      <w:pPr>
        <w:spacing w:line="360" w:lineRule="auto"/>
        <w:rPr>
          <w:rFonts w:ascii="Times New Roman" w:hAnsi="Times New Roman" w:cs="Times New Roman"/>
          <w:sz w:val="20"/>
          <w:szCs w:val="20"/>
        </w:rPr>
      </w:pPr>
    </w:p>
    <w:p w14:paraId="23C776EB" w14:textId="77777777" w:rsidR="00104EC8" w:rsidRPr="00E2600A" w:rsidRDefault="00104EC8" w:rsidP="00E2600A">
      <w:pPr>
        <w:spacing w:line="360" w:lineRule="auto"/>
        <w:rPr>
          <w:rFonts w:ascii="Times New Roman" w:hAnsi="Times New Roman" w:cs="Times New Roman"/>
          <w:sz w:val="20"/>
          <w:szCs w:val="20"/>
        </w:rPr>
      </w:pPr>
    </w:p>
    <w:sectPr w:rsidR="00104EC8" w:rsidRPr="00E260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71E9"/>
    <w:rsid w:val="0002714D"/>
    <w:rsid w:val="000F35BA"/>
    <w:rsid w:val="00104EC8"/>
    <w:rsid w:val="001420E0"/>
    <w:rsid w:val="001C0F9C"/>
    <w:rsid w:val="00250DAC"/>
    <w:rsid w:val="00271D77"/>
    <w:rsid w:val="00285191"/>
    <w:rsid w:val="0038525A"/>
    <w:rsid w:val="003D60F1"/>
    <w:rsid w:val="003F4D0F"/>
    <w:rsid w:val="004226E1"/>
    <w:rsid w:val="00484A68"/>
    <w:rsid w:val="004D2743"/>
    <w:rsid w:val="004E6F58"/>
    <w:rsid w:val="005F6253"/>
    <w:rsid w:val="00613CEB"/>
    <w:rsid w:val="00694152"/>
    <w:rsid w:val="006D2F8E"/>
    <w:rsid w:val="007660F3"/>
    <w:rsid w:val="007745DA"/>
    <w:rsid w:val="007D7D80"/>
    <w:rsid w:val="009971E9"/>
    <w:rsid w:val="00A63953"/>
    <w:rsid w:val="00B523C4"/>
    <w:rsid w:val="00BA1C1A"/>
    <w:rsid w:val="00BD2660"/>
    <w:rsid w:val="00BF2950"/>
    <w:rsid w:val="00C76032"/>
    <w:rsid w:val="00CD3BAC"/>
    <w:rsid w:val="00CF5982"/>
    <w:rsid w:val="00E2600A"/>
    <w:rsid w:val="00E27F0F"/>
    <w:rsid w:val="00E32836"/>
    <w:rsid w:val="00EE6800"/>
    <w:rsid w:val="00F353DA"/>
    <w:rsid w:val="00F71FC7"/>
    <w:rsid w:val="00FC3D0F"/>
    <w:rsid w:val="00FE5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776DA"/>
  <w15:docId w15:val="{60F37421-998C-4460-9541-26896AF19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60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600A"/>
    <w:rPr>
      <w:rFonts w:ascii="Tahoma" w:hAnsi="Tahoma" w:cs="Tahoma"/>
      <w:sz w:val="16"/>
      <w:szCs w:val="16"/>
    </w:rPr>
  </w:style>
  <w:style w:type="paragraph" w:styleId="PlainText">
    <w:name w:val="Plain Text"/>
    <w:basedOn w:val="Normal"/>
    <w:link w:val="PlainTextChar"/>
    <w:uiPriority w:val="99"/>
    <w:unhideWhenUsed/>
    <w:rsid w:val="004D274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D2743"/>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8F12C1-DFF4-4999-8651-6ADB714CD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4</Pages>
  <Words>1098</Words>
  <Characters>6260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LaraPuetz</dc:creator>
  <cp:lastModifiedBy>Lara Puetz</cp:lastModifiedBy>
  <cp:revision>29</cp:revision>
  <dcterms:created xsi:type="dcterms:W3CDTF">2021-07-23T14:53:00Z</dcterms:created>
  <dcterms:modified xsi:type="dcterms:W3CDTF">2024-06-24T18:37:00Z</dcterms:modified>
</cp:coreProperties>
</file>