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22405" w14:textId="77777777" w:rsidR="004E1490" w:rsidRDefault="00000000">
      <w:pPr>
        <w:ind w:firstLineChars="200" w:firstLine="360"/>
        <w:jc w:val="center"/>
        <w:rPr>
          <w:rFonts w:ascii="Times New Roman" w:hAnsi="Times New Roman" w:cs="Times New Roman"/>
          <w:bCs/>
          <w:sz w:val="18"/>
          <w:szCs w:val="18"/>
        </w:rPr>
      </w:pPr>
      <w:r>
        <w:rPr>
          <w:rFonts w:ascii="Times New Roman" w:hAnsi="Times New Roman" w:cs="Times New Roman" w:hint="eastAsia"/>
          <w:bCs/>
          <w:sz w:val="18"/>
          <w:szCs w:val="18"/>
        </w:rPr>
        <w:t>Tab. 1 Evaluation indicators of traffic superiority</w:t>
      </w:r>
    </w:p>
    <w:tbl>
      <w:tblPr>
        <w:tblStyle w:val="TableGrid"/>
        <w:tblW w:w="8899"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8"/>
        <w:gridCol w:w="1339"/>
        <w:gridCol w:w="1592"/>
        <w:gridCol w:w="4820"/>
      </w:tblGrid>
      <w:tr w:rsidR="004E1490" w14:paraId="0FC94767" w14:textId="77777777">
        <w:trPr>
          <w:jc w:val="center"/>
        </w:trPr>
        <w:tc>
          <w:tcPr>
            <w:tcW w:w="1148" w:type="dxa"/>
            <w:tcBorders>
              <w:bottom w:val="single" w:sz="4" w:space="0" w:color="auto"/>
            </w:tcBorders>
            <w:noWrap/>
            <w:vAlign w:val="center"/>
          </w:tcPr>
          <w:p w14:paraId="2AECB034" w14:textId="6BA6D22B"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evaluation dimensions</w:t>
            </w:r>
          </w:p>
        </w:tc>
        <w:tc>
          <w:tcPr>
            <w:tcW w:w="1339" w:type="dxa"/>
            <w:tcBorders>
              <w:bottom w:val="single" w:sz="4" w:space="0" w:color="auto"/>
            </w:tcBorders>
            <w:noWrap/>
            <w:vAlign w:val="center"/>
          </w:tcPr>
          <w:p w14:paraId="5530934E" w14:textId="041E05F4"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specific indicators</w:t>
            </w:r>
          </w:p>
        </w:tc>
        <w:tc>
          <w:tcPr>
            <w:tcW w:w="1592" w:type="dxa"/>
            <w:tcBorders>
              <w:bottom w:val="single" w:sz="4" w:space="0" w:color="auto"/>
            </w:tcBorders>
            <w:noWrap/>
            <w:vAlign w:val="center"/>
          </w:tcPr>
          <w:p w14:paraId="438FFE10" w14:textId="234CD4C1"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computational formula</w:t>
            </w:r>
          </w:p>
        </w:tc>
        <w:tc>
          <w:tcPr>
            <w:tcW w:w="4820" w:type="dxa"/>
            <w:tcBorders>
              <w:bottom w:val="single" w:sz="4" w:space="0" w:color="auto"/>
            </w:tcBorders>
            <w:noWrap/>
            <w:vAlign w:val="center"/>
          </w:tcPr>
          <w:p w14:paraId="061286C8" w14:textId="53C35AEC"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relevant explanations</w:t>
            </w:r>
          </w:p>
        </w:tc>
      </w:tr>
      <w:tr w:rsidR="004E1490" w14:paraId="0A3407E0" w14:textId="77777777">
        <w:trPr>
          <w:trHeight w:val="798"/>
          <w:jc w:val="center"/>
        </w:trPr>
        <w:tc>
          <w:tcPr>
            <w:tcW w:w="1148" w:type="dxa"/>
            <w:tcBorders>
              <w:top w:val="single" w:sz="4" w:space="0" w:color="auto"/>
              <w:tl2br w:val="nil"/>
              <w:tr2bl w:val="nil"/>
            </w:tcBorders>
            <w:noWrap/>
            <w:vAlign w:val="center"/>
          </w:tcPr>
          <w:p w14:paraId="37C4FC5B" w14:textId="452BEB41"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traffic density</w:t>
            </w:r>
          </w:p>
        </w:tc>
        <w:tc>
          <w:tcPr>
            <w:tcW w:w="1339" w:type="dxa"/>
            <w:tcBorders>
              <w:top w:val="single" w:sz="4" w:space="0" w:color="auto"/>
              <w:tl2br w:val="nil"/>
              <w:tr2bl w:val="nil"/>
            </w:tcBorders>
            <w:noWrap/>
            <w:vAlign w:val="center"/>
          </w:tcPr>
          <w:p w14:paraId="1B1202E8" w14:textId="55D888BA"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traffic network density</w:t>
            </w:r>
          </w:p>
        </w:tc>
        <w:tc>
          <w:tcPr>
            <w:tcW w:w="1592" w:type="dxa"/>
            <w:tcBorders>
              <w:top w:val="single" w:sz="4" w:space="0" w:color="auto"/>
              <w:tl2br w:val="nil"/>
              <w:tr2bl w:val="nil"/>
            </w:tcBorders>
            <w:noWrap/>
            <w:vAlign w:val="center"/>
          </w:tcPr>
          <w:p w14:paraId="1D063B93" w14:textId="77777777" w:rsidR="004E1490" w:rsidRDefault="00000000">
            <w:pPr>
              <w:jc w:val="center"/>
              <w:rPr>
                <w:rFonts w:ascii="Times New Roman" w:hAnsi="Times New Roman" w:cs="Times New Roman"/>
                <w:sz w:val="15"/>
                <w:szCs w:val="15"/>
              </w:rPr>
            </w:pPr>
            <w:r>
              <w:rPr>
                <w:rFonts w:ascii="Times New Roman" w:hAnsi="Times New Roman" w:cs="Times New Roman"/>
                <w:position w:val="-12"/>
                <w:sz w:val="15"/>
                <w:szCs w:val="15"/>
              </w:rPr>
              <w:object w:dxaOrig="1365" w:dyaOrig="365" w14:anchorId="02503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95pt;height:17.85pt" o:ole="">
                  <v:imagedata r:id="rId6" o:title=""/>
                  <o:lock v:ext="edit" aspectratio="f"/>
                </v:shape>
                <o:OLEObject Type="Embed" ProgID="Equation.DSMT4" ShapeID="_x0000_i1025" DrawAspect="Content" ObjectID="_1786458084" r:id="rId7"/>
              </w:object>
            </w:r>
          </w:p>
        </w:tc>
        <w:tc>
          <w:tcPr>
            <w:tcW w:w="4820" w:type="dxa"/>
            <w:tcBorders>
              <w:top w:val="single" w:sz="4" w:space="0" w:color="auto"/>
              <w:tl2br w:val="nil"/>
              <w:tr2bl w:val="nil"/>
            </w:tcBorders>
            <w:noWrap/>
            <w:vAlign w:val="center"/>
          </w:tcPr>
          <w:p w14:paraId="13284036" w14:textId="40905050" w:rsidR="004E1490" w:rsidRDefault="00000000">
            <w:pPr>
              <w:jc w:val="center"/>
              <w:rPr>
                <w:rFonts w:ascii="Times New Roman" w:hAnsi="Times New Roman" w:cs="Times New Roman"/>
                <w:sz w:val="15"/>
                <w:szCs w:val="15"/>
              </w:rPr>
            </w:pPr>
            <w:proofErr w:type="spellStart"/>
            <w:r>
              <w:rPr>
                <w:rFonts w:ascii="Times New Roman" w:hAnsi="Times New Roman" w:cs="Times New Roman"/>
                <w:i/>
                <w:iCs/>
                <w:sz w:val="15"/>
                <w:szCs w:val="15"/>
              </w:rPr>
              <w:t>Dt</w:t>
            </w:r>
            <w:r>
              <w:rPr>
                <w:rFonts w:ascii="Times New Roman" w:hAnsi="Times New Roman" w:cs="Times New Roman"/>
                <w:i/>
                <w:iCs/>
                <w:sz w:val="15"/>
                <w:szCs w:val="15"/>
                <w:vertAlign w:val="subscript"/>
              </w:rPr>
              <w:t>x</w:t>
            </w:r>
            <w:r w:rsidR="00F40A5A" w:rsidRPr="00F40A5A">
              <w:rPr>
                <w:rFonts w:ascii="Times New Roman" w:hAnsi="Times New Roman" w:cs="Times New Roman"/>
                <w:sz w:val="15"/>
                <w:szCs w:val="15"/>
              </w:rPr>
              <w:t>the</w:t>
            </w:r>
            <w:proofErr w:type="spellEnd"/>
            <w:r w:rsidR="00F40A5A" w:rsidRPr="00F40A5A">
              <w:rPr>
                <w:rFonts w:ascii="Times New Roman" w:hAnsi="Times New Roman" w:cs="Times New Roman"/>
                <w:sz w:val="15"/>
                <w:szCs w:val="15"/>
              </w:rPr>
              <w:t xml:space="preserve"> traffic infrastructure network density of county X.</w:t>
            </w:r>
            <w:r>
              <w:rPr>
                <w:rFonts w:ascii="Times New Roman" w:hAnsi="Times New Roman" w:cs="Times New Roman"/>
                <w:sz w:val="15"/>
                <w:szCs w:val="15"/>
              </w:rPr>
              <w:t>，</w:t>
            </w:r>
            <w:r>
              <w:rPr>
                <w:rFonts w:ascii="Times New Roman" w:hAnsi="Times New Roman" w:cs="Times New Roman"/>
                <w:i/>
                <w:iCs/>
                <w:sz w:val="15"/>
                <w:szCs w:val="15"/>
              </w:rPr>
              <w:t>M</w:t>
            </w:r>
            <w:r>
              <w:rPr>
                <w:rFonts w:ascii="Times New Roman" w:hAnsi="Times New Roman" w:cs="Times New Roman"/>
                <w:i/>
                <w:iCs/>
                <w:sz w:val="15"/>
                <w:szCs w:val="15"/>
                <w:vertAlign w:val="subscript"/>
              </w:rPr>
              <w:t>x</w:t>
            </w:r>
            <w:r w:rsidR="00F40A5A">
              <w:t xml:space="preserve"> </w:t>
            </w:r>
            <w:r w:rsidR="00F40A5A" w:rsidRPr="00F40A5A">
              <w:rPr>
                <w:rFonts w:ascii="Times New Roman" w:hAnsi="Times New Roman" w:cs="Times New Roman"/>
                <w:sz w:val="15"/>
                <w:szCs w:val="15"/>
              </w:rPr>
              <w:t xml:space="preserve">represents the total road length of different grades within county </w:t>
            </w:r>
            <w:r>
              <w:rPr>
                <w:rFonts w:ascii="Times New Roman" w:hAnsi="Times New Roman" w:cs="Times New Roman"/>
                <w:i/>
                <w:iCs/>
                <w:sz w:val="15"/>
                <w:szCs w:val="15"/>
              </w:rPr>
              <w:t>x</w:t>
            </w:r>
            <w:r>
              <w:rPr>
                <w:rFonts w:ascii="Times New Roman" w:hAnsi="Times New Roman" w:cs="Times New Roman"/>
                <w:sz w:val="15"/>
                <w:szCs w:val="15"/>
              </w:rPr>
              <w:t>，</w:t>
            </w:r>
            <w:proofErr w:type="spellStart"/>
            <w:r>
              <w:rPr>
                <w:rFonts w:ascii="Times New Roman" w:hAnsi="Times New Roman" w:cs="Times New Roman"/>
                <w:i/>
                <w:iCs/>
                <w:sz w:val="15"/>
                <w:szCs w:val="15"/>
              </w:rPr>
              <w:t>A</w:t>
            </w:r>
            <w:r>
              <w:rPr>
                <w:rFonts w:ascii="Times New Roman" w:hAnsi="Times New Roman" w:cs="Times New Roman"/>
                <w:i/>
                <w:iCs/>
                <w:sz w:val="15"/>
                <w:szCs w:val="15"/>
                <w:vertAlign w:val="subscript"/>
              </w:rPr>
              <w:t>x</w:t>
            </w:r>
            <w:r w:rsidR="006A470E" w:rsidRPr="006A470E">
              <w:rPr>
                <w:rFonts w:ascii="Times New Roman" w:hAnsi="Times New Roman" w:cs="Times New Roman"/>
                <w:sz w:val="15"/>
                <w:szCs w:val="15"/>
              </w:rPr>
              <w:t>represents</w:t>
            </w:r>
            <w:proofErr w:type="spellEnd"/>
            <w:r w:rsidR="006A470E" w:rsidRPr="006A470E">
              <w:rPr>
                <w:rFonts w:ascii="Times New Roman" w:hAnsi="Times New Roman" w:cs="Times New Roman"/>
                <w:sz w:val="15"/>
                <w:szCs w:val="15"/>
              </w:rPr>
              <w:t xml:space="preserve"> the land area of the county</w:t>
            </w:r>
            <w:r>
              <w:rPr>
                <w:rFonts w:ascii="Times New Roman" w:hAnsi="Times New Roman" w:cs="Times New Roman"/>
                <w:sz w:val="15"/>
                <w:szCs w:val="15"/>
              </w:rPr>
              <w:t>。</w:t>
            </w:r>
          </w:p>
        </w:tc>
      </w:tr>
      <w:tr w:rsidR="004E1490" w14:paraId="00D57D1F" w14:textId="77777777">
        <w:trPr>
          <w:trHeight w:val="1108"/>
          <w:jc w:val="center"/>
        </w:trPr>
        <w:tc>
          <w:tcPr>
            <w:tcW w:w="1148" w:type="dxa"/>
            <w:tcBorders>
              <w:tl2br w:val="nil"/>
              <w:tr2bl w:val="nil"/>
            </w:tcBorders>
            <w:noWrap/>
            <w:vAlign w:val="center"/>
          </w:tcPr>
          <w:p w14:paraId="091ECEF5" w14:textId="2C60A06A"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intra-district accessibility</w:t>
            </w:r>
          </w:p>
        </w:tc>
        <w:tc>
          <w:tcPr>
            <w:tcW w:w="1339" w:type="dxa"/>
            <w:tcBorders>
              <w:tl2br w:val="nil"/>
              <w:tr2bl w:val="nil"/>
            </w:tcBorders>
            <w:noWrap/>
            <w:vAlign w:val="center"/>
          </w:tcPr>
          <w:p w14:paraId="7DF6316A" w14:textId="601ACABA" w:rsidR="004E1490" w:rsidRDefault="00F40A5A">
            <w:pPr>
              <w:jc w:val="center"/>
              <w:rPr>
                <w:rFonts w:ascii="Times New Roman" w:hAnsi="Times New Roman" w:cs="Times New Roman"/>
                <w:sz w:val="15"/>
                <w:szCs w:val="15"/>
              </w:rPr>
            </w:pPr>
            <w:r w:rsidRPr="00F40A5A">
              <w:rPr>
                <w:rFonts w:ascii="Times New Roman" w:hAnsi="Times New Roman" w:cs="Times New Roman"/>
                <w:sz w:val="15"/>
                <w:szCs w:val="15"/>
              </w:rPr>
              <w:t>intra-provincial accessibility</w:t>
            </w:r>
          </w:p>
        </w:tc>
        <w:tc>
          <w:tcPr>
            <w:tcW w:w="1592" w:type="dxa"/>
            <w:vMerge w:val="restart"/>
            <w:tcBorders>
              <w:tl2br w:val="nil"/>
              <w:tr2bl w:val="nil"/>
            </w:tcBorders>
            <w:noWrap/>
            <w:vAlign w:val="center"/>
          </w:tcPr>
          <w:p w14:paraId="68D2BA59" w14:textId="77777777" w:rsidR="004E1490" w:rsidRDefault="00000000">
            <w:pPr>
              <w:jc w:val="center"/>
              <w:rPr>
                <w:rFonts w:ascii="Times New Roman" w:hAnsi="Times New Roman" w:cs="Times New Roman"/>
                <w:sz w:val="15"/>
                <w:szCs w:val="15"/>
              </w:rPr>
            </w:pPr>
            <w:r>
              <w:rPr>
                <w:rFonts w:ascii="Times New Roman" w:hAnsi="Times New Roman" w:cs="Times New Roman"/>
                <w:position w:val="-24"/>
                <w:sz w:val="15"/>
                <w:szCs w:val="15"/>
              </w:rPr>
              <w:object w:dxaOrig="1515" w:dyaOrig="634" w14:anchorId="5A14DD02">
                <v:shape id="_x0000_i1026" type="#_x0000_t75" style="width:76.05pt;height:31.7pt" o:ole="">
                  <v:imagedata r:id="rId8" o:title=""/>
                  <o:lock v:ext="edit" aspectratio="f"/>
                </v:shape>
                <o:OLEObject Type="Embed" ProgID="Equation.DSMT4" ShapeID="_x0000_i1026" DrawAspect="Content" ObjectID="_1786458085" r:id="rId9"/>
              </w:object>
            </w:r>
          </w:p>
        </w:tc>
        <w:tc>
          <w:tcPr>
            <w:tcW w:w="4820" w:type="dxa"/>
            <w:vMerge w:val="restart"/>
            <w:tcBorders>
              <w:tl2br w:val="nil"/>
              <w:tr2bl w:val="nil"/>
            </w:tcBorders>
            <w:noWrap/>
            <w:vAlign w:val="center"/>
          </w:tcPr>
          <w:p w14:paraId="6D9358D6" w14:textId="783C5F41" w:rsidR="006A470E" w:rsidRDefault="00000000">
            <w:pPr>
              <w:jc w:val="center"/>
              <w:rPr>
                <w:rFonts w:ascii="Times New Roman" w:hAnsi="Times New Roman" w:cs="Times New Roman"/>
                <w:sz w:val="15"/>
                <w:szCs w:val="15"/>
              </w:rPr>
            </w:pPr>
            <w:proofErr w:type="spellStart"/>
            <w:r>
              <w:rPr>
                <w:rFonts w:ascii="Times New Roman" w:hAnsi="Times New Roman" w:cs="Times New Roman"/>
                <w:i/>
                <w:iCs/>
                <w:sz w:val="15"/>
                <w:szCs w:val="15"/>
              </w:rPr>
              <w:t>Ab</w:t>
            </w:r>
            <w:r>
              <w:rPr>
                <w:rFonts w:ascii="Times New Roman" w:hAnsi="Times New Roman" w:cs="Times New Roman"/>
                <w:i/>
                <w:iCs/>
                <w:sz w:val="15"/>
                <w:szCs w:val="15"/>
                <w:vertAlign w:val="subscript"/>
              </w:rPr>
              <w:t>x</w:t>
            </w:r>
            <w:r w:rsidR="00F40A5A" w:rsidRPr="00F40A5A">
              <w:rPr>
                <w:rFonts w:ascii="Times New Roman" w:hAnsi="Times New Roman" w:cs="Times New Roman"/>
                <w:sz w:val="15"/>
                <w:szCs w:val="15"/>
              </w:rPr>
              <w:t>intra</w:t>
            </w:r>
            <w:proofErr w:type="spellEnd"/>
            <w:r w:rsidR="00F40A5A" w:rsidRPr="00F40A5A">
              <w:rPr>
                <w:rFonts w:ascii="Times New Roman" w:hAnsi="Times New Roman" w:cs="Times New Roman"/>
                <w:sz w:val="15"/>
                <w:szCs w:val="15"/>
              </w:rPr>
              <w:t>- or inter-regional accessibility of nodes</w:t>
            </w:r>
            <w:r>
              <w:rPr>
                <w:rFonts w:ascii="Times New Roman" w:hAnsi="Times New Roman" w:cs="Times New Roman"/>
                <w:sz w:val="15"/>
                <w:szCs w:val="15"/>
              </w:rPr>
              <w:t>，</w:t>
            </w:r>
            <w:r w:rsidR="006A470E" w:rsidRPr="006A470E">
              <w:rPr>
                <w:rFonts w:ascii="Times New Roman" w:hAnsi="Times New Roman" w:cs="Times New Roman"/>
                <w:sz w:val="15"/>
                <w:szCs w:val="15"/>
              </w:rPr>
              <w:t>smaller value indicates higher accessibility.</w:t>
            </w:r>
            <w:r>
              <w:rPr>
                <w:rFonts w:ascii="Times New Roman" w:hAnsi="Times New Roman" w:cs="Times New Roman"/>
                <w:sz w:val="15"/>
                <w:szCs w:val="15"/>
              </w:rPr>
              <w:t>；</w:t>
            </w:r>
            <w:proofErr w:type="spellStart"/>
            <w:proofErr w:type="gramStart"/>
            <w:r w:rsidR="006A470E">
              <w:rPr>
                <w:rFonts w:ascii="Times New Roman" w:hAnsi="Times New Roman" w:cs="Times New Roman"/>
                <w:i/>
                <w:iCs/>
                <w:sz w:val="15"/>
                <w:szCs w:val="15"/>
              </w:rPr>
              <w:t>T</w:t>
            </w:r>
            <w:r w:rsidR="006A470E">
              <w:rPr>
                <w:rFonts w:ascii="Times New Roman" w:hAnsi="Times New Roman" w:cs="Times New Roman"/>
                <w:i/>
                <w:iCs/>
                <w:sz w:val="15"/>
                <w:szCs w:val="15"/>
                <w:vertAlign w:val="subscript"/>
              </w:rPr>
              <w:t>xy</w:t>
            </w:r>
            <w:proofErr w:type="spellEnd"/>
            <w:r w:rsidR="006A470E">
              <w:rPr>
                <w:rFonts w:ascii="Times New Roman" w:hAnsi="Times New Roman" w:cs="Times New Roman" w:hint="eastAsia"/>
                <w:i/>
                <w:iCs/>
                <w:sz w:val="15"/>
                <w:szCs w:val="15"/>
                <w:vertAlign w:val="subscript"/>
              </w:rPr>
              <w:t xml:space="preserve"> </w:t>
            </w:r>
            <w:r w:rsidR="006A470E" w:rsidRPr="006A470E">
              <w:rPr>
                <w:rFonts w:ascii="Times New Roman" w:hAnsi="Times New Roman" w:cs="Times New Roman"/>
                <w:sz w:val="15"/>
                <w:szCs w:val="15"/>
              </w:rPr>
              <w:t xml:space="preserve"> represents</w:t>
            </w:r>
            <w:proofErr w:type="gramEnd"/>
            <w:r w:rsidR="006A470E" w:rsidRPr="006A470E">
              <w:rPr>
                <w:rFonts w:ascii="Times New Roman" w:hAnsi="Times New Roman" w:cs="Times New Roman"/>
                <w:sz w:val="15"/>
                <w:szCs w:val="15"/>
              </w:rPr>
              <w:t xml:space="preserve"> the shortest travel time for node </w:t>
            </w:r>
            <w:r w:rsidR="006A470E">
              <w:rPr>
                <w:rFonts w:ascii="Times New Roman" w:hAnsi="Times New Roman" w:cs="Times New Roman"/>
                <w:i/>
                <w:iCs/>
                <w:sz w:val="15"/>
                <w:szCs w:val="15"/>
              </w:rPr>
              <w:t>x</w:t>
            </w:r>
            <w:r w:rsidR="006A470E" w:rsidRPr="006A470E">
              <w:rPr>
                <w:rFonts w:ascii="Times New Roman" w:hAnsi="Times New Roman" w:cs="Times New Roman"/>
                <w:sz w:val="15"/>
                <w:szCs w:val="15"/>
              </w:rPr>
              <w:t xml:space="preserve"> to reach other nodes within the region via the road network or to reach the provincial capital y via the railway network.</w:t>
            </w:r>
          </w:p>
          <w:p w14:paraId="7743D87F" w14:textId="54A24C39" w:rsidR="004E1490" w:rsidRDefault="006A470E">
            <w:pPr>
              <w:jc w:val="center"/>
              <w:rPr>
                <w:rFonts w:ascii="Times New Roman" w:hAnsi="Times New Roman" w:cs="Times New Roman"/>
                <w:sz w:val="15"/>
                <w:szCs w:val="15"/>
              </w:rPr>
            </w:pPr>
            <w:r w:rsidRPr="006A470E">
              <w:rPr>
                <w:rFonts w:ascii="Times New Roman" w:hAnsi="Times New Roman" w:cs="Times New Roman"/>
                <w:sz w:val="15"/>
                <w:szCs w:val="15"/>
              </w:rPr>
              <w:t>Among these, the average travel speeds are set at 100 km/h for expressways, 80 km/h for national highways, 60 km/h for provincial roads, and 30 km/h for county roads. Railway travel times are obtained from the historical 2020 train schedule. The final time is calculated as the sum of the shortest road travel time from the county-level node to its corresponding prefecture-level city node and the inter-provincial railway passenger travel time from the prefecture-level city node.</w:t>
            </w:r>
          </w:p>
        </w:tc>
      </w:tr>
      <w:tr w:rsidR="004E1490" w14:paraId="3570EAD3" w14:textId="77777777">
        <w:trPr>
          <w:trHeight w:val="879"/>
          <w:jc w:val="center"/>
        </w:trPr>
        <w:tc>
          <w:tcPr>
            <w:tcW w:w="1148" w:type="dxa"/>
            <w:tcBorders>
              <w:tl2br w:val="nil"/>
              <w:tr2bl w:val="nil"/>
            </w:tcBorders>
            <w:noWrap/>
            <w:vAlign w:val="center"/>
          </w:tcPr>
          <w:p w14:paraId="192DC0D7" w14:textId="5FCF66E9" w:rsidR="004E1490" w:rsidRDefault="006A470E">
            <w:pPr>
              <w:jc w:val="center"/>
              <w:rPr>
                <w:rFonts w:ascii="Times New Roman" w:hAnsi="Times New Roman" w:cs="Times New Roman"/>
                <w:sz w:val="15"/>
                <w:szCs w:val="15"/>
              </w:rPr>
            </w:pPr>
            <w:r w:rsidRPr="006A470E">
              <w:rPr>
                <w:rFonts w:ascii="Times New Roman" w:hAnsi="Times New Roman" w:cs="Times New Roman"/>
                <w:sz w:val="15"/>
                <w:szCs w:val="15"/>
              </w:rPr>
              <w:t>Interregional accessibility</w:t>
            </w:r>
          </w:p>
        </w:tc>
        <w:tc>
          <w:tcPr>
            <w:tcW w:w="1339" w:type="dxa"/>
            <w:tcBorders>
              <w:tl2br w:val="nil"/>
              <w:tr2bl w:val="nil"/>
            </w:tcBorders>
            <w:noWrap/>
            <w:vAlign w:val="center"/>
          </w:tcPr>
          <w:p w14:paraId="0B4BC2E3" w14:textId="7B75F84D" w:rsidR="004E1490" w:rsidRDefault="006A470E">
            <w:pPr>
              <w:jc w:val="center"/>
              <w:rPr>
                <w:rFonts w:ascii="Times New Roman" w:hAnsi="Times New Roman" w:cs="Times New Roman"/>
                <w:sz w:val="15"/>
                <w:szCs w:val="15"/>
              </w:rPr>
            </w:pPr>
            <w:r w:rsidRPr="006A470E">
              <w:rPr>
                <w:rFonts w:ascii="Times New Roman" w:hAnsi="Times New Roman" w:cs="Times New Roman"/>
                <w:sz w:val="15"/>
                <w:szCs w:val="15"/>
              </w:rPr>
              <w:t>Interprovincial accessibility</w:t>
            </w:r>
          </w:p>
        </w:tc>
        <w:tc>
          <w:tcPr>
            <w:tcW w:w="1592" w:type="dxa"/>
            <w:vMerge/>
            <w:tcBorders>
              <w:tl2br w:val="nil"/>
              <w:tr2bl w:val="nil"/>
            </w:tcBorders>
            <w:noWrap/>
            <w:vAlign w:val="center"/>
          </w:tcPr>
          <w:p w14:paraId="74804814" w14:textId="77777777" w:rsidR="004E1490" w:rsidRDefault="004E1490">
            <w:pPr>
              <w:jc w:val="center"/>
              <w:rPr>
                <w:rFonts w:ascii="Times New Roman" w:hAnsi="Times New Roman" w:cs="Times New Roman"/>
                <w:sz w:val="15"/>
                <w:szCs w:val="15"/>
              </w:rPr>
            </w:pPr>
          </w:p>
        </w:tc>
        <w:tc>
          <w:tcPr>
            <w:tcW w:w="4820" w:type="dxa"/>
            <w:vMerge/>
            <w:tcBorders>
              <w:tl2br w:val="nil"/>
              <w:tr2bl w:val="nil"/>
            </w:tcBorders>
            <w:noWrap/>
            <w:vAlign w:val="center"/>
          </w:tcPr>
          <w:p w14:paraId="785A2601" w14:textId="77777777" w:rsidR="004E1490" w:rsidRDefault="004E1490">
            <w:pPr>
              <w:jc w:val="center"/>
              <w:rPr>
                <w:rFonts w:ascii="Times New Roman" w:hAnsi="Times New Roman" w:cs="Times New Roman"/>
                <w:sz w:val="15"/>
                <w:szCs w:val="15"/>
              </w:rPr>
            </w:pPr>
          </w:p>
        </w:tc>
      </w:tr>
      <w:tr w:rsidR="004E1490" w14:paraId="18CC98A6" w14:textId="77777777">
        <w:trPr>
          <w:jc w:val="center"/>
        </w:trPr>
        <w:tc>
          <w:tcPr>
            <w:tcW w:w="1148" w:type="dxa"/>
            <w:vMerge w:val="restart"/>
            <w:tcBorders>
              <w:tl2br w:val="nil"/>
              <w:tr2bl w:val="nil"/>
            </w:tcBorders>
            <w:noWrap/>
            <w:vAlign w:val="center"/>
          </w:tcPr>
          <w:p w14:paraId="47ED813C" w14:textId="2B1CE727" w:rsidR="004E1490" w:rsidRDefault="006A470E">
            <w:pPr>
              <w:jc w:val="center"/>
              <w:rPr>
                <w:rFonts w:ascii="Times New Roman" w:hAnsi="Times New Roman" w:cs="Times New Roman"/>
                <w:sz w:val="15"/>
                <w:szCs w:val="15"/>
              </w:rPr>
            </w:pPr>
            <w:r w:rsidRPr="006A470E">
              <w:rPr>
                <w:rFonts w:ascii="Times New Roman" w:hAnsi="Times New Roman" w:cs="Times New Roman"/>
                <w:sz w:val="15"/>
                <w:szCs w:val="15"/>
              </w:rPr>
              <w:t>Locational advantage</w:t>
            </w:r>
          </w:p>
        </w:tc>
        <w:tc>
          <w:tcPr>
            <w:tcW w:w="1339" w:type="dxa"/>
            <w:tcBorders>
              <w:tl2br w:val="nil"/>
              <w:tr2bl w:val="nil"/>
            </w:tcBorders>
            <w:noWrap/>
            <w:vAlign w:val="center"/>
          </w:tcPr>
          <w:p w14:paraId="7D83B9CD" w14:textId="4FC65625" w:rsidR="004E1490" w:rsidRDefault="006A470E">
            <w:pPr>
              <w:jc w:val="center"/>
              <w:rPr>
                <w:rFonts w:ascii="Times New Roman" w:hAnsi="Times New Roman" w:cs="Times New Roman"/>
                <w:sz w:val="15"/>
                <w:szCs w:val="15"/>
              </w:rPr>
            </w:pPr>
            <w:r w:rsidRPr="006A470E">
              <w:rPr>
                <w:rFonts w:ascii="Times New Roman" w:hAnsi="Times New Roman" w:cs="Times New Roman"/>
                <w:sz w:val="15"/>
                <w:szCs w:val="15"/>
              </w:rPr>
              <w:t>Locational advantage index</w:t>
            </w:r>
          </w:p>
        </w:tc>
        <w:tc>
          <w:tcPr>
            <w:tcW w:w="1592" w:type="dxa"/>
            <w:tcBorders>
              <w:tl2br w:val="nil"/>
              <w:tr2bl w:val="nil"/>
            </w:tcBorders>
            <w:noWrap/>
            <w:vAlign w:val="center"/>
          </w:tcPr>
          <w:p w14:paraId="417BF9F7" w14:textId="77777777" w:rsidR="004E1490" w:rsidRDefault="00000000">
            <w:pPr>
              <w:jc w:val="center"/>
              <w:rPr>
                <w:rFonts w:ascii="Times New Roman" w:hAnsi="Times New Roman" w:cs="Times New Roman"/>
                <w:sz w:val="15"/>
                <w:szCs w:val="15"/>
              </w:rPr>
            </w:pPr>
            <w:r>
              <w:rPr>
                <w:rFonts w:ascii="Times New Roman" w:hAnsi="Times New Roman" w:cs="Times New Roman"/>
                <w:position w:val="-24"/>
                <w:sz w:val="15"/>
                <w:szCs w:val="15"/>
              </w:rPr>
              <w:object w:dxaOrig="1472" w:dyaOrig="634" w14:anchorId="6D6F7183">
                <v:shape id="_x0000_i1027" type="#_x0000_t75" style="width:73.75pt;height:31.7pt" o:ole="">
                  <v:imagedata r:id="rId10" o:title=""/>
                  <o:lock v:ext="edit" aspectratio="f"/>
                </v:shape>
                <o:OLEObject Type="Embed" ProgID="Equation.DSMT4" ShapeID="_x0000_i1027" DrawAspect="Content" ObjectID="_1786458086" r:id="rId11"/>
              </w:object>
            </w:r>
          </w:p>
        </w:tc>
        <w:tc>
          <w:tcPr>
            <w:tcW w:w="4820" w:type="dxa"/>
            <w:tcBorders>
              <w:tl2br w:val="nil"/>
              <w:tr2bl w:val="nil"/>
            </w:tcBorders>
            <w:noWrap/>
            <w:vAlign w:val="center"/>
          </w:tcPr>
          <w:p w14:paraId="4C314262" w14:textId="1657E8DD" w:rsidR="004E1490" w:rsidRDefault="00000000" w:rsidP="006A470E">
            <w:pPr>
              <w:jc w:val="center"/>
              <w:rPr>
                <w:rFonts w:ascii="Times New Roman" w:hAnsi="Times New Roman" w:cs="Times New Roman"/>
                <w:sz w:val="15"/>
                <w:szCs w:val="15"/>
              </w:rPr>
            </w:pPr>
            <w:proofErr w:type="spellStart"/>
            <w:r>
              <w:rPr>
                <w:rFonts w:ascii="Times New Roman" w:hAnsi="Times New Roman" w:cs="Times New Roman"/>
                <w:i/>
                <w:iCs/>
                <w:sz w:val="15"/>
                <w:szCs w:val="15"/>
              </w:rPr>
              <w:t>L</w:t>
            </w:r>
            <w:r>
              <w:rPr>
                <w:rFonts w:ascii="Times New Roman" w:hAnsi="Times New Roman" w:cs="Times New Roman"/>
                <w:i/>
                <w:iCs/>
                <w:sz w:val="15"/>
                <w:szCs w:val="15"/>
                <w:vertAlign w:val="subscript"/>
              </w:rPr>
              <w:t>x</w:t>
            </w:r>
            <w:r w:rsidR="006A470E" w:rsidRPr="006A470E">
              <w:rPr>
                <w:rFonts w:ascii="Times New Roman" w:hAnsi="Times New Roman" w:cs="Times New Roman"/>
                <w:sz w:val="15"/>
                <w:szCs w:val="15"/>
              </w:rPr>
              <w:t>represents</w:t>
            </w:r>
            <w:proofErr w:type="spellEnd"/>
            <w:r w:rsidR="006A470E" w:rsidRPr="006A470E">
              <w:rPr>
                <w:rFonts w:ascii="Times New Roman" w:hAnsi="Times New Roman" w:cs="Times New Roman"/>
                <w:sz w:val="15"/>
                <w:szCs w:val="15"/>
              </w:rPr>
              <w:t xml:space="preserve"> the locational advantage index, where a smaller value indicates higher locational advantage.</w:t>
            </w:r>
            <w:r>
              <w:rPr>
                <w:rFonts w:ascii="Times New Roman" w:hAnsi="Times New Roman" w:cs="Times New Roman"/>
                <w:sz w:val="15"/>
                <w:szCs w:val="15"/>
              </w:rPr>
              <w:t>；</w:t>
            </w:r>
            <w:proofErr w:type="spellStart"/>
            <w:r w:rsidR="006A470E" w:rsidRPr="006A470E">
              <w:rPr>
                <w:rFonts w:ascii="Times New Roman" w:hAnsi="Times New Roman" w:cs="Times New Roman"/>
                <w:sz w:val="15"/>
                <w:szCs w:val="15"/>
              </w:rPr>
              <w:t>lxyrepresents</w:t>
            </w:r>
            <w:proofErr w:type="spellEnd"/>
            <w:r w:rsidR="006A470E" w:rsidRPr="006A470E">
              <w:rPr>
                <w:rFonts w:ascii="Times New Roman" w:hAnsi="Times New Roman" w:cs="Times New Roman"/>
                <w:sz w:val="15"/>
                <w:szCs w:val="15"/>
              </w:rPr>
              <w:t xml:space="preserve"> the shortest transportation distance between county unit x and central city y; N denotes the number of central cities.</w:t>
            </w:r>
          </w:p>
        </w:tc>
      </w:tr>
      <w:tr w:rsidR="004E1490" w14:paraId="14157704" w14:textId="77777777">
        <w:trPr>
          <w:jc w:val="center"/>
        </w:trPr>
        <w:tc>
          <w:tcPr>
            <w:tcW w:w="1148" w:type="dxa"/>
            <w:vMerge/>
            <w:tcBorders>
              <w:tl2br w:val="nil"/>
              <w:tr2bl w:val="nil"/>
            </w:tcBorders>
            <w:noWrap/>
            <w:vAlign w:val="center"/>
          </w:tcPr>
          <w:p w14:paraId="7C08D31F" w14:textId="77777777" w:rsidR="004E1490" w:rsidRDefault="004E1490">
            <w:pPr>
              <w:jc w:val="center"/>
              <w:rPr>
                <w:rFonts w:ascii="Times New Roman" w:hAnsi="Times New Roman" w:cs="Times New Roman"/>
                <w:sz w:val="15"/>
                <w:szCs w:val="15"/>
              </w:rPr>
            </w:pPr>
          </w:p>
        </w:tc>
        <w:tc>
          <w:tcPr>
            <w:tcW w:w="1339" w:type="dxa"/>
            <w:tcBorders>
              <w:tl2br w:val="nil"/>
              <w:tr2bl w:val="nil"/>
            </w:tcBorders>
            <w:noWrap/>
            <w:vAlign w:val="center"/>
          </w:tcPr>
          <w:p w14:paraId="79983CA7" w14:textId="0CD106FC"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Terrain undulation</w:t>
            </w:r>
          </w:p>
        </w:tc>
        <w:tc>
          <w:tcPr>
            <w:tcW w:w="1592" w:type="dxa"/>
            <w:tcBorders>
              <w:tl2br w:val="nil"/>
              <w:tr2bl w:val="nil"/>
            </w:tcBorders>
            <w:noWrap/>
            <w:vAlign w:val="center"/>
          </w:tcPr>
          <w:p w14:paraId="605BBE30" w14:textId="4D6330ED" w:rsidR="004E1490" w:rsidRDefault="00000000">
            <w:pPr>
              <w:jc w:val="center"/>
              <w:rPr>
                <w:rFonts w:ascii="Times New Roman" w:hAnsi="Times New Roman" w:cs="Times New Roman"/>
                <w:sz w:val="15"/>
                <w:szCs w:val="15"/>
              </w:rPr>
            </w:pPr>
            <w:r>
              <w:rPr>
                <w:rFonts w:ascii="Times New Roman" w:hAnsi="Times New Roman" w:cs="Times New Roman"/>
                <w:sz w:val="15"/>
                <w:szCs w:val="15"/>
              </w:rPr>
              <w:t>Ti=</w:t>
            </w:r>
            <w:r w:rsidR="004B4186">
              <w:t xml:space="preserve"> </w:t>
            </w:r>
            <w:r w:rsidR="004B4186" w:rsidRPr="004B4186">
              <w:rPr>
                <w:rFonts w:ascii="Times New Roman" w:hAnsi="Times New Roman" w:cs="Times New Roman"/>
                <w:sz w:val="15"/>
                <w:szCs w:val="15"/>
              </w:rPr>
              <w:t>The highest point in the region - the lowest point in the region</w:t>
            </w:r>
          </w:p>
        </w:tc>
        <w:tc>
          <w:tcPr>
            <w:tcW w:w="4820" w:type="dxa"/>
            <w:tcBorders>
              <w:tl2br w:val="nil"/>
              <w:tr2bl w:val="nil"/>
            </w:tcBorders>
            <w:noWrap/>
            <w:vAlign w:val="center"/>
          </w:tcPr>
          <w:p w14:paraId="3A9C2A74" w14:textId="710D90EE" w:rsidR="004E1490" w:rsidRDefault="006A470E">
            <w:pPr>
              <w:jc w:val="center"/>
              <w:rPr>
                <w:rFonts w:ascii="Times New Roman" w:hAnsi="Times New Roman" w:cs="Times New Roman"/>
                <w:sz w:val="15"/>
                <w:szCs w:val="15"/>
              </w:rPr>
            </w:pPr>
            <w:r w:rsidRPr="006A470E">
              <w:rPr>
                <w:rFonts w:ascii="Times New Roman" w:hAnsi="Times New Roman" w:cs="Times New Roman"/>
                <w:sz w:val="15"/>
                <w:szCs w:val="15"/>
              </w:rPr>
              <w:t xml:space="preserve">Using </w:t>
            </w:r>
            <w:proofErr w:type="spellStart"/>
            <w:r w:rsidRPr="006A470E">
              <w:rPr>
                <w:rFonts w:ascii="Times New Roman" w:hAnsi="Times New Roman" w:cs="Times New Roman"/>
                <w:sz w:val="15"/>
                <w:szCs w:val="15"/>
              </w:rPr>
              <w:t>Arcgis</w:t>
            </w:r>
            <w:proofErr w:type="spellEnd"/>
            <w:r w:rsidRPr="006A470E">
              <w:rPr>
                <w:rFonts w:ascii="Times New Roman" w:hAnsi="Times New Roman" w:cs="Times New Roman"/>
                <w:sz w:val="15"/>
                <w:szCs w:val="15"/>
              </w:rPr>
              <w:t xml:space="preserve"> data analysis and statistical functions, the terrain relief index Ti for each county unit</w:t>
            </w:r>
            <w:r w:rsidRPr="006A470E">
              <w:rPr>
                <w:rFonts w:ascii="Times New Roman" w:hAnsi="Times New Roman" w:cs="Times New Roman" w:hint="eastAsia"/>
                <w:sz w:val="15"/>
                <w:szCs w:val="15"/>
              </w:rPr>
              <w:t>ｉ</w:t>
            </w:r>
            <w:r w:rsidRPr="006A470E">
              <w:rPr>
                <w:rFonts w:ascii="Times New Roman" w:hAnsi="Times New Roman" w:cs="Times New Roman"/>
                <w:sz w:val="15"/>
                <w:szCs w:val="15"/>
              </w:rPr>
              <w:t xml:space="preserve"> is computed</w:t>
            </w:r>
            <w:r>
              <w:rPr>
                <w:rFonts w:ascii="Times New Roman" w:hAnsi="Times New Roman" w:cs="Times New Roman" w:hint="eastAsia"/>
                <w:sz w:val="15"/>
                <w:szCs w:val="15"/>
              </w:rPr>
              <w:t>.</w:t>
            </w:r>
          </w:p>
        </w:tc>
      </w:tr>
    </w:tbl>
    <w:p w14:paraId="5883D527" w14:textId="77777777" w:rsidR="00C7586D" w:rsidRDefault="00C7586D" w:rsidP="0085629D">
      <w:pPr>
        <w:ind w:firstLineChars="200" w:firstLine="360"/>
        <w:jc w:val="center"/>
        <w:rPr>
          <w:rFonts w:ascii="Times New Roman" w:hAnsi="Times New Roman" w:cs="Times New Roman"/>
          <w:bCs/>
          <w:i/>
          <w:iCs/>
          <w:sz w:val="18"/>
          <w:szCs w:val="18"/>
        </w:rPr>
      </w:pPr>
      <w:r>
        <w:rPr>
          <w:rFonts w:ascii="Times New Roman" w:hAnsi="Times New Roman" w:cs="Times New Roman"/>
          <w:bCs/>
          <w:i/>
          <w:iCs/>
          <w:sz w:val="18"/>
          <w:szCs w:val="18"/>
        </w:rPr>
        <w:t xml:space="preserve">  </w:t>
      </w:r>
    </w:p>
    <w:p w14:paraId="764082CF" w14:textId="77777777" w:rsidR="00C7586D" w:rsidRDefault="00C7586D" w:rsidP="0085629D">
      <w:pPr>
        <w:ind w:firstLineChars="200" w:firstLine="360"/>
        <w:jc w:val="center"/>
        <w:rPr>
          <w:rFonts w:ascii="Times New Roman" w:hAnsi="Times New Roman" w:cs="Times New Roman"/>
          <w:bCs/>
          <w:i/>
          <w:iCs/>
          <w:sz w:val="18"/>
          <w:szCs w:val="18"/>
        </w:rPr>
      </w:pPr>
    </w:p>
    <w:p w14:paraId="788C6EC4" w14:textId="77777777" w:rsidR="00C7586D" w:rsidRDefault="00C7586D" w:rsidP="0085629D">
      <w:pPr>
        <w:ind w:firstLineChars="200" w:firstLine="360"/>
        <w:jc w:val="center"/>
        <w:rPr>
          <w:rFonts w:ascii="Times New Roman" w:hAnsi="Times New Roman" w:cs="Times New Roman"/>
          <w:bCs/>
          <w:i/>
          <w:iCs/>
          <w:sz w:val="18"/>
          <w:szCs w:val="18"/>
        </w:rPr>
      </w:pPr>
    </w:p>
    <w:p w14:paraId="28F3A9E1" w14:textId="77777777" w:rsidR="00C7586D" w:rsidRDefault="00C7586D" w:rsidP="0085629D">
      <w:pPr>
        <w:ind w:firstLineChars="200" w:firstLine="360"/>
        <w:jc w:val="center"/>
        <w:rPr>
          <w:rFonts w:ascii="Times New Roman" w:hAnsi="Times New Roman" w:cs="Times New Roman"/>
          <w:bCs/>
          <w:i/>
          <w:iCs/>
          <w:sz w:val="18"/>
          <w:szCs w:val="18"/>
        </w:rPr>
      </w:pPr>
    </w:p>
    <w:p w14:paraId="6C2CA6A5" w14:textId="3E825495" w:rsidR="004E1490" w:rsidRDefault="00000000" w:rsidP="0085629D">
      <w:pPr>
        <w:ind w:firstLineChars="200" w:firstLine="360"/>
        <w:jc w:val="center"/>
        <w:rPr>
          <w:rFonts w:ascii="Times New Roman" w:hAnsi="Times New Roman" w:cs="Times New Roman"/>
          <w:bCs/>
          <w:sz w:val="18"/>
          <w:szCs w:val="18"/>
        </w:rPr>
      </w:pPr>
      <w:r>
        <w:rPr>
          <w:rFonts w:ascii="Times New Roman" w:hAnsi="Times New Roman" w:cs="Times New Roman" w:hint="eastAsia"/>
          <w:bCs/>
          <w:sz w:val="18"/>
          <w:szCs w:val="18"/>
        </w:rPr>
        <w:t>Tab. 2 Evaluation indicators of new urbanization</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6376"/>
        <w:gridCol w:w="958"/>
      </w:tblGrid>
      <w:tr w:rsidR="004E1490" w14:paraId="69EEF9ED" w14:textId="77777777">
        <w:trPr>
          <w:trHeight w:val="143"/>
          <w:jc w:val="center"/>
        </w:trPr>
        <w:tc>
          <w:tcPr>
            <w:tcW w:w="697" w:type="pct"/>
            <w:tcBorders>
              <w:top w:val="single" w:sz="4" w:space="0" w:color="auto"/>
              <w:bottom w:val="single" w:sz="4" w:space="0" w:color="auto"/>
            </w:tcBorders>
            <w:vAlign w:val="center"/>
          </w:tcPr>
          <w:p w14:paraId="0801E84E" w14:textId="272B8446"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evaluation dimensions</w:t>
            </w:r>
          </w:p>
        </w:tc>
        <w:tc>
          <w:tcPr>
            <w:tcW w:w="3741" w:type="pct"/>
            <w:tcBorders>
              <w:top w:val="single" w:sz="4" w:space="0" w:color="auto"/>
              <w:bottom w:val="single" w:sz="4" w:space="0" w:color="auto"/>
            </w:tcBorders>
            <w:vAlign w:val="center"/>
          </w:tcPr>
          <w:p w14:paraId="4C399C3A" w14:textId="60152A40"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Specific indicator (unit) (direction)</w:t>
            </w:r>
          </w:p>
        </w:tc>
        <w:tc>
          <w:tcPr>
            <w:tcW w:w="562" w:type="pct"/>
            <w:tcBorders>
              <w:top w:val="single" w:sz="4" w:space="0" w:color="auto"/>
              <w:bottom w:val="single" w:sz="4" w:space="0" w:color="auto"/>
            </w:tcBorders>
            <w:vAlign w:val="center"/>
          </w:tcPr>
          <w:p w14:paraId="592B3722" w14:textId="32675D6F"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weight</w:t>
            </w:r>
          </w:p>
        </w:tc>
      </w:tr>
      <w:tr w:rsidR="004E1490" w14:paraId="21F3F577" w14:textId="77777777">
        <w:trPr>
          <w:trHeight w:val="91"/>
          <w:jc w:val="center"/>
        </w:trPr>
        <w:tc>
          <w:tcPr>
            <w:tcW w:w="697" w:type="pct"/>
            <w:tcBorders>
              <w:top w:val="single" w:sz="4" w:space="0" w:color="auto"/>
            </w:tcBorders>
            <w:vAlign w:val="center"/>
          </w:tcPr>
          <w:p w14:paraId="0EDB46C3" w14:textId="628A4DA3"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urbanization of population</w:t>
            </w:r>
            <w:r>
              <w:rPr>
                <w:rFonts w:ascii="Times New Roman" w:hAnsi="Times New Roman" w:cs="Times New Roman"/>
                <w:sz w:val="15"/>
                <w:szCs w:val="15"/>
              </w:rPr>
              <w:t>（</w:t>
            </w:r>
            <w:r>
              <w:rPr>
                <w:rFonts w:ascii="Times New Roman" w:hAnsi="Times New Roman" w:cs="Times New Roman"/>
                <w:sz w:val="15"/>
                <w:szCs w:val="15"/>
              </w:rPr>
              <w:t>0.21</w:t>
            </w:r>
            <w:r>
              <w:rPr>
                <w:rFonts w:ascii="Times New Roman" w:hAnsi="Times New Roman" w:cs="Times New Roman"/>
                <w:sz w:val="15"/>
                <w:szCs w:val="15"/>
              </w:rPr>
              <w:t>）</w:t>
            </w:r>
          </w:p>
        </w:tc>
        <w:tc>
          <w:tcPr>
            <w:tcW w:w="3741" w:type="pct"/>
            <w:tcBorders>
              <w:top w:val="single" w:sz="4" w:space="0" w:color="auto"/>
            </w:tcBorders>
            <w:vAlign w:val="center"/>
          </w:tcPr>
          <w:p w14:paraId="0D366808" w14:textId="22322FB2"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urban population as a percentage of total population</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tcBorders>
              <w:top w:val="single" w:sz="4" w:space="0" w:color="auto"/>
            </w:tcBorders>
            <w:vAlign w:val="center"/>
          </w:tcPr>
          <w:p w14:paraId="7B41AF6D"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0.21</w:t>
            </w:r>
          </w:p>
        </w:tc>
      </w:tr>
      <w:tr w:rsidR="004E1490" w14:paraId="7EF931FA" w14:textId="77777777">
        <w:trPr>
          <w:jc w:val="center"/>
        </w:trPr>
        <w:tc>
          <w:tcPr>
            <w:tcW w:w="697" w:type="pct"/>
            <w:vMerge w:val="restart"/>
            <w:vAlign w:val="center"/>
          </w:tcPr>
          <w:p w14:paraId="0FA4965B" w14:textId="416A9451"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urbanization of land</w:t>
            </w:r>
            <w:r>
              <w:rPr>
                <w:rFonts w:ascii="Times New Roman" w:hAnsi="Times New Roman" w:cs="Times New Roman"/>
                <w:sz w:val="15"/>
                <w:szCs w:val="15"/>
              </w:rPr>
              <w:t>（</w:t>
            </w:r>
            <w:r>
              <w:rPr>
                <w:rFonts w:ascii="Times New Roman" w:hAnsi="Times New Roman" w:cs="Times New Roman"/>
                <w:sz w:val="15"/>
                <w:szCs w:val="15"/>
              </w:rPr>
              <w:t>0.24</w:t>
            </w:r>
            <w:r>
              <w:rPr>
                <w:rFonts w:ascii="Times New Roman" w:hAnsi="Times New Roman" w:cs="Times New Roman"/>
                <w:sz w:val="15"/>
                <w:szCs w:val="15"/>
              </w:rPr>
              <w:t>）</w:t>
            </w:r>
          </w:p>
        </w:tc>
        <w:tc>
          <w:tcPr>
            <w:tcW w:w="3741" w:type="pct"/>
            <w:vAlign w:val="center"/>
          </w:tcPr>
          <w:p w14:paraId="3828E1DF" w14:textId="6B67C1B4"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proportion of construction land in national land area</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136E066D"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0.10</w:t>
            </w:r>
          </w:p>
        </w:tc>
      </w:tr>
      <w:tr w:rsidR="004E1490" w14:paraId="5CA688E6" w14:textId="77777777">
        <w:trPr>
          <w:jc w:val="center"/>
        </w:trPr>
        <w:tc>
          <w:tcPr>
            <w:tcW w:w="697" w:type="pct"/>
            <w:vMerge/>
            <w:vAlign w:val="center"/>
          </w:tcPr>
          <w:p w14:paraId="38FF2E5E" w14:textId="77777777" w:rsidR="004E1490" w:rsidRDefault="004E1490">
            <w:pPr>
              <w:jc w:val="center"/>
              <w:rPr>
                <w:rFonts w:ascii="Times New Roman" w:hAnsi="Times New Roman" w:cs="Times New Roman"/>
                <w:sz w:val="15"/>
                <w:szCs w:val="15"/>
              </w:rPr>
            </w:pPr>
          </w:p>
        </w:tc>
        <w:tc>
          <w:tcPr>
            <w:tcW w:w="3741" w:type="pct"/>
            <w:vAlign w:val="center"/>
          </w:tcPr>
          <w:p w14:paraId="30A2B161" w14:textId="7B8EE919"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per capita employment</w:t>
            </w:r>
            <w:r>
              <w:rPr>
                <w:rFonts w:ascii="Times New Roman" w:hAnsi="Times New Roman" w:cs="Times New Roman"/>
                <w:sz w:val="15"/>
                <w:szCs w:val="15"/>
              </w:rPr>
              <w:t>（</w:t>
            </w:r>
            <w:r w:rsidRPr="004B4186">
              <w:rPr>
                <w:rFonts w:ascii="Times New Roman" w:hAnsi="Times New Roman" w:cs="Times New Roman"/>
                <w:sz w:val="15"/>
                <w:szCs w:val="15"/>
              </w:rPr>
              <w:t xml:space="preserve">ten thousand people </w:t>
            </w:r>
            <w:r>
              <w:rPr>
                <w:rFonts w:ascii="Times New Roman" w:hAnsi="Times New Roman" w:cs="Times New Roman"/>
                <w:sz w:val="15"/>
                <w:szCs w:val="15"/>
              </w:rPr>
              <w:t xml:space="preserve">/hm </w:t>
            </w:r>
            <w:r>
              <w:rPr>
                <w:rFonts w:ascii="Times New Roman" w:hAnsi="Times New Roman" w:cs="Times New Roman"/>
                <w:sz w:val="15"/>
                <w:szCs w:val="15"/>
                <w:vertAlign w:val="superscript"/>
              </w:rPr>
              <w:t>2</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6C7B98EC"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0.04</w:t>
            </w:r>
          </w:p>
        </w:tc>
      </w:tr>
      <w:tr w:rsidR="004E1490" w14:paraId="02A235A3" w14:textId="77777777">
        <w:trPr>
          <w:jc w:val="center"/>
        </w:trPr>
        <w:tc>
          <w:tcPr>
            <w:tcW w:w="697" w:type="pct"/>
            <w:vMerge/>
            <w:vAlign w:val="center"/>
          </w:tcPr>
          <w:p w14:paraId="7BDEC06F" w14:textId="77777777" w:rsidR="004E1490" w:rsidRDefault="004E1490">
            <w:pPr>
              <w:jc w:val="center"/>
              <w:rPr>
                <w:rFonts w:ascii="Times New Roman" w:hAnsi="Times New Roman" w:cs="Times New Roman"/>
                <w:sz w:val="15"/>
                <w:szCs w:val="15"/>
              </w:rPr>
            </w:pPr>
          </w:p>
        </w:tc>
        <w:tc>
          <w:tcPr>
            <w:tcW w:w="3741" w:type="pct"/>
            <w:vAlign w:val="center"/>
          </w:tcPr>
          <w:p w14:paraId="2B895D35" w14:textId="11B0BE8D"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per capita industrial output value of construction land</w:t>
            </w:r>
            <w:r>
              <w:rPr>
                <w:rFonts w:ascii="Times New Roman" w:hAnsi="Times New Roman" w:cs="Times New Roman"/>
                <w:sz w:val="15"/>
                <w:szCs w:val="15"/>
              </w:rPr>
              <w:t>（</w:t>
            </w:r>
            <w:r w:rsidRPr="004B4186">
              <w:rPr>
                <w:rFonts w:ascii="Times New Roman" w:hAnsi="Times New Roman" w:cs="Times New Roman"/>
                <w:sz w:val="15"/>
                <w:szCs w:val="15"/>
              </w:rPr>
              <w:t xml:space="preserve">ten thousand people </w:t>
            </w:r>
            <w:r>
              <w:rPr>
                <w:rFonts w:ascii="Times New Roman" w:hAnsi="Times New Roman" w:cs="Times New Roman"/>
                <w:sz w:val="15"/>
                <w:szCs w:val="15"/>
              </w:rPr>
              <w:t>/km</w:t>
            </w:r>
            <w:r>
              <w:rPr>
                <w:rFonts w:ascii="Times New Roman" w:hAnsi="Times New Roman" w:cs="Times New Roman"/>
                <w:sz w:val="15"/>
                <w:szCs w:val="15"/>
                <w:vertAlign w:val="superscript"/>
              </w:rPr>
              <w:t>2</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4FC98FE5"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0.05</w:t>
            </w:r>
          </w:p>
        </w:tc>
      </w:tr>
      <w:tr w:rsidR="004E1490" w14:paraId="311F84C3" w14:textId="77777777">
        <w:trPr>
          <w:jc w:val="center"/>
        </w:trPr>
        <w:tc>
          <w:tcPr>
            <w:tcW w:w="697" w:type="pct"/>
            <w:vMerge/>
            <w:vAlign w:val="center"/>
          </w:tcPr>
          <w:p w14:paraId="23F061D8" w14:textId="77777777" w:rsidR="004E1490" w:rsidRDefault="004E1490">
            <w:pPr>
              <w:jc w:val="center"/>
              <w:rPr>
                <w:rFonts w:ascii="Times New Roman" w:hAnsi="Times New Roman" w:cs="Times New Roman"/>
                <w:sz w:val="15"/>
                <w:szCs w:val="15"/>
              </w:rPr>
            </w:pPr>
          </w:p>
        </w:tc>
        <w:tc>
          <w:tcPr>
            <w:tcW w:w="3741" w:type="pct"/>
            <w:vAlign w:val="center"/>
          </w:tcPr>
          <w:p w14:paraId="57E654B7" w14:textId="48E11061"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per capita general public budget revenue</w:t>
            </w:r>
            <w:r>
              <w:rPr>
                <w:rFonts w:ascii="Times New Roman" w:hAnsi="Times New Roman" w:cs="Times New Roman"/>
                <w:sz w:val="15"/>
                <w:szCs w:val="15"/>
              </w:rPr>
              <w:t>（</w:t>
            </w:r>
            <w:r w:rsidRPr="004B4186">
              <w:rPr>
                <w:rFonts w:ascii="Times New Roman" w:hAnsi="Times New Roman" w:cs="Times New Roman"/>
                <w:sz w:val="15"/>
                <w:szCs w:val="15"/>
              </w:rPr>
              <w:t>ten thousand people</w:t>
            </w:r>
            <w:r>
              <w:rPr>
                <w:rFonts w:ascii="Times New Roman" w:hAnsi="Times New Roman" w:cs="Times New Roman"/>
                <w:sz w:val="15"/>
                <w:szCs w:val="15"/>
              </w:rPr>
              <w:t xml:space="preserve"> /km</w:t>
            </w:r>
            <w:r>
              <w:rPr>
                <w:rFonts w:ascii="Times New Roman" w:hAnsi="Times New Roman" w:cs="Times New Roman"/>
                <w:sz w:val="15"/>
                <w:szCs w:val="15"/>
                <w:vertAlign w:val="superscript"/>
              </w:rPr>
              <w:t>2</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3A4CD8A2"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0.06</w:t>
            </w:r>
          </w:p>
        </w:tc>
      </w:tr>
      <w:tr w:rsidR="004E1490" w14:paraId="0ACAC7C2" w14:textId="77777777">
        <w:trPr>
          <w:jc w:val="center"/>
        </w:trPr>
        <w:tc>
          <w:tcPr>
            <w:tcW w:w="697" w:type="pct"/>
            <w:vMerge w:val="restart"/>
            <w:vAlign w:val="center"/>
          </w:tcPr>
          <w:p w14:paraId="074315EF" w14:textId="78657AE1"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t>social urbanization</w:t>
            </w:r>
            <w:r>
              <w:rPr>
                <w:rFonts w:ascii="Times New Roman" w:hAnsi="Times New Roman" w:cs="Times New Roman"/>
                <w:sz w:val="15"/>
                <w:szCs w:val="15"/>
              </w:rPr>
              <w:t>（</w:t>
            </w:r>
            <w:r>
              <w:rPr>
                <w:rFonts w:ascii="Times New Roman" w:hAnsi="Times New Roman" w:cs="Times New Roman"/>
                <w:sz w:val="15"/>
                <w:szCs w:val="15"/>
              </w:rPr>
              <w:t>0.26</w:t>
            </w:r>
            <w:r>
              <w:rPr>
                <w:rFonts w:ascii="Times New Roman" w:hAnsi="Times New Roman" w:cs="Times New Roman"/>
                <w:sz w:val="15"/>
                <w:szCs w:val="15"/>
              </w:rPr>
              <w:t>）</w:t>
            </w:r>
          </w:p>
        </w:tc>
        <w:tc>
          <w:tcPr>
            <w:tcW w:w="3741" w:type="pct"/>
            <w:vAlign w:val="center"/>
          </w:tcPr>
          <w:p w14:paraId="33AD291F" w14:textId="3D7372B3"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disposable income of urban permanent residents</w:t>
            </w:r>
            <w:r>
              <w:rPr>
                <w:rFonts w:ascii="Times New Roman" w:hAnsi="Times New Roman" w:cs="Times New Roman"/>
                <w:sz w:val="15"/>
                <w:szCs w:val="15"/>
              </w:rPr>
              <w:t>（</w:t>
            </w:r>
            <w:r w:rsidRPr="001A4F87">
              <w:rPr>
                <w:rFonts w:ascii="Times New Roman" w:hAnsi="Times New Roman" w:cs="Times New Roman"/>
                <w:sz w:val="15"/>
                <w:szCs w:val="15"/>
              </w:rPr>
              <w:t>Yuan</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150F660D"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0.06</w:t>
            </w:r>
          </w:p>
        </w:tc>
      </w:tr>
      <w:tr w:rsidR="004E1490" w14:paraId="282D84A5" w14:textId="77777777">
        <w:trPr>
          <w:jc w:val="center"/>
        </w:trPr>
        <w:tc>
          <w:tcPr>
            <w:tcW w:w="697" w:type="pct"/>
            <w:vMerge/>
            <w:vAlign w:val="center"/>
          </w:tcPr>
          <w:p w14:paraId="205E1873" w14:textId="77777777" w:rsidR="004E1490" w:rsidRDefault="004E1490">
            <w:pPr>
              <w:jc w:val="center"/>
              <w:rPr>
                <w:rFonts w:ascii="Times New Roman" w:hAnsi="Times New Roman" w:cs="Times New Roman"/>
                <w:sz w:val="15"/>
                <w:szCs w:val="15"/>
              </w:rPr>
            </w:pPr>
          </w:p>
        </w:tc>
        <w:tc>
          <w:tcPr>
            <w:tcW w:w="3741" w:type="pct"/>
            <w:vAlign w:val="center"/>
          </w:tcPr>
          <w:p w14:paraId="54DCA561" w14:textId="3D0B46A4"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per capita education expenditure</w:t>
            </w:r>
            <w:r>
              <w:rPr>
                <w:rFonts w:ascii="Times New Roman" w:hAnsi="Times New Roman" w:cs="Times New Roman"/>
                <w:sz w:val="15"/>
                <w:szCs w:val="15"/>
              </w:rPr>
              <w:t>（</w:t>
            </w:r>
            <w:r w:rsidRPr="001A4F87">
              <w:rPr>
                <w:rFonts w:ascii="Times New Roman" w:hAnsi="Times New Roman" w:cs="Times New Roman"/>
                <w:sz w:val="15"/>
                <w:szCs w:val="15"/>
              </w:rPr>
              <w:t>Yuan</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2FC15D85"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0.04</w:t>
            </w:r>
          </w:p>
        </w:tc>
      </w:tr>
      <w:tr w:rsidR="004E1490" w14:paraId="69082979" w14:textId="77777777">
        <w:trPr>
          <w:jc w:val="center"/>
        </w:trPr>
        <w:tc>
          <w:tcPr>
            <w:tcW w:w="697" w:type="pct"/>
            <w:vMerge/>
            <w:vAlign w:val="center"/>
          </w:tcPr>
          <w:p w14:paraId="754672CC" w14:textId="77777777" w:rsidR="004E1490" w:rsidRDefault="004E1490">
            <w:pPr>
              <w:jc w:val="center"/>
              <w:rPr>
                <w:rFonts w:ascii="Times New Roman" w:hAnsi="Times New Roman" w:cs="Times New Roman"/>
                <w:sz w:val="15"/>
                <w:szCs w:val="15"/>
              </w:rPr>
            </w:pPr>
          </w:p>
        </w:tc>
        <w:tc>
          <w:tcPr>
            <w:tcW w:w="3741" w:type="pct"/>
            <w:vAlign w:val="center"/>
          </w:tcPr>
          <w:p w14:paraId="2AAEF98A" w14:textId="2A075897"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hospital beds per thousand people</w:t>
            </w:r>
            <w:r>
              <w:rPr>
                <w:rFonts w:ascii="Times New Roman" w:hAnsi="Times New Roman" w:cs="Times New Roman"/>
                <w:sz w:val="15"/>
                <w:szCs w:val="15"/>
              </w:rPr>
              <w:t>（</w:t>
            </w:r>
            <w:r w:rsidRPr="001A4F87">
              <w:rPr>
                <w:rFonts w:ascii="Times New Roman" w:hAnsi="Times New Roman" w:cs="Times New Roman"/>
                <w:sz w:val="15"/>
                <w:szCs w:val="15"/>
              </w:rPr>
              <w:t>beds</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15A7FFAC"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0.05</w:t>
            </w:r>
          </w:p>
        </w:tc>
      </w:tr>
      <w:tr w:rsidR="004E1490" w14:paraId="20476C29" w14:textId="77777777">
        <w:trPr>
          <w:jc w:val="center"/>
        </w:trPr>
        <w:tc>
          <w:tcPr>
            <w:tcW w:w="697" w:type="pct"/>
            <w:vMerge/>
            <w:vAlign w:val="center"/>
          </w:tcPr>
          <w:p w14:paraId="792BE570" w14:textId="77777777" w:rsidR="004E1490" w:rsidRDefault="004E1490">
            <w:pPr>
              <w:jc w:val="center"/>
              <w:rPr>
                <w:rFonts w:ascii="Times New Roman" w:hAnsi="Times New Roman" w:cs="Times New Roman"/>
                <w:sz w:val="15"/>
                <w:szCs w:val="15"/>
              </w:rPr>
            </w:pPr>
          </w:p>
        </w:tc>
        <w:tc>
          <w:tcPr>
            <w:tcW w:w="3741" w:type="pct"/>
            <w:vAlign w:val="center"/>
          </w:tcPr>
          <w:p w14:paraId="240DFBC4" w14:textId="42BA23FE"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Digital Financial Inclusion Index (dimensionless)</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47804E44"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0.05</w:t>
            </w:r>
          </w:p>
        </w:tc>
      </w:tr>
      <w:tr w:rsidR="004E1490" w14:paraId="14B47360" w14:textId="77777777">
        <w:trPr>
          <w:jc w:val="center"/>
        </w:trPr>
        <w:tc>
          <w:tcPr>
            <w:tcW w:w="697" w:type="pct"/>
            <w:vMerge/>
            <w:vAlign w:val="center"/>
          </w:tcPr>
          <w:p w14:paraId="6F0D121F" w14:textId="77777777" w:rsidR="004E1490" w:rsidRDefault="004E1490">
            <w:pPr>
              <w:jc w:val="center"/>
              <w:rPr>
                <w:rFonts w:ascii="Times New Roman" w:hAnsi="Times New Roman" w:cs="Times New Roman"/>
                <w:sz w:val="15"/>
                <w:szCs w:val="15"/>
              </w:rPr>
            </w:pPr>
          </w:p>
        </w:tc>
        <w:tc>
          <w:tcPr>
            <w:tcW w:w="3741" w:type="pct"/>
            <w:vAlign w:val="center"/>
          </w:tcPr>
          <w:p w14:paraId="637D1610" w14:textId="3AA7E0AC"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registered urban unemployment rate</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50C445BE"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0.06</w:t>
            </w:r>
          </w:p>
        </w:tc>
      </w:tr>
      <w:tr w:rsidR="004E1490" w14:paraId="0998CE3E" w14:textId="77777777">
        <w:trPr>
          <w:jc w:val="center"/>
        </w:trPr>
        <w:tc>
          <w:tcPr>
            <w:tcW w:w="697" w:type="pct"/>
            <w:vMerge w:val="restart"/>
            <w:vAlign w:val="center"/>
          </w:tcPr>
          <w:p w14:paraId="4303BDC3" w14:textId="7FAE6485" w:rsidR="004E1490" w:rsidRDefault="004B4186">
            <w:pPr>
              <w:jc w:val="center"/>
              <w:rPr>
                <w:rFonts w:ascii="Times New Roman" w:hAnsi="Times New Roman" w:cs="Times New Roman"/>
                <w:sz w:val="15"/>
                <w:szCs w:val="15"/>
              </w:rPr>
            </w:pPr>
            <w:r w:rsidRPr="004B4186">
              <w:rPr>
                <w:rFonts w:ascii="Times New Roman" w:hAnsi="Times New Roman" w:cs="Times New Roman"/>
                <w:sz w:val="15"/>
                <w:szCs w:val="15"/>
              </w:rPr>
              <w:lastRenderedPageBreak/>
              <w:t>economic urbanization</w:t>
            </w:r>
            <w:r>
              <w:rPr>
                <w:rFonts w:ascii="Times New Roman" w:hAnsi="Times New Roman" w:cs="Times New Roman"/>
                <w:sz w:val="15"/>
                <w:szCs w:val="15"/>
              </w:rPr>
              <w:t>（</w:t>
            </w:r>
            <w:r>
              <w:rPr>
                <w:rFonts w:ascii="Times New Roman" w:hAnsi="Times New Roman" w:cs="Times New Roman"/>
                <w:sz w:val="15"/>
                <w:szCs w:val="15"/>
              </w:rPr>
              <w:t>0.29</w:t>
            </w:r>
            <w:r>
              <w:rPr>
                <w:rFonts w:ascii="Times New Roman" w:hAnsi="Times New Roman" w:cs="Times New Roman"/>
                <w:sz w:val="15"/>
                <w:szCs w:val="15"/>
              </w:rPr>
              <w:t>）</w:t>
            </w:r>
          </w:p>
        </w:tc>
        <w:tc>
          <w:tcPr>
            <w:tcW w:w="3741" w:type="pct"/>
            <w:vAlign w:val="center"/>
          </w:tcPr>
          <w:p w14:paraId="0193B0E5" w14:textId="04809257"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 xml:space="preserve">the share of secondary and tertiary industry output in </w:t>
            </w:r>
            <w:proofErr w:type="gramStart"/>
            <w:r w:rsidRPr="001A4F87">
              <w:rPr>
                <w:rFonts w:ascii="Times New Roman" w:hAnsi="Times New Roman" w:cs="Times New Roman"/>
                <w:sz w:val="15"/>
                <w:szCs w:val="15"/>
              </w:rPr>
              <w:t>GDP.</w:t>
            </w:r>
            <w:r>
              <w:rPr>
                <w:rFonts w:ascii="Times New Roman" w:hAnsi="Times New Roman" w:cs="Times New Roman"/>
                <w:sz w:val="15"/>
                <w:szCs w:val="15"/>
              </w:rPr>
              <w:t>（</w:t>
            </w:r>
            <w:proofErr w:type="gramEnd"/>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19F5E682"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0.07</w:t>
            </w:r>
          </w:p>
        </w:tc>
      </w:tr>
      <w:tr w:rsidR="004E1490" w14:paraId="03BB2D0F" w14:textId="77777777">
        <w:trPr>
          <w:jc w:val="center"/>
        </w:trPr>
        <w:tc>
          <w:tcPr>
            <w:tcW w:w="697" w:type="pct"/>
            <w:vMerge/>
            <w:vAlign w:val="center"/>
          </w:tcPr>
          <w:p w14:paraId="462CC44D" w14:textId="77777777" w:rsidR="004E1490" w:rsidRDefault="004E1490">
            <w:pPr>
              <w:jc w:val="center"/>
              <w:rPr>
                <w:rFonts w:ascii="Times New Roman" w:hAnsi="Times New Roman" w:cs="Times New Roman"/>
                <w:sz w:val="15"/>
                <w:szCs w:val="15"/>
              </w:rPr>
            </w:pPr>
          </w:p>
        </w:tc>
        <w:tc>
          <w:tcPr>
            <w:tcW w:w="3741" w:type="pct"/>
            <w:vAlign w:val="center"/>
          </w:tcPr>
          <w:p w14:paraId="3E73A0C4" w14:textId="1C39EFA1"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Per capita output value of large-scale industries</w:t>
            </w:r>
            <w:r>
              <w:rPr>
                <w:rFonts w:ascii="Times New Roman" w:hAnsi="Times New Roman" w:cs="Times New Roman"/>
                <w:sz w:val="15"/>
                <w:szCs w:val="15"/>
              </w:rPr>
              <w:t>（</w:t>
            </w:r>
            <w:r w:rsidRPr="001A4F87">
              <w:rPr>
                <w:rFonts w:ascii="Times New Roman" w:hAnsi="Times New Roman" w:cs="Times New Roman"/>
                <w:sz w:val="15"/>
                <w:szCs w:val="15"/>
              </w:rPr>
              <w:t>10,000 yuan</w:t>
            </w:r>
            <w:r>
              <w:rPr>
                <w:rFonts w:ascii="Times New Roman" w:hAnsi="Times New Roman" w:cs="Times New Roman"/>
                <w:sz w:val="15"/>
                <w:szCs w:val="15"/>
              </w:rPr>
              <w:t>/Km</w:t>
            </w:r>
            <w:r>
              <w:rPr>
                <w:rFonts w:ascii="Times New Roman" w:hAnsi="Times New Roman" w:cs="Times New Roman"/>
                <w:sz w:val="15"/>
                <w:szCs w:val="15"/>
                <w:vertAlign w:val="superscript"/>
              </w:rPr>
              <w:t>2</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74EB58D1"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0.04</w:t>
            </w:r>
          </w:p>
        </w:tc>
      </w:tr>
      <w:tr w:rsidR="004E1490" w14:paraId="6B34FFAB" w14:textId="77777777">
        <w:trPr>
          <w:jc w:val="center"/>
        </w:trPr>
        <w:tc>
          <w:tcPr>
            <w:tcW w:w="697" w:type="pct"/>
            <w:vMerge/>
            <w:vAlign w:val="center"/>
          </w:tcPr>
          <w:p w14:paraId="3EBC57EA" w14:textId="77777777" w:rsidR="004E1490" w:rsidRDefault="004E1490">
            <w:pPr>
              <w:jc w:val="center"/>
              <w:rPr>
                <w:rFonts w:ascii="Times New Roman" w:hAnsi="Times New Roman" w:cs="Times New Roman"/>
                <w:sz w:val="15"/>
                <w:szCs w:val="15"/>
              </w:rPr>
            </w:pPr>
          </w:p>
        </w:tc>
        <w:tc>
          <w:tcPr>
            <w:tcW w:w="3741" w:type="pct"/>
            <w:vAlign w:val="center"/>
          </w:tcPr>
          <w:p w14:paraId="5A858013" w14:textId="55828DED"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 xml:space="preserve">per capita </w:t>
            </w:r>
            <w:r>
              <w:rPr>
                <w:rFonts w:ascii="Times New Roman" w:hAnsi="Times New Roman" w:cs="Times New Roman"/>
                <w:sz w:val="15"/>
                <w:szCs w:val="15"/>
              </w:rPr>
              <w:t>GDP</w:t>
            </w:r>
            <w:r>
              <w:rPr>
                <w:rFonts w:ascii="Times New Roman" w:hAnsi="Times New Roman" w:cs="Times New Roman"/>
                <w:sz w:val="15"/>
                <w:szCs w:val="15"/>
              </w:rPr>
              <w:t>（</w:t>
            </w:r>
            <w:r w:rsidRPr="001A4F87">
              <w:rPr>
                <w:rFonts w:ascii="Times New Roman" w:hAnsi="Times New Roman" w:cs="Times New Roman"/>
                <w:sz w:val="15"/>
                <w:szCs w:val="15"/>
              </w:rPr>
              <w:t>Yuan</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4E8F5176"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0.06</w:t>
            </w:r>
          </w:p>
        </w:tc>
      </w:tr>
      <w:tr w:rsidR="004E1490" w14:paraId="5E65E84E" w14:textId="77777777">
        <w:trPr>
          <w:jc w:val="center"/>
        </w:trPr>
        <w:tc>
          <w:tcPr>
            <w:tcW w:w="697" w:type="pct"/>
            <w:vMerge/>
            <w:vAlign w:val="center"/>
          </w:tcPr>
          <w:p w14:paraId="6B414139" w14:textId="77777777" w:rsidR="004E1490" w:rsidRDefault="004E1490">
            <w:pPr>
              <w:jc w:val="center"/>
              <w:rPr>
                <w:rFonts w:ascii="Times New Roman" w:hAnsi="Times New Roman" w:cs="Times New Roman"/>
                <w:sz w:val="15"/>
                <w:szCs w:val="15"/>
              </w:rPr>
            </w:pPr>
          </w:p>
        </w:tc>
        <w:tc>
          <w:tcPr>
            <w:tcW w:w="3741" w:type="pct"/>
            <w:vAlign w:val="center"/>
          </w:tcPr>
          <w:p w14:paraId="41701C85" w14:textId="6EBFFD52"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economic density</w:t>
            </w:r>
            <w:r>
              <w:rPr>
                <w:rFonts w:ascii="Times New Roman" w:hAnsi="Times New Roman" w:cs="Times New Roman"/>
                <w:sz w:val="15"/>
                <w:szCs w:val="15"/>
              </w:rPr>
              <w:t>（</w:t>
            </w:r>
            <w:r w:rsidRPr="001A4F87">
              <w:rPr>
                <w:rFonts w:ascii="Times New Roman" w:hAnsi="Times New Roman" w:cs="Times New Roman"/>
                <w:sz w:val="15"/>
                <w:szCs w:val="15"/>
              </w:rPr>
              <w:t>10,000 yua</w:t>
            </w:r>
            <w:r>
              <w:rPr>
                <w:rFonts w:ascii="Times New Roman" w:hAnsi="Times New Roman" w:cs="Times New Roman" w:hint="eastAsia"/>
                <w:sz w:val="15"/>
                <w:szCs w:val="15"/>
              </w:rPr>
              <w:t>n</w:t>
            </w:r>
            <w:r>
              <w:rPr>
                <w:rFonts w:ascii="Times New Roman" w:hAnsi="Times New Roman" w:cs="Times New Roman"/>
                <w:sz w:val="15"/>
                <w:szCs w:val="15"/>
              </w:rPr>
              <w:t xml:space="preserve"> /km</w:t>
            </w:r>
            <w:r>
              <w:rPr>
                <w:rFonts w:ascii="Times New Roman" w:hAnsi="Times New Roman" w:cs="Times New Roman"/>
                <w:sz w:val="15"/>
                <w:szCs w:val="15"/>
                <w:vertAlign w:val="superscript"/>
              </w:rPr>
              <w:t>2</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0502FB0E"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0.05</w:t>
            </w:r>
          </w:p>
        </w:tc>
      </w:tr>
      <w:tr w:rsidR="004E1490" w14:paraId="4C55696E" w14:textId="77777777">
        <w:trPr>
          <w:jc w:val="center"/>
        </w:trPr>
        <w:tc>
          <w:tcPr>
            <w:tcW w:w="697" w:type="pct"/>
            <w:vMerge/>
            <w:vAlign w:val="center"/>
          </w:tcPr>
          <w:p w14:paraId="068DD63A" w14:textId="77777777" w:rsidR="004E1490" w:rsidRDefault="004E1490">
            <w:pPr>
              <w:jc w:val="center"/>
              <w:rPr>
                <w:rFonts w:ascii="Times New Roman" w:hAnsi="Times New Roman" w:cs="Times New Roman"/>
                <w:sz w:val="15"/>
                <w:szCs w:val="15"/>
              </w:rPr>
            </w:pPr>
          </w:p>
        </w:tc>
        <w:tc>
          <w:tcPr>
            <w:tcW w:w="3741" w:type="pct"/>
            <w:vAlign w:val="center"/>
          </w:tcPr>
          <w:p w14:paraId="0A60130A" w14:textId="224527DA"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year-on-year GDP growth rate</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r>
              <w:rPr>
                <w:rFonts w:ascii="Times New Roman" w:hAnsi="Times New Roman" w:cs="Times New Roman"/>
                <w:sz w:val="15"/>
                <w:szCs w:val="15"/>
              </w:rPr>
              <w:t>）</w:t>
            </w:r>
          </w:p>
        </w:tc>
        <w:tc>
          <w:tcPr>
            <w:tcW w:w="562" w:type="pct"/>
            <w:vAlign w:val="center"/>
          </w:tcPr>
          <w:p w14:paraId="22C7214E"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0.06</w:t>
            </w:r>
          </w:p>
        </w:tc>
      </w:tr>
    </w:tbl>
    <w:p w14:paraId="16DB234F" w14:textId="77777777" w:rsidR="001C0755" w:rsidRDefault="001C0755">
      <w:pPr>
        <w:ind w:firstLineChars="200" w:firstLine="360"/>
        <w:jc w:val="left"/>
        <w:rPr>
          <w:rFonts w:ascii="Times New Roman" w:hAnsi="Times New Roman" w:cs="Times New Roman"/>
          <w:bCs/>
          <w:sz w:val="18"/>
          <w:szCs w:val="18"/>
        </w:rPr>
      </w:pPr>
    </w:p>
    <w:p w14:paraId="01E2B468" w14:textId="77777777" w:rsidR="00C7586D" w:rsidRDefault="00C7586D" w:rsidP="0085629D">
      <w:pPr>
        <w:ind w:firstLineChars="200" w:firstLine="360"/>
        <w:jc w:val="center"/>
        <w:rPr>
          <w:rFonts w:ascii="Times New Roman" w:hAnsi="Times New Roman" w:cs="Times New Roman"/>
          <w:bCs/>
          <w:i/>
          <w:iCs/>
          <w:sz w:val="18"/>
          <w:szCs w:val="18"/>
        </w:rPr>
      </w:pPr>
    </w:p>
    <w:p w14:paraId="0E32A6FC" w14:textId="26C8D6BC" w:rsidR="004E1490" w:rsidRDefault="00000000" w:rsidP="0085629D">
      <w:pPr>
        <w:ind w:firstLineChars="200" w:firstLine="360"/>
        <w:jc w:val="center"/>
        <w:rPr>
          <w:rFonts w:ascii="Times New Roman" w:hAnsi="Times New Roman" w:cs="Times New Roman"/>
          <w:bCs/>
          <w:sz w:val="18"/>
          <w:szCs w:val="18"/>
        </w:rPr>
      </w:pPr>
      <w:r>
        <w:rPr>
          <w:rFonts w:ascii="Times New Roman" w:hAnsi="Times New Roman" w:cs="Times New Roman"/>
          <w:bCs/>
          <w:sz w:val="18"/>
          <w:szCs w:val="18"/>
        </w:rPr>
        <w:t>Tab. 3 Calculation method of the coupling coordination degree model</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6"/>
        <w:gridCol w:w="2308"/>
        <w:gridCol w:w="2441"/>
        <w:gridCol w:w="2857"/>
      </w:tblGrid>
      <w:tr w:rsidR="004E1490" w14:paraId="437761FD" w14:textId="77777777">
        <w:trPr>
          <w:jc w:val="center"/>
        </w:trPr>
        <w:tc>
          <w:tcPr>
            <w:tcW w:w="538" w:type="pct"/>
            <w:tcBorders>
              <w:top w:val="single" w:sz="4" w:space="0" w:color="auto"/>
              <w:bottom w:val="single" w:sz="4" w:space="0" w:color="auto"/>
            </w:tcBorders>
            <w:noWrap/>
            <w:vAlign w:val="center"/>
          </w:tcPr>
          <w:p w14:paraId="483CC7F2" w14:textId="2341178F"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evaluation indicators</w:t>
            </w:r>
          </w:p>
        </w:tc>
        <w:tc>
          <w:tcPr>
            <w:tcW w:w="1354" w:type="pct"/>
            <w:tcBorders>
              <w:top w:val="single" w:sz="4" w:space="0" w:color="auto"/>
              <w:bottom w:val="single" w:sz="4" w:space="0" w:color="auto"/>
            </w:tcBorders>
            <w:noWrap/>
            <w:vAlign w:val="center"/>
          </w:tcPr>
          <w:p w14:paraId="5ECF63CE" w14:textId="3AA0CA90"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computational formula</w:t>
            </w:r>
          </w:p>
        </w:tc>
        <w:tc>
          <w:tcPr>
            <w:tcW w:w="1432" w:type="pct"/>
            <w:tcBorders>
              <w:top w:val="single" w:sz="4" w:space="0" w:color="auto"/>
              <w:bottom w:val="single" w:sz="4" w:space="0" w:color="auto"/>
            </w:tcBorders>
            <w:noWrap/>
            <w:vAlign w:val="center"/>
          </w:tcPr>
          <w:p w14:paraId="5534CE52" w14:textId="27AD2D54"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explanatory notes</w:t>
            </w:r>
          </w:p>
        </w:tc>
        <w:tc>
          <w:tcPr>
            <w:tcW w:w="1676" w:type="pct"/>
            <w:tcBorders>
              <w:top w:val="single" w:sz="4" w:space="0" w:color="auto"/>
              <w:bottom w:val="single" w:sz="4" w:space="0" w:color="auto"/>
            </w:tcBorders>
          </w:tcPr>
          <w:p w14:paraId="65DBFCA0" w14:textId="5E597888"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horizontal segmentation</w:t>
            </w:r>
          </w:p>
        </w:tc>
      </w:tr>
      <w:tr w:rsidR="004E1490" w14:paraId="5940A54C" w14:textId="77777777">
        <w:trPr>
          <w:jc w:val="center"/>
        </w:trPr>
        <w:tc>
          <w:tcPr>
            <w:tcW w:w="538" w:type="pct"/>
            <w:tcBorders>
              <w:top w:val="single" w:sz="4" w:space="0" w:color="auto"/>
            </w:tcBorders>
            <w:noWrap/>
            <w:vAlign w:val="center"/>
          </w:tcPr>
          <w:p w14:paraId="55F6F4E9" w14:textId="0D2C3974" w:rsidR="004E1490" w:rsidRDefault="001A4F87">
            <w:pPr>
              <w:jc w:val="center"/>
              <w:rPr>
                <w:rFonts w:ascii="Times New Roman" w:hAnsi="Times New Roman" w:cs="Times New Roman"/>
                <w:sz w:val="15"/>
                <w:szCs w:val="15"/>
              </w:rPr>
            </w:pPr>
            <w:r w:rsidRPr="001A4F87">
              <w:rPr>
                <w:rFonts w:ascii="Times New Roman" w:hAnsi="Times New Roman" w:cs="Times New Roman"/>
                <w:sz w:val="15"/>
                <w:szCs w:val="15"/>
              </w:rPr>
              <w:t>coupling</w:t>
            </w:r>
            <w:r>
              <w:rPr>
                <w:rFonts w:ascii="Times New Roman" w:hAnsi="Times New Roman" w:cs="Times New Roman"/>
                <w:sz w:val="15"/>
                <w:szCs w:val="15"/>
              </w:rPr>
              <w:t>（</w:t>
            </w:r>
            <w:r>
              <w:rPr>
                <w:rFonts w:ascii="Times New Roman" w:hAnsi="Times New Roman" w:cs="Times New Roman"/>
                <w:sz w:val="15"/>
                <w:szCs w:val="15"/>
              </w:rPr>
              <w:t>C</w:t>
            </w:r>
            <w:r>
              <w:rPr>
                <w:rFonts w:ascii="Times New Roman" w:hAnsi="Times New Roman" w:cs="Times New Roman"/>
                <w:sz w:val="15"/>
                <w:szCs w:val="15"/>
              </w:rPr>
              <w:t>）</w:t>
            </w:r>
          </w:p>
        </w:tc>
        <w:tc>
          <w:tcPr>
            <w:tcW w:w="1354" w:type="pct"/>
            <w:tcBorders>
              <w:top w:val="single" w:sz="4" w:space="0" w:color="auto"/>
            </w:tcBorders>
            <w:noWrap/>
            <w:vAlign w:val="center"/>
          </w:tcPr>
          <w:p w14:paraId="7E1E6BDA" w14:textId="77777777" w:rsidR="004E1490" w:rsidRDefault="00000000">
            <w:pPr>
              <w:jc w:val="center"/>
              <w:rPr>
                <w:rFonts w:ascii="Times New Roman" w:hAnsi="Times New Roman" w:cs="Times New Roman"/>
                <w:sz w:val="15"/>
                <w:szCs w:val="15"/>
              </w:rPr>
            </w:pPr>
            <w:r>
              <w:rPr>
                <w:rFonts w:ascii="Times New Roman" w:hAnsi="Times New Roman" w:cs="Times New Roman"/>
                <w:position w:val="-12"/>
                <w:sz w:val="15"/>
                <w:szCs w:val="15"/>
              </w:rPr>
              <w:object w:dxaOrig="2192" w:dyaOrig="312" w14:anchorId="6762B2FC">
                <v:shape id="_x0000_i1028" type="#_x0000_t75" style="width:109.45pt;height:15.55pt" o:ole="">
                  <v:imagedata r:id="rId12" o:title=""/>
                </v:shape>
                <o:OLEObject Type="Embed" ProgID="Equation.DSMT4" ShapeID="_x0000_i1028" DrawAspect="Content" ObjectID="_1786458087" r:id="rId13"/>
              </w:object>
            </w:r>
          </w:p>
        </w:tc>
        <w:tc>
          <w:tcPr>
            <w:tcW w:w="1432" w:type="pct"/>
            <w:tcBorders>
              <w:top w:val="single" w:sz="4" w:space="0" w:color="auto"/>
            </w:tcBorders>
            <w:noWrap/>
            <w:vAlign w:val="center"/>
          </w:tcPr>
          <w:p w14:paraId="701C88E5" w14:textId="691BB38E" w:rsidR="004E1490" w:rsidRDefault="00000000">
            <w:pPr>
              <w:jc w:val="center"/>
              <w:rPr>
                <w:rFonts w:ascii="Times New Roman" w:hAnsi="Times New Roman" w:cs="Times New Roman"/>
                <w:sz w:val="15"/>
                <w:szCs w:val="15"/>
              </w:rPr>
            </w:pPr>
            <w:r>
              <w:rPr>
                <w:rFonts w:ascii="Times New Roman" w:hAnsi="Times New Roman" w:cs="Times New Roman"/>
                <w:i/>
                <w:iCs/>
                <w:sz w:val="15"/>
                <w:szCs w:val="15"/>
              </w:rPr>
              <w:t>K</w:t>
            </w:r>
            <w:r>
              <w:rPr>
                <w:rFonts w:ascii="Times New Roman" w:hAnsi="Times New Roman" w:cs="Times New Roman"/>
                <w:i/>
                <w:iCs/>
                <w:sz w:val="15"/>
                <w:szCs w:val="15"/>
                <w:vertAlign w:val="subscript"/>
              </w:rPr>
              <w:t>i</w:t>
            </w:r>
            <w:r>
              <w:rPr>
                <w:rFonts w:ascii="Times New Roman" w:hAnsi="Times New Roman" w:cs="Times New Roman"/>
                <w:sz w:val="15"/>
                <w:szCs w:val="15"/>
              </w:rPr>
              <w:t>=5</w:t>
            </w:r>
            <w:r>
              <w:rPr>
                <w:rFonts w:ascii="Times New Roman" w:hAnsi="Times New Roman" w:cs="Times New Roman"/>
                <w:sz w:val="15"/>
                <w:szCs w:val="15"/>
              </w:rPr>
              <w:t>，</w:t>
            </w:r>
            <w:r>
              <w:rPr>
                <w:rFonts w:ascii="Times New Roman" w:hAnsi="Times New Roman" w:cs="Times New Roman"/>
                <w:i/>
                <w:iCs/>
                <w:sz w:val="15"/>
                <w:szCs w:val="15"/>
              </w:rPr>
              <w:t>α</w:t>
            </w:r>
            <w:r>
              <w:rPr>
                <w:rFonts w:ascii="Times New Roman" w:hAnsi="Times New Roman" w:cs="Times New Roman"/>
                <w:sz w:val="15"/>
                <w:szCs w:val="15"/>
              </w:rPr>
              <w:t>=</w:t>
            </w:r>
            <w:r>
              <w:rPr>
                <w:rFonts w:ascii="Times New Roman" w:eastAsia="SimSun" w:hAnsi="Times New Roman" w:cs="Times New Roman"/>
                <w:i/>
                <w:iCs/>
                <w:sz w:val="15"/>
                <w:szCs w:val="15"/>
              </w:rPr>
              <w:t>β</w:t>
            </w:r>
            <w:r>
              <w:rPr>
                <w:rFonts w:ascii="Times New Roman" w:eastAsia="SimSun" w:hAnsi="Times New Roman" w:cs="Times New Roman"/>
                <w:sz w:val="15"/>
                <w:szCs w:val="15"/>
              </w:rPr>
              <w:t>=1/2,</w:t>
            </w:r>
            <w:r>
              <w:rPr>
                <w:rFonts w:ascii="Times New Roman" w:hAnsi="Times New Roman" w:cs="Times New Roman"/>
                <w:sz w:val="15"/>
                <w:szCs w:val="15"/>
              </w:rPr>
              <w:t xml:space="preserve"> </w:t>
            </w:r>
            <w:r w:rsidR="001A4F87" w:rsidRPr="001A4F87">
              <w:rPr>
                <w:rFonts w:ascii="Times New Roman" w:eastAsia="SimSun" w:hAnsi="Times New Roman" w:cs="Times New Roman"/>
                <w:sz w:val="15"/>
                <w:szCs w:val="15"/>
              </w:rPr>
              <w:t>When C tends to 1, it indicates that the two systems tend toward a coordinated state, whereas as C tends away from 1, they tend toward a mismatched state</w:t>
            </w:r>
            <w:r w:rsidR="00361E4A">
              <w:rPr>
                <w:rFonts w:ascii="Times New Roman" w:eastAsia="SimSun" w:hAnsi="Times New Roman" w:cs="Times New Roman" w:hint="eastAsia"/>
                <w:sz w:val="15"/>
                <w:szCs w:val="15"/>
              </w:rPr>
              <w:t>.</w:t>
            </w:r>
          </w:p>
        </w:tc>
        <w:tc>
          <w:tcPr>
            <w:tcW w:w="1676" w:type="pct"/>
            <w:vMerge w:val="restart"/>
            <w:tcBorders>
              <w:top w:val="single" w:sz="4" w:space="0" w:color="auto"/>
            </w:tcBorders>
          </w:tcPr>
          <w:p w14:paraId="00B51B0E" w14:textId="77777777" w:rsidR="00361E4A"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Divide C and D into extremely uncoordinated phase, basic coordination phase, higher coordination phase, and highly coordinated phase at the nodes of 0.3, 0.5, and 0.8 respectively.</w:t>
            </w:r>
          </w:p>
          <w:p w14:paraId="11071F18" w14:textId="6A00C4E0" w:rsidR="004E1490" w:rsidRPr="00361E4A"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State classification</w:t>
            </w:r>
            <w:r>
              <w:rPr>
                <w:rFonts w:ascii="Times New Roman" w:hAnsi="Times New Roman" w:cs="Times New Roman"/>
                <w:sz w:val="15"/>
                <w:szCs w:val="15"/>
              </w:rPr>
              <w:t>：</w:t>
            </w:r>
            <w:r w:rsidRPr="00361E4A">
              <w:rPr>
                <w:rFonts w:ascii="Times New Roman" w:hAnsi="Times New Roman" w:cs="Times New Roman"/>
                <w:sz w:val="15"/>
                <w:szCs w:val="15"/>
              </w:rPr>
              <w:t>When</w:t>
            </w:r>
            <w:r>
              <w:rPr>
                <w:rFonts w:ascii="Times New Roman" w:hAnsi="Times New Roman" w:cs="Times New Roman"/>
                <w:sz w:val="15"/>
                <w:szCs w:val="15"/>
              </w:rPr>
              <w:t>0≤</w:t>
            </w:r>
            <w:r>
              <w:rPr>
                <w:rFonts w:ascii="SimSun" w:eastAsia="SimSun" w:hAnsi="SimSun" w:cs="SimSun" w:hint="eastAsia"/>
                <w:sz w:val="15"/>
                <w:szCs w:val="15"/>
              </w:rPr>
              <w:t>∣</w:t>
            </w:r>
            <w:r>
              <w:rPr>
                <w:rFonts w:ascii="Times New Roman" w:hAnsi="Times New Roman" w:cs="Times New Roman"/>
                <w:i/>
                <w:iCs/>
                <w:sz w:val="15"/>
                <w:szCs w:val="15"/>
              </w:rPr>
              <w:t>m</w:t>
            </w:r>
            <w:r>
              <w:rPr>
                <w:rFonts w:ascii="SimSun" w:eastAsia="SimSun" w:hAnsi="SimSun" w:cs="SimSun" w:hint="eastAsia"/>
                <w:sz w:val="15"/>
                <w:szCs w:val="15"/>
              </w:rPr>
              <w:t>∣</w:t>
            </w:r>
            <w:r>
              <w:rPr>
                <w:rFonts w:ascii="Times New Roman" w:hAnsi="Times New Roman" w:cs="Times New Roman"/>
                <w:sz w:val="15"/>
                <w:szCs w:val="15"/>
              </w:rPr>
              <w:t>≤0.1,</w:t>
            </w:r>
            <w:r>
              <w:t xml:space="preserve"> </w:t>
            </w:r>
            <w:r w:rsidRPr="00361E4A">
              <w:rPr>
                <w:rFonts w:ascii="Times New Roman" w:hAnsi="Times New Roman" w:cs="Times New Roman"/>
                <w:sz w:val="15"/>
                <w:szCs w:val="15"/>
              </w:rPr>
              <w:t>it is synchronous</w:t>
            </w:r>
            <w:r>
              <w:rPr>
                <w:rFonts w:ascii="Times New Roman" w:hAnsi="Times New Roman" w:cs="Times New Roman"/>
                <w:sz w:val="15"/>
                <w:szCs w:val="15"/>
              </w:rPr>
              <w:t>；</w:t>
            </w:r>
            <w:r w:rsidRPr="00361E4A">
              <w:rPr>
                <w:rFonts w:ascii="Times New Roman" w:hAnsi="Times New Roman" w:cs="Times New Roman"/>
                <w:sz w:val="15"/>
                <w:szCs w:val="15"/>
              </w:rPr>
              <w:t>When</w:t>
            </w:r>
            <w:r>
              <w:rPr>
                <w:rFonts w:ascii="Times New Roman" w:hAnsi="Times New Roman" w:cs="Times New Roman"/>
                <w:i/>
                <w:iCs/>
                <w:sz w:val="15"/>
                <w:szCs w:val="15"/>
              </w:rPr>
              <w:t xml:space="preserve"> m</w:t>
            </w:r>
            <w:r>
              <w:rPr>
                <w:rFonts w:ascii="Times New Roman" w:hAnsi="Times New Roman" w:cs="Times New Roman"/>
                <w:sz w:val="15"/>
                <w:szCs w:val="15"/>
              </w:rPr>
              <w:t>&gt;0.1</w:t>
            </w:r>
            <w:r>
              <w:rPr>
                <w:rFonts w:ascii="Times New Roman" w:hAnsi="Times New Roman" w:cs="Times New Roman"/>
                <w:sz w:val="15"/>
                <w:szCs w:val="15"/>
              </w:rPr>
              <w:t>，</w:t>
            </w:r>
            <w:r w:rsidRPr="00361E4A">
              <w:rPr>
                <w:rFonts w:ascii="Times New Roman" w:hAnsi="Times New Roman" w:cs="Times New Roman"/>
                <w:sz w:val="15"/>
                <w:szCs w:val="15"/>
              </w:rPr>
              <w:t>it indicates a lag in the level of new urbanization</w:t>
            </w:r>
            <w:r>
              <w:rPr>
                <w:rFonts w:ascii="Times New Roman" w:hAnsi="Times New Roman" w:cs="Times New Roman"/>
                <w:sz w:val="15"/>
                <w:szCs w:val="15"/>
              </w:rPr>
              <w:t>；</w:t>
            </w:r>
            <w:r w:rsidRPr="00361E4A">
              <w:rPr>
                <w:rFonts w:ascii="Times New Roman" w:hAnsi="Times New Roman" w:cs="Times New Roman"/>
                <w:sz w:val="15"/>
                <w:szCs w:val="15"/>
              </w:rPr>
              <w:t>When</w:t>
            </w:r>
            <w:r>
              <w:rPr>
                <w:rFonts w:ascii="Times New Roman" w:hAnsi="Times New Roman" w:cs="Times New Roman"/>
                <w:i/>
                <w:iCs/>
                <w:sz w:val="15"/>
                <w:szCs w:val="15"/>
              </w:rPr>
              <w:t xml:space="preserve"> m</w:t>
            </w:r>
            <w:r>
              <w:rPr>
                <w:rFonts w:ascii="Times New Roman" w:hAnsi="Times New Roman" w:cs="Times New Roman"/>
                <w:sz w:val="15"/>
                <w:szCs w:val="15"/>
              </w:rPr>
              <w:t xml:space="preserve"> &lt;-0.1</w:t>
            </w:r>
            <w:r>
              <w:rPr>
                <w:rFonts w:ascii="Times New Roman" w:hAnsi="Times New Roman" w:cs="Times New Roman"/>
                <w:sz w:val="15"/>
                <w:szCs w:val="15"/>
              </w:rPr>
              <w:t>，</w:t>
            </w:r>
            <w:r w:rsidRPr="00361E4A">
              <w:rPr>
                <w:rFonts w:ascii="Times New Roman" w:hAnsi="Times New Roman" w:cs="Times New Roman"/>
                <w:sz w:val="15"/>
                <w:szCs w:val="15"/>
              </w:rPr>
              <w:t>it indicates a lag in transportation advantage</w:t>
            </w:r>
            <w:r>
              <w:rPr>
                <w:rFonts w:ascii="Times New Roman" w:hAnsi="Times New Roman" w:cs="Times New Roman" w:hint="eastAsia"/>
                <w:sz w:val="15"/>
                <w:szCs w:val="15"/>
              </w:rPr>
              <w:t>.</w:t>
            </w:r>
          </w:p>
        </w:tc>
      </w:tr>
      <w:tr w:rsidR="004E1490" w14:paraId="5B1F3790" w14:textId="77777777">
        <w:trPr>
          <w:jc w:val="center"/>
        </w:trPr>
        <w:tc>
          <w:tcPr>
            <w:tcW w:w="538" w:type="pct"/>
            <w:noWrap/>
            <w:vAlign w:val="center"/>
          </w:tcPr>
          <w:p w14:paraId="20123CB0" w14:textId="77777777" w:rsidR="004E1490" w:rsidRDefault="00000000">
            <w:pPr>
              <w:jc w:val="center"/>
              <w:rPr>
                <w:rFonts w:ascii="Times New Roman" w:hAnsi="Times New Roman" w:cs="Times New Roman"/>
                <w:sz w:val="15"/>
                <w:szCs w:val="15"/>
              </w:rPr>
            </w:pPr>
            <w:r>
              <w:rPr>
                <w:rFonts w:ascii="Times New Roman" w:hAnsi="Times New Roman" w:cs="Times New Roman"/>
                <w:sz w:val="15"/>
                <w:szCs w:val="15"/>
              </w:rPr>
              <w:t>协调度（</w:t>
            </w:r>
            <w:r>
              <w:rPr>
                <w:rFonts w:ascii="Times New Roman" w:hAnsi="Times New Roman" w:cs="Times New Roman"/>
                <w:sz w:val="15"/>
                <w:szCs w:val="15"/>
              </w:rPr>
              <w:t>D</w:t>
            </w:r>
            <w:r>
              <w:rPr>
                <w:rFonts w:ascii="Times New Roman" w:hAnsi="Times New Roman" w:cs="Times New Roman"/>
                <w:sz w:val="15"/>
                <w:szCs w:val="15"/>
              </w:rPr>
              <w:t>）</w:t>
            </w:r>
          </w:p>
        </w:tc>
        <w:tc>
          <w:tcPr>
            <w:tcW w:w="1354" w:type="pct"/>
            <w:noWrap/>
            <w:vAlign w:val="center"/>
          </w:tcPr>
          <w:p w14:paraId="76AEEAE0" w14:textId="77777777" w:rsidR="004E1490" w:rsidRDefault="00000000">
            <w:pPr>
              <w:jc w:val="center"/>
              <w:rPr>
                <w:rFonts w:ascii="Times New Roman" w:hAnsi="Times New Roman" w:cs="Times New Roman"/>
                <w:sz w:val="15"/>
                <w:szCs w:val="15"/>
              </w:rPr>
            </w:pPr>
            <w:r>
              <w:rPr>
                <w:rFonts w:ascii="Times New Roman" w:hAnsi="Times New Roman" w:cs="Times New Roman"/>
                <w:position w:val="-16"/>
                <w:sz w:val="15"/>
                <w:szCs w:val="15"/>
              </w:rPr>
              <w:object w:dxaOrig="2074" w:dyaOrig="462" w14:anchorId="50796C40">
                <v:shape id="_x0000_i1029" type="#_x0000_t75" style="width:103.7pt;height:23.05pt" o:ole="">
                  <v:imagedata r:id="rId14" o:title=""/>
                </v:shape>
                <o:OLEObject Type="Embed" ProgID="Equation.DSMT4" ShapeID="_x0000_i1029" DrawAspect="Content" ObjectID="_1786458088" r:id="rId15"/>
              </w:object>
            </w:r>
          </w:p>
        </w:tc>
        <w:tc>
          <w:tcPr>
            <w:tcW w:w="1432" w:type="pct"/>
            <w:noWrap/>
            <w:vAlign w:val="center"/>
          </w:tcPr>
          <w:p w14:paraId="2F758365" w14:textId="3A54FA86" w:rsidR="004E1490" w:rsidRDefault="00361E4A" w:rsidP="00361E4A">
            <w:pPr>
              <w:rPr>
                <w:rFonts w:ascii="Times New Roman" w:hAnsi="Times New Roman" w:cs="Times New Roman"/>
                <w:sz w:val="15"/>
                <w:szCs w:val="15"/>
              </w:rPr>
            </w:pPr>
            <w:r w:rsidRPr="00361E4A">
              <w:rPr>
                <w:rFonts w:ascii="Times New Roman" w:hAnsi="Times New Roman" w:cs="Times New Roman"/>
                <w:sz w:val="15"/>
                <w:szCs w:val="15"/>
              </w:rPr>
              <w:t>"When D tends towards 1, it indicates a higher level of coordination between the two systems; conversely, as D moves away from 1, the coordination between the two systems decreases."</w:t>
            </w:r>
          </w:p>
        </w:tc>
        <w:tc>
          <w:tcPr>
            <w:tcW w:w="1676" w:type="pct"/>
            <w:vMerge/>
          </w:tcPr>
          <w:p w14:paraId="4A3E8272" w14:textId="77777777" w:rsidR="004E1490" w:rsidRDefault="004E1490">
            <w:pPr>
              <w:jc w:val="center"/>
              <w:rPr>
                <w:rFonts w:ascii="Times New Roman" w:hAnsi="Times New Roman" w:cs="Times New Roman"/>
                <w:sz w:val="15"/>
                <w:szCs w:val="15"/>
              </w:rPr>
            </w:pPr>
          </w:p>
        </w:tc>
      </w:tr>
    </w:tbl>
    <w:p w14:paraId="57A37B95" w14:textId="77777777" w:rsidR="004E1490" w:rsidRDefault="00000000">
      <w:pPr>
        <w:ind w:firstLineChars="200" w:firstLine="360"/>
        <w:jc w:val="left"/>
        <w:rPr>
          <w:rFonts w:ascii="Times New Roman" w:hAnsi="Times New Roman" w:cs="Times New Roman"/>
          <w:bCs/>
          <w:sz w:val="18"/>
          <w:szCs w:val="18"/>
        </w:rPr>
      </w:pPr>
      <w:r>
        <w:rPr>
          <w:rFonts w:ascii="Times New Roman" w:hAnsi="Times New Roman" w:cs="Times New Roman"/>
          <w:bCs/>
          <w:sz w:val="18"/>
          <w:szCs w:val="18"/>
        </w:rPr>
        <w:t>Note: T represents the Transportation Advantage Index, U represents the New Urbanization Level, and m= T/2-U/2</w:t>
      </w:r>
      <w:r>
        <w:rPr>
          <w:rFonts w:ascii="Times New Roman" w:hAnsi="Times New Roman" w:cs="Times New Roman" w:hint="eastAsia"/>
          <w:bCs/>
          <w:sz w:val="18"/>
          <w:szCs w:val="18"/>
        </w:rPr>
        <w:t>.</w:t>
      </w:r>
    </w:p>
    <w:p w14:paraId="4B088651" w14:textId="77777777" w:rsidR="00C7586D" w:rsidRDefault="00C7586D">
      <w:pPr>
        <w:ind w:firstLineChars="200" w:firstLine="360"/>
        <w:rPr>
          <w:rFonts w:ascii="Times New Roman" w:hAnsi="Times New Roman" w:cs="Times New Roman"/>
          <w:bCs/>
          <w:i/>
          <w:iCs/>
          <w:sz w:val="18"/>
          <w:szCs w:val="18"/>
        </w:rPr>
      </w:pPr>
    </w:p>
    <w:p w14:paraId="58C25114" w14:textId="77777777" w:rsidR="00C7586D" w:rsidRDefault="00C7586D">
      <w:pPr>
        <w:ind w:firstLineChars="200" w:firstLine="360"/>
        <w:rPr>
          <w:rFonts w:ascii="Times New Roman" w:hAnsi="Times New Roman" w:cs="Times New Roman"/>
          <w:bCs/>
          <w:i/>
          <w:iCs/>
          <w:sz w:val="18"/>
          <w:szCs w:val="18"/>
        </w:rPr>
      </w:pPr>
    </w:p>
    <w:p w14:paraId="60FED33E" w14:textId="2115B4B5" w:rsidR="004E1490" w:rsidRDefault="00000000">
      <w:pPr>
        <w:ind w:firstLineChars="200" w:firstLine="360"/>
        <w:rPr>
          <w:rFonts w:ascii="Times New Roman" w:hAnsi="Times New Roman" w:cs="Times New Roman"/>
          <w:sz w:val="18"/>
          <w:szCs w:val="18"/>
        </w:rPr>
      </w:pPr>
      <w:r>
        <w:rPr>
          <w:rFonts w:ascii="Times New Roman" w:hAnsi="Times New Roman" w:cs="Times New Roman"/>
          <w:sz w:val="18"/>
          <w:szCs w:val="18"/>
        </w:rPr>
        <w:t xml:space="preserve">Tab. </w:t>
      </w:r>
      <w:r>
        <w:rPr>
          <w:rFonts w:ascii="Times New Roman" w:hAnsi="Times New Roman" w:cs="Times New Roman" w:hint="eastAsia"/>
          <w:sz w:val="18"/>
          <w:szCs w:val="18"/>
        </w:rPr>
        <w:t xml:space="preserve">4 </w:t>
      </w:r>
      <w:r>
        <w:rPr>
          <w:rFonts w:ascii="Times New Roman" w:hAnsi="Times New Roman" w:cs="Times New Roman"/>
          <w:sz w:val="18"/>
          <w:szCs w:val="18"/>
        </w:rPr>
        <w:t>Methods for analyzing development balance and spatial distribution characteristics</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0"/>
        <w:gridCol w:w="2169"/>
        <w:gridCol w:w="4213"/>
      </w:tblGrid>
      <w:tr w:rsidR="004E1490" w14:paraId="71F3A22B" w14:textId="77777777">
        <w:trPr>
          <w:jc w:val="center"/>
        </w:trPr>
        <w:tc>
          <w:tcPr>
            <w:tcW w:w="1255" w:type="pct"/>
            <w:tcBorders>
              <w:top w:val="single" w:sz="4" w:space="0" w:color="auto"/>
              <w:bottom w:val="single" w:sz="4" w:space="0" w:color="auto"/>
            </w:tcBorders>
            <w:noWrap/>
            <w:vAlign w:val="center"/>
          </w:tcPr>
          <w:p w14:paraId="2AFACD76" w14:textId="429FE785" w:rsidR="004E1490"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evaluation indicators</w:t>
            </w:r>
          </w:p>
        </w:tc>
        <w:tc>
          <w:tcPr>
            <w:tcW w:w="1272" w:type="pct"/>
            <w:tcBorders>
              <w:top w:val="single" w:sz="4" w:space="0" w:color="auto"/>
              <w:bottom w:val="single" w:sz="4" w:space="0" w:color="auto"/>
            </w:tcBorders>
            <w:noWrap/>
            <w:vAlign w:val="center"/>
          </w:tcPr>
          <w:p w14:paraId="72A8FCD5" w14:textId="2E860849" w:rsidR="004E1490" w:rsidRDefault="00361E4A">
            <w:pPr>
              <w:jc w:val="center"/>
              <w:rPr>
                <w:rFonts w:ascii="Times New Roman" w:hAnsi="Times New Roman" w:cs="Times New Roman"/>
                <w:sz w:val="15"/>
                <w:szCs w:val="15"/>
              </w:rPr>
            </w:pPr>
            <w:r w:rsidRPr="001A4F87">
              <w:rPr>
                <w:rFonts w:ascii="Times New Roman" w:hAnsi="Times New Roman" w:cs="Times New Roman"/>
                <w:sz w:val="15"/>
                <w:szCs w:val="15"/>
              </w:rPr>
              <w:t>computational formula</w:t>
            </w:r>
          </w:p>
        </w:tc>
        <w:tc>
          <w:tcPr>
            <w:tcW w:w="2471" w:type="pct"/>
            <w:tcBorders>
              <w:top w:val="single" w:sz="4" w:space="0" w:color="auto"/>
              <w:bottom w:val="single" w:sz="4" w:space="0" w:color="auto"/>
            </w:tcBorders>
            <w:noWrap/>
            <w:vAlign w:val="center"/>
          </w:tcPr>
          <w:p w14:paraId="57F876D5" w14:textId="3AA47AEA" w:rsidR="004E1490"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Further explanation</w:t>
            </w:r>
          </w:p>
        </w:tc>
      </w:tr>
      <w:tr w:rsidR="004E1490" w14:paraId="151C5041" w14:textId="77777777">
        <w:trPr>
          <w:jc w:val="center"/>
        </w:trPr>
        <w:tc>
          <w:tcPr>
            <w:tcW w:w="1255" w:type="pct"/>
            <w:tcBorders>
              <w:top w:val="single" w:sz="4" w:space="0" w:color="auto"/>
              <w:bottom w:val="nil"/>
            </w:tcBorders>
            <w:noWrap/>
            <w:vAlign w:val="center"/>
          </w:tcPr>
          <w:p w14:paraId="2AA12ED4" w14:textId="008651B4" w:rsidR="004E1490"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 xml:space="preserve">Gini coefficient and Lorenz curve </w:t>
            </w:r>
            <w:r>
              <w:rPr>
                <w:rFonts w:ascii="Times New Roman" w:hAnsi="Times New Roman" w:cs="Times New Roman"/>
                <w:sz w:val="15"/>
                <w:szCs w:val="15"/>
              </w:rPr>
              <w:fldChar w:fldCharType="begin"/>
            </w:r>
            <w:r>
              <w:rPr>
                <w:rFonts w:ascii="Times New Roman" w:hAnsi="Times New Roman" w:cs="Times New Roman"/>
                <w:sz w:val="15"/>
                <w:szCs w:val="15"/>
              </w:rPr>
              <w:instrText xml:space="preserve"> ADDIN NE.Ref.{00A236AA-E144-4495-96D6-CC6F6240262F}</w:instrText>
            </w:r>
            <w:r>
              <w:rPr>
                <w:rFonts w:ascii="Times New Roman" w:hAnsi="Times New Roman" w:cs="Times New Roman"/>
                <w:sz w:val="15"/>
                <w:szCs w:val="15"/>
              </w:rPr>
              <w:fldChar w:fldCharType="separate"/>
            </w:r>
            <w:r>
              <w:rPr>
                <w:rFonts w:ascii="Times New Roman" w:eastAsia="SimSun" w:hAnsi="Times New Roman" w:cs="Times New Roman"/>
                <w:color w:val="080000"/>
                <w:kern w:val="0"/>
                <w:sz w:val="15"/>
                <w:szCs w:val="15"/>
                <w:vertAlign w:val="superscript"/>
              </w:rPr>
              <w:t>[</w:t>
            </w:r>
            <w:r w:rsidR="00EE5EE2">
              <w:rPr>
                <w:rFonts w:ascii="Times New Roman" w:eastAsia="SimSun" w:hAnsi="Times New Roman" w:cs="Times New Roman" w:hint="eastAsia"/>
                <w:color w:val="080000"/>
                <w:kern w:val="0"/>
                <w:sz w:val="15"/>
                <w:szCs w:val="15"/>
                <w:vertAlign w:val="superscript"/>
              </w:rPr>
              <w:t>9</w:t>
            </w:r>
            <w:r>
              <w:rPr>
                <w:rFonts w:ascii="Times New Roman" w:eastAsia="SimSun" w:hAnsi="Times New Roman" w:cs="Times New Roman"/>
                <w:color w:val="080000"/>
                <w:kern w:val="0"/>
                <w:sz w:val="15"/>
                <w:szCs w:val="15"/>
                <w:vertAlign w:val="superscript"/>
              </w:rPr>
              <w:t>]</w:t>
            </w:r>
            <w:r>
              <w:rPr>
                <w:rFonts w:ascii="Times New Roman" w:hAnsi="Times New Roman" w:cs="Times New Roman"/>
                <w:sz w:val="15"/>
                <w:szCs w:val="15"/>
              </w:rPr>
              <w:fldChar w:fldCharType="end"/>
            </w:r>
          </w:p>
        </w:tc>
        <w:tc>
          <w:tcPr>
            <w:tcW w:w="1272" w:type="pct"/>
            <w:tcBorders>
              <w:top w:val="single" w:sz="4" w:space="0" w:color="auto"/>
              <w:bottom w:val="nil"/>
            </w:tcBorders>
            <w:noWrap/>
            <w:vAlign w:val="center"/>
          </w:tcPr>
          <w:p w14:paraId="048E4161" w14:textId="77777777" w:rsidR="004E1490" w:rsidRDefault="00000000">
            <w:pPr>
              <w:jc w:val="center"/>
              <w:rPr>
                <w:rFonts w:ascii="Times New Roman" w:hAnsi="Times New Roman" w:cs="Times New Roman"/>
                <w:sz w:val="15"/>
                <w:szCs w:val="15"/>
              </w:rPr>
            </w:pPr>
            <w:r>
              <w:rPr>
                <w:rFonts w:ascii="Times New Roman" w:hAnsi="Times New Roman" w:cs="Times New Roman"/>
                <w:position w:val="-14"/>
                <w:sz w:val="15"/>
                <w:szCs w:val="15"/>
              </w:rPr>
              <w:object w:dxaOrig="1666" w:dyaOrig="387" w14:anchorId="5D3AB302">
                <v:shape id="_x0000_i1030" type="#_x0000_t75" style="width:82.95pt;height:19.6pt" o:ole="">
                  <v:imagedata r:id="rId16" o:title=""/>
                </v:shape>
                <o:OLEObject Type="Embed" ProgID="Equation.DSMT4" ShapeID="_x0000_i1030" DrawAspect="Content" ObjectID="_1786458089" r:id="rId17"/>
              </w:object>
            </w:r>
          </w:p>
        </w:tc>
        <w:tc>
          <w:tcPr>
            <w:tcW w:w="2471" w:type="pct"/>
            <w:tcBorders>
              <w:top w:val="single" w:sz="4" w:space="0" w:color="auto"/>
              <w:bottom w:val="nil"/>
            </w:tcBorders>
            <w:noWrap/>
            <w:vAlign w:val="center"/>
          </w:tcPr>
          <w:p w14:paraId="606EC8DA" w14:textId="2A19933F" w:rsidR="004E1490"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The Gini coefficient G ranges between 0 and 1, with smaller values indicating more balanced income distribution. Based on values of 0.2, 0.3, 0.4, and 0.5, it is categorized as follows: absolute equality, comparative equality, relatively fair, significant disparity, and extreme disparity.</w:t>
            </w:r>
          </w:p>
        </w:tc>
      </w:tr>
      <w:tr w:rsidR="004E1490" w14:paraId="5B61F96B" w14:textId="77777777">
        <w:trPr>
          <w:jc w:val="center"/>
        </w:trPr>
        <w:tc>
          <w:tcPr>
            <w:tcW w:w="1255" w:type="pct"/>
            <w:tcBorders>
              <w:top w:val="nil"/>
            </w:tcBorders>
            <w:noWrap/>
            <w:vAlign w:val="center"/>
          </w:tcPr>
          <w:p w14:paraId="7A3F8728" w14:textId="607033A7" w:rsidR="004E1490"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 xml:space="preserve">Spatial autocorrelation </w:t>
            </w:r>
            <w:r>
              <w:rPr>
                <w:rFonts w:ascii="Times New Roman" w:hAnsi="Times New Roman" w:cs="Times New Roman"/>
                <w:sz w:val="15"/>
                <w:szCs w:val="15"/>
              </w:rPr>
              <w:fldChar w:fldCharType="begin"/>
            </w:r>
            <w:r>
              <w:rPr>
                <w:rFonts w:ascii="Times New Roman" w:hAnsi="Times New Roman" w:cs="Times New Roman"/>
                <w:sz w:val="15"/>
                <w:szCs w:val="15"/>
              </w:rPr>
              <w:instrText xml:space="preserve"> ADDIN NE.Ref.{325AB6E8-B7ED-4A3A-9A57-430727C8E2F4}</w:instrText>
            </w:r>
            <w:r>
              <w:rPr>
                <w:rFonts w:ascii="Times New Roman" w:hAnsi="Times New Roman" w:cs="Times New Roman"/>
                <w:sz w:val="15"/>
                <w:szCs w:val="15"/>
              </w:rPr>
              <w:fldChar w:fldCharType="separate"/>
            </w:r>
            <w:r>
              <w:rPr>
                <w:rFonts w:ascii="Times New Roman" w:eastAsia="SimSun" w:hAnsi="Times New Roman" w:cs="Times New Roman"/>
                <w:color w:val="080000"/>
                <w:kern w:val="0"/>
                <w:sz w:val="15"/>
                <w:szCs w:val="15"/>
                <w:vertAlign w:val="superscript"/>
              </w:rPr>
              <w:t>[</w:t>
            </w:r>
            <w:r w:rsidR="00EE5EE2">
              <w:rPr>
                <w:rFonts w:ascii="Times New Roman" w:eastAsia="SimSun" w:hAnsi="Times New Roman" w:cs="Times New Roman" w:hint="eastAsia"/>
                <w:color w:val="080000"/>
                <w:kern w:val="0"/>
                <w:sz w:val="15"/>
                <w:szCs w:val="15"/>
                <w:vertAlign w:val="superscript"/>
              </w:rPr>
              <w:t>9</w:t>
            </w:r>
            <w:r>
              <w:rPr>
                <w:rFonts w:ascii="Times New Roman" w:eastAsia="SimSun" w:hAnsi="Times New Roman" w:cs="Times New Roman"/>
                <w:color w:val="080000"/>
                <w:kern w:val="0"/>
                <w:sz w:val="15"/>
                <w:szCs w:val="15"/>
                <w:vertAlign w:val="superscript"/>
              </w:rPr>
              <w:t>]</w:t>
            </w:r>
            <w:r>
              <w:rPr>
                <w:rFonts w:ascii="Times New Roman" w:hAnsi="Times New Roman" w:cs="Times New Roman"/>
                <w:sz w:val="15"/>
                <w:szCs w:val="15"/>
              </w:rPr>
              <w:fldChar w:fldCharType="end"/>
            </w:r>
          </w:p>
        </w:tc>
        <w:tc>
          <w:tcPr>
            <w:tcW w:w="1272" w:type="pct"/>
            <w:tcBorders>
              <w:top w:val="nil"/>
            </w:tcBorders>
            <w:noWrap/>
            <w:vAlign w:val="center"/>
          </w:tcPr>
          <w:p w14:paraId="7230F68D" w14:textId="77777777" w:rsidR="004E1490" w:rsidRDefault="00000000">
            <w:pPr>
              <w:jc w:val="center"/>
              <w:rPr>
                <w:rFonts w:ascii="Times New Roman" w:hAnsi="Times New Roman" w:cs="Times New Roman"/>
                <w:sz w:val="15"/>
                <w:szCs w:val="15"/>
              </w:rPr>
            </w:pPr>
            <w:r>
              <w:rPr>
                <w:position w:val="-54"/>
              </w:rPr>
              <w:object w:dxaOrig="2053" w:dyaOrig="645" w14:anchorId="2FF232D0">
                <v:shape id="_x0000_i1031" type="#_x0000_t75" style="width:102.55pt;height:32.25pt" o:ole="">
                  <v:imagedata r:id="rId18" o:title=""/>
                </v:shape>
                <o:OLEObject Type="Embed" ProgID="Equation.DSMT4" ShapeID="_x0000_i1031" DrawAspect="Content" ObjectID="_1786458090" r:id="rId19"/>
              </w:object>
            </w:r>
          </w:p>
        </w:tc>
        <w:tc>
          <w:tcPr>
            <w:tcW w:w="2471" w:type="pct"/>
            <w:tcBorders>
              <w:top w:val="nil"/>
            </w:tcBorders>
            <w:noWrap/>
            <w:vAlign w:val="center"/>
          </w:tcPr>
          <w:p w14:paraId="5B6F6426" w14:textId="0134642B" w:rsidR="004E1490" w:rsidRDefault="00000000">
            <w:pPr>
              <w:jc w:val="center"/>
              <w:rPr>
                <w:rFonts w:ascii="Times New Roman" w:hAnsi="Times New Roman" w:cs="Times New Roman"/>
                <w:sz w:val="15"/>
                <w:szCs w:val="15"/>
              </w:rPr>
            </w:pPr>
            <w:proofErr w:type="gramStart"/>
            <w:r>
              <w:rPr>
                <w:rFonts w:ascii="Times New Roman" w:hAnsi="Times New Roman" w:cs="Times New Roman"/>
                <w:i/>
                <w:iCs/>
                <w:sz w:val="15"/>
                <w:szCs w:val="15"/>
              </w:rPr>
              <w:t>Moran’s</w:t>
            </w:r>
            <w:proofErr w:type="gramEnd"/>
            <w:r>
              <w:rPr>
                <w:rFonts w:ascii="Times New Roman" w:hAnsi="Times New Roman" w:cs="Times New Roman"/>
                <w:i/>
                <w:iCs/>
                <w:sz w:val="15"/>
                <w:szCs w:val="15"/>
              </w:rPr>
              <w:t xml:space="preserve"> I</w:t>
            </w:r>
            <w:r>
              <w:rPr>
                <w:rFonts w:ascii="Times New Roman" w:hAnsi="Times New Roman" w:cs="Times New Roman"/>
                <w:sz w:val="15"/>
                <w:szCs w:val="15"/>
              </w:rPr>
              <w:t xml:space="preserve"> </w:t>
            </w:r>
            <w:r w:rsidR="00361E4A" w:rsidRPr="00361E4A">
              <w:rPr>
                <w:rFonts w:ascii="Times New Roman" w:hAnsi="Times New Roman" w:cs="Times New Roman"/>
                <w:sz w:val="15"/>
                <w:szCs w:val="15"/>
              </w:rPr>
              <w:t>ranges from -1 to 1. A value greater than 0 indicates positive spatial autocorrelation, while a value less than 0 indicates negative spatial autocorrelation.</w:t>
            </w:r>
            <w:r>
              <w:rPr>
                <w:rFonts w:ascii="Times New Roman" w:hAnsi="Times New Roman" w:cs="Times New Roman"/>
                <w:sz w:val="15"/>
                <w:szCs w:val="15"/>
              </w:rPr>
              <w:t>。</w:t>
            </w:r>
          </w:p>
        </w:tc>
      </w:tr>
      <w:tr w:rsidR="004E1490" w14:paraId="4378AE57" w14:textId="77777777">
        <w:trPr>
          <w:jc w:val="center"/>
        </w:trPr>
        <w:tc>
          <w:tcPr>
            <w:tcW w:w="1255" w:type="pct"/>
            <w:noWrap/>
            <w:vAlign w:val="center"/>
          </w:tcPr>
          <w:p w14:paraId="58AA6220" w14:textId="6FE9FCBC" w:rsidR="004E1490" w:rsidRDefault="00361E4A">
            <w:pPr>
              <w:jc w:val="center"/>
              <w:rPr>
                <w:rFonts w:ascii="Times New Roman" w:hAnsi="Times New Roman" w:cs="Times New Roman"/>
                <w:i/>
                <w:iCs/>
                <w:sz w:val="15"/>
                <w:szCs w:val="15"/>
              </w:rPr>
            </w:pPr>
            <w:r w:rsidRPr="00361E4A">
              <w:rPr>
                <w:rFonts w:ascii="Times New Roman" w:hAnsi="Times New Roman" w:cs="Times New Roman"/>
                <w:i/>
                <w:iCs/>
                <w:sz w:val="15"/>
                <w:szCs w:val="15"/>
              </w:rPr>
              <w:t xml:space="preserve">Hotspot analysis </w:t>
            </w:r>
            <w:r>
              <w:rPr>
                <w:rFonts w:ascii="Times New Roman" w:hAnsi="Times New Roman" w:cs="Times New Roman"/>
                <w:i/>
                <w:iCs/>
                <w:sz w:val="15"/>
                <w:szCs w:val="15"/>
              </w:rPr>
              <w:fldChar w:fldCharType="begin"/>
            </w:r>
            <w:r>
              <w:rPr>
                <w:rFonts w:ascii="Times New Roman" w:hAnsi="Times New Roman" w:cs="Times New Roman"/>
                <w:i/>
                <w:iCs/>
                <w:sz w:val="15"/>
                <w:szCs w:val="15"/>
              </w:rPr>
              <w:instrText xml:space="preserve"> ADDIN NE.Ref.{DECABC23-8B0C-4EAE-B804-1CAEC4D64B1D}</w:instrText>
            </w:r>
            <w:r>
              <w:rPr>
                <w:rFonts w:ascii="Times New Roman" w:hAnsi="Times New Roman" w:cs="Times New Roman"/>
                <w:i/>
                <w:iCs/>
                <w:sz w:val="15"/>
                <w:szCs w:val="15"/>
              </w:rPr>
              <w:fldChar w:fldCharType="separate"/>
            </w:r>
            <w:r>
              <w:rPr>
                <w:rFonts w:ascii="Times New Roman" w:eastAsia="SimSun" w:hAnsi="Times New Roman" w:cs="Times New Roman"/>
                <w:i/>
                <w:iCs/>
                <w:color w:val="080000"/>
                <w:kern w:val="0"/>
                <w:sz w:val="15"/>
                <w:szCs w:val="15"/>
                <w:vertAlign w:val="superscript"/>
              </w:rPr>
              <w:t>[</w:t>
            </w:r>
            <w:r w:rsidR="00EE5EE2">
              <w:rPr>
                <w:rFonts w:ascii="Times New Roman" w:eastAsia="SimSun" w:hAnsi="Times New Roman" w:cs="Times New Roman" w:hint="eastAsia"/>
                <w:i/>
                <w:iCs/>
                <w:color w:val="080000"/>
                <w:kern w:val="0"/>
                <w:sz w:val="15"/>
                <w:szCs w:val="15"/>
                <w:vertAlign w:val="superscript"/>
              </w:rPr>
              <w:t>49</w:t>
            </w:r>
            <w:r>
              <w:rPr>
                <w:rFonts w:ascii="Times New Roman" w:eastAsia="SimSun" w:hAnsi="Times New Roman" w:cs="Times New Roman"/>
                <w:i/>
                <w:iCs/>
                <w:color w:val="080000"/>
                <w:kern w:val="0"/>
                <w:sz w:val="15"/>
                <w:szCs w:val="15"/>
                <w:vertAlign w:val="superscript"/>
              </w:rPr>
              <w:t>]</w:t>
            </w:r>
            <w:r>
              <w:rPr>
                <w:rFonts w:ascii="Times New Roman" w:hAnsi="Times New Roman" w:cs="Times New Roman"/>
                <w:i/>
                <w:iCs/>
                <w:sz w:val="15"/>
                <w:szCs w:val="15"/>
              </w:rPr>
              <w:fldChar w:fldCharType="end"/>
            </w:r>
          </w:p>
        </w:tc>
        <w:tc>
          <w:tcPr>
            <w:tcW w:w="1272" w:type="pct"/>
            <w:noWrap/>
            <w:vAlign w:val="center"/>
          </w:tcPr>
          <w:p w14:paraId="1B8340D1" w14:textId="77777777" w:rsidR="004E1490" w:rsidRDefault="00000000">
            <w:pPr>
              <w:jc w:val="center"/>
              <w:rPr>
                <w:rFonts w:ascii="Times New Roman" w:hAnsi="Times New Roman" w:cs="Times New Roman"/>
                <w:i/>
                <w:iCs/>
                <w:sz w:val="15"/>
                <w:szCs w:val="15"/>
              </w:rPr>
            </w:pPr>
            <w:r>
              <w:rPr>
                <w:i/>
                <w:iCs/>
                <w:position w:val="-106"/>
              </w:rPr>
              <w:object w:dxaOrig="2053" w:dyaOrig="1128" w14:anchorId="79941C4B">
                <v:shape id="_x0000_i1032" type="#_x0000_t75" style="width:102.55pt;height:56.45pt" o:ole="">
                  <v:imagedata r:id="rId20" o:title=""/>
                </v:shape>
                <o:OLEObject Type="Embed" ProgID="Equation.DSMT4" ShapeID="_x0000_i1032" DrawAspect="Content" ObjectID="_1786458091" r:id="rId21"/>
              </w:object>
            </w:r>
          </w:p>
        </w:tc>
        <w:tc>
          <w:tcPr>
            <w:tcW w:w="2471" w:type="pct"/>
            <w:noWrap/>
            <w:vAlign w:val="center"/>
          </w:tcPr>
          <w:p w14:paraId="155A4794" w14:textId="30D4DBD0" w:rsidR="004E1490" w:rsidRPr="00361E4A" w:rsidRDefault="00361E4A">
            <w:pPr>
              <w:jc w:val="center"/>
              <w:rPr>
                <w:rFonts w:ascii="Times New Roman" w:hAnsi="Times New Roman" w:cs="Times New Roman"/>
                <w:sz w:val="15"/>
                <w:szCs w:val="15"/>
              </w:rPr>
            </w:pPr>
            <w:r w:rsidRPr="00361E4A">
              <w:rPr>
                <w:rFonts w:ascii="Times New Roman" w:hAnsi="Times New Roman" w:cs="Times New Roman"/>
                <w:sz w:val="15"/>
                <w:szCs w:val="15"/>
              </w:rPr>
              <w:t>The statistical significance of Gi* is tested using standardized Z-values. A positive Z-value indicates stronger clustering of high values (hotspots), with higher values indicating tighter clustering. Conversely, lower Z-values indicate looser clustering.</w:t>
            </w:r>
          </w:p>
        </w:tc>
      </w:tr>
    </w:tbl>
    <w:p w14:paraId="213B98FD" w14:textId="77777777" w:rsidR="002970ED" w:rsidRPr="002970ED" w:rsidRDefault="002970ED">
      <w:pPr>
        <w:jc w:val="left"/>
        <w:rPr>
          <w:rFonts w:ascii="Times New Roman" w:hAnsi="Times New Roman" w:cs="Times New Roman"/>
          <w:bCs/>
          <w:sz w:val="18"/>
          <w:szCs w:val="18"/>
        </w:rPr>
      </w:pPr>
    </w:p>
    <w:sectPr w:rsidR="002970ED" w:rsidRPr="002970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9F7EF" w14:textId="77777777" w:rsidR="00474989" w:rsidRDefault="00474989" w:rsidP="00F03869">
      <w:r>
        <w:separator/>
      </w:r>
    </w:p>
  </w:endnote>
  <w:endnote w:type="continuationSeparator" w:id="0">
    <w:p w14:paraId="4006D1F4" w14:textId="77777777" w:rsidR="00474989" w:rsidRDefault="00474989" w:rsidP="00F0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DF8C8" w14:textId="77777777" w:rsidR="00474989" w:rsidRDefault="00474989" w:rsidP="00F03869">
      <w:r>
        <w:separator/>
      </w:r>
    </w:p>
  </w:footnote>
  <w:footnote w:type="continuationSeparator" w:id="0">
    <w:p w14:paraId="6AF3E627" w14:textId="77777777" w:rsidR="00474989" w:rsidRDefault="00474989" w:rsidP="00F038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ZmNTkzNzEwNzA1NzA3MzgwZTg1YmMwNWI5MzFjOTEifQ=="/>
  </w:docVars>
  <w:rsids>
    <w:rsidRoot w:val="004E1490"/>
    <w:rsid w:val="0012209F"/>
    <w:rsid w:val="001550BD"/>
    <w:rsid w:val="001A4F87"/>
    <w:rsid w:val="001C0755"/>
    <w:rsid w:val="001D0FEB"/>
    <w:rsid w:val="00235999"/>
    <w:rsid w:val="002970ED"/>
    <w:rsid w:val="002D4A41"/>
    <w:rsid w:val="00361E4A"/>
    <w:rsid w:val="003E7832"/>
    <w:rsid w:val="00474989"/>
    <w:rsid w:val="004944FA"/>
    <w:rsid w:val="004B4186"/>
    <w:rsid w:val="004E1490"/>
    <w:rsid w:val="00562496"/>
    <w:rsid w:val="005A08AA"/>
    <w:rsid w:val="00691D9F"/>
    <w:rsid w:val="006A470E"/>
    <w:rsid w:val="007842D3"/>
    <w:rsid w:val="008109AA"/>
    <w:rsid w:val="008220D2"/>
    <w:rsid w:val="00844463"/>
    <w:rsid w:val="0085629D"/>
    <w:rsid w:val="00996ADD"/>
    <w:rsid w:val="009A3B18"/>
    <w:rsid w:val="00A57E0B"/>
    <w:rsid w:val="00AC4B62"/>
    <w:rsid w:val="00B15962"/>
    <w:rsid w:val="00B83ADD"/>
    <w:rsid w:val="00C7586D"/>
    <w:rsid w:val="00C97A4D"/>
    <w:rsid w:val="00D80C90"/>
    <w:rsid w:val="00E53537"/>
    <w:rsid w:val="00E6017C"/>
    <w:rsid w:val="00EB51D5"/>
    <w:rsid w:val="00EC652D"/>
    <w:rsid w:val="00EE5EE2"/>
    <w:rsid w:val="00F03869"/>
    <w:rsid w:val="00F40A5A"/>
    <w:rsid w:val="00F43CBE"/>
    <w:rsid w:val="0C575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E9CC8"/>
  <w15:docId w15:val="{C7C30DFA-50EB-4423-8BAA-4C791460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21heading1">
    <w:name w:val="MDPI_2.1_heading1"/>
    <w:qFormat/>
    <w:pPr>
      <w:adjustRightInd w:val="0"/>
      <w:snapToGrid w:val="0"/>
      <w:spacing w:before="600" w:after="60" w:line="228" w:lineRule="auto"/>
      <w:outlineLvl w:val="0"/>
    </w:pPr>
    <w:rPr>
      <w:rFonts w:ascii="Palatino Linotype" w:eastAsia="Times New Roman" w:hAnsi="Palatino Linotype"/>
      <w:b/>
      <w:color w:val="000000"/>
      <w:szCs w:val="22"/>
      <w:lang w:eastAsia="de-DE" w:bidi="en-US"/>
    </w:rPr>
  </w:style>
  <w:style w:type="paragraph" w:styleId="Header">
    <w:name w:val="header"/>
    <w:basedOn w:val="Normal"/>
    <w:link w:val="HeaderChar"/>
    <w:rsid w:val="00F03869"/>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F03869"/>
    <w:rPr>
      <w:rFonts w:asciiTheme="minorHAnsi" w:eastAsiaTheme="minorEastAsia" w:hAnsiTheme="minorHAnsi" w:cstheme="minorBidi"/>
      <w:kern w:val="2"/>
      <w:sz w:val="18"/>
      <w:szCs w:val="18"/>
    </w:rPr>
  </w:style>
  <w:style w:type="paragraph" w:styleId="Footer">
    <w:name w:val="footer"/>
    <w:basedOn w:val="Normal"/>
    <w:link w:val="FooterChar"/>
    <w:rsid w:val="00F03869"/>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F0386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653246">
      <w:bodyDiv w:val="1"/>
      <w:marLeft w:val="0"/>
      <w:marRight w:val="0"/>
      <w:marTop w:val="0"/>
      <w:marBottom w:val="0"/>
      <w:divBdr>
        <w:top w:val="none" w:sz="0" w:space="0" w:color="auto"/>
        <w:left w:val="none" w:sz="0" w:space="0" w:color="auto"/>
        <w:bottom w:val="none" w:sz="0" w:space="0" w:color="auto"/>
        <w:right w:val="none" w:sz="0" w:space="0" w:color="auto"/>
      </w:divBdr>
    </w:div>
    <w:div w:id="476920591">
      <w:bodyDiv w:val="1"/>
      <w:marLeft w:val="0"/>
      <w:marRight w:val="0"/>
      <w:marTop w:val="0"/>
      <w:marBottom w:val="0"/>
      <w:divBdr>
        <w:top w:val="none" w:sz="0" w:space="0" w:color="auto"/>
        <w:left w:val="none" w:sz="0" w:space="0" w:color="auto"/>
        <w:bottom w:val="none" w:sz="0" w:space="0" w:color="auto"/>
        <w:right w:val="none" w:sz="0" w:space="0" w:color="auto"/>
      </w:divBdr>
    </w:div>
    <w:div w:id="802190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2</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dc:creator>
  <cp:lastModifiedBy>Bhushan Tandale</cp:lastModifiedBy>
  <cp:revision>14</cp:revision>
  <dcterms:created xsi:type="dcterms:W3CDTF">2024-07-03T05:02:00Z</dcterms:created>
  <dcterms:modified xsi:type="dcterms:W3CDTF">2024-08-29T12:05:00Z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BB069D8C57B34C128462098CB7EDEF1F_12</vt:lpwstr>
  </property>
</Properties>
</file>