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W w:w="59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4"/>
        <w:gridCol w:w="1529"/>
        <w:gridCol w:w="2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5970" w:type="dxa"/>
            <w:gridSpan w:val="3"/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Table 3. Inflammatory marker levels in unilateral vs. bilateral robotics TKR patients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529" w:type="dxa"/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2227" w:type="dxa"/>
            <w:shd w:val="clear" w:color="auto" w:fill="auto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IL-6 - pre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14" w:type="dxa"/>
            <w:shd w:val="clear" w:color="auto" w:fill="E2EFD9" w:themeFill="accent6" w:themeFillTint="33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IL-6 – post 12hrs</w:t>
            </w:r>
          </w:p>
        </w:tc>
        <w:tc>
          <w:tcPr>
            <w:tcW w:w="152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7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2214" w:type="dxa"/>
            <w:shd w:val="clear" w:color="auto" w:fill="E2EFD9" w:themeFill="accent6" w:themeFillTint="33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IL-6 – post 24hrs</w:t>
            </w:r>
          </w:p>
        </w:tc>
        <w:tc>
          <w:tcPr>
            <w:tcW w:w="152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7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2214" w:type="dxa"/>
            <w:shd w:val="clear" w:color="auto" w:fill="E2EFD9" w:themeFill="accent6" w:themeFillTint="33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IL-6 – post 48hrs</w:t>
            </w:r>
          </w:p>
        </w:tc>
        <w:tc>
          <w:tcPr>
            <w:tcW w:w="152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7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CRP - pre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  <w:jc w:val="center"/>
        </w:trPr>
        <w:tc>
          <w:tcPr>
            <w:tcW w:w="2214" w:type="dxa"/>
            <w:shd w:val="clear" w:color="auto" w:fill="E2EFD9" w:themeFill="accent6" w:themeFillTint="33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CRP - post 12hrs</w:t>
            </w:r>
          </w:p>
        </w:tc>
        <w:tc>
          <w:tcPr>
            <w:tcW w:w="152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2227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2214" w:type="dxa"/>
            <w:shd w:val="clear" w:color="auto" w:fill="E2EFD9" w:themeFill="accent6" w:themeFillTint="33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CRP – post 24hrs</w:t>
            </w:r>
          </w:p>
        </w:tc>
        <w:tc>
          <w:tcPr>
            <w:tcW w:w="152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7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14" w:type="dxa"/>
            <w:shd w:val="clear" w:color="auto" w:fill="E2EFD9" w:themeFill="accent6" w:themeFillTint="33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CRP –post 48hrs</w:t>
            </w:r>
          </w:p>
        </w:tc>
        <w:tc>
          <w:tcPr>
            <w:tcW w:w="152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7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LDH -pre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LDH – post 12hrs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LDH – post 24hrs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LDH – post 48hrs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14" w:type="dxa"/>
            <w:shd w:val="clear" w:color="auto" w:fill="E2EFD9" w:themeFill="accent6" w:themeFillTint="33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ESR -pre</w:t>
            </w:r>
          </w:p>
        </w:tc>
        <w:tc>
          <w:tcPr>
            <w:tcW w:w="152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2227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ESR –post 12hrs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2214" w:type="dxa"/>
            <w:shd w:val="clear" w:color="auto" w:fill="E2EFD9" w:themeFill="accent6" w:themeFillTint="33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ESR –post 24hrs</w:t>
            </w:r>
          </w:p>
        </w:tc>
        <w:tc>
          <w:tcPr>
            <w:tcW w:w="152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7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2214" w:type="dxa"/>
            <w:shd w:val="clear" w:color="auto" w:fill="E2EFD9" w:themeFill="accent6" w:themeFillTint="33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ESR –post 48hrs</w:t>
            </w:r>
          </w:p>
        </w:tc>
        <w:tc>
          <w:tcPr>
            <w:tcW w:w="1529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227" w:type="dxa"/>
            <w:shd w:val="clear" w:color="auto" w:fill="E2EFD9" w:themeFill="accent6" w:themeFillTint="33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AST -pre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AST – post 12hrs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AST –post 24hrs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2214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AST –post 48hrs</w:t>
            </w:r>
          </w:p>
        </w:tc>
        <w:tc>
          <w:tcPr>
            <w:tcW w:w="1529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2227" w:type="dxa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Not significant</w:t>
            </w: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Lucida Sans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40502020204"/>
    <w:charset w:val="00"/>
    <w:family w:val="auto"/>
    <w:pitch w:val="default"/>
    <w:sig w:usb0="8100AAF7" w:usb1="0000807B" w:usb2="00000008" w:usb3="00000000" w:csb0="6000009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51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en-IN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2023-10-27T09:11:20Z</dcterms:created>
  <dc:creator>anjal</dc:creator>
  <cp:lastModifiedBy>ABD</cp:lastModifiedBy>
  <dcterms:modified xsi:type="dcterms:W3CDTF">2023-10-27T09:12:07Z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F19069C2EAF844E8B9B745A27AB33BE7_12</vt:lpwstr>
  </property>
</Properties>
</file>