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4"/>
        <w:tblW w:w="6202" w:type="pct"/>
        <w:tblInd w:w="-97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07"/>
        <w:gridCol w:w="1199"/>
        <w:gridCol w:w="617"/>
        <w:gridCol w:w="1197"/>
        <w:gridCol w:w="1316"/>
        <w:gridCol w:w="1533"/>
        <w:gridCol w:w="2480"/>
        <w:gridCol w:w="1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 w:hRule="atLeast"/>
        </w:trPr>
        <w:tc>
          <w:tcPr>
            <w:tcW w:w="5000" w:type="pct"/>
            <w:gridSpan w:val="8"/>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tl w:val="0"/>
                <w:lang w:val="en-US"/>
              </w:rPr>
              <w:t xml:space="preserve">Table 4. </w:t>
            </w:r>
            <w:r>
              <w:rPr>
                <w:rFonts w:hint="default" w:ascii="Times New Roman" w:hAnsi="Times New Roman" w:cs="Times New Roman"/>
                <w:b w:val="0"/>
                <w:bCs w:val="0"/>
                <w:sz w:val="20"/>
                <w:szCs w:val="20"/>
                <w:rtl w:val="0"/>
              </w:rPr>
              <w:t>Baseline comparesion of Inflammatory markers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sz w:val="20"/>
                <w:szCs w:val="20"/>
              </w:rPr>
            </w:pPr>
            <w:r>
              <w:rPr>
                <w:rFonts w:hint="default" w:ascii="Times New Roman" w:hAnsi="Times New Roman" w:cs="Times New Roman"/>
                <w:sz w:val="20"/>
                <w:szCs w:val="20"/>
                <w:rtl w:val="0"/>
              </w:rPr>
              <w:t>S</w:t>
            </w:r>
            <w:r>
              <w:rPr>
                <w:rFonts w:hint="default" w:ascii="Times New Roman" w:hAnsi="Times New Roman" w:cs="Times New Roman"/>
                <w:sz w:val="20"/>
                <w:szCs w:val="20"/>
                <w:rtl w:val="0"/>
                <w:lang w:val="en-US"/>
              </w:rPr>
              <w:t>r</w:t>
            </w:r>
            <w:r>
              <w:rPr>
                <w:rFonts w:hint="default" w:ascii="Times New Roman" w:hAnsi="Times New Roman" w:cs="Times New Roman"/>
                <w:sz w:val="20"/>
                <w:szCs w:val="20"/>
                <w:rtl w:val="0"/>
              </w:rPr>
              <w:t>.No</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sz w:val="20"/>
                <w:szCs w:val="20"/>
              </w:rPr>
            </w:pPr>
            <w:r>
              <w:rPr>
                <w:rFonts w:hint="default" w:ascii="Times New Roman" w:hAnsi="Times New Roman" w:cs="Times New Roman"/>
                <w:sz w:val="20"/>
                <w:szCs w:val="20"/>
                <w:rtl w:val="0"/>
              </w:rPr>
              <w:t>Author</w:t>
            </w: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sz w:val="20"/>
                <w:szCs w:val="20"/>
              </w:rPr>
            </w:pPr>
            <w:r>
              <w:rPr>
                <w:rFonts w:hint="default" w:ascii="Times New Roman" w:hAnsi="Times New Roman" w:cs="Times New Roman"/>
                <w:sz w:val="20"/>
                <w:szCs w:val="20"/>
                <w:rtl w:val="0"/>
              </w:rPr>
              <w:t>Year</w:t>
            </w: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sz w:val="20"/>
                <w:szCs w:val="20"/>
              </w:rPr>
            </w:pPr>
            <w:r>
              <w:rPr>
                <w:rFonts w:hint="default" w:ascii="Times New Roman" w:hAnsi="Times New Roman" w:cs="Times New Roman"/>
                <w:sz w:val="20"/>
                <w:szCs w:val="20"/>
                <w:rtl w:val="0"/>
              </w:rPr>
              <w:t>sample size (Patients)</w:t>
            </w: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sz w:val="20"/>
                <w:szCs w:val="20"/>
              </w:rPr>
            </w:pPr>
            <w:r>
              <w:rPr>
                <w:rFonts w:hint="default" w:ascii="Times New Roman" w:hAnsi="Times New Roman" w:cs="Times New Roman"/>
                <w:sz w:val="20"/>
                <w:szCs w:val="20"/>
                <w:rtl w:val="0"/>
              </w:rPr>
              <w:t>Inflammatory marker</w:t>
            </w: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sz w:val="20"/>
                <w:szCs w:val="20"/>
              </w:rPr>
            </w:pPr>
            <w:r>
              <w:rPr>
                <w:rFonts w:hint="default" w:ascii="Times New Roman" w:hAnsi="Times New Roman" w:cs="Times New Roman"/>
                <w:sz w:val="20"/>
                <w:szCs w:val="20"/>
                <w:rtl w:val="0"/>
              </w:rPr>
              <w:t>Duration</w:t>
            </w: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sz w:val="20"/>
                <w:szCs w:val="20"/>
              </w:rPr>
            </w:pPr>
            <w:r>
              <w:rPr>
                <w:rFonts w:hint="default" w:ascii="Times New Roman" w:hAnsi="Times New Roman" w:cs="Times New Roman"/>
                <w:sz w:val="20"/>
                <w:szCs w:val="20"/>
                <w:rtl w:val="0"/>
              </w:rPr>
              <w:t>Level</w:t>
            </w: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center"/>
              <w:rPr>
                <w:rFonts w:hint="default" w:ascii="Times New Roman" w:hAnsi="Times New Roman" w:cs="Times New Roman"/>
                <w:sz w:val="20"/>
                <w:szCs w:val="20"/>
              </w:rPr>
            </w:pPr>
            <w:r>
              <w:rPr>
                <w:rFonts w:hint="default" w:ascii="Times New Roman" w:hAnsi="Times New Roman" w:cs="Times New Roman"/>
                <w:sz w:val="20"/>
                <w:szCs w:val="20"/>
                <w:rtl w:val="0"/>
              </w:rPr>
              <w:t>Findings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1</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Shen H et al</w:t>
            </w: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2009</w:t>
            </w: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102</w:t>
            </w: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CRP</w:t>
            </w:r>
          </w:p>
          <w:p>
            <w:pPr>
              <w:jc w:val="left"/>
              <w:rPr>
                <w:rFonts w:hint="default" w:ascii="Times New Roman" w:hAnsi="Times New Roman" w:cs="Times New Roman"/>
                <w:sz w:val="20"/>
                <w:szCs w:val="20"/>
              </w:rPr>
            </w:pP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Preoperative, Postoperative 2 and 7-day</w:t>
            </w:r>
          </w:p>
          <w:p>
            <w:pPr>
              <w:jc w:val="left"/>
              <w:rPr>
                <w:rFonts w:hint="default" w:ascii="Times New Roman" w:hAnsi="Times New Roman" w:cs="Times New Roman"/>
                <w:sz w:val="20"/>
                <w:szCs w:val="20"/>
              </w:rPr>
            </w:pP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Measure the CRP level of conventional TKA, Navigation TKA, Hip resurfacing and THA.                                        Peak CRP levels were on the second day after surgery. The peak CRP levels after computer navigation</w:t>
            </w:r>
            <w:bookmarkStart w:id="1" w:name="_GoBack"/>
            <w:bookmarkEnd w:id="1"/>
            <w:r>
              <w:rPr>
                <w:rFonts w:hint="default" w:ascii="Times New Roman" w:hAnsi="Times New Roman" w:cs="Times New Roman"/>
                <w:sz w:val="20"/>
                <w:szCs w:val="20"/>
                <w:rtl w:val="0"/>
              </w:rPr>
              <w:t xml:space="preserve">-assisted TKA were lower than those after conventional. </w:t>
            </w:r>
            <w:r>
              <w:rPr>
                <w:rFonts w:hint="default" w:ascii="Times New Roman" w:hAnsi="Times New Roman" w:cs="Times New Roman"/>
                <w:sz w:val="20"/>
                <w:szCs w:val="20"/>
                <w:rtl w:val="0"/>
              </w:rPr>
              <w:br w:type="textWrapping"/>
            </w:r>
            <w:r>
              <w:rPr>
                <w:rFonts w:hint="default" w:ascii="Times New Roman" w:hAnsi="Times New Roman" w:cs="Times New Roman"/>
                <w:sz w:val="20"/>
                <w:szCs w:val="20"/>
                <w:rtl w:val="0"/>
              </w:rPr>
              <w:t>Primary TKA.</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The peak CRP levels of navigation-assisted TKA patients were significantly lower than those of conventional TKA.</w:t>
            </w:r>
          </w:p>
          <w:p>
            <w:pPr>
              <w:jc w:val="left"/>
              <w:rPr>
                <w:rFonts w:hint="default"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Honsawek S et al</w:t>
            </w:r>
          </w:p>
          <w:p>
            <w:pPr>
              <w:jc w:val="left"/>
              <w:rPr>
                <w:rFonts w:hint="default" w:ascii="Times New Roman" w:hAnsi="Times New Roman" w:cs="Times New Roman"/>
                <w:sz w:val="20"/>
                <w:szCs w:val="20"/>
              </w:rPr>
            </w:pP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2011</w:t>
            </w: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49</w:t>
            </w: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CRP, ESR</w:t>
            </w:r>
          </w:p>
          <w:p>
            <w:pPr>
              <w:jc w:val="left"/>
              <w:rPr>
                <w:rFonts w:hint="default" w:ascii="Times New Roman" w:hAnsi="Times New Roman" w:cs="Times New Roman"/>
                <w:sz w:val="20"/>
                <w:szCs w:val="20"/>
              </w:rPr>
            </w:pP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Preoperative and postoperative  1,  2,  6, 14-day and  26 week</w:t>
            </w:r>
          </w:p>
          <w:p>
            <w:pPr>
              <w:jc w:val="left"/>
              <w:rPr>
                <w:rFonts w:hint="default" w:ascii="Times New Roman" w:hAnsi="Times New Roman" w:cs="Times New Roman"/>
                <w:sz w:val="20"/>
                <w:szCs w:val="20"/>
              </w:rPr>
            </w:pP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and CRP  elevated on the postoperative day one, returned to preoperative values at two weeks and normal by six weeks postoperatively.                                                                  ESR  peak two weeks postoperative and returned to the preoperative level at 26 weeks postoperatively.</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A sustained elevation in serum  CRP, IL-6, and ESR and raised skin temperature may suggest the development of postoperative complications.</w:t>
            </w:r>
          </w:p>
          <w:p>
            <w:pPr>
              <w:jc w:val="left"/>
              <w:rPr>
                <w:rFonts w:hint="default"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3</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Barretto JM et al</w:t>
            </w:r>
          </w:p>
          <w:p>
            <w:pPr>
              <w:jc w:val="left"/>
              <w:rPr>
                <w:rFonts w:hint="default" w:ascii="Times New Roman" w:hAnsi="Times New Roman" w:cs="Times New Roman"/>
                <w:sz w:val="20"/>
                <w:szCs w:val="20"/>
              </w:rPr>
            </w:pP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2017</w:t>
            </w:r>
          </w:p>
          <w:p>
            <w:pPr>
              <w:jc w:val="left"/>
              <w:rPr>
                <w:rFonts w:hint="default" w:ascii="Times New Roman" w:hAnsi="Times New Roman" w:cs="Times New Roman"/>
                <w:sz w:val="20"/>
                <w:szCs w:val="20"/>
              </w:rPr>
            </w:pP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117</w:t>
            </w:r>
          </w:p>
          <w:p>
            <w:pPr>
              <w:jc w:val="left"/>
              <w:rPr>
                <w:rFonts w:hint="default" w:ascii="Times New Roman" w:hAnsi="Times New Roman" w:cs="Times New Roman"/>
                <w:sz w:val="20"/>
                <w:szCs w:val="20"/>
              </w:rPr>
            </w:pP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CRP</w:t>
            </w:r>
          </w:p>
          <w:p>
            <w:pPr>
              <w:jc w:val="left"/>
              <w:rPr>
                <w:rFonts w:hint="default" w:ascii="Times New Roman" w:hAnsi="Times New Roman" w:cs="Times New Roman"/>
                <w:sz w:val="20"/>
                <w:szCs w:val="20"/>
              </w:rPr>
            </w:pP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Preoperative,3&amp; 21-day postop</w:t>
            </w:r>
          </w:p>
          <w:p>
            <w:pPr>
              <w:jc w:val="left"/>
              <w:rPr>
                <w:rFonts w:hint="default" w:ascii="Times New Roman" w:hAnsi="Times New Roman" w:cs="Times New Roman"/>
                <w:sz w:val="20"/>
                <w:szCs w:val="20"/>
              </w:rPr>
            </w:pP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CRP increased on the third day after surgery, and only one-third of the patients returned to normal levels in the third week.</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High Serum CRP in the third week after TKA  is primarily related to surgical trauma.</w:t>
            </w:r>
          </w:p>
          <w:p>
            <w:pPr>
              <w:jc w:val="left"/>
              <w:rPr>
                <w:rFonts w:hint="default"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4</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Si HB et al</w:t>
            </w:r>
          </w:p>
          <w:p>
            <w:pPr>
              <w:jc w:val="left"/>
              <w:rPr>
                <w:rFonts w:hint="default" w:ascii="Times New Roman" w:hAnsi="Times New Roman" w:cs="Times New Roman"/>
                <w:sz w:val="20"/>
                <w:szCs w:val="20"/>
              </w:rPr>
            </w:pP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2017</w:t>
            </w: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96</w:t>
            </w:r>
          </w:p>
          <w:p>
            <w:pPr>
              <w:jc w:val="left"/>
              <w:rPr>
                <w:rFonts w:hint="default" w:ascii="Times New Roman" w:hAnsi="Times New Roman" w:cs="Times New Roman"/>
                <w:sz w:val="20"/>
                <w:szCs w:val="20"/>
              </w:rPr>
            </w:pP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ESR, CRP, PGE2, IL-6, IL-8 and TNF-α, and</w:t>
            </w:r>
            <w:r>
              <w:rPr>
                <w:rFonts w:hint="default" w:ascii="Times New Roman" w:hAnsi="Times New Roman" w:cs="Times New Roman"/>
                <w:sz w:val="20"/>
                <w:szCs w:val="20"/>
                <w:rtl w:val="0"/>
              </w:rPr>
              <w:br w:type="textWrapping"/>
            </w:r>
            <w:r>
              <w:rPr>
                <w:rFonts w:hint="default" w:ascii="Times New Roman" w:hAnsi="Times New Roman" w:cs="Times New Roman"/>
                <w:sz w:val="20"/>
                <w:szCs w:val="20"/>
                <w:rtl w:val="0"/>
              </w:rPr>
              <w:t>muscle damage markers, including Mb, Cre, CK, LDH and AST</w:t>
            </w:r>
          </w:p>
          <w:p>
            <w:pPr>
              <w:jc w:val="left"/>
              <w:rPr>
                <w:rFonts w:hint="default" w:ascii="Times New Roman" w:hAnsi="Times New Roman" w:cs="Times New Roman"/>
                <w:sz w:val="20"/>
                <w:szCs w:val="20"/>
              </w:rPr>
            </w:pP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Preoperative and   1, 2, 3 and 5 day postoperative</w:t>
            </w:r>
          </w:p>
          <w:p>
            <w:pPr>
              <w:jc w:val="left"/>
              <w:rPr>
                <w:rFonts w:hint="default" w:ascii="Times New Roman" w:hAnsi="Times New Roman" w:cs="Times New Roman"/>
                <w:sz w:val="20"/>
                <w:szCs w:val="20"/>
              </w:rPr>
            </w:pP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was significantly elevated within the first postoperative day and then began to decline.  IL-6 levels were positively correlated with postoperative pain, with rest pain at POD 1 and with walk pain at POD 1 to POD 3 following TKA.</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Serum inflammatory cytokines are positively correlated with acute postoperative pain following primary TKA.</w:t>
            </w:r>
          </w:p>
          <w:p>
            <w:pPr>
              <w:jc w:val="left"/>
              <w:rPr>
                <w:rFonts w:hint="default"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5</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Maniar et al</w:t>
            </w:r>
          </w:p>
          <w:p>
            <w:pPr>
              <w:jc w:val="left"/>
              <w:rPr>
                <w:rFonts w:hint="default" w:ascii="Times New Roman" w:hAnsi="Times New Roman" w:cs="Times New Roman"/>
                <w:sz w:val="20"/>
                <w:szCs w:val="20"/>
              </w:rPr>
            </w:pP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2019</w:t>
            </w: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50</w:t>
            </w:r>
          </w:p>
          <w:p>
            <w:pPr>
              <w:jc w:val="left"/>
              <w:rPr>
                <w:rFonts w:hint="default" w:ascii="Times New Roman" w:hAnsi="Times New Roman" w:cs="Times New Roman"/>
                <w:sz w:val="20"/>
                <w:szCs w:val="20"/>
              </w:rPr>
            </w:pP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and CRP</w:t>
            </w:r>
          </w:p>
          <w:p>
            <w:pPr>
              <w:jc w:val="left"/>
              <w:rPr>
                <w:rFonts w:hint="default" w:ascii="Times New Roman" w:hAnsi="Times New Roman" w:cs="Times New Roman"/>
                <w:sz w:val="20"/>
                <w:szCs w:val="20"/>
              </w:rPr>
            </w:pP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12 hours preoperatively , 12 , 48hours, 4 days, and 2 weeks postoperative</w:t>
            </w:r>
          </w:p>
          <w:p>
            <w:pPr>
              <w:jc w:val="left"/>
              <w:rPr>
                <w:rFonts w:hint="default" w:ascii="Times New Roman" w:hAnsi="Times New Roman" w:cs="Times New Roman"/>
                <w:sz w:val="20"/>
                <w:szCs w:val="20"/>
              </w:rPr>
            </w:pP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showed a significant rise at 12 hours postoperatively and near preoperative value at 2 weeks.                                     CRP gradual rise from its baseline preoperative  to 12 hours postoperatively, peaked at 48 hours . At 2 weeks, CRP is still high than baseline but near to normal.</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IL- 6  peak at 12 hours,  fell  near baseline levels by 4 days and returned to the baseline  at 2 weeks. CRP peak at 48 hours, , remaining elevated at 4 days and higher than baseline level at 2 weeks.</w:t>
            </w:r>
          </w:p>
          <w:p>
            <w:pPr>
              <w:jc w:val="left"/>
              <w:rPr>
                <w:rFonts w:hint="default"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6</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Huang ZY et al</w:t>
            </w:r>
          </w:p>
          <w:p>
            <w:pPr>
              <w:jc w:val="left"/>
              <w:rPr>
                <w:rFonts w:hint="default" w:ascii="Times New Roman" w:hAnsi="Times New Roman" w:cs="Times New Roman"/>
                <w:sz w:val="20"/>
                <w:szCs w:val="20"/>
              </w:rPr>
            </w:pP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2020</w:t>
            </w:r>
          </w:p>
          <w:p>
            <w:pPr>
              <w:jc w:val="left"/>
              <w:rPr>
                <w:rFonts w:hint="default" w:ascii="Times New Roman" w:hAnsi="Times New Roman" w:cs="Times New Roman"/>
                <w:sz w:val="20"/>
                <w:szCs w:val="20"/>
              </w:rPr>
            </w:pP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172</w:t>
            </w: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and CRP</w:t>
            </w:r>
          </w:p>
          <w:p>
            <w:pPr>
              <w:jc w:val="left"/>
              <w:rPr>
                <w:rFonts w:hint="default" w:ascii="Times New Roman" w:hAnsi="Times New Roman" w:cs="Times New Roman"/>
                <w:sz w:val="20"/>
                <w:szCs w:val="20"/>
              </w:rPr>
            </w:pP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12 hour preoperatively, 12 , 48 hour, 3 days</w:t>
            </w:r>
            <w:r>
              <w:rPr>
                <w:rFonts w:hint="default" w:ascii="Times New Roman" w:hAnsi="Times New Roman" w:cs="Times New Roman"/>
                <w:sz w:val="20"/>
                <w:szCs w:val="20"/>
                <w:rtl w:val="0"/>
              </w:rPr>
              <w:br w:type="textWrapping"/>
            </w:r>
            <w:r>
              <w:rPr>
                <w:rFonts w:hint="default" w:ascii="Times New Roman" w:hAnsi="Times New Roman" w:cs="Times New Roman"/>
                <w:sz w:val="20"/>
                <w:szCs w:val="20"/>
                <w:rtl w:val="0"/>
              </w:rPr>
              <w:t>and 2 weeks postoperatively</w:t>
            </w:r>
          </w:p>
          <w:p>
            <w:pPr>
              <w:jc w:val="left"/>
              <w:rPr>
                <w:rFonts w:hint="default" w:ascii="Times New Roman" w:hAnsi="Times New Roman" w:cs="Times New Roman"/>
                <w:sz w:val="20"/>
                <w:szCs w:val="20"/>
              </w:rPr>
            </w:pP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peak at 48 hour postoperatively, started to decline at 3 days postoperatively and  back to baseline at 2 weeks .      CRP peaked at 3 days postoperatively  and return to  normal range at 2 weeks .</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 xml:space="preserve">CRP showed a gradual rise after surgery when compared to IL-6. </w:t>
            </w:r>
          </w:p>
          <w:p>
            <w:pPr>
              <w:jc w:val="left"/>
              <w:rPr>
                <w:rFonts w:hint="default"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0" w:hRule="atLeast"/>
        </w:trPr>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7</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Krishna Aet al</w:t>
            </w:r>
          </w:p>
          <w:p>
            <w:pPr>
              <w:jc w:val="left"/>
              <w:rPr>
                <w:rFonts w:hint="default" w:ascii="Times New Roman" w:hAnsi="Times New Roman" w:cs="Times New Roman"/>
                <w:sz w:val="20"/>
                <w:szCs w:val="20"/>
              </w:rPr>
            </w:pP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2021</w:t>
            </w: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60</w:t>
            </w:r>
          </w:p>
          <w:p>
            <w:pPr>
              <w:jc w:val="left"/>
              <w:rPr>
                <w:rFonts w:hint="default" w:ascii="Times New Roman" w:hAnsi="Times New Roman" w:cs="Times New Roman"/>
                <w:sz w:val="20"/>
                <w:szCs w:val="20"/>
              </w:rPr>
            </w:pP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CRP and ESR</w:t>
            </w: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bookmarkStart w:id="0" w:name="_heading=h.gjdgxs" w:colFirst="0" w:colLast="0"/>
            <w:bookmarkEnd w:id="0"/>
            <w:r>
              <w:rPr>
                <w:rFonts w:hint="default" w:ascii="Times New Roman" w:hAnsi="Times New Roman" w:cs="Times New Roman"/>
                <w:sz w:val="20"/>
                <w:szCs w:val="20"/>
                <w:rtl w:val="0"/>
              </w:rPr>
              <w:t>Preoperative and  1st, 2nd, 3rd, 7th, 12th day, and</w:t>
            </w:r>
            <w:r>
              <w:rPr>
                <w:rFonts w:hint="default" w:ascii="Times New Roman" w:hAnsi="Times New Roman" w:cs="Times New Roman"/>
                <w:sz w:val="20"/>
                <w:szCs w:val="20"/>
                <w:rtl w:val="0"/>
              </w:rPr>
              <w:br w:type="textWrapping"/>
            </w:r>
            <w:r>
              <w:rPr>
                <w:rFonts w:hint="default" w:ascii="Times New Roman" w:hAnsi="Times New Roman" w:cs="Times New Roman"/>
                <w:sz w:val="20"/>
                <w:szCs w:val="20"/>
                <w:rtl w:val="0"/>
              </w:rPr>
              <w:t>3rd week postoperative</w:t>
            </w: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 xml:space="preserve">CRP  peak at second day with return to preoperative value  the completion of 3rd week.                                                ESR  peak on  3rd day and  remain elevated  at end of postoperative 3 week </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CRP is the best acute phase reactant in the early post-operative phase compare to ESR.</w:t>
            </w:r>
          </w:p>
          <w:p>
            <w:pPr>
              <w:jc w:val="left"/>
              <w:rPr>
                <w:rFonts w:hint="default"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9" w:hRule="atLeast"/>
        </w:trPr>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8</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Xu JZ et al</w:t>
            </w:r>
          </w:p>
          <w:p>
            <w:pPr>
              <w:jc w:val="left"/>
              <w:rPr>
                <w:rFonts w:hint="default" w:ascii="Times New Roman" w:hAnsi="Times New Roman" w:cs="Times New Roman"/>
                <w:sz w:val="20"/>
                <w:szCs w:val="20"/>
              </w:rPr>
            </w:pP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2022</w:t>
            </w:r>
          </w:p>
          <w:p>
            <w:pPr>
              <w:jc w:val="left"/>
              <w:rPr>
                <w:rFonts w:hint="default" w:ascii="Times New Roman" w:hAnsi="Times New Roman" w:cs="Times New Roman"/>
                <w:sz w:val="20"/>
                <w:szCs w:val="20"/>
              </w:rPr>
            </w:pP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65</w:t>
            </w:r>
          </w:p>
          <w:p>
            <w:pPr>
              <w:jc w:val="left"/>
              <w:rPr>
                <w:rFonts w:hint="default" w:ascii="Times New Roman" w:hAnsi="Times New Roman" w:cs="Times New Roman"/>
                <w:sz w:val="20"/>
                <w:szCs w:val="20"/>
              </w:rPr>
            </w:pP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CRP, ESR, IL-6, creatine kinase</w:t>
            </w: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Preoperative, 1&amp;3  postoperative day</w:t>
            </w:r>
          </w:p>
          <w:p>
            <w:pPr>
              <w:jc w:val="left"/>
              <w:rPr>
                <w:rFonts w:hint="default" w:ascii="Times New Roman" w:hAnsi="Times New Roman" w:cs="Times New Roman"/>
                <w:sz w:val="20"/>
                <w:szCs w:val="20"/>
              </w:rPr>
            </w:pP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levels were significantly lower in robotic group on first postoperative day as compare to conventional.</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 xml:space="preserve">CRP, ESR, IL-6, and CK values were significantly lower in the  robotic group on the 3rd postoperative day. </w:t>
            </w:r>
          </w:p>
          <w:p>
            <w:pPr>
              <w:jc w:val="left"/>
              <w:rPr>
                <w:rFonts w:hint="default"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 w:hRule="atLeast"/>
        </w:trPr>
        <w:tc>
          <w:tcPr>
            <w:tcW w:w="33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9</w:t>
            </w:r>
          </w:p>
        </w:tc>
        <w:tc>
          <w:tcPr>
            <w:tcW w:w="56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Present study</w:t>
            </w:r>
          </w:p>
          <w:p>
            <w:pPr>
              <w:jc w:val="left"/>
              <w:rPr>
                <w:rFonts w:hint="default" w:ascii="Times New Roman" w:hAnsi="Times New Roman" w:cs="Times New Roman"/>
                <w:sz w:val="20"/>
                <w:szCs w:val="20"/>
              </w:rPr>
            </w:pPr>
          </w:p>
        </w:tc>
        <w:tc>
          <w:tcPr>
            <w:tcW w:w="29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2023</w:t>
            </w:r>
          </w:p>
          <w:p>
            <w:pPr>
              <w:jc w:val="left"/>
              <w:rPr>
                <w:rFonts w:hint="default" w:ascii="Times New Roman" w:hAnsi="Times New Roman" w:cs="Times New Roman"/>
                <w:sz w:val="20"/>
                <w:szCs w:val="20"/>
              </w:rPr>
            </w:pPr>
          </w:p>
        </w:tc>
        <w:tc>
          <w:tcPr>
            <w:tcW w:w="566"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48</w:t>
            </w:r>
          </w:p>
        </w:tc>
        <w:tc>
          <w:tcPr>
            <w:tcW w:w="62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CRP, ESR, AST and LDH</w:t>
            </w:r>
          </w:p>
          <w:p>
            <w:pPr>
              <w:jc w:val="left"/>
              <w:rPr>
                <w:rFonts w:hint="default" w:ascii="Times New Roman" w:hAnsi="Times New Roman" w:cs="Times New Roman"/>
                <w:sz w:val="20"/>
                <w:szCs w:val="20"/>
              </w:rPr>
            </w:pPr>
          </w:p>
        </w:tc>
        <w:tc>
          <w:tcPr>
            <w:tcW w:w="7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12 hours preoperative and subsequently, 12 hours, 24 hours after surgery, and every 24 hours after that until the patient was discharged.</w:t>
            </w:r>
          </w:p>
          <w:p>
            <w:pPr>
              <w:jc w:val="left"/>
              <w:rPr>
                <w:rFonts w:hint="default" w:ascii="Times New Roman" w:hAnsi="Times New Roman" w:cs="Times New Roman"/>
                <w:sz w:val="20"/>
                <w:szCs w:val="20"/>
              </w:rPr>
            </w:pPr>
          </w:p>
        </w:tc>
        <w:tc>
          <w:tcPr>
            <w:tcW w:w="117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IL-6 increased significantly  at 12hrs in bilateral group and post 24hr in unilateral group. CRP peak were observed at 60hrs post in bilateral group  and  in unilateral group.      ESR levels differed significantly preoperatively and postoperatively peak was observed at 60hrs in bilateral grouo and 48 hour postoperative in unilateral group . In terms of serum LDH absolute rise at post 48hrs in both the groups. AST level peak observed at 48hrs in both groups.</w:t>
            </w:r>
          </w:p>
          <w:p>
            <w:pPr>
              <w:jc w:val="left"/>
              <w:rPr>
                <w:rFonts w:hint="default" w:ascii="Times New Roman" w:hAnsi="Times New Roman" w:cs="Times New Roman"/>
                <w:sz w:val="20"/>
                <w:szCs w:val="20"/>
              </w:rPr>
            </w:pPr>
          </w:p>
        </w:tc>
        <w:tc>
          <w:tcPr>
            <w:tcW w:w="71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default" w:ascii="Times New Roman" w:hAnsi="Times New Roman" w:cs="Times New Roman"/>
                <w:sz w:val="20"/>
                <w:szCs w:val="20"/>
              </w:rPr>
            </w:pPr>
            <w:r>
              <w:rPr>
                <w:rFonts w:hint="default" w:ascii="Times New Roman" w:hAnsi="Times New Roman" w:cs="Times New Roman"/>
                <w:sz w:val="20"/>
                <w:szCs w:val="20"/>
                <w:rtl w:val="0"/>
              </w:rPr>
              <w:t>This study describe five common inflammatory markers trends among patients who undergo unilateral or bilateral robotic total knee replacement surgery. The only two markers that showed statistically significant increases in bilateral knee replacements compared to unilateral knee replacements were IL-6 and CRP.</w:t>
            </w:r>
          </w:p>
          <w:p>
            <w:pPr>
              <w:jc w:val="left"/>
              <w:rPr>
                <w:rFonts w:hint="default" w:ascii="Times New Roman" w:hAnsi="Times New Roman" w:cs="Times New Roman"/>
                <w:sz w:val="20"/>
                <w:szCs w:val="20"/>
              </w:rPr>
            </w:pPr>
          </w:p>
        </w:tc>
      </w:tr>
    </w:tbl>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Lucida Sans"/>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40502020204"/>
    <w:charset w:val="00"/>
    <w:family w:val="auto"/>
    <w:pitch w:val="default"/>
    <w:sig w:usb0="8100AAF7" w:usb1="0000807B" w:usb2="00000008" w:usb3="00000000" w:csb0="6000009F" w:csb1="FFFF0000"/>
  </w:font>
  <w:font w:name="Calibri">
    <w:panose1 w:val="020F0502020204030204"/>
    <w:charset w:val="86"/>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8A00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Calibri"/>
      <w:sz w:val="24"/>
      <w:szCs w:val="24"/>
      <w:lang w:val="en-IN"/>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customStyle="1" w:styleId="4">
    <w:name w:val="_Style 10"/>
    <w:basedOn w:val="5"/>
    <w:qFormat/>
    <w:uiPriority w:val="0"/>
    <w:tblPr>
      <w:tblCellMar>
        <w:top w:w="0" w:type="dxa"/>
        <w:left w:w="108" w:type="dxa"/>
        <w:bottom w:w="0" w:type="dxa"/>
        <w:right w:w="108" w:type="dxa"/>
      </w:tblCellMar>
    </w:tblPr>
  </w:style>
  <w:style w:type="table" w:customStyle="1" w:styleId="5">
    <w:name w:val="Table Norm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Office_12.2.0.13359_F1E327BC-269C-435d-A152-05C5408002CA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2023-12-31T07:11:55Z</dcterms:created>
  <dc:creator>anjal</dc:creator>
  <cp:lastModifiedBy>ABD</cp:lastModifiedBy>
  <dcterms:modified xsi:type="dcterms:W3CDTF">2023-12-31T07:17:21Z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1033-12.2.0.13359</vt:lpwstr>
  </property>
  <property fmtid="{D5CDD505-2E9C-101B-9397-08002B2CF9AE}" pid="3" name="ICV">
    <vt:lpwstr>9F744B45FEEF41F9943E70E8BCBDACDF_12</vt:lpwstr>
  </property>
</Properties>
</file>