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ascii="Times New Roman Bold" w:hAnsi="Times New Roman Bold" w:cs="Times New Roman Bold"/>
          <w:b/>
          <w:sz w:val="28"/>
          <w:szCs w:val="28"/>
        </w:rPr>
      </w:pPr>
      <w:r>
        <w:rPr>
          <w:rFonts w:ascii="Times New Roman Bold" w:hAnsi="Times New Roman Bold" w:cs="Times New Roman Bold"/>
          <w:b/>
          <w:sz w:val="28"/>
          <w:szCs w:val="28"/>
        </w:rPr>
        <w:t>Similarity in the microbial community structure of tobacco from geographically similar regions</w:t>
      </w:r>
    </w:p>
    <w:p>
      <w:pPr>
        <w:spacing w:line="440" w:lineRule="exact"/>
        <w:jc w:val="left"/>
        <w:rPr>
          <w:rFonts w:ascii="Times New Roman Regular" w:hAnsi="Times New Roman Regular" w:cs="Times New Roman Regular"/>
          <w:szCs w:val="21"/>
          <w:vertAlign w:val="superscript"/>
        </w:rPr>
      </w:pPr>
      <w:r>
        <w:rPr>
          <w:rFonts w:ascii="Times New Roman Regular" w:hAnsi="Times New Roman Regular" w:cs="Times New Roman Regular"/>
          <w:szCs w:val="21"/>
        </w:rPr>
        <w:t>Li Zhengfeng</w:t>
      </w:r>
      <w:r>
        <w:rPr>
          <w:rFonts w:hint="eastAsia" w:ascii="Times New Roman Regular" w:hAnsi="Times New Roman Regular" w:cs="Times New Roman Regular"/>
          <w:szCs w:val="21"/>
          <w:vertAlign w:val="superscript"/>
        </w:rPr>
        <w:t>1</w:t>
      </w:r>
      <w:r>
        <w:rPr>
          <w:rFonts w:ascii="Times New Roman Regular" w:hAnsi="Times New Roman Regular" w:cs="Times New Roman Regular"/>
          <w:szCs w:val="21"/>
          <w:vertAlign w:val="superscript"/>
        </w:rPr>
        <w:t>,</w:t>
      </w:r>
      <w:r>
        <w:rPr>
          <w:rFonts w:hint="eastAsia" w:ascii="Times New Roman Regular" w:hAnsi="Times New Roman Regular" w:cs="Times New Roman Regular"/>
          <w:szCs w:val="21"/>
          <w:vertAlign w:val="superscript"/>
        </w:rPr>
        <w:t xml:space="preserve"> </w:t>
      </w:r>
      <w:r>
        <w:rPr>
          <w:rFonts w:ascii="Times New Roman Regular" w:hAnsi="Times New Roman Regular" w:cs="Times New Roman Regular"/>
          <w:szCs w:val="21"/>
          <w:vertAlign w:val="superscript"/>
        </w:rPr>
        <w:t>a</w:t>
      </w:r>
      <w:r>
        <w:rPr>
          <w:rFonts w:ascii="Times New Roman Regular" w:hAnsi="Times New Roman Regular" w:cs="Times New Roman Regular"/>
          <w:szCs w:val="21"/>
        </w:rPr>
        <w:t>, Qin Tian</w:t>
      </w:r>
      <w:r>
        <w:rPr>
          <w:rFonts w:hint="eastAsia" w:ascii="Times New Roman Regular" w:hAnsi="Times New Roman Regular" w:cs="Times New Roman Regular"/>
          <w:szCs w:val="21"/>
          <w:vertAlign w:val="superscript"/>
        </w:rPr>
        <w:t>2</w:t>
      </w:r>
      <w:r>
        <w:rPr>
          <w:rFonts w:ascii="Times New Roman Regular" w:hAnsi="Times New Roman Regular" w:cs="Times New Roman Regular"/>
          <w:szCs w:val="21"/>
          <w:vertAlign w:val="superscript"/>
        </w:rPr>
        <w:t>,</w:t>
      </w:r>
      <w:r>
        <w:rPr>
          <w:rFonts w:hint="eastAsia" w:ascii="Times New Roman Regular" w:hAnsi="Times New Roman Regular" w:cs="Times New Roman Regular"/>
          <w:szCs w:val="21"/>
          <w:vertAlign w:val="superscript"/>
        </w:rPr>
        <w:t xml:space="preserve"> </w:t>
      </w:r>
      <w:r>
        <w:rPr>
          <w:rFonts w:ascii="Times New Roman Regular" w:hAnsi="Times New Roman Regular" w:cs="Times New Roman Regular"/>
          <w:szCs w:val="21"/>
          <w:vertAlign w:val="superscript"/>
        </w:rPr>
        <w:t>a</w:t>
      </w:r>
      <w:r>
        <w:rPr>
          <w:rFonts w:ascii="Times New Roman Regular" w:hAnsi="Times New Roman Regular" w:cs="Times New Roman Regular"/>
          <w:szCs w:val="21"/>
        </w:rPr>
        <w:t>, Xia Yuzhen</w:t>
      </w:r>
      <w:r>
        <w:rPr>
          <w:rFonts w:hint="eastAsia" w:ascii="Times New Roman Regular" w:hAnsi="Times New Roman Regular" w:cs="Times New Roman Regular"/>
          <w:szCs w:val="21"/>
          <w:vertAlign w:val="superscript"/>
        </w:rPr>
        <w:t>1</w:t>
      </w:r>
      <w:r>
        <w:rPr>
          <w:rFonts w:ascii="Times New Roman Regular" w:hAnsi="Times New Roman Regular" w:cs="Times New Roman Regular"/>
          <w:szCs w:val="21"/>
        </w:rPr>
        <w:t>, Zhou Le</w:t>
      </w:r>
      <w:r>
        <w:rPr>
          <w:rFonts w:hint="eastAsia" w:ascii="Times New Roman Regular" w:hAnsi="Times New Roman Regular" w:cs="Times New Roman Regular"/>
          <w:szCs w:val="21"/>
          <w:vertAlign w:val="superscript"/>
        </w:rPr>
        <w:t>2</w:t>
      </w:r>
      <w:r>
        <w:rPr>
          <w:rFonts w:ascii="Times New Roman Regular" w:hAnsi="Times New Roman Regular" w:cs="Times New Roman Regular"/>
          <w:szCs w:val="21"/>
        </w:rPr>
        <w:t>, Wang Luoping</w:t>
      </w:r>
      <w:r>
        <w:rPr>
          <w:rFonts w:hint="eastAsia" w:ascii="Times New Roman Regular" w:hAnsi="Times New Roman Regular" w:cs="Times New Roman Regular"/>
          <w:szCs w:val="21"/>
          <w:vertAlign w:val="superscript"/>
        </w:rPr>
        <w:t>1</w:t>
      </w:r>
      <w:r>
        <w:rPr>
          <w:rFonts w:ascii="Times New Roman Regular" w:hAnsi="Times New Roman Regular" w:cs="Times New Roman Regular"/>
          <w:szCs w:val="21"/>
        </w:rPr>
        <w:t>, Duan Kai</w:t>
      </w:r>
      <w:r>
        <w:rPr>
          <w:rFonts w:hint="eastAsia" w:ascii="Times New Roman Regular" w:hAnsi="Times New Roman Regular" w:cs="Times New Roman Regular"/>
          <w:szCs w:val="21"/>
          <w:vertAlign w:val="superscript"/>
        </w:rPr>
        <w:t>1</w:t>
      </w:r>
      <w:r>
        <w:rPr>
          <w:rFonts w:ascii="Times New Roman Regular" w:hAnsi="Times New Roman Regular" w:cs="Times New Roman Regular"/>
          <w:szCs w:val="21"/>
        </w:rPr>
        <w:t>, Lei Jia</w:t>
      </w:r>
      <w:r>
        <w:rPr>
          <w:rFonts w:hint="eastAsia" w:ascii="Times New Roman Regular" w:hAnsi="Times New Roman Regular" w:cs="Times New Roman Regular"/>
          <w:szCs w:val="21"/>
          <w:vertAlign w:val="superscript"/>
        </w:rPr>
        <w:t>2</w:t>
      </w:r>
      <w:r>
        <w:rPr>
          <w:rFonts w:ascii="Times New Roman Regular" w:hAnsi="Times New Roman Regular" w:cs="Times New Roman Regular"/>
          <w:szCs w:val="21"/>
        </w:rPr>
        <w:t xml:space="preserve">, </w:t>
      </w:r>
      <w:r>
        <w:rPr>
          <w:rFonts w:hint="eastAsia" w:ascii="Times New Roman Regular" w:hAnsi="Times New Roman Regular" w:cs="Times New Roman Regular"/>
          <w:szCs w:val="21"/>
        </w:rPr>
        <w:t>Yao Jianhua</w:t>
      </w:r>
      <w:r>
        <w:rPr>
          <w:rFonts w:hint="eastAsia" w:ascii="Times New Roman Regular" w:hAnsi="Times New Roman Regular" w:cs="Times New Roman Regular"/>
          <w:szCs w:val="21"/>
          <w:vertAlign w:val="superscript"/>
        </w:rPr>
        <w:t>1</w:t>
      </w:r>
      <w:r>
        <w:rPr>
          <w:rFonts w:ascii="Times New Roman Regular" w:hAnsi="Times New Roman Regular" w:cs="Times New Roman Regular"/>
          <w:szCs w:val="21"/>
          <w:vertAlign w:val="superscript"/>
        </w:rPr>
        <w:t>*</w:t>
      </w:r>
      <w:r>
        <w:rPr>
          <w:rFonts w:hint="eastAsia" w:ascii="Times New Roman Regular" w:hAnsi="Times New Roman Regular" w:cs="Times New Roman Regular"/>
          <w:szCs w:val="21"/>
        </w:rPr>
        <w:t>, Xia Jianjun</w:t>
      </w:r>
      <w:r>
        <w:rPr>
          <w:rFonts w:hint="eastAsia" w:ascii="Times New Roman Regular" w:hAnsi="Times New Roman Regular" w:cs="Times New Roman Regular"/>
          <w:szCs w:val="21"/>
          <w:vertAlign w:val="superscript"/>
        </w:rPr>
        <w:t>1</w:t>
      </w:r>
      <w:r>
        <w:rPr>
          <w:rFonts w:ascii="Times New Roman Regular" w:hAnsi="Times New Roman Regular" w:cs="Times New Roman Regular"/>
          <w:szCs w:val="21"/>
          <w:vertAlign w:val="superscript"/>
        </w:rPr>
        <w:t>*</w:t>
      </w:r>
      <w:r>
        <w:rPr>
          <w:rFonts w:hint="eastAsia" w:ascii="Times New Roman Regular" w:hAnsi="Times New Roman Regular" w:cs="Times New Roman Regular"/>
          <w:szCs w:val="21"/>
        </w:rPr>
        <w:t xml:space="preserve">, </w:t>
      </w:r>
      <w:r>
        <w:rPr>
          <w:rFonts w:ascii="Times New Roman Regular" w:hAnsi="Times New Roman Regular" w:cs="Times New Roman Regular"/>
          <w:szCs w:val="21"/>
        </w:rPr>
        <w:t>Li Juan</w:t>
      </w:r>
      <w:r>
        <w:rPr>
          <w:rFonts w:hint="eastAsia" w:ascii="Times New Roman Regular" w:hAnsi="Times New Roman Regular" w:cs="Times New Roman Regular"/>
          <w:szCs w:val="21"/>
          <w:vertAlign w:val="superscript"/>
        </w:rPr>
        <w:t>2</w:t>
      </w:r>
      <w:r>
        <w:rPr>
          <w:rFonts w:ascii="Times New Roman Regular" w:hAnsi="Times New Roman Regular" w:cs="Times New Roman Regular"/>
          <w:szCs w:val="21"/>
          <w:vertAlign w:val="superscript"/>
        </w:rPr>
        <w:t>,</w:t>
      </w:r>
      <w:r>
        <w:rPr>
          <w:rFonts w:hint="eastAsia" w:ascii="Times New Roman Regular" w:hAnsi="Times New Roman Regular" w:cs="Times New Roman Regular"/>
          <w:szCs w:val="21"/>
          <w:vertAlign w:val="superscript"/>
        </w:rPr>
        <w:t xml:space="preserve"> </w:t>
      </w:r>
      <w:r>
        <w:rPr>
          <w:rFonts w:ascii="Times New Roman Regular" w:hAnsi="Times New Roman Regular" w:cs="Times New Roman Regular"/>
          <w:szCs w:val="21"/>
          <w:vertAlign w:val="superscript"/>
        </w:rPr>
        <w:t>*</w:t>
      </w:r>
    </w:p>
    <w:p>
      <w:pPr>
        <w:spacing w:line="440" w:lineRule="exact"/>
        <w:jc w:val="left"/>
        <w:rPr>
          <w:rFonts w:hint="default" w:ascii="Times New Roman Regular" w:hAnsi="Times New Roman Regular" w:cs="Times New Roman Regular" w:eastAsiaTheme="minorEastAsia"/>
          <w:szCs w:val="21"/>
          <w:vertAlign w:val="baseline"/>
          <w:lang w:val="en-US" w:eastAsia="zh-CN"/>
        </w:rPr>
      </w:pPr>
      <w:r>
        <w:rPr>
          <w:rFonts w:hint="eastAsia" w:ascii="Times New Roman Regular" w:hAnsi="Times New Roman Regular" w:cs="Times New Roman Regular"/>
          <w:szCs w:val="21"/>
          <w:vertAlign w:val="superscript"/>
          <w:lang w:val="en-US" w:eastAsia="zh-CN"/>
        </w:rPr>
        <w:t>1</w:t>
      </w:r>
      <w:r>
        <w:rPr>
          <w:rFonts w:hint="default" w:ascii="Times New Roman Regular" w:hAnsi="Times New Roman Regular" w:cs="Times New Roman Regular"/>
          <w:szCs w:val="21"/>
          <w:vertAlign w:val="baseline"/>
          <w:lang w:val="en-US"/>
        </w:rPr>
        <w:t xml:space="preserve"> China Tobacco Yunnan Industrial CO.,LTD, Kunming, </w:t>
      </w:r>
      <w:r>
        <w:rPr>
          <w:rFonts w:hint="eastAsia" w:ascii="Times New Roman Regular" w:hAnsi="Times New Roman Regular" w:cs="Times New Roman Regular"/>
          <w:szCs w:val="21"/>
          <w:vertAlign w:val="baseline"/>
          <w:lang w:val="en-US" w:eastAsia="zh-CN"/>
        </w:rPr>
        <w:t>650032</w:t>
      </w:r>
      <w:r>
        <w:rPr>
          <w:rFonts w:hint="default" w:ascii="Times New Roman Regular" w:hAnsi="Times New Roman Regular" w:cs="Times New Roman Regular"/>
          <w:szCs w:val="21"/>
          <w:vertAlign w:val="baseline"/>
          <w:lang w:val="en-US"/>
        </w:rPr>
        <w:t>, China</w:t>
      </w:r>
    </w:p>
    <w:p>
      <w:pPr>
        <w:spacing w:line="440" w:lineRule="exact"/>
        <w:jc w:val="left"/>
        <w:rPr>
          <w:rFonts w:hint="default" w:ascii="Times New Roman Regular" w:hAnsi="Times New Roman Regular" w:cs="Times New Roman Regular"/>
          <w:szCs w:val="21"/>
          <w:vertAlign w:val="baseline"/>
          <w:lang w:val="en-US"/>
        </w:rPr>
      </w:pPr>
      <w:r>
        <w:rPr>
          <w:rFonts w:hint="eastAsia" w:ascii="Times New Roman Regular" w:hAnsi="Times New Roman Regular" w:cs="Times New Roman Regular"/>
          <w:szCs w:val="21"/>
          <w:vertAlign w:val="superscript"/>
          <w:lang w:val="en-US" w:eastAsia="zh-CN"/>
        </w:rPr>
        <w:t>2</w:t>
      </w:r>
      <w:r>
        <w:rPr>
          <w:rFonts w:hint="default" w:ascii="Times New Roman Regular" w:hAnsi="Times New Roman Regular" w:cs="Times New Roman Regular"/>
          <w:szCs w:val="21"/>
          <w:vertAlign w:val="baseline"/>
          <w:lang w:val="en-US"/>
        </w:rPr>
        <w:t xml:space="preserve"> College of Agronomy, Hunan Agricultural University, Changsha, 410128, China</w:t>
      </w:r>
    </w:p>
    <w:p>
      <w:pPr>
        <w:spacing w:line="440" w:lineRule="exact"/>
        <w:jc w:val="left"/>
        <w:rPr>
          <w:rFonts w:hint="default" w:ascii="Times New Roman Regular" w:hAnsi="Times New Roman Regular" w:cs="Times New Roman Regular"/>
          <w:szCs w:val="21"/>
          <w:vertAlign w:val="baseline"/>
          <w:lang w:val="en-US"/>
        </w:rPr>
      </w:pPr>
      <w:r>
        <w:rPr>
          <w:rFonts w:hint="default" w:ascii="Times New Roman Regular" w:hAnsi="Times New Roman Regular" w:cs="Times New Roman Regular"/>
          <w:szCs w:val="21"/>
          <w:vertAlign w:val="superscript"/>
          <w:lang w:val="en-US"/>
        </w:rPr>
        <w:t>*</w:t>
      </w:r>
      <w:r>
        <w:rPr>
          <w:rFonts w:hint="default" w:ascii="Times New Roman Regular" w:hAnsi="Times New Roman Regular" w:cs="Times New Roman Regular"/>
          <w:szCs w:val="21"/>
          <w:vertAlign w:val="baseline"/>
          <w:lang w:val="en-US"/>
        </w:rPr>
        <w:t>Corresponding author. E-mail addresses: jhyao_2007@126.com (J. Y</w:t>
      </w:r>
      <w:r>
        <w:rPr>
          <w:rFonts w:hint="eastAsia" w:ascii="Times New Roman Regular" w:hAnsi="Times New Roman Regular" w:cs="Times New Roman Regular"/>
          <w:szCs w:val="21"/>
          <w:vertAlign w:val="baseline"/>
          <w:lang w:val="en-US" w:eastAsia="zh-CN"/>
        </w:rPr>
        <w:t>ao</w:t>
      </w:r>
      <w:r>
        <w:rPr>
          <w:rFonts w:hint="default" w:ascii="Times New Roman Regular" w:hAnsi="Times New Roman Regular" w:cs="Times New Roman Regular"/>
          <w:szCs w:val="21"/>
          <w:vertAlign w:val="baseline"/>
          <w:lang w:val="en-US"/>
        </w:rPr>
        <w:t>), royalxia@126.com (J. Xia), adalee619@163.com (J. Li).</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Regular" w:hAnsi="Times New Roman Regular" w:cs="Times New Roman Regular"/>
          <w:szCs w:val="21"/>
          <w:vertAlign w:val="baseline"/>
          <w:lang w:val="en-US"/>
        </w:rPr>
      </w:pPr>
      <w:r>
        <w:rPr>
          <w:rFonts w:hint="default" w:ascii="Times New Roman Regular" w:hAnsi="Times New Roman Regular" w:cs="Times New Roman Regular"/>
          <w:szCs w:val="21"/>
          <w:vertAlign w:val="superscript"/>
          <w:lang w:val="en-US"/>
        </w:rPr>
        <w:t>a</w:t>
      </w:r>
      <w:r>
        <w:rPr>
          <w:rFonts w:hint="default" w:ascii="Times New Roman Regular" w:hAnsi="Times New Roman Regular" w:cs="Times New Roman Regular"/>
          <w:szCs w:val="21"/>
          <w:vertAlign w:val="baseline"/>
          <w:lang w:val="en-US"/>
        </w:rPr>
        <w:t xml:space="preserve"> These authors contributed equally to this work.</w:t>
      </w: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center"/>
        <w:rPr>
          <w:rFonts w:ascii="Times New Roman Regular" w:hAnsi="Times New Roman Regular" w:cs="Times New Roman Regular"/>
          <w:szCs w:val="21"/>
          <w:vertAlign w:val="superscript"/>
        </w:rPr>
      </w:pPr>
    </w:p>
    <w:p>
      <w:pPr>
        <w:spacing w:line="440" w:lineRule="exact"/>
        <w:jc w:val="both"/>
        <w:rPr>
          <w:rFonts w:ascii="Times New Roman Regular" w:hAnsi="Times New Roman Regular" w:cs="Times New Roman Regular"/>
          <w:szCs w:val="21"/>
          <w:vertAlign w:val="superscript"/>
        </w:rPr>
      </w:pPr>
    </w:p>
    <w:p>
      <w:pPr>
        <w:spacing w:line="440" w:lineRule="exact"/>
        <w:jc w:val="both"/>
        <w:rPr>
          <w:rFonts w:ascii="Times New Roman Regular" w:hAnsi="Times New Roman Regular" w:cs="Times New Roman Regular"/>
          <w:szCs w:val="21"/>
          <w:vertAlign w:val="superscript"/>
        </w:rPr>
      </w:pPr>
      <w:bookmarkStart w:id="0" w:name="_GoBack"/>
      <w:bookmarkEnd w:id="0"/>
    </w:p>
    <w:p>
      <w:pPr>
        <w:spacing w:line="440" w:lineRule="atLeast"/>
        <w:rPr>
          <w:rFonts w:ascii="Times New Roman Regular" w:hAnsi="Times New Roman Regular" w:eastAsia="宋体" w:cs="Times New Roman Regular"/>
          <w:szCs w:val="21"/>
          <w:lang w:eastAsia="zh-Hans"/>
        </w:rPr>
      </w:pPr>
      <w:r>
        <w:rPr>
          <w:rFonts w:ascii="Times New Roman Regular" w:hAnsi="Times New Roman Regular" w:eastAsia="宋体" w:cs="Times New Roman Regular"/>
          <w:szCs w:val="21"/>
          <w:lang w:eastAsia="zh-Hans"/>
        </w:rPr>
        <w:t>Table S1 Differential analysis of microbial community structure in tobacco from different origins.</w:t>
      </w:r>
    </w:p>
    <w:tbl>
      <w:tblPr>
        <w:tblStyle w:val="6"/>
        <w:tblW w:w="0" w:type="auto"/>
        <w:tblInd w:w="-2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2535"/>
        <w:gridCol w:w="874"/>
        <w:gridCol w:w="802"/>
        <w:gridCol w:w="901"/>
        <w:gridCol w:w="802"/>
        <w:gridCol w:w="1009"/>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1" w:type="dxa"/>
            <w:vMerge w:val="restart"/>
            <w:tcBorders>
              <w:top w:val="single" w:color="auto" w:sz="12" w:space="0"/>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Type</w:t>
            </w:r>
          </w:p>
        </w:tc>
        <w:tc>
          <w:tcPr>
            <w:tcW w:w="2535" w:type="dxa"/>
            <w:vMerge w:val="restart"/>
            <w:tcBorders>
              <w:top w:val="single" w:color="auto" w:sz="12" w:space="0"/>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Treatment</w:t>
            </w:r>
          </w:p>
        </w:tc>
        <w:tc>
          <w:tcPr>
            <w:tcW w:w="1676" w:type="dxa"/>
            <w:gridSpan w:val="2"/>
            <w:tcBorders>
              <w:top w:val="single" w:color="auto" w:sz="12" w:space="0"/>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ADONIS</w:t>
            </w:r>
          </w:p>
        </w:tc>
        <w:tc>
          <w:tcPr>
            <w:tcW w:w="1703" w:type="dxa"/>
            <w:gridSpan w:val="2"/>
            <w:tcBorders>
              <w:top w:val="single" w:color="auto" w:sz="12" w:space="0"/>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ANOSIM</w:t>
            </w:r>
          </w:p>
        </w:tc>
        <w:tc>
          <w:tcPr>
            <w:tcW w:w="1842" w:type="dxa"/>
            <w:gridSpan w:val="2"/>
            <w:tcBorders>
              <w:top w:val="single" w:color="auto" w:sz="12" w:space="0"/>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MRPP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6" w:hRule="atLeast"/>
        </w:trPr>
        <w:tc>
          <w:tcPr>
            <w:tcW w:w="1021" w:type="dxa"/>
            <w:vMerge w:val="continue"/>
            <w:tcBorders>
              <w:top w:val="nil"/>
              <w:left w:val="nil"/>
              <w:bottom w:val="single" w:color="auto" w:sz="4" w:space="0"/>
              <w:right w:val="nil"/>
            </w:tcBorders>
            <w:vAlign w:val="center"/>
          </w:tcPr>
          <w:p>
            <w:pPr>
              <w:jc w:val="center"/>
              <w:rPr>
                <w:rFonts w:ascii="Times New Roman Regular" w:hAnsi="Times New Roman Regular" w:eastAsia="宋体" w:cs="Times New Roman Regular"/>
                <w:color w:val="000000" w:themeColor="text1"/>
                <w:szCs w:val="21"/>
                <w14:textFill>
                  <w14:solidFill>
                    <w14:schemeClr w14:val="tx1"/>
                  </w14:solidFill>
                </w14:textFill>
              </w:rPr>
            </w:pPr>
          </w:p>
        </w:tc>
        <w:tc>
          <w:tcPr>
            <w:tcW w:w="2535" w:type="dxa"/>
            <w:vMerge w:val="continue"/>
            <w:tcBorders>
              <w:top w:val="nil"/>
              <w:left w:val="nil"/>
              <w:bottom w:val="single" w:color="auto" w:sz="4" w:space="0"/>
              <w:right w:val="nil"/>
            </w:tcBorders>
            <w:vAlign w:val="center"/>
          </w:tcPr>
          <w:p>
            <w:pPr>
              <w:jc w:val="center"/>
              <w:rPr>
                <w:rFonts w:ascii="Times New Roman Regular" w:hAnsi="Times New Roman Regular" w:eastAsia="宋体" w:cs="Times New Roman Regular"/>
                <w:color w:val="000000" w:themeColor="text1"/>
                <w:szCs w:val="21"/>
                <w14:textFill>
                  <w14:solidFill>
                    <w14:schemeClr w14:val="tx1"/>
                  </w14:solidFill>
                </w14:textFill>
              </w:rPr>
            </w:pPr>
          </w:p>
        </w:tc>
        <w:tc>
          <w:tcPr>
            <w:tcW w:w="874" w:type="dxa"/>
            <w:tcBorders>
              <w:top w:val="nil"/>
              <w:left w:val="nil"/>
              <w:bottom w:val="single" w:color="auto" w:sz="4" w:space="0"/>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R</w:t>
            </w:r>
            <w:r>
              <w:rPr>
                <w:rFonts w:ascii="Times New Roman Regular" w:hAnsi="Times New Roman Regular" w:eastAsia="宋体" w:cs="Times New Roman Regular"/>
                <w:color w:val="000000" w:themeColor="text1"/>
                <w:kern w:val="0"/>
                <w:szCs w:val="21"/>
                <w:vertAlign w:val="superscript"/>
                <w14:textFill>
                  <w14:solidFill>
                    <w14:schemeClr w14:val="tx1"/>
                  </w14:solidFill>
                </w14:textFill>
              </w:rPr>
              <w:t>2</w:t>
            </w:r>
          </w:p>
        </w:tc>
        <w:tc>
          <w:tcPr>
            <w:tcW w:w="802" w:type="dxa"/>
            <w:tcBorders>
              <w:top w:val="nil"/>
              <w:left w:val="nil"/>
              <w:bottom w:val="single" w:color="auto" w:sz="4" w:space="0"/>
              <w:right w:val="nil"/>
            </w:tcBorders>
            <w:vAlign w:val="center"/>
          </w:tcPr>
          <w:p>
            <w:pPr>
              <w:jc w:val="center"/>
              <w:rPr>
                <w:rFonts w:ascii="Times New Roman Regular" w:hAnsi="Times New Roman Regular" w:eastAsia="宋体" w:cs="Times New Roman Regular"/>
                <w:i/>
                <w:iCs/>
                <w:color w:val="000000" w:themeColor="text1"/>
                <w:kern w:val="0"/>
                <w:szCs w:val="21"/>
                <w14:textFill>
                  <w14:solidFill>
                    <w14:schemeClr w14:val="tx1"/>
                  </w14:solidFill>
                </w14:textFill>
              </w:rPr>
            </w:pPr>
            <w:r>
              <w:rPr>
                <w:rFonts w:ascii="Times New Roman Regular" w:hAnsi="Times New Roman Regular" w:eastAsia="宋体" w:cs="Times New Roman Regular"/>
                <w:i/>
                <w:iCs/>
                <w:color w:val="000000" w:themeColor="text1"/>
                <w:kern w:val="0"/>
                <w:szCs w:val="21"/>
                <w14:textFill>
                  <w14:solidFill>
                    <w14:schemeClr w14:val="tx1"/>
                  </w14:solidFill>
                </w14:textFill>
              </w:rPr>
              <w:t>P</w:t>
            </w:r>
          </w:p>
        </w:tc>
        <w:tc>
          <w:tcPr>
            <w:tcW w:w="901" w:type="dxa"/>
            <w:tcBorders>
              <w:top w:val="nil"/>
              <w:left w:val="nil"/>
              <w:bottom w:val="single" w:color="auto" w:sz="4" w:space="0"/>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R</w:t>
            </w:r>
          </w:p>
        </w:tc>
        <w:tc>
          <w:tcPr>
            <w:tcW w:w="802" w:type="dxa"/>
            <w:tcBorders>
              <w:top w:val="nil"/>
              <w:left w:val="nil"/>
              <w:bottom w:val="single" w:color="auto" w:sz="4" w:space="0"/>
              <w:right w:val="nil"/>
            </w:tcBorders>
            <w:vAlign w:val="center"/>
          </w:tcPr>
          <w:p>
            <w:pPr>
              <w:jc w:val="center"/>
              <w:rPr>
                <w:rFonts w:ascii="Times New Roman Regular" w:hAnsi="Times New Roman Regular" w:eastAsia="宋体" w:cs="Times New Roman Regular"/>
                <w:i/>
                <w:iCs/>
                <w:color w:val="000000" w:themeColor="text1"/>
                <w:kern w:val="0"/>
                <w:szCs w:val="21"/>
                <w14:textFill>
                  <w14:solidFill>
                    <w14:schemeClr w14:val="tx1"/>
                  </w14:solidFill>
                </w14:textFill>
              </w:rPr>
            </w:pPr>
            <w:r>
              <w:rPr>
                <w:rFonts w:ascii="Times New Roman Regular" w:hAnsi="Times New Roman Regular" w:eastAsia="宋体" w:cs="Times New Roman Regular"/>
                <w:i/>
                <w:iCs/>
                <w:color w:val="000000" w:themeColor="text1"/>
                <w:kern w:val="0"/>
                <w:szCs w:val="21"/>
                <w14:textFill>
                  <w14:solidFill>
                    <w14:schemeClr w14:val="tx1"/>
                  </w14:solidFill>
                </w14:textFill>
              </w:rPr>
              <w:t>P</w:t>
            </w:r>
          </w:p>
        </w:tc>
        <w:tc>
          <w:tcPr>
            <w:tcW w:w="1009" w:type="dxa"/>
            <w:tcBorders>
              <w:top w:val="nil"/>
              <w:left w:val="nil"/>
              <w:bottom w:val="single" w:color="auto" w:sz="4" w:space="0"/>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δ</w:t>
            </w:r>
          </w:p>
        </w:tc>
        <w:tc>
          <w:tcPr>
            <w:tcW w:w="833" w:type="dxa"/>
            <w:tcBorders>
              <w:top w:val="nil"/>
              <w:left w:val="nil"/>
              <w:bottom w:val="single" w:color="auto" w:sz="4" w:space="0"/>
              <w:right w:val="nil"/>
            </w:tcBorders>
            <w:vAlign w:val="center"/>
          </w:tcPr>
          <w:p>
            <w:pPr>
              <w:jc w:val="center"/>
              <w:rPr>
                <w:rFonts w:ascii="Times New Roman Regular" w:hAnsi="Times New Roman Regular" w:eastAsia="宋体" w:cs="Times New Roman Regular"/>
                <w:i/>
                <w:iCs/>
                <w:color w:val="000000" w:themeColor="text1"/>
                <w:kern w:val="0"/>
                <w:szCs w:val="21"/>
                <w14:textFill>
                  <w14:solidFill>
                    <w14:schemeClr w14:val="tx1"/>
                  </w14:solidFill>
                </w14:textFill>
              </w:rPr>
            </w:pPr>
            <w:r>
              <w:rPr>
                <w:rFonts w:ascii="Times New Roman Regular" w:hAnsi="Times New Roman Regular" w:eastAsia="宋体" w:cs="Times New Roman Regular"/>
                <w:i/>
                <w:iCs/>
                <w:color w:val="000000" w:themeColor="text1"/>
                <w:kern w:val="0"/>
                <w:szCs w:val="21"/>
                <w14:textFill>
                  <w14:solidFill>
                    <w14:schemeClr w14:val="tx1"/>
                  </w14:solidFill>
                </w14:textFill>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021" w:type="dxa"/>
            <w:vMerge w:val="restart"/>
            <w:tcBorders>
              <w:top w:val="single" w:color="auto" w:sz="4" w:space="0"/>
              <w:left w:val="nil"/>
              <w:bottom w:val="nil"/>
              <w:right w:val="nil"/>
            </w:tcBorders>
            <w:vAlign w:val="center"/>
          </w:tcPr>
          <w:p>
            <w:pPr>
              <w:jc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Bacterial</w:t>
            </w:r>
          </w:p>
        </w:tc>
        <w:tc>
          <w:tcPr>
            <w:tcW w:w="2535" w:type="dxa"/>
            <w:tcBorders>
              <w:top w:val="single" w:color="auto" w:sz="4" w:space="0"/>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lang w:eastAsia="zh-Hans"/>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Brazil</w:t>
            </w:r>
            <w:r>
              <w:rPr>
                <w:rFonts w:ascii="Times New Roman Regular" w:hAnsi="Times New Roman Regular" w:eastAsia="宋体" w:cs="Times New Roman Regular"/>
                <w:color w:val="000000" w:themeColor="text1"/>
                <w:kern w:val="0"/>
                <w:szCs w:val="21"/>
                <w14:textFill>
                  <w14:solidFill>
                    <w14:schemeClr w14:val="tx1"/>
                  </w14:solidFill>
                </w14:textFill>
              </w:rPr>
              <w:t xml:space="preserve"> vs </w:t>
            </w:r>
            <w:r>
              <w:rPr>
                <w:rFonts w:ascii="Times New Roman Regular" w:hAnsi="Times New Roman Regular" w:eastAsia="宋体" w:cs="Times New Roman Regular"/>
                <w:color w:val="000000" w:themeColor="text1"/>
                <w:kern w:val="0"/>
                <w:szCs w:val="21"/>
                <w:lang w:eastAsia="zh-Hans"/>
                <w14:textFill>
                  <w14:solidFill>
                    <w14:schemeClr w14:val="tx1"/>
                  </w14:solidFill>
                </w14:textFill>
              </w:rPr>
              <w:t>Chenzhou</w:t>
            </w:r>
          </w:p>
        </w:tc>
        <w:tc>
          <w:tcPr>
            <w:tcW w:w="874"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0.234</w:t>
            </w:r>
          </w:p>
        </w:tc>
        <w:tc>
          <w:tcPr>
            <w:tcW w:w="802"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0.008</w:t>
            </w:r>
          </w:p>
        </w:tc>
        <w:tc>
          <w:tcPr>
            <w:tcW w:w="901"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0.224</w:t>
            </w:r>
          </w:p>
        </w:tc>
        <w:tc>
          <w:tcPr>
            <w:tcW w:w="802"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0.007</w:t>
            </w:r>
          </w:p>
        </w:tc>
        <w:tc>
          <w:tcPr>
            <w:tcW w:w="1009"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0.219</w:t>
            </w:r>
          </w:p>
        </w:tc>
        <w:tc>
          <w:tcPr>
            <w:tcW w:w="833"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021" w:type="dxa"/>
            <w:vMerge w:val="continue"/>
            <w:tcBorders>
              <w:top w:val="nil"/>
              <w:left w:val="nil"/>
              <w:bottom w:val="nil"/>
              <w:right w:val="nil"/>
            </w:tcBorders>
            <w:vAlign w:val="center"/>
          </w:tcPr>
          <w:p>
            <w:pPr>
              <w:spacing w:line="720" w:lineRule="auto"/>
              <w:jc w:val="center"/>
              <w:rPr>
                <w:rFonts w:ascii="Times New Roman Regular" w:hAnsi="Times New Roman Regular" w:eastAsia="宋体" w:cs="Times New Roman Regular"/>
                <w:color w:val="000000" w:themeColor="text1"/>
                <w:szCs w:val="21"/>
                <w14:textFill>
                  <w14:solidFill>
                    <w14:schemeClr w14:val="tx1"/>
                  </w14:solidFill>
                </w14:textFill>
              </w:rPr>
            </w:pPr>
          </w:p>
        </w:tc>
        <w:tc>
          <w:tcPr>
            <w:tcW w:w="2535" w:type="dxa"/>
            <w:tcBorders>
              <w:top w:val="nil"/>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lang w:eastAsia="zh-Hans"/>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Brazil</w:t>
            </w:r>
            <w:r>
              <w:rPr>
                <w:rFonts w:ascii="Times New Roman Regular" w:hAnsi="Times New Roman Regular" w:eastAsia="宋体" w:cs="Times New Roman Regular"/>
                <w:color w:val="000000" w:themeColor="text1"/>
                <w:kern w:val="0"/>
                <w:szCs w:val="21"/>
                <w14:textFill>
                  <w14:solidFill>
                    <w14:schemeClr w14:val="tx1"/>
                  </w14:solidFill>
                </w14:textFill>
              </w:rPr>
              <w:t xml:space="preserve"> vs </w:t>
            </w:r>
            <w:r>
              <w:rPr>
                <w:rFonts w:hint="eastAsia" w:ascii="Times New Roman" w:hAnsi="Times New Roman" w:cs="Times New Roman"/>
                <w:color w:val="000000" w:themeColor="text1"/>
                <w:szCs w:val="21"/>
                <w14:textFill>
                  <w14:solidFill>
                    <w14:schemeClr w14:val="tx1"/>
                  </w14:solidFill>
                </w14:textFill>
              </w:rPr>
              <w:t>Zimbabwe</w:t>
            </w:r>
          </w:p>
        </w:tc>
        <w:tc>
          <w:tcPr>
            <w:tcW w:w="87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0.214</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90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0.227</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10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0.223</w:t>
            </w:r>
          </w:p>
        </w:tc>
        <w:tc>
          <w:tcPr>
            <w:tcW w:w="833"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021" w:type="dxa"/>
            <w:vMerge w:val="continue"/>
            <w:tcBorders>
              <w:top w:val="nil"/>
              <w:left w:val="nil"/>
              <w:bottom w:val="nil"/>
              <w:right w:val="nil"/>
            </w:tcBorders>
            <w:vAlign w:val="center"/>
          </w:tcPr>
          <w:p>
            <w:pPr>
              <w:spacing w:line="720" w:lineRule="auto"/>
              <w:jc w:val="center"/>
              <w:rPr>
                <w:rFonts w:ascii="Times New Roman Regular" w:hAnsi="Times New Roman Regular" w:eastAsia="宋体" w:cs="Times New Roman Regular"/>
                <w:color w:val="000000" w:themeColor="text1"/>
                <w:szCs w:val="21"/>
                <w14:textFill>
                  <w14:solidFill>
                    <w14:schemeClr w14:val="tx1"/>
                  </w14:solidFill>
                </w14:textFill>
              </w:rPr>
            </w:pPr>
          </w:p>
        </w:tc>
        <w:tc>
          <w:tcPr>
            <w:tcW w:w="2535" w:type="dxa"/>
            <w:tcBorders>
              <w:top w:val="nil"/>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lang w:eastAsia="zh-Hans"/>
                <w14:textFill>
                  <w14:solidFill>
                    <w14:schemeClr w14:val="tx1"/>
                  </w14:solidFill>
                </w14:textFill>
              </w:rPr>
            </w:pPr>
            <w:r>
              <w:rPr>
                <w:rFonts w:ascii="Times New Roman Regular" w:hAnsi="Times New Roman Regular" w:eastAsia="宋体" w:cs="Times New Roman Regular"/>
                <w:color w:val="000000" w:themeColor="text1"/>
                <w:kern w:val="0"/>
                <w:szCs w:val="21"/>
                <w:lang w:eastAsia="zh-Hans"/>
                <w14:textFill>
                  <w14:solidFill>
                    <w14:schemeClr w14:val="tx1"/>
                  </w14:solidFill>
                </w14:textFill>
              </w:rPr>
              <w:t>Chenzhou</w:t>
            </w:r>
            <w:r>
              <w:rPr>
                <w:rFonts w:ascii="Times New Roman Regular" w:hAnsi="Times New Roman Regular" w:eastAsia="宋体" w:cs="Times New Roman Regular"/>
                <w:color w:val="000000" w:themeColor="text1"/>
                <w:kern w:val="0"/>
                <w:szCs w:val="21"/>
                <w14:textFill>
                  <w14:solidFill>
                    <w14:schemeClr w14:val="tx1"/>
                  </w14:solidFill>
                </w14:textFill>
              </w:rPr>
              <w:t xml:space="preserve"> vs </w:t>
            </w:r>
            <w:r>
              <w:rPr>
                <w:rFonts w:hint="eastAsia" w:ascii="Times New Roman" w:hAnsi="Times New Roman" w:cs="Times New Roman"/>
                <w:color w:val="000000" w:themeColor="text1"/>
                <w:szCs w:val="21"/>
                <w14:textFill>
                  <w14:solidFill>
                    <w14:schemeClr w14:val="tx1"/>
                  </w14:solidFill>
                </w14:textFill>
              </w:rPr>
              <w:t>Zimbabwe</w:t>
            </w:r>
          </w:p>
        </w:tc>
        <w:tc>
          <w:tcPr>
            <w:tcW w:w="87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0.050</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0.470</w:t>
            </w:r>
          </w:p>
        </w:tc>
        <w:tc>
          <w:tcPr>
            <w:tcW w:w="90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-0.004</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0.407</w:t>
            </w:r>
          </w:p>
        </w:tc>
        <w:tc>
          <w:tcPr>
            <w:tcW w:w="10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0.367</w:t>
            </w:r>
          </w:p>
        </w:tc>
        <w:tc>
          <w:tcPr>
            <w:tcW w:w="833"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021" w:type="dxa"/>
            <w:vMerge w:val="restart"/>
            <w:tcBorders>
              <w:top w:val="nil"/>
              <w:left w:val="nil"/>
              <w:bottom w:val="nil"/>
              <w:right w:val="nil"/>
            </w:tcBorders>
            <w:vAlign w:val="center"/>
          </w:tcPr>
          <w:p>
            <w:pPr>
              <w:jc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14:textFill>
                  <w14:solidFill>
                    <w14:schemeClr w14:val="tx1"/>
                  </w14:solidFill>
                </w14:textFill>
              </w:rPr>
              <w:t>Fungi</w:t>
            </w:r>
          </w:p>
        </w:tc>
        <w:tc>
          <w:tcPr>
            <w:tcW w:w="2535" w:type="dxa"/>
            <w:tcBorders>
              <w:top w:val="nil"/>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Brazil</w:t>
            </w:r>
            <w:r>
              <w:rPr>
                <w:rFonts w:ascii="Times New Roman Regular" w:hAnsi="Times New Roman Regular" w:eastAsia="宋体" w:cs="Times New Roman Regular"/>
                <w:color w:val="000000" w:themeColor="text1"/>
                <w:kern w:val="0"/>
                <w:szCs w:val="21"/>
                <w14:textFill>
                  <w14:solidFill>
                    <w14:schemeClr w14:val="tx1"/>
                  </w14:solidFill>
                </w14:textFill>
              </w:rPr>
              <w:t xml:space="preserve"> vs </w:t>
            </w:r>
            <w:r>
              <w:rPr>
                <w:rFonts w:ascii="Times New Roman Regular" w:hAnsi="Times New Roman Regular" w:eastAsia="宋体" w:cs="Times New Roman Regular"/>
                <w:color w:val="000000" w:themeColor="text1"/>
                <w:kern w:val="0"/>
                <w:szCs w:val="21"/>
                <w:lang w:eastAsia="zh-Hans"/>
                <w14:textFill>
                  <w14:solidFill>
                    <w14:schemeClr w14:val="tx1"/>
                  </w14:solidFill>
                </w14:textFill>
              </w:rPr>
              <w:t>Chenzhou</w:t>
            </w:r>
          </w:p>
        </w:tc>
        <w:tc>
          <w:tcPr>
            <w:tcW w:w="87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0.312</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90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0.628</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10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0.470</w:t>
            </w:r>
          </w:p>
        </w:tc>
        <w:tc>
          <w:tcPr>
            <w:tcW w:w="833"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1" w:type="dxa"/>
            <w:vMerge w:val="continue"/>
            <w:tcBorders>
              <w:top w:val="nil"/>
              <w:left w:val="nil"/>
              <w:bottom w:val="nil"/>
              <w:right w:val="nil"/>
            </w:tcBorders>
            <w:vAlign w:val="center"/>
          </w:tcPr>
          <w:p>
            <w:pPr>
              <w:jc w:val="center"/>
              <w:rPr>
                <w:rFonts w:ascii="Times New Roman Regular" w:hAnsi="Times New Roman Regular" w:eastAsia="宋体" w:cs="Times New Roman Regular"/>
                <w:color w:val="000000" w:themeColor="text1"/>
                <w:szCs w:val="21"/>
                <w14:textFill>
                  <w14:solidFill>
                    <w14:schemeClr w14:val="tx1"/>
                  </w14:solidFill>
                </w14:textFill>
              </w:rPr>
            </w:pPr>
          </w:p>
        </w:tc>
        <w:tc>
          <w:tcPr>
            <w:tcW w:w="2535" w:type="dxa"/>
            <w:tcBorders>
              <w:top w:val="nil"/>
              <w:left w:val="nil"/>
              <w:bottom w:val="nil"/>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Brazil</w:t>
            </w:r>
            <w:r>
              <w:rPr>
                <w:rFonts w:ascii="Times New Roman Regular" w:hAnsi="Times New Roman Regular" w:eastAsia="宋体" w:cs="Times New Roman Regular"/>
                <w:color w:val="000000" w:themeColor="text1"/>
                <w:kern w:val="0"/>
                <w:szCs w:val="21"/>
                <w14:textFill>
                  <w14:solidFill>
                    <w14:schemeClr w14:val="tx1"/>
                  </w14:solidFill>
                </w14:textFill>
              </w:rPr>
              <w:t xml:space="preserve"> vs </w:t>
            </w:r>
            <w:r>
              <w:rPr>
                <w:rFonts w:hint="eastAsia" w:ascii="Times New Roman" w:hAnsi="Times New Roman" w:cs="Times New Roman"/>
                <w:color w:val="000000" w:themeColor="text1"/>
                <w:szCs w:val="21"/>
                <w14:textFill>
                  <w14:solidFill>
                    <w14:schemeClr w14:val="tx1"/>
                  </w14:solidFill>
                </w14:textFill>
              </w:rPr>
              <w:t>Zimbabwe</w:t>
            </w:r>
          </w:p>
        </w:tc>
        <w:tc>
          <w:tcPr>
            <w:tcW w:w="87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0.556</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90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1.000</w:t>
            </w:r>
          </w:p>
        </w:tc>
        <w:tc>
          <w:tcPr>
            <w:tcW w:w="8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10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0.400</w:t>
            </w:r>
          </w:p>
        </w:tc>
        <w:tc>
          <w:tcPr>
            <w:tcW w:w="833"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1" w:type="dxa"/>
            <w:vMerge w:val="continue"/>
            <w:tcBorders>
              <w:top w:val="nil"/>
              <w:left w:val="nil"/>
              <w:bottom w:val="single" w:color="auto" w:sz="12" w:space="0"/>
              <w:right w:val="nil"/>
            </w:tcBorders>
            <w:vAlign w:val="center"/>
          </w:tcPr>
          <w:p>
            <w:pPr>
              <w:jc w:val="center"/>
              <w:rPr>
                <w:rFonts w:ascii="Times New Roman Regular" w:hAnsi="Times New Roman Regular" w:eastAsia="宋体" w:cs="Times New Roman Regular"/>
                <w:color w:val="000000" w:themeColor="text1"/>
                <w:szCs w:val="21"/>
                <w14:textFill>
                  <w14:solidFill>
                    <w14:schemeClr w14:val="tx1"/>
                  </w14:solidFill>
                </w14:textFill>
              </w:rPr>
            </w:pPr>
          </w:p>
        </w:tc>
        <w:tc>
          <w:tcPr>
            <w:tcW w:w="2535" w:type="dxa"/>
            <w:tcBorders>
              <w:top w:val="nil"/>
              <w:left w:val="nil"/>
              <w:bottom w:val="single" w:color="auto" w:sz="12" w:space="0"/>
              <w:right w:val="nil"/>
            </w:tcBorders>
            <w:vAlign w:val="center"/>
          </w:tcPr>
          <w:p>
            <w:pPr>
              <w:jc w:val="center"/>
              <w:rPr>
                <w:rFonts w:ascii="Times New Roman Regular" w:hAnsi="Times New Roman Regular" w:eastAsia="宋体" w:cs="Times New Roman Regular"/>
                <w:color w:val="000000" w:themeColor="text1"/>
                <w:kern w:val="0"/>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eastAsia="zh-Hans"/>
                <w14:textFill>
                  <w14:solidFill>
                    <w14:schemeClr w14:val="tx1"/>
                  </w14:solidFill>
                </w14:textFill>
              </w:rPr>
              <w:t>Chenzhou</w:t>
            </w:r>
            <w:r>
              <w:rPr>
                <w:rFonts w:ascii="Times New Roman Regular" w:hAnsi="Times New Roman Regular" w:eastAsia="宋体" w:cs="Times New Roman Regular"/>
                <w:color w:val="000000" w:themeColor="text1"/>
                <w:kern w:val="0"/>
                <w:szCs w:val="21"/>
                <w14:textFill>
                  <w14:solidFill>
                    <w14:schemeClr w14:val="tx1"/>
                  </w14:solidFill>
                </w14:textFill>
              </w:rPr>
              <w:t xml:space="preserve"> vs </w:t>
            </w:r>
            <w:r>
              <w:rPr>
                <w:rFonts w:hint="eastAsia" w:ascii="Times New Roman" w:hAnsi="Times New Roman" w:cs="Times New Roman"/>
                <w:color w:val="000000" w:themeColor="text1"/>
                <w:szCs w:val="21"/>
                <w14:textFill>
                  <w14:solidFill>
                    <w14:schemeClr w14:val="tx1"/>
                  </w14:solidFill>
                </w14:textFill>
              </w:rPr>
              <w:t>Zimbabwe</w:t>
            </w:r>
          </w:p>
        </w:tc>
        <w:tc>
          <w:tcPr>
            <w:tcW w:w="874"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0.476</w:t>
            </w:r>
          </w:p>
        </w:tc>
        <w:tc>
          <w:tcPr>
            <w:tcW w:w="802"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901"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0.771</w:t>
            </w:r>
          </w:p>
        </w:tc>
        <w:tc>
          <w:tcPr>
            <w:tcW w:w="802"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c>
          <w:tcPr>
            <w:tcW w:w="1009"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themeColor="text1"/>
                <w:szCs w:val="21"/>
                <w14:textFill>
                  <w14:solidFill>
                    <w14:schemeClr w14:val="tx1"/>
                  </w14:solidFill>
                </w14:textFill>
              </w:rPr>
            </w:pPr>
            <w:r>
              <w:rPr>
                <w:rFonts w:ascii="Times New Roman Regular" w:hAnsi="Times New Roman Regular" w:eastAsia="宋体" w:cs="Times New Roman Regular"/>
                <w:color w:val="000000" w:themeColor="text1"/>
                <w:kern w:val="0"/>
                <w:szCs w:val="21"/>
                <w:lang w:bidi="ar"/>
                <w14:textFill>
                  <w14:solidFill>
                    <w14:schemeClr w14:val="tx1"/>
                  </w14:solidFill>
                </w14:textFill>
              </w:rPr>
              <w:t>0.514</w:t>
            </w:r>
          </w:p>
        </w:tc>
        <w:tc>
          <w:tcPr>
            <w:tcW w:w="833"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bCs/>
                <w:color w:val="000000" w:themeColor="text1"/>
                <w:szCs w:val="21"/>
                <w14:textFill>
                  <w14:solidFill>
                    <w14:schemeClr w14:val="tx1"/>
                  </w14:solidFill>
                </w14:textFill>
              </w:rPr>
            </w:pPr>
            <w:r>
              <w:rPr>
                <w:rFonts w:ascii="Times New Roman Regular" w:hAnsi="Times New Roman Regular" w:eastAsia="宋体" w:cs="Times New Roman Regular"/>
                <w:bCs/>
                <w:color w:val="000000" w:themeColor="text1"/>
                <w:kern w:val="0"/>
                <w:szCs w:val="21"/>
                <w:lang w:bidi="ar"/>
                <w14:textFill>
                  <w14:solidFill>
                    <w14:schemeClr w14:val="tx1"/>
                  </w14:solidFill>
                </w14:textFill>
              </w:rPr>
              <w:t>0.001</w:t>
            </w:r>
          </w:p>
        </w:tc>
      </w:tr>
    </w:tbl>
    <w:p>
      <w:pPr>
        <w:widowControl/>
        <w:jc w:val="left"/>
        <w:rPr>
          <w:rFonts w:ascii="Times New Roman Regular" w:hAnsi="Times New Roman Regular" w:eastAsia="宋体" w:cs="Times New Roman Regular"/>
          <w:b/>
          <w:bCs/>
          <w:color w:val="000000"/>
          <w:kern w:val="0"/>
          <w:szCs w:val="21"/>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pPr>
    </w:p>
    <w:p>
      <w:pPr>
        <w:widowControl/>
        <w:jc w:val="left"/>
        <w:rPr>
          <w:rFonts w:ascii="Times New Roman Regular" w:hAnsi="Times New Roman Regular" w:eastAsia="宋体" w:cs="Times New Roman Regular"/>
          <w:szCs w:val="21"/>
          <w:lang w:eastAsia="zh-Hans"/>
        </w:rPr>
        <w:sectPr>
          <w:pgSz w:w="11906" w:h="16838"/>
          <w:pgMar w:top="1440" w:right="1800" w:bottom="1440" w:left="1800" w:header="851" w:footer="992" w:gutter="0"/>
          <w:cols w:space="425" w:num="1"/>
          <w:docGrid w:type="lines" w:linePitch="312" w:charSpace="0"/>
        </w:sectPr>
      </w:pPr>
    </w:p>
    <w:p>
      <w:pPr>
        <w:widowControl/>
        <w:spacing w:line="440" w:lineRule="exact"/>
        <w:jc w:val="left"/>
        <w:rPr>
          <w:rFonts w:hint="default" w:ascii="Times New Roman Regular" w:hAnsi="Times New Roman Regular" w:eastAsia="宋体" w:cs="Times New Roman Regular"/>
          <w:szCs w:val="21"/>
          <w:lang w:val="en-US" w:eastAsia="zh-CN"/>
        </w:rPr>
      </w:pPr>
      <w:r>
        <w:rPr>
          <w:rFonts w:ascii="Times New Roman Regular" w:hAnsi="Times New Roman Regular" w:eastAsia="宋体" w:cs="Times New Roman Regular"/>
          <w:szCs w:val="21"/>
          <w:lang w:eastAsia="zh-Hans"/>
        </w:rPr>
        <w:t xml:space="preserve">Table S2 </w:t>
      </w:r>
      <w:r>
        <w:rPr>
          <w:rFonts w:hint="eastAsia" w:ascii="Times New Roman Regular" w:hAnsi="Times New Roman Regular" w:eastAsia="宋体" w:cs="Times New Roman Regular"/>
          <w:szCs w:val="21"/>
          <w:lang w:val="en-US" w:eastAsia="zh-CN"/>
        </w:rPr>
        <w:t>LDA values for linear discriminant analysis of tobacco microbial communities from different origins</w:t>
      </w:r>
      <w:r>
        <w:rPr>
          <w:rFonts w:hint="default" w:ascii="Times New Roman Regular" w:hAnsi="Times New Roman Regular" w:eastAsia="宋体" w:cs="Times New Roman Regular"/>
          <w:szCs w:val="21"/>
          <w:lang w:val="en-US" w:eastAsia="zh-CN"/>
        </w:rPr>
        <w:t>.</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807"/>
        <w:gridCol w:w="1814"/>
        <w:gridCol w:w="2418"/>
        <w:gridCol w:w="2249"/>
        <w:gridCol w:w="2358"/>
        <w:gridCol w:w="2104"/>
        <w:gridCol w:w="738"/>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tcBorders>
              <w:top w:val="single" w:color="auto" w:sz="12" w:space="0"/>
              <w:left w:val="nil"/>
              <w:bottom w:val="single" w:color="auto" w:sz="4" w:space="0"/>
              <w:right w:val="nil"/>
            </w:tcBorders>
            <w:vAlign w:val="center"/>
          </w:tcPr>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szCs w:val="21"/>
              </w:rPr>
              <w:t>Type</w:t>
            </w:r>
          </w:p>
        </w:tc>
        <w:tc>
          <w:tcPr>
            <w:tcW w:w="809"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kern w:val="0"/>
                <w:szCs w:val="21"/>
              </w:rPr>
            </w:pPr>
            <w:r>
              <w:rPr>
                <w:rFonts w:ascii="Times New Roman Regular" w:hAnsi="Times New Roman Regular" w:cs="Times New Roman Regular"/>
                <w:kern w:val="0"/>
                <w:szCs w:val="21"/>
              </w:rPr>
              <w:t>Group</w:t>
            </w:r>
          </w:p>
        </w:tc>
        <w:tc>
          <w:tcPr>
            <w:tcW w:w="1811"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kern w:val="0"/>
                <w:szCs w:val="21"/>
              </w:rPr>
            </w:pPr>
            <w:r>
              <w:rPr>
                <w:rFonts w:ascii="Times New Roman Regular" w:hAnsi="Times New Roman Regular" w:cs="Times New Roman Regular"/>
                <w:kern w:val="0"/>
                <w:szCs w:val="21"/>
              </w:rPr>
              <w:t>Phylum</w:t>
            </w:r>
          </w:p>
        </w:tc>
        <w:tc>
          <w:tcPr>
            <w:tcW w:w="2418"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kern w:val="0"/>
                <w:szCs w:val="21"/>
              </w:rPr>
            </w:pPr>
            <w:r>
              <w:rPr>
                <w:rFonts w:ascii="Times New Roman Regular" w:hAnsi="Times New Roman Regular" w:cs="Times New Roman Regular"/>
                <w:kern w:val="0"/>
                <w:szCs w:val="21"/>
              </w:rPr>
              <w:t>Class</w:t>
            </w:r>
          </w:p>
        </w:tc>
        <w:tc>
          <w:tcPr>
            <w:tcW w:w="2249"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kern w:val="0"/>
                <w:szCs w:val="21"/>
              </w:rPr>
            </w:pPr>
            <w:r>
              <w:rPr>
                <w:rFonts w:ascii="Times New Roman Regular" w:hAnsi="Times New Roman Regular" w:cs="Times New Roman Regular"/>
                <w:kern w:val="0"/>
                <w:szCs w:val="21"/>
              </w:rPr>
              <w:t>Order</w:t>
            </w:r>
          </w:p>
        </w:tc>
        <w:tc>
          <w:tcPr>
            <w:tcW w:w="2358"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kern w:val="0"/>
                <w:szCs w:val="21"/>
              </w:rPr>
            </w:pPr>
            <w:r>
              <w:rPr>
                <w:rFonts w:ascii="Times New Roman Regular" w:hAnsi="Times New Roman Regular" w:cs="Times New Roman Regular"/>
                <w:kern w:val="0"/>
                <w:szCs w:val="21"/>
              </w:rPr>
              <w:t>Family</w:t>
            </w:r>
          </w:p>
        </w:tc>
        <w:tc>
          <w:tcPr>
            <w:tcW w:w="2104"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kern w:val="0"/>
                <w:szCs w:val="21"/>
              </w:rPr>
            </w:pPr>
            <w:r>
              <w:rPr>
                <w:rFonts w:ascii="Times New Roman Regular" w:hAnsi="Times New Roman Regular" w:cs="Times New Roman Regular"/>
                <w:kern w:val="0"/>
                <w:szCs w:val="21"/>
              </w:rPr>
              <w:t>Genus</w:t>
            </w:r>
          </w:p>
        </w:tc>
        <w:tc>
          <w:tcPr>
            <w:tcW w:w="739"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kern w:val="0"/>
                <w:szCs w:val="21"/>
              </w:rPr>
            </w:pPr>
            <w:r>
              <w:rPr>
                <w:rFonts w:ascii="Times New Roman Regular" w:hAnsi="Times New Roman Regular" w:cs="Times New Roman Regular"/>
                <w:kern w:val="0"/>
                <w:szCs w:val="21"/>
              </w:rPr>
              <w:t>LDA score</w:t>
            </w:r>
          </w:p>
        </w:tc>
        <w:tc>
          <w:tcPr>
            <w:tcW w:w="712" w:type="dxa"/>
            <w:tcBorders>
              <w:top w:val="single" w:color="auto" w:sz="12" w:space="0"/>
              <w:left w:val="nil"/>
              <w:bottom w:val="single" w:color="auto" w:sz="4" w:space="0"/>
              <w:right w:val="nil"/>
            </w:tcBorders>
            <w:vAlign w:val="center"/>
          </w:tcPr>
          <w:p>
            <w:pPr>
              <w:jc w:val="center"/>
              <w:rPr>
                <w:rFonts w:ascii="Times New Roman Regular" w:hAnsi="Times New Roman Regular" w:cs="Times New Roman Regular"/>
                <w:i/>
                <w:iCs/>
                <w:kern w:val="0"/>
                <w:szCs w:val="21"/>
              </w:rPr>
            </w:pPr>
            <w:r>
              <w:rPr>
                <w:rFonts w:ascii="Times New Roman Regular" w:hAnsi="Times New Roman Regular" w:cs="Times New Roman Regular"/>
                <w:i/>
                <w:iCs/>
                <w:kern w:val="0"/>
                <w:szCs w:val="21"/>
              </w:rPr>
              <w:t xml:space="preserve">P </w:t>
            </w:r>
            <w:r>
              <w:rPr>
                <w:rFonts w:ascii="Times New Roman Regular" w:hAnsi="Times New Roman Regular" w:cs="Times New Roman Regular"/>
                <w:kern w:val="0"/>
                <w:szCs w:val="21"/>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restart"/>
            <w:tcBorders>
              <w:top w:val="single" w:color="auto" w:sz="4" w:space="0"/>
              <w:left w:val="nil"/>
              <w:bottom w:val="nil"/>
              <w:right w:val="nil"/>
            </w:tcBorders>
            <w:vAlign w:val="center"/>
          </w:tcPr>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color w:val="000000" w:themeColor="text1"/>
                <w:kern w:val="0"/>
                <w:szCs w:val="21"/>
                <w14:textFill>
                  <w14:solidFill>
                    <w14:schemeClr w14:val="tx1"/>
                  </w14:solidFill>
                </w14:textFill>
              </w:rPr>
              <w:t>Bacterial</w:t>
            </w:r>
          </w:p>
        </w:tc>
        <w:tc>
          <w:tcPr>
            <w:tcW w:w="809" w:type="dxa"/>
            <w:vMerge w:val="restart"/>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BX</w:t>
            </w:r>
          </w:p>
        </w:tc>
        <w:tc>
          <w:tcPr>
            <w:tcW w:w="1811"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5.06</w:t>
            </w:r>
          </w:p>
        </w:tc>
        <w:tc>
          <w:tcPr>
            <w:tcW w:w="712"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o__Sphingomonadales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o__Sphingomonadales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f__Sphingomonadaceae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4.80</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o__Sphingomonadales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f__Sphingomonadaceae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g__Sphingomonas</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4.78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o__Rhizobiales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o__Rhizobiales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f__Methylobacteriaceae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o__Rhizobiales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f__Methylobacteriaceae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g__Methylobacterium</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4.52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4.52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o__Micrococcales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4.23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o__Rhizobiales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f__Aurantimonadaceae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3.86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o__Rhizobiales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f__Aurantimonadaceae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g__Aureimonas</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3.85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o__Propionibacteriales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o__Propionibacteriales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f__Nocardioidaceae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3.79</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o__Micrococcales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f__Micrococcaceae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3.74</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o__Micrococcales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f__Micrococcaceae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g__Pseudarthrobacter</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3.70</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o__Mycobacteriales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3.57</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p__Firmicutes</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c__Bacilli</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o__Bacillales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f__Paenibacillaceae1</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o__Geodermatophilales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o__Geodermatophilales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f__Geodermatophilaceae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o__Propionibacteriales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f__Nocardioidaceae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g__Marmoricola</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3.56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restart"/>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CZ</w:t>
            </w: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c__Gammaproteobacteria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o__Enterobacterales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4.99</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c__Gammaproteobacteria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o__Enterobacterales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f__Enterobacteriaceae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4.89</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c__Gammaproteobacteria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o__Enterobacterales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f__Enterobacteriaceae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g__Enterobacter</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4.90</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p__Proteobacteria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c__Alphaproteobacteria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o__Sphingomonadales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f__Erythrobacteraceae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3.70</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p__Bacteroidetes</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c__Sphingobacteriia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o__Sphingobacteriales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f__Sphingobacteriaceae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g__Sphingobacterium</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3.85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restart"/>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ZB</w:t>
            </w: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o__Micrococcales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f__Microbacteriaceae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4.03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o__Micrococcales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f__Microbacteriaceae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g__Curtobacterium</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3.64</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p__Firmicutes</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c__Bacilli</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o__Bacillales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f__Bacillaceae2</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o__Micrococcales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f__Microbacteriaceae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g__Microbacterium</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3.60</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p__Firmicutes</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c__Bacilli</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o__Bacillales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f__Bacillaceae2</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g__Terribacillus</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o__Streptosporangiales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o__Streptosporangiales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f__Nocardiopsaceae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o__Streptosporangiales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f__Nocardiopsaceae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g__Marinactinospora</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3.68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o__Kineosporiales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3.58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o__Kineosporiales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f__Kineosporiaceae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3.58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o__Streptosporangiales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f__Streptosporangiaceae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p__Actinobacteria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c__Actinobacteria</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o__Propionibacteriales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f__Propionibacteriaceae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g__Brevilactibacter</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3.78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restart"/>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color w:val="000000" w:themeColor="text1"/>
                <w:kern w:val="0"/>
                <w:szCs w:val="21"/>
                <w14:textFill>
                  <w14:solidFill>
                    <w14:schemeClr w14:val="tx1"/>
                  </w14:solidFill>
                </w14:textFill>
              </w:rPr>
              <w:t>Fungi</w:t>
            </w:r>
          </w:p>
        </w:tc>
        <w:tc>
          <w:tcPr>
            <w:tcW w:w="809" w:type="dxa"/>
            <w:vMerge w:val="restart"/>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BX</w:t>
            </w: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o__Capnodiales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c__Agaricomycetes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o__Cantharellales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o__Pleosporales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f__Pleosporaceae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g__Alternaria</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5.27</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o__Pleosporales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f__Pleosporaceae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c__Agaricomycetes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4.80</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o__Capnodiales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f__Cladosporiaceae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o__Capnodiales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f__Cladosporiaceae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g__Cladosporium</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4.63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c__Agaricomycetes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o__Cantharellales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f__Ceratobasidiaceae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c__Agaricomycetes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o__Cantharellales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f__Ceratobasidiaceae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g__Thanatephorus</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restart"/>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CZ</w:t>
            </w: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c__Leotiomycetes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o__Thelebolales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f__Pseudeurotiaceae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4.05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c__Leotiomycetes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4.19</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o__Hypocreales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4.21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o__Trichosphaeriales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f__Trichosphaeriaceae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g__Nigrospora</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4.37</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c__Microbotryomycetes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f__Chrysozymaceae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g__Sampaiozyma</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5.16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c__Microbotryomycetes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5.16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o__Pleosporales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f__Phaeosphaeriaceae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4.34</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o__Trichosphaeriales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4.37</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c__Leotiomycetes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o__Thelebolales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f__Pseudeurotiaceae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g__Pseudeurotium</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4.02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o__Pleosporales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4.78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c__Microbotryomycetes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5.16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o__Trichosphaeriales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f__Trichosphaeriaceae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4.37</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o__Hypocreales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f__Nectriaceae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g__Fusarium</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4.02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4.84</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o__Sordariales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p__Basidiomycota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c__Microbotryomycetes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f__Chrysozymaceae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5.16</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c__Leotiomycetes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o__Thelebolales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4.05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c__Sordariomycetes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o__Hypocreales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f__Nectriaceae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4.11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restart"/>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ZB</w:t>
            </w: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c__Eurotiomycetes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4.98</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o__Mycosphaerellales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5.25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c__Eurotiomycetes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o__Eurotiales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f__Aspergillaceae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5.01</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c__Eurotiomycetes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o__Eurotiales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5.00</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p__Mucoromycota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c__Mucoromycetes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o__Mucorales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f__Rhizopodaceae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g__Rhizopus</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o__Pleosporales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f__Coniothyriaceae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4.07</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p__Mucoromycota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c__Mucoromycetes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o__Mycosphaerellales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f__Mycosphaerellaceae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5.25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p__Mucoromycota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o__Mycosphaerellales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f__Mycosphaerellaceae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g__Cercospora</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5.25</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c__Dothideomycetes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o__Pleosporales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f__Coniothyriaceae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4.07</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p__Mucoromycota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c__Mucoromycetes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o__Mucorales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f__Rhizopodaceae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4.33</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c__Eurotiomycetes</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o__Eurotiales</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f__Aspergillaceae</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g__Aspergillus</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5.02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p__Ascomycota</w:t>
            </w:r>
          </w:p>
        </w:tc>
        <w:tc>
          <w:tcPr>
            <w:tcW w:w="241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24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358"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5.22</w:t>
            </w:r>
          </w:p>
        </w:tc>
        <w:tc>
          <w:tcPr>
            <w:tcW w:w="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4" w:type="dxa"/>
            <w:vMerge w:val="continue"/>
            <w:tcBorders>
              <w:top w:val="nil"/>
              <w:left w:val="nil"/>
              <w:bottom w:val="single" w:color="auto" w:sz="12" w:space="0"/>
              <w:right w:val="nil"/>
            </w:tcBorders>
            <w:vAlign w:val="center"/>
          </w:tcPr>
          <w:p>
            <w:pPr>
              <w:widowControl/>
              <w:jc w:val="center"/>
              <w:rPr>
                <w:rFonts w:ascii="Times New Roman Regular" w:hAnsi="Times New Roman Regular" w:eastAsia="宋体" w:cs="Times New Roman Regular"/>
                <w:szCs w:val="21"/>
              </w:rPr>
            </w:pPr>
          </w:p>
        </w:tc>
        <w:tc>
          <w:tcPr>
            <w:tcW w:w="809" w:type="dxa"/>
            <w:vMerge w:val="continue"/>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1811"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p__Mucoromycota</w:t>
            </w:r>
          </w:p>
        </w:tc>
        <w:tc>
          <w:tcPr>
            <w:tcW w:w="2418"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c__Mucoromycetes</w:t>
            </w:r>
          </w:p>
        </w:tc>
        <w:tc>
          <w:tcPr>
            <w:tcW w:w="2249"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o__Mucorales</w:t>
            </w:r>
          </w:p>
        </w:tc>
        <w:tc>
          <w:tcPr>
            <w:tcW w:w="2358"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2104"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w:t>
            </w:r>
          </w:p>
        </w:tc>
        <w:tc>
          <w:tcPr>
            <w:tcW w:w="739"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4.33</w:t>
            </w:r>
          </w:p>
        </w:tc>
        <w:tc>
          <w:tcPr>
            <w:tcW w:w="712"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0.000</w:t>
            </w:r>
          </w:p>
        </w:tc>
      </w:tr>
    </w:tbl>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spacing w:line="440" w:lineRule="exact"/>
        <w:jc w:val="left"/>
        <w:rPr>
          <w:rFonts w:hint="default" w:ascii="Times New Roman Regular" w:hAnsi="Times New Roman Regular" w:eastAsia="宋体" w:cs="Times New Roman Regular"/>
          <w:szCs w:val="21"/>
          <w:lang w:val="en-US"/>
        </w:rPr>
      </w:pPr>
      <w:r>
        <w:rPr>
          <w:rFonts w:ascii="Times New Roman Regular" w:hAnsi="Times New Roman Regular" w:eastAsia="宋体" w:cs="Times New Roman Regular"/>
          <w:szCs w:val="21"/>
          <w:lang w:eastAsia="zh-Hans"/>
        </w:rPr>
        <w:t>Table S</w:t>
      </w:r>
      <w:r>
        <w:rPr>
          <w:rFonts w:hint="eastAsia" w:ascii="Times New Roman Regular" w:hAnsi="Times New Roman Regular" w:eastAsia="宋体" w:cs="Times New Roman Regular"/>
          <w:szCs w:val="21"/>
        </w:rPr>
        <w:t xml:space="preserve">3 Keystones and their taxonomic information in the </w:t>
      </w:r>
      <w:r>
        <w:rPr>
          <w:rFonts w:ascii="Times New Roman Regular" w:hAnsi="Times New Roman Regular" w:eastAsia="宋体" w:cs="Times New Roman Regular"/>
          <w:szCs w:val="21"/>
        </w:rPr>
        <w:t>interaction</w:t>
      </w:r>
      <w:r>
        <w:rPr>
          <w:rFonts w:hint="eastAsia" w:ascii="Times New Roman Regular" w:hAnsi="Times New Roman Regular" w:eastAsia="宋体" w:cs="Times New Roman Regular"/>
          <w:szCs w:val="21"/>
        </w:rPr>
        <w:t xml:space="preserve"> networks</w:t>
      </w:r>
      <w:r>
        <w:rPr>
          <w:rFonts w:hint="default" w:ascii="Times New Roman Regular" w:hAnsi="Times New Roman Regular" w:eastAsia="宋体" w:cs="Times New Roman Regular"/>
          <w:szCs w:val="21"/>
          <w:lang w:val="en-US"/>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1304"/>
        <w:gridCol w:w="1309"/>
        <w:gridCol w:w="1712"/>
        <w:gridCol w:w="2302"/>
        <w:gridCol w:w="2015"/>
        <w:gridCol w:w="2086"/>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Type</w:t>
            </w:r>
          </w:p>
        </w:tc>
        <w:tc>
          <w:tcPr>
            <w:tcW w:w="1304"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 ID</w:t>
            </w:r>
          </w:p>
        </w:tc>
        <w:tc>
          <w:tcPr>
            <w:tcW w:w="1309"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Kingdom</w:t>
            </w:r>
          </w:p>
        </w:tc>
        <w:tc>
          <w:tcPr>
            <w:tcW w:w="1712"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Phylum</w:t>
            </w:r>
          </w:p>
        </w:tc>
        <w:tc>
          <w:tcPr>
            <w:tcW w:w="2302"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Class</w:t>
            </w:r>
          </w:p>
        </w:tc>
        <w:tc>
          <w:tcPr>
            <w:tcW w:w="2015"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Order</w:t>
            </w:r>
          </w:p>
        </w:tc>
        <w:tc>
          <w:tcPr>
            <w:tcW w:w="2086"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Family</w:t>
            </w:r>
          </w:p>
        </w:tc>
        <w:tc>
          <w:tcPr>
            <w:tcW w:w="1979"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Genus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restart"/>
            <w:tcBorders>
              <w:top w:val="single" w:color="auto" w:sz="4" w:space="0"/>
              <w:left w:val="nil"/>
              <w:bottom w:val="nil"/>
              <w:right w:val="nil"/>
            </w:tcBorders>
            <w:vAlign w:val="center"/>
          </w:tcPr>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szCs w:val="21"/>
              </w:rPr>
              <w:t>CZ</w:t>
            </w:r>
          </w:p>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szCs w:val="21"/>
              </w:rPr>
              <w:t>Connectors</w:t>
            </w:r>
          </w:p>
        </w:tc>
        <w:tc>
          <w:tcPr>
            <w:tcW w:w="1304"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ATU455</w:t>
            </w:r>
          </w:p>
        </w:tc>
        <w:tc>
          <w:tcPr>
            <w:tcW w:w="1309"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Fungi</w:t>
            </w:r>
          </w:p>
        </w:tc>
        <w:tc>
          <w:tcPr>
            <w:tcW w:w="1712"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Ascomycota</w:t>
            </w:r>
          </w:p>
        </w:tc>
        <w:tc>
          <w:tcPr>
            <w:tcW w:w="2302"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Sordariomycetes</w:t>
            </w:r>
          </w:p>
        </w:tc>
        <w:tc>
          <w:tcPr>
            <w:tcW w:w="2015"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Sordariales</w:t>
            </w:r>
          </w:p>
        </w:tc>
        <w:tc>
          <w:tcPr>
            <w:tcW w:w="2086"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Chaetomiaceae</w:t>
            </w:r>
          </w:p>
        </w:tc>
        <w:tc>
          <w:tcPr>
            <w:tcW w:w="1979"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Stellatospora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OTU1403</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Eukaryota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Plantae</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Liliopsida</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Poales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Poaceae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Zea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OTU1168</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Proteobacteria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Alphaproteobacteria</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Sphingomonadales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Sphingomonadaceae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Sphingomonas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restart"/>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szCs w:val="21"/>
              </w:rPr>
              <w:t>ZB</w:t>
            </w:r>
          </w:p>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szCs w:val="21"/>
              </w:rPr>
              <w:t>Modole hubs</w:t>
            </w: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ATU141</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Fungi</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Ascomycota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Dothideomycetes</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Mycosphaerellales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Mycosphaerellaceae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Cercospora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ATU710</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Fungi</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Ascomycota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Dothideomycetes</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Pleosporales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Periconiaceae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Periconia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restart"/>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szCs w:val="21"/>
              </w:rPr>
              <w:t>ZB</w:t>
            </w:r>
          </w:p>
          <w:p>
            <w:pPr>
              <w:widowControl/>
              <w:jc w:val="center"/>
              <w:rPr>
                <w:rFonts w:ascii="Times New Roman Regular" w:hAnsi="Times New Roman Regular" w:eastAsia="宋体" w:cs="Times New Roman Regular"/>
                <w:szCs w:val="21"/>
              </w:rPr>
            </w:pPr>
            <w:r>
              <w:rPr>
                <w:rFonts w:ascii="Times New Roman Regular" w:hAnsi="Times New Roman Regular" w:eastAsia="宋体" w:cs="Times New Roman Regular"/>
                <w:szCs w:val="21"/>
              </w:rPr>
              <w:t>Connectors</w:t>
            </w: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OTU364</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Firmicutes</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Bacilli</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Bacillales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Alicyclobacillaceae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Tumebacillus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OTU1244</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Proteobacteria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Alphaproteobacteria</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Rhodobacterales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Rhodobacteraceae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Rubellimicrobium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OTU1709</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Proteobacteria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Gammaproteobacteria</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Xanthomonadales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Xanthomonadaceae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Stenotrophomonas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OTU351</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Actinobacteria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Actinobacteria</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Mycobacteriales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Mycobacteriaceae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Mycobacterium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OTU623</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Proteobacteria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Gammaproteobacteria</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Enterobacterales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Unclassified</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Unclassified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OTU784</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Proteobacteria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Alphaproteobacteria</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Rhodobacterales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Rhodobacteraceae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Rubellimicrobium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OTU1832</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Bacteria</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Chloroplast</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Chloroplast</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Unclassified</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Chloroplast</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Streptophyta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ATU313</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Fungi</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Ascomycota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Eurotiomycetes</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Eurotiales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Aspergillaceae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Aspergillus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nil"/>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ATU667</w:t>
            </w:r>
          </w:p>
        </w:tc>
        <w:tc>
          <w:tcPr>
            <w:tcW w:w="130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Fungi</w:t>
            </w:r>
          </w:p>
        </w:tc>
        <w:tc>
          <w:tcPr>
            <w:tcW w:w="171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Ascomycota</w:t>
            </w:r>
          </w:p>
        </w:tc>
        <w:tc>
          <w:tcPr>
            <w:tcW w:w="2302"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Dothideomycetes</w:t>
            </w:r>
          </w:p>
        </w:tc>
        <w:tc>
          <w:tcPr>
            <w:tcW w:w="2015"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Pleosporales</w:t>
            </w:r>
          </w:p>
        </w:tc>
        <w:tc>
          <w:tcPr>
            <w:tcW w:w="2086"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Phaeosphaeriaceae</w:t>
            </w:r>
          </w:p>
        </w:tc>
        <w:tc>
          <w:tcPr>
            <w:tcW w:w="1979"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Setophoma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7" w:type="dxa"/>
            <w:vMerge w:val="continue"/>
            <w:tcBorders>
              <w:top w:val="nil"/>
              <w:left w:val="nil"/>
              <w:bottom w:val="single" w:color="auto" w:sz="12" w:space="0"/>
              <w:right w:val="nil"/>
            </w:tcBorders>
            <w:vAlign w:val="center"/>
          </w:tcPr>
          <w:p>
            <w:pPr>
              <w:widowControl/>
              <w:jc w:val="center"/>
              <w:rPr>
                <w:rFonts w:ascii="Times New Roman Regular" w:hAnsi="Times New Roman Regular" w:eastAsia="宋体" w:cs="Times New Roman Regular"/>
                <w:szCs w:val="21"/>
              </w:rPr>
            </w:pPr>
          </w:p>
        </w:tc>
        <w:tc>
          <w:tcPr>
            <w:tcW w:w="1304"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ATU329</w:t>
            </w:r>
          </w:p>
        </w:tc>
        <w:tc>
          <w:tcPr>
            <w:tcW w:w="1309"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Fungi</w:t>
            </w:r>
          </w:p>
        </w:tc>
        <w:tc>
          <w:tcPr>
            <w:tcW w:w="1712"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Ascomycota</w:t>
            </w:r>
          </w:p>
        </w:tc>
        <w:tc>
          <w:tcPr>
            <w:tcW w:w="2302"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Dothideomycetes</w:t>
            </w:r>
          </w:p>
        </w:tc>
        <w:tc>
          <w:tcPr>
            <w:tcW w:w="2015"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Pleosporales</w:t>
            </w:r>
          </w:p>
        </w:tc>
        <w:tc>
          <w:tcPr>
            <w:tcW w:w="2086"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Didymellaceae</w:t>
            </w:r>
          </w:p>
        </w:tc>
        <w:tc>
          <w:tcPr>
            <w:tcW w:w="1979"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sz w:val="22"/>
                <w:szCs w:val="22"/>
              </w:rPr>
            </w:pPr>
            <w:r>
              <w:rPr>
                <w:rFonts w:ascii="Times New Roman Regular" w:hAnsi="Times New Roman Regular" w:eastAsia="宋体" w:cs="Times New Roman Regular"/>
                <w:kern w:val="0"/>
                <w:sz w:val="22"/>
                <w:szCs w:val="22"/>
                <w:lang w:bidi="ar"/>
              </w:rPr>
              <w:t>Didymella</w:t>
            </w:r>
          </w:p>
        </w:tc>
      </w:tr>
    </w:tbl>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pPr>
    </w:p>
    <w:p>
      <w:pPr>
        <w:widowControl/>
        <w:jc w:val="left"/>
        <w:rPr>
          <w:rFonts w:ascii="Times New Roman Regular" w:hAnsi="Times New Roman Regular" w:eastAsia="宋体" w:cs="Times New Roman Regular"/>
          <w:szCs w:val="21"/>
        </w:rPr>
        <w:sectPr>
          <w:pgSz w:w="16838" w:h="11906" w:orient="landscape"/>
          <w:pgMar w:top="1800" w:right="1440" w:bottom="1800" w:left="1440" w:header="851" w:footer="992" w:gutter="0"/>
          <w:cols w:space="425" w:num="1"/>
          <w:docGrid w:type="lines" w:linePitch="312" w:charSpace="0"/>
        </w:sectPr>
      </w:pPr>
    </w:p>
    <w:p>
      <w:pPr>
        <w:widowControl/>
        <w:jc w:val="left"/>
        <w:rPr>
          <w:rFonts w:hint="default" w:ascii="Times New Roman Regular" w:hAnsi="Times New Roman Regular" w:eastAsia="宋体" w:cs="Times New Roman Regular"/>
          <w:szCs w:val="21"/>
          <w:lang w:val="en-US"/>
        </w:rPr>
      </w:pPr>
      <w:r>
        <w:rPr>
          <w:rFonts w:ascii="Times New Roman Regular" w:hAnsi="Times New Roman Regular" w:eastAsia="宋体" w:cs="Times New Roman Regular"/>
          <w:szCs w:val="21"/>
          <w:lang w:eastAsia="zh-Hans"/>
        </w:rPr>
        <w:t>Table S</w:t>
      </w:r>
      <w:r>
        <w:rPr>
          <w:rFonts w:hint="eastAsia" w:ascii="Times New Roman Regular" w:hAnsi="Times New Roman Regular" w:eastAsia="宋体" w:cs="Times New Roman Regular"/>
          <w:szCs w:val="21"/>
        </w:rPr>
        <w:t>4 Correlation index and significance in Mantel analysis</w:t>
      </w:r>
      <w:r>
        <w:rPr>
          <w:rFonts w:hint="default" w:ascii="Times New Roman Regular" w:hAnsi="Times New Roman Regular" w:eastAsia="宋体" w:cs="Times New Roman Regular"/>
          <w:szCs w:val="21"/>
          <w:lang w:val="en-US"/>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Type</w:t>
            </w:r>
          </w:p>
        </w:tc>
        <w:tc>
          <w:tcPr>
            <w:tcW w:w="2130"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chemical</w:t>
            </w:r>
          </w:p>
        </w:tc>
        <w:tc>
          <w:tcPr>
            <w:tcW w:w="2131"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r</w:t>
            </w:r>
          </w:p>
        </w:tc>
        <w:tc>
          <w:tcPr>
            <w:tcW w:w="2131" w:type="dxa"/>
            <w:tcBorders>
              <w:top w:val="single" w:color="auto" w:sz="12" w:space="0"/>
              <w:left w:val="nil"/>
              <w:bottom w:val="single" w:color="auto" w:sz="4"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Italic" w:hAnsi="Times New Roman Italic" w:eastAsia="宋体" w:cs="Times New Roman Italic"/>
                <w:i/>
                <w:iCs/>
                <w:color w:val="000000"/>
                <w:kern w:val="0"/>
                <w:szCs w:val="21"/>
                <w:lang w:bidi="ar"/>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restart"/>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hint="eastAsia" w:ascii="Times New Roman Regular" w:hAnsi="Times New Roman Regular" w:eastAsia="宋体" w:cs="Times New Roman Regular"/>
                <w:color w:val="000000"/>
                <w:szCs w:val="21"/>
              </w:rPr>
              <w:t xml:space="preserve"> </w:t>
            </w:r>
            <w:r>
              <w:rPr>
                <w:rFonts w:ascii="Times New Roman Regular" w:hAnsi="Times New Roman Regular" w:eastAsia="宋体" w:cs="Times New Roman Regular"/>
                <w:color w:val="000000"/>
                <w:szCs w:val="21"/>
              </w:rPr>
              <w:t xml:space="preserve">Bacterial </w:t>
            </w:r>
          </w:p>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community</w:t>
            </w:r>
          </w:p>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 xml:space="preserve"> structure</w:t>
            </w:r>
          </w:p>
        </w:tc>
        <w:tc>
          <w:tcPr>
            <w:tcW w:w="2130"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TS</w:t>
            </w:r>
          </w:p>
        </w:tc>
        <w:tc>
          <w:tcPr>
            <w:tcW w:w="2131"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0.068</w:t>
            </w:r>
          </w:p>
        </w:tc>
        <w:tc>
          <w:tcPr>
            <w:tcW w:w="2131" w:type="dxa"/>
            <w:tcBorders>
              <w:top w:val="single" w:color="auto" w:sz="4" w:space="0"/>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RS</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0.059</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TN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0.074</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TK</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-0.024</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CL</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0.018</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KCL</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0.041</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NOC</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-0.072</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SN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-0.031</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NN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-0.080</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hint="eastAsia" w:ascii="Times New Roman" w:hAnsi="Times New Roman" w:cs="Times New Roman"/>
                <w:color w:val="auto"/>
                <w:szCs w:val="21"/>
                <w:highlight w:val="none"/>
              </w:rPr>
              <w:t>protein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0.057</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hint="eastAsia" w:ascii="Times New Roman" w:hAnsi="Times New Roman" w:cs="Times New Roman"/>
                <w:color w:val="auto"/>
                <w:szCs w:val="21"/>
                <w:highlight w:val="none"/>
              </w:rPr>
              <w:t>starch</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-0.033</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restart"/>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 xml:space="preserve">Fungal </w:t>
            </w:r>
          </w:p>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Community</w:t>
            </w:r>
          </w:p>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szCs w:val="21"/>
              </w:rPr>
              <w:t xml:space="preserve"> structure</w:t>
            </w: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TS</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0.353</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RS</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0.373</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TN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0.301</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TK</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0.080</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CL</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0.521</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KCL</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0.186</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NOC</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0.019</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SN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0.207</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NN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-0.067</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hint="eastAsia" w:ascii="Times New Roman" w:hAnsi="Times New Roman" w:cs="Times New Roman"/>
                <w:color w:val="auto"/>
                <w:szCs w:val="21"/>
                <w:highlight w:val="none"/>
              </w:rPr>
              <w:t>protein</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0.473</w:t>
            </w:r>
          </w:p>
        </w:tc>
        <w:tc>
          <w:tcPr>
            <w:tcW w:w="2131" w:type="dxa"/>
            <w:tcBorders>
              <w:top w:val="nil"/>
              <w:left w:val="nil"/>
              <w:bottom w:val="nil"/>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vMerge w:val="continue"/>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p>
        </w:tc>
        <w:tc>
          <w:tcPr>
            <w:tcW w:w="2130"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hint="eastAsia" w:ascii="Times New Roman" w:hAnsi="Times New Roman" w:cs="Times New Roman"/>
                <w:color w:val="auto"/>
                <w:szCs w:val="21"/>
                <w:highlight w:val="none"/>
              </w:rPr>
              <w:t>starch</w:t>
            </w:r>
          </w:p>
        </w:tc>
        <w:tc>
          <w:tcPr>
            <w:tcW w:w="2131"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0.269</w:t>
            </w:r>
          </w:p>
        </w:tc>
        <w:tc>
          <w:tcPr>
            <w:tcW w:w="2131" w:type="dxa"/>
            <w:tcBorders>
              <w:top w:val="nil"/>
              <w:left w:val="nil"/>
              <w:bottom w:val="single" w:color="auto" w:sz="12" w:space="0"/>
              <w:right w:val="nil"/>
            </w:tcBorders>
            <w:vAlign w:val="center"/>
          </w:tcPr>
          <w:p>
            <w:pPr>
              <w:widowControl/>
              <w:jc w:val="center"/>
              <w:textAlignment w:val="center"/>
              <w:rPr>
                <w:rFonts w:ascii="Times New Roman Regular" w:hAnsi="Times New Roman Regular" w:eastAsia="宋体" w:cs="Times New Roman Regular"/>
                <w:color w:val="000000"/>
                <w:szCs w:val="21"/>
              </w:rPr>
            </w:pPr>
            <w:r>
              <w:rPr>
                <w:rFonts w:ascii="Times New Roman Regular" w:hAnsi="Times New Roman Regular" w:eastAsia="宋体" w:cs="Times New Roman Regular"/>
                <w:color w:val="000000"/>
                <w:kern w:val="0"/>
                <w:szCs w:val="21"/>
                <w:lang w:bidi="ar"/>
              </w:rPr>
              <w:t>0.005</w:t>
            </w:r>
          </w:p>
        </w:tc>
      </w:tr>
    </w:tbl>
    <w:p>
      <w:pPr>
        <w:widowControl/>
        <w:jc w:val="left"/>
        <w:rPr>
          <w:rFonts w:ascii="Times New Roman Regular" w:hAnsi="Times New Roman Regular" w:eastAsia="宋体" w:cs="Times New Roman Regular"/>
          <w:b/>
          <w:bCs/>
          <w:color w:val="000000"/>
          <w:kern w:val="0"/>
          <w:szCs w:val="21"/>
        </w:rPr>
      </w:pPr>
    </w:p>
    <w:p>
      <w:pPr>
        <w:widowControl/>
        <w:jc w:val="left"/>
        <w:rPr>
          <w:rFonts w:ascii="Times New Roman Regular" w:hAnsi="Times New Roman Regular" w:eastAsia="宋体" w:cs="Times New Roman Regular"/>
          <w:b/>
          <w:bCs/>
          <w:color w:val="000000"/>
          <w:kern w:val="0"/>
          <w:szCs w:val="21"/>
        </w:rPr>
      </w:pPr>
    </w:p>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114300" distR="114300">
            <wp:extent cx="4107180" cy="3815715"/>
            <wp:effectExtent l="0" t="0" r="7620" b="19685"/>
            <wp:docPr id="1" name="图片 1" descr="PG_P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G_PCA"/>
                    <pic:cNvPicPr>
                      <a:picLocks noChangeAspect="1"/>
                    </pic:cNvPicPr>
                  </pic:nvPicPr>
                  <pic:blipFill>
                    <a:blip r:embed="rId4"/>
                    <a:stretch>
                      <a:fillRect/>
                    </a:stretch>
                  </pic:blipFill>
                  <pic:spPr>
                    <a:xfrm>
                      <a:off x="0" y="0"/>
                      <a:ext cx="4107180" cy="3815715"/>
                    </a:xfrm>
                    <a:prstGeom prst="rect">
                      <a:avLst/>
                    </a:prstGeom>
                  </pic:spPr>
                </pic:pic>
              </a:graphicData>
            </a:graphic>
          </wp:inline>
        </w:drawing>
      </w:r>
    </w:p>
    <w:p>
      <w:pPr>
        <w:spacing w:line="440" w:lineRule="exact"/>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Figure S1 PCA difference analysis between the levels of phylum (a) and genus (b) of the tobacco bacterial community and the levels of phylum (c) and genus (d) of the fungal community in different origins.</w:t>
      </w: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spacing w:line="440" w:lineRule="exact"/>
        <w:jc w:val="left"/>
        <w:rPr>
          <w:rFonts w:ascii="Times New Roman" w:hAnsi="Times New Roman" w:cs="Times New Roman"/>
          <w:color w:val="000000" w:themeColor="text1"/>
          <w:szCs w:val="21"/>
          <w14:textFill>
            <w14:solidFill>
              <w14:schemeClr w14:val="tx1"/>
            </w14:solidFill>
          </w14:textFill>
        </w:rPr>
      </w:pPr>
    </w:p>
    <w:p>
      <w:pPr>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114300" distR="114300">
            <wp:extent cx="5269865" cy="1455420"/>
            <wp:effectExtent l="0" t="0" r="13335" b="17780"/>
            <wp:docPr id="4" name="图片 4" descr="圈图le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圈图lefse"/>
                    <pic:cNvPicPr>
                      <a:picLocks noChangeAspect="1"/>
                    </pic:cNvPicPr>
                  </pic:nvPicPr>
                  <pic:blipFill>
                    <a:blip r:embed="rId5"/>
                    <a:stretch>
                      <a:fillRect/>
                    </a:stretch>
                  </pic:blipFill>
                  <pic:spPr>
                    <a:xfrm>
                      <a:off x="0" y="0"/>
                      <a:ext cx="5269865" cy="1455420"/>
                    </a:xfrm>
                    <a:prstGeom prst="rect">
                      <a:avLst/>
                    </a:prstGeom>
                  </pic:spPr>
                </pic:pic>
              </a:graphicData>
            </a:graphic>
          </wp:inline>
        </w:drawing>
      </w:r>
    </w:p>
    <w:p>
      <w:pPr>
        <w:spacing w:line="440" w:lineRule="exact"/>
        <w:jc w:val="left"/>
        <w:rPr>
          <w:rFonts w:hint="default" w:ascii="Times New Roman" w:hAnsi="Times New Roman" w:cs="Times New Roman"/>
          <w:color w:val="000000" w:themeColor="text1"/>
          <w:szCs w:val="21"/>
          <w:lang w:val="en-US"/>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Figure S</w:t>
      </w:r>
      <w:r>
        <w:rPr>
          <w:rFonts w:hint="eastAsia" w:ascii="Times New Roman" w:hAnsi="Times New Roman" w:cs="Times New Roman"/>
          <w:color w:val="000000" w:themeColor="text1"/>
          <w:szCs w:val="21"/>
          <w14:textFill>
            <w14:solidFill>
              <w14:schemeClr w14:val="tx1"/>
            </w14:solidFill>
          </w14:textFill>
        </w:rPr>
        <w:t>2</w:t>
      </w:r>
      <w:r>
        <w:rPr>
          <w:rFonts w:hint="default" w:ascii="Times New Roman" w:hAnsi="Times New Roman" w:cs="Times New Roman"/>
          <w:color w:val="000000" w:themeColor="text1"/>
          <w:szCs w:val="21"/>
          <w:lang w:val="en-US"/>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 xml:space="preserve">Linear discriminant analysis Effect Size (LEfSe) of tobacco </w:t>
      </w:r>
      <w:r>
        <w:rPr>
          <w:rFonts w:hint="default" w:ascii="Times New Roman" w:hAnsi="Times New Roman" w:cs="Times New Roman"/>
          <w:color w:val="000000" w:themeColor="text1"/>
          <w:szCs w:val="21"/>
          <w:lang w:val="en-US"/>
          <w14:textFill>
            <w14:solidFill>
              <w14:schemeClr w14:val="tx1"/>
            </w14:solidFill>
          </w14:textFill>
        </w:rPr>
        <w:t xml:space="preserve">(a) </w:t>
      </w:r>
      <w:r>
        <w:rPr>
          <w:rFonts w:hint="eastAsia" w:ascii="Times New Roman" w:hAnsi="Times New Roman" w:cs="Times New Roman"/>
          <w:color w:val="000000" w:themeColor="text1"/>
          <w:szCs w:val="21"/>
          <w:lang w:val="en-US" w:eastAsia="zh-CN"/>
          <w14:textFill>
            <w14:solidFill>
              <w14:schemeClr w14:val="tx1"/>
            </w14:solidFill>
          </w14:textFill>
        </w:rPr>
        <w:t xml:space="preserve">bacterial and </w:t>
      </w:r>
      <w:r>
        <w:rPr>
          <w:rFonts w:hint="default" w:ascii="Times New Roman" w:hAnsi="Times New Roman" w:cs="Times New Roman"/>
          <w:color w:val="000000" w:themeColor="text1"/>
          <w:szCs w:val="21"/>
          <w:lang w:val="en-US" w:eastAsia="zh-CN"/>
          <w14:textFill>
            <w14:solidFill>
              <w14:schemeClr w14:val="tx1"/>
            </w14:solidFill>
          </w14:textFill>
        </w:rPr>
        <w:t xml:space="preserve">(b) </w:t>
      </w:r>
      <w:r>
        <w:rPr>
          <w:rFonts w:hint="eastAsia" w:ascii="Times New Roman" w:hAnsi="Times New Roman" w:cs="Times New Roman"/>
          <w:color w:val="000000" w:themeColor="text1"/>
          <w:szCs w:val="21"/>
          <w:lang w:val="en-US" w:eastAsia="zh-CN"/>
          <w14:textFill>
            <w14:solidFill>
              <w14:schemeClr w14:val="tx1"/>
            </w14:solidFill>
          </w14:textFill>
        </w:rPr>
        <w:t>fungal</w:t>
      </w:r>
      <w:r>
        <w:rPr>
          <w:rFonts w:hint="eastAsia" w:ascii="Times New Roman" w:hAnsi="Times New Roman" w:cs="Times New Roman"/>
          <w:color w:val="000000" w:themeColor="text1"/>
          <w:szCs w:val="21"/>
          <w14:textFill>
            <w14:solidFill>
              <w14:schemeClr w14:val="tx1"/>
            </w14:solidFill>
          </w14:textFill>
        </w:rPr>
        <w:t xml:space="preserve"> community.</w:t>
      </w: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p>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114300" distR="114300">
            <wp:extent cx="3040380" cy="2411730"/>
            <wp:effectExtent l="0" t="0" r="0" b="1270"/>
            <wp:docPr id="3" name="图片 3" descr="津巴郴互作网络Zi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津巴郴互作网络ZiPi"/>
                    <pic:cNvPicPr>
                      <a:picLocks noChangeAspect="1"/>
                    </pic:cNvPicPr>
                  </pic:nvPicPr>
                  <pic:blipFill>
                    <a:blip r:embed="rId6"/>
                    <a:srcRect t="3255" r="21069" b="14971"/>
                    <a:stretch>
                      <a:fillRect/>
                    </a:stretch>
                  </pic:blipFill>
                  <pic:spPr>
                    <a:xfrm>
                      <a:off x="0" y="0"/>
                      <a:ext cx="3040380" cy="2411730"/>
                    </a:xfrm>
                    <a:prstGeom prst="rect">
                      <a:avLst/>
                    </a:prstGeom>
                  </pic:spPr>
                </pic:pic>
              </a:graphicData>
            </a:graphic>
          </wp:inline>
        </w:drawing>
      </w:r>
    </w:p>
    <w:p>
      <w:pPr>
        <w:jc w:val="left"/>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Figure S</w:t>
      </w:r>
      <w:r>
        <w:rPr>
          <w:rFonts w:hint="eastAsia" w:ascii="Times New Roman" w:hAnsi="Times New Roman" w:cs="Times New Roman"/>
          <w:color w:val="000000" w:themeColor="text1"/>
          <w:szCs w:val="21"/>
          <w14:textFill>
            <w14:solidFill>
              <w14:schemeClr w14:val="tx1"/>
            </w14:solidFill>
          </w14:textFill>
        </w:rPr>
        <w:t>3</w:t>
      </w:r>
      <w:r>
        <w:rPr>
          <w:rFonts w:hint="default" w:ascii="Times New Roman" w:hAnsi="Times New Roman" w:cs="Times New Roman"/>
          <w:color w:val="000000" w:themeColor="text1"/>
          <w:szCs w:val="21"/>
          <w:lang w:val="en-US"/>
          <w14:textFill>
            <w14:solidFill>
              <w14:schemeClr w14:val="tx1"/>
            </w14:solidFill>
          </w14:textFill>
        </w:rPr>
        <w:t xml:space="preserve"> </w:t>
      </w:r>
      <w:r>
        <w:rPr>
          <w:rFonts w:hint="default" w:ascii="Times New Roman Italic" w:hAnsi="Times New Roman Italic" w:cs="Times New Roman Italic"/>
          <w:i/>
          <w:iCs/>
          <w:color w:val="000000" w:themeColor="text1"/>
          <w:szCs w:val="21"/>
          <w:lang w:val="en-US" w:eastAsia="zh-CN"/>
          <w14:textFill>
            <w14:solidFill>
              <w14:schemeClr w14:val="tx1"/>
            </w14:solidFill>
          </w14:textFill>
        </w:rPr>
        <w:t>Zi-Pi</w:t>
      </w:r>
      <w:r>
        <w:rPr>
          <w:rFonts w:hint="eastAsia" w:ascii="Times New Roman" w:hAnsi="Times New Roman" w:cs="Times New Roman"/>
          <w:color w:val="000000" w:themeColor="text1"/>
          <w:szCs w:val="21"/>
          <w:lang w:val="en-US" w:eastAsia="zh-CN"/>
          <w14:textFill>
            <w14:solidFill>
              <w14:schemeClr w14:val="tx1"/>
            </w14:solidFill>
          </w14:textFill>
        </w:rPr>
        <w:t xml:space="preserve"> plot of the molecular ecological network of bacterial-fungal interactions in tobacco from different origins.</w:t>
      </w:r>
    </w:p>
    <w:p/>
    <w:p/>
    <w:p/>
    <w:p/>
    <w:p/>
    <w:p/>
    <w:p/>
    <w:p/>
    <w:p/>
    <w:p/>
    <w:p/>
    <w:p/>
    <w:p/>
    <w:p/>
    <w:p/>
    <w:p/>
    <w:p/>
    <w:p/>
    <w:p/>
    <w:p/>
    <w:p>
      <w:r>
        <w:rPr>
          <w:rFonts w:hint="eastAsia"/>
        </w:rPr>
        <w:drawing>
          <wp:inline distT="0" distB="0" distL="114300" distR="114300">
            <wp:extent cx="5266690" cy="2133600"/>
            <wp:effectExtent l="0" t="0" r="16510" b="0"/>
            <wp:docPr id="2" name="图片 2" descr="互作类型占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互作类型占比"/>
                    <pic:cNvPicPr>
                      <a:picLocks noChangeAspect="1"/>
                    </pic:cNvPicPr>
                  </pic:nvPicPr>
                  <pic:blipFill>
                    <a:blip r:embed="rId7"/>
                    <a:stretch>
                      <a:fillRect/>
                    </a:stretch>
                  </pic:blipFill>
                  <pic:spPr>
                    <a:xfrm>
                      <a:off x="0" y="0"/>
                      <a:ext cx="5266690" cy="2133600"/>
                    </a:xfrm>
                    <a:prstGeom prst="rect">
                      <a:avLst/>
                    </a:prstGeom>
                  </pic:spPr>
                </pic:pic>
              </a:graphicData>
            </a:graphic>
          </wp:inline>
        </w:drawing>
      </w:r>
    </w:p>
    <w:p>
      <w:pPr>
        <w:spacing w:line="440" w:lineRule="exact"/>
        <w:jc w:val="left"/>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Figure S</w:t>
      </w:r>
      <w:r>
        <w:rPr>
          <w:rFonts w:hint="eastAsia" w:ascii="Times New Roman" w:hAnsi="Times New Roman" w:cs="Times New Roman"/>
          <w:color w:val="000000" w:themeColor="text1"/>
          <w:szCs w:val="21"/>
          <w14:textFill>
            <w14:solidFill>
              <w14:schemeClr w14:val="tx1"/>
            </w14:solidFill>
          </w14:textFill>
        </w:rPr>
        <w:t>4</w:t>
      </w:r>
      <w:r>
        <w:rPr>
          <w:rFonts w:hint="default" w:ascii="Times New Roman" w:hAnsi="Times New Roman" w:cs="Times New Roman"/>
          <w:color w:val="000000" w:themeColor="text1"/>
          <w:szCs w:val="21"/>
          <w:lang w:val="en-US"/>
          <w14:textFill>
            <w14:solidFill>
              <w14:schemeClr w14:val="tx1"/>
            </w14:solidFill>
          </w14:textFill>
        </w:rPr>
        <w:t xml:space="preserve"> </w:t>
      </w:r>
      <w:r>
        <w:rPr>
          <w:rFonts w:hint="eastAsia" w:ascii="Times New Roman" w:hAnsi="Times New Roman" w:cs="Times New Roman"/>
          <w:color w:val="000000" w:themeColor="text1"/>
          <w:szCs w:val="21"/>
          <w:lang w:val="en-US" w:eastAsia="zh-CN"/>
          <w14:textFill>
            <w14:solidFill>
              <w14:schemeClr w14:val="tx1"/>
            </w14:solidFill>
          </w14:textFill>
        </w:rPr>
        <w:t>Types and percentage of interaction nodes in the molecular ecological network of tobacco bacterial-fungal interaction</w:t>
      </w:r>
      <w:r>
        <w:rPr>
          <w:rFonts w:hint="default" w:ascii="Times New Roman" w:hAnsi="Times New Roman" w:cs="Times New Roman"/>
          <w:color w:val="000000" w:themeColor="text1"/>
          <w:szCs w:val="21"/>
          <w:lang w:val="en-US" w:eastAsia="zh-CN"/>
          <w14:textFill>
            <w14:solidFill>
              <w14:schemeClr w14:val="tx1"/>
            </w14:solidFill>
          </w14:textFill>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603050405020304"/>
    <w:charset w:val="00"/>
    <w:family w:val="auto"/>
    <w:pitch w:val="default"/>
    <w:sig w:usb0="E0002AEF" w:usb1="C0007841" w:usb2="00000009" w:usb3="00000000" w:csb0="400001FF" w:csb1="FFFF0000"/>
  </w:font>
  <w:font w:name="Times New Roman Regular">
    <w:panose1 w:val="02020603050405020304"/>
    <w:charset w:val="00"/>
    <w:family w:val="auto"/>
    <w:pitch w:val="default"/>
    <w:sig w:usb0="E0002AEF" w:usb1="C0007841" w:usb2="00000009" w:usb3="00000000" w:csb0="400001FF" w:csb1="FFFF0000"/>
  </w:font>
  <w:font w:name="Times New Roman Italic">
    <w:panose1 w:val="02020603050405020304"/>
    <w:charset w:val="00"/>
    <w:family w:val="auto"/>
    <w:pitch w:val="default"/>
    <w:sig w:usb0="E0002AEF" w:usb1="C0007841"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6DC20C9"/>
    <w:rsid w:val="00097C7D"/>
    <w:rsid w:val="002536D4"/>
    <w:rsid w:val="00656A3D"/>
    <w:rsid w:val="007434F8"/>
    <w:rsid w:val="3F2FEBE9"/>
    <w:rsid w:val="5FDF767A"/>
    <w:rsid w:val="729F4A4E"/>
    <w:rsid w:val="7BF46A8D"/>
    <w:rsid w:val="AF4745AA"/>
    <w:rsid w:val="BBFE9795"/>
    <w:rsid w:val="BFB97360"/>
    <w:rsid w:val="E6DC20C9"/>
    <w:rsid w:val="FBF70876"/>
    <w:rsid w:val="FC3B9195"/>
    <w:rsid w:val="FFFE4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tabs>
        <w:tab w:val="center" w:pos="4153"/>
        <w:tab w:val="right" w:pos="8306"/>
      </w:tabs>
      <w:snapToGrid w:val="0"/>
      <w:jc w:val="center"/>
    </w:pPr>
    <w:rPr>
      <w:sz w:val="18"/>
      <w:szCs w:val="18"/>
    </w:rPr>
  </w:style>
  <w:style w:type="paragraph" w:styleId="4">
    <w:name w:val="footnote text"/>
    <w:basedOn w:val="1"/>
    <w:qFormat/>
    <w:uiPriority w:val="0"/>
    <w:pPr>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otnote reference"/>
    <w:basedOn w:val="7"/>
    <w:qFormat/>
    <w:uiPriority w:val="0"/>
    <w:rPr>
      <w:vertAlign w:val="superscript"/>
    </w:rPr>
  </w:style>
  <w:style w:type="character" w:customStyle="1" w:styleId="9">
    <w:name w:val="页眉 字符"/>
    <w:basedOn w:val="7"/>
    <w:link w:val="3"/>
    <w:qFormat/>
    <w:uiPriority w:val="0"/>
    <w:rPr>
      <w:rFonts w:asciiTheme="minorHAnsi" w:hAnsiTheme="minorHAnsi" w:eastAsiaTheme="minorEastAsia" w:cstheme="minorBidi"/>
      <w:kern w:val="2"/>
      <w:sz w:val="18"/>
      <w:szCs w:val="18"/>
    </w:rPr>
  </w:style>
  <w:style w:type="character" w:customStyle="1" w:styleId="10">
    <w:name w:val="页脚 字符"/>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1480</Words>
  <Characters>8439</Characters>
  <Lines>70</Lines>
  <Paragraphs>19</Paragraphs>
  <TotalTime>0</TotalTime>
  <ScaleCrop>false</ScaleCrop>
  <LinksUpToDate>false</LinksUpToDate>
  <CharactersWithSpaces>9900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2024-06-09T02:25:00Z</dcterms:created>
  <dc:creator>秦天</dc:creator>
  <cp:lastModifiedBy>PGJ</cp:lastModifiedBy>
  <dcterms:modified xsi:type="dcterms:W3CDTF">2024-07-05T22:04:35Z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079A98A8AA894C14B56F6266505ED15B_41</vt:lpwstr>
  </property>
</Properties>
</file>