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6A652" w14:textId="77777777" w:rsidR="007D3FB7" w:rsidRPr="00F8006C" w:rsidRDefault="00F8006C" w:rsidP="007D3FB7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F8006C">
        <w:rPr>
          <w:rFonts w:ascii="Times New Roman" w:hAnsi="Times New Roman"/>
          <w:b/>
          <w:color w:val="000000"/>
          <w:sz w:val="20"/>
        </w:rPr>
        <w:t>ABSTRACT</w:t>
      </w:r>
    </w:p>
    <w:p w14:paraId="40E2E082" w14:textId="47DED1AB" w:rsidR="007D3FB7" w:rsidRPr="00F8006C" w:rsidRDefault="00F8006C" w:rsidP="007D3FB7">
      <w:pPr>
        <w:spacing w:line="480" w:lineRule="auto"/>
        <w:rPr>
          <w:rFonts w:ascii="Times New Roman" w:hAnsi="Times New Roman"/>
          <w:color w:val="000000"/>
          <w:sz w:val="20"/>
        </w:rPr>
      </w:pPr>
      <w:r w:rsidRPr="00F8006C">
        <w:rPr>
          <w:rFonts w:ascii="Times New Roman" w:hAnsi="Times New Roman"/>
          <w:color w:val="000000"/>
          <w:sz w:val="20"/>
        </w:rPr>
        <w:t xml:space="preserve">Purpose: The aim of the present prospective, comparative study was to </w:t>
      </w:r>
      <w:r w:rsidR="00ED58EF">
        <w:rPr>
          <w:rFonts w:ascii="Times New Roman" w:hAnsi="Times New Roman"/>
          <w:color w:val="000000"/>
          <w:sz w:val="20"/>
        </w:rPr>
        <w:t>compare</w:t>
      </w:r>
      <w:r w:rsidR="00ED58EF" w:rsidRPr="00F8006C">
        <w:rPr>
          <w:rFonts w:ascii="Times New Roman" w:hAnsi="Times New Roman"/>
          <w:color w:val="000000"/>
          <w:sz w:val="20"/>
        </w:rPr>
        <w:t xml:space="preserve"> </w:t>
      </w:r>
      <w:r w:rsidRPr="00F8006C">
        <w:rPr>
          <w:rFonts w:ascii="Times New Roman" w:hAnsi="Times New Roman"/>
          <w:color w:val="000000"/>
          <w:sz w:val="20"/>
        </w:rPr>
        <w:t xml:space="preserve">the quality of life (QoL) of patients after colorectal surgery </w:t>
      </w:r>
      <w:r w:rsidR="00ED58EF">
        <w:rPr>
          <w:rFonts w:ascii="Times New Roman" w:hAnsi="Times New Roman"/>
          <w:color w:val="000000"/>
          <w:sz w:val="20"/>
        </w:rPr>
        <w:t>to the</w:t>
      </w:r>
      <w:r w:rsidRPr="00F8006C">
        <w:rPr>
          <w:rFonts w:ascii="Times New Roman" w:hAnsi="Times New Roman"/>
          <w:color w:val="000000"/>
          <w:sz w:val="20"/>
        </w:rPr>
        <w:t xml:space="preserve"> QoL of their spouses.</w:t>
      </w:r>
    </w:p>
    <w:p w14:paraId="5ACBBAC2" w14:textId="4A1E555A" w:rsidR="007D3FB7" w:rsidRPr="00F8006C" w:rsidRDefault="00F8006C" w:rsidP="007D3FB7">
      <w:pPr>
        <w:spacing w:line="480" w:lineRule="auto"/>
        <w:rPr>
          <w:rFonts w:ascii="Times New Roman" w:hAnsi="Times New Roman"/>
          <w:color w:val="000000"/>
          <w:sz w:val="20"/>
        </w:rPr>
      </w:pPr>
      <w:r w:rsidRPr="00F8006C">
        <w:rPr>
          <w:rFonts w:ascii="Times New Roman" w:hAnsi="Times New Roman"/>
          <w:color w:val="000000"/>
          <w:sz w:val="20"/>
        </w:rPr>
        <w:t>Methods: The study included patients who underwent curative surgery for colorectal carcinoma (n = 100; abdominoperineal excision [n = 33], low anterior resection [n = 33], left hemicolectomy [n = 34]) and their spouses (n = 100)</w:t>
      </w:r>
      <w:r w:rsidR="003E6FAF">
        <w:rPr>
          <w:rFonts w:ascii="Times New Roman" w:hAnsi="Times New Roman"/>
          <w:color w:val="000000"/>
          <w:sz w:val="20"/>
        </w:rPr>
        <w:t xml:space="preserve">. The patients and spouses completed the </w:t>
      </w:r>
      <w:r w:rsidRPr="00F8006C">
        <w:rPr>
          <w:rFonts w:ascii="Times New Roman" w:hAnsi="Times New Roman"/>
          <w:color w:val="000000"/>
          <w:sz w:val="20"/>
        </w:rPr>
        <w:t>Medical Outcome Study 36-item Short Form Survey (SF-36) and the World Health Organization Disability Assessment Schedule II (WHODAS-II) preoperatively and at postoperative months 15 to 18.</w:t>
      </w:r>
    </w:p>
    <w:p w14:paraId="54C89505" w14:textId="32ADA3D2" w:rsidR="007D3FB7" w:rsidRPr="00F8006C" w:rsidRDefault="00F8006C" w:rsidP="007D3FB7">
      <w:pPr>
        <w:spacing w:line="480" w:lineRule="auto"/>
        <w:rPr>
          <w:rFonts w:ascii="Times New Roman" w:hAnsi="Times New Roman"/>
          <w:color w:val="000000"/>
          <w:sz w:val="20"/>
        </w:rPr>
      </w:pPr>
      <w:r w:rsidRPr="00F8006C">
        <w:rPr>
          <w:rFonts w:ascii="Times New Roman" w:hAnsi="Times New Roman"/>
          <w:color w:val="000000"/>
          <w:sz w:val="20"/>
        </w:rPr>
        <w:t xml:space="preserve">Results: There was a statistically significant positive correlation between the disability scores of patients and </w:t>
      </w:r>
      <w:r w:rsidR="00B17AF2">
        <w:rPr>
          <w:rFonts w:ascii="Times New Roman" w:hAnsi="Times New Roman"/>
          <w:color w:val="000000"/>
          <w:sz w:val="20"/>
        </w:rPr>
        <w:t xml:space="preserve">the scores of </w:t>
      </w:r>
      <w:r w:rsidRPr="00F8006C">
        <w:rPr>
          <w:rFonts w:ascii="Times New Roman" w:hAnsi="Times New Roman"/>
          <w:color w:val="000000"/>
          <w:sz w:val="20"/>
        </w:rPr>
        <w:t xml:space="preserve">their spouses for </w:t>
      </w:r>
      <w:r w:rsidR="003B19BE">
        <w:rPr>
          <w:rFonts w:ascii="Times New Roman" w:hAnsi="Times New Roman"/>
          <w:color w:val="000000"/>
          <w:sz w:val="20"/>
        </w:rPr>
        <w:t xml:space="preserve">some </w:t>
      </w:r>
      <w:r w:rsidRPr="00F8006C">
        <w:rPr>
          <w:rFonts w:ascii="Times New Roman" w:hAnsi="Times New Roman"/>
          <w:color w:val="000000"/>
          <w:sz w:val="20"/>
        </w:rPr>
        <w:t>of the WHODAS-II</w:t>
      </w:r>
      <w:r w:rsidR="00686B1A" w:rsidRPr="00686B1A">
        <w:rPr>
          <w:rFonts w:ascii="Times New Roman" w:hAnsi="Times New Roman"/>
          <w:color w:val="000000"/>
          <w:sz w:val="20"/>
        </w:rPr>
        <w:t xml:space="preserve"> </w:t>
      </w:r>
      <w:r w:rsidR="00686B1A" w:rsidRPr="00F8006C">
        <w:rPr>
          <w:rFonts w:ascii="Times New Roman" w:hAnsi="Times New Roman"/>
          <w:color w:val="000000"/>
          <w:sz w:val="20"/>
        </w:rPr>
        <w:t>subscales</w:t>
      </w:r>
      <w:r w:rsidRPr="00F8006C">
        <w:rPr>
          <w:rFonts w:ascii="Times New Roman" w:hAnsi="Times New Roman"/>
          <w:color w:val="000000"/>
          <w:sz w:val="20"/>
        </w:rPr>
        <w:t xml:space="preserve">, such as “self-care,” “life activities,” and “participation in society,” as well as </w:t>
      </w:r>
      <w:r w:rsidR="00DE1E90">
        <w:rPr>
          <w:rFonts w:ascii="Times New Roman" w:hAnsi="Times New Roman"/>
          <w:color w:val="000000"/>
          <w:sz w:val="20"/>
        </w:rPr>
        <w:t xml:space="preserve">for </w:t>
      </w:r>
      <w:r w:rsidRPr="00F8006C">
        <w:rPr>
          <w:rFonts w:ascii="Times New Roman" w:hAnsi="Times New Roman"/>
          <w:color w:val="000000"/>
          <w:sz w:val="20"/>
        </w:rPr>
        <w:t xml:space="preserve">the total WHODAS-II score. There was also a positive correlation between the QoL of patients and </w:t>
      </w:r>
      <w:r w:rsidR="00A61DFD">
        <w:rPr>
          <w:rFonts w:ascii="Times New Roman" w:hAnsi="Times New Roman"/>
          <w:color w:val="000000"/>
          <w:sz w:val="20"/>
        </w:rPr>
        <w:t xml:space="preserve">the QoL of </w:t>
      </w:r>
      <w:r w:rsidRPr="00F8006C">
        <w:rPr>
          <w:rFonts w:ascii="Times New Roman" w:hAnsi="Times New Roman"/>
          <w:color w:val="000000"/>
          <w:sz w:val="20"/>
        </w:rPr>
        <w:t>their spouses in most of the SF-36</w:t>
      </w:r>
      <w:r w:rsidR="00DD3097" w:rsidRPr="00DD3097">
        <w:rPr>
          <w:rFonts w:ascii="Times New Roman" w:hAnsi="Times New Roman"/>
          <w:color w:val="000000"/>
          <w:sz w:val="20"/>
        </w:rPr>
        <w:t xml:space="preserve"> </w:t>
      </w:r>
      <w:r w:rsidR="00DD3097" w:rsidRPr="00F8006C">
        <w:rPr>
          <w:rFonts w:ascii="Times New Roman" w:hAnsi="Times New Roman"/>
          <w:color w:val="000000"/>
          <w:sz w:val="20"/>
        </w:rPr>
        <w:t>subscales</w:t>
      </w:r>
      <w:r w:rsidRPr="00F8006C">
        <w:rPr>
          <w:rFonts w:ascii="Times New Roman" w:hAnsi="Times New Roman"/>
          <w:color w:val="000000"/>
          <w:sz w:val="20"/>
        </w:rPr>
        <w:t xml:space="preserve">. Statistically significant correlations were observed for </w:t>
      </w:r>
      <w:r w:rsidR="00F84F71">
        <w:rPr>
          <w:rFonts w:ascii="Times New Roman" w:hAnsi="Times New Roman"/>
          <w:color w:val="000000"/>
          <w:sz w:val="20"/>
        </w:rPr>
        <w:t xml:space="preserve">the </w:t>
      </w:r>
      <w:r w:rsidRPr="00F8006C">
        <w:rPr>
          <w:rFonts w:ascii="Times New Roman" w:hAnsi="Times New Roman"/>
          <w:color w:val="000000"/>
          <w:sz w:val="20"/>
        </w:rPr>
        <w:t xml:space="preserve">“bodily pain,” “general health,” ”vitality,” “social function,” “emotion,” “mental health,” and mental component summary score subscales of the SF-36. When gender differences were evaluated, the QoL of male patients’ spouses changed more when compared with female patients’ spouses for </w:t>
      </w:r>
      <w:proofErr w:type="gramStart"/>
      <w:r w:rsidRPr="00F8006C">
        <w:rPr>
          <w:rFonts w:ascii="Times New Roman" w:hAnsi="Times New Roman"/>
          <w:color w:val="000000"/>
          <w:sz w:val="20"/>
        </w:rPr>
        <w:t xml:space="preserve">all </w:t>
      </w:r>
      <w:r w:rsidR="003319D1">
        <w:rPr>
          <w:rFonts w:ascii="Times New Roman" w:hAnsi="Times New Roman"/>
          <w:color w:val="000000"/>
          <w:sz w:val="20"/>
        </w:rPr>
        <w:t>of</w:t>
      </w:r>
      <w:proofErr w:type="gramEnd"/>
      <w:r w:rsidR="003319D1">
        <w:rPr>
          <w:rFonts w:ascii="Times New Roman" w:hAnsi="Times New Roman"/>
          <w:color w:val="000000"/>
          <w:sz w:val="20"/>
        </w:rPr>
        <w:t xml:space="preserve"> the </w:t>
      </w:r>
      <w:r w:rsidRPr="00F8006C">
        <w:rPr>
          <w:rFonts w:ascii="Times New Roman" w:hAnsi="Times New Roman"/>
          <w:color w:val="000000"/>
          <w:sz w:val="20"/>
        </w:rPr>
        <w:t>WHODAS-II</w:t>
      </w:r>
      <w:r w:rsidR="003319D1">
        <w:rPr>
          <w:rFonts w:ascii="Times New Roman" w:hAnsi="Times New Roman"/>
          <w:color w:val="000000"/>
          <w:sz w:val="20"/>
        </w:rPr>
        <w:t xml:space="preserve"> subscales</w:t>
      </w:r>
      <w:r w:rsidRPr="00F8006C">
        <w:rPr>
          <w:rFonts w:ascii="Times New Roman" w:hAnsi="Times New Roman"/>
          <w:color w:val="000000"/>
          <w:sz w:val="20"/>
        </w:rPr>
        <w:t>.</w:t>
      </w:r>
    </w:p>
    <w:p w14:paraId="2E09B3EA" w14:textId="49D0CCA8" w:rsidR="007D3FB7" w:rsidRPr="00F8006C" w:rsidRDefault="00F8006C" w:rsidP="007D3FB7">
      <w:pPr>
        <w:spacing w:line="480" w:lineRule="auto"/>
        <w:rPr>
          <w:rFonts w:ascii="Times New Roman" w:hAnsi="Times New Roman"/>
          <w:color w:val="000000"/>
          <w:sz w:val="20"/>
        </w:rPr>
      </w:pPr>
      <w:r w:rsidRPr="00F8006C">
        <w:rPr>
          <w:rFonts w:ascii="Times New Roman" w:hAnsi="Times New Roman"/>
          <w:color w:val="000000"/>
          <w:sz w:val="20"/>
        </w:rPr>
        <w:t xml:space="preserve">Conclusions: The QoL of patients and </w:t>
      </w:r>
      <w:r w:rsidR="009B5DFB">
        <w:rPr>
          <w:rFonts w:ascii="Times New Roman" w:hAnsi="Times New Roman"/>
          <w:color w:val="000000"/>
          <w:sz w:val="20"/>
        </w:rPr>
        <w:t xml:space="preserve">that of </w:t>
      </w:r>
      <w:r w:rsidRPr="00F8006C">
        <w:rPr>
          <w:rFonts w:ascii="Times New Roman" w:hAnsi="Times New Roman"/>
          <w:color w:val="000000"/>
          <w:sz w:val="20"/>
        </w:rPr>
        <w:t xml:space="preserve">their spouses </w:t>
      </w:r>
      <w:r w:rsidR="000578A5">
        <w:rPr>
          <w:rFonts w:ascii="Times New Roman" w:hAnsi="Times New Roman"/>
          <w:color w:val="000000"/>
          <w:sz w:val="20"/>
        </w:rPr>
        <w:t>changed</w:t>
      </w:r>
      <w:r w:rsidRPr="00F8006C">
        <w:rPr>
          <w:rFonts w:ascii="Times New Roman" w:hAnsi="Times New Roman"/>
          <w:color w:val="000000"/>
          <w:sz w:val="20"/>
        </w:rPr>
        <w:t xml:space="preserve"> following surgery for colorectal cancer. These changes were more significant </w:t>
      </w:r>
      <w:r w:rsidR="00544988">
        <w:rPr>
          <w:rFonts w:ascii="Times New Roman" w:hAnsi="Times New Roman"/>
          <w:color w:val="000000"/>
          <w:sz w:val="20"/>
        </w:rPr>
        <w:t>among</w:t>
      </w:r>
      <w:r w:rsidR="00544988" w:rsidRPr="00F8006C">
        <w:rPr>
          <w:rFonts w:ascii="Times New Roman" w:hAnsi="Times New Roman"/>
          <w:color w:val="000000"/>
          <w:sz w:val="20"/>
        </w:rPr>
        <w:t xml:space="preserve"> </w:t>
      </w:r>
      <w:r w:rsidRPr="00F8006C">
        <w:rPr>
          <w:rFonts w:ascii="Times New Roman" w:hAnsi="Times New Roman"/>
          <w:color w:val="000000"/>
          <w:sz w:val="20"/>
        </w:rPr>
        <w:t>male patients’ spouses.</w:t>
      </w:r>
    </w:p>
    <w:p w14:paraId="4547DC58" w14:textId="77777777" w:rsidR="006A6F6D" w:rsidRPr="00F8006C" w:rsidRDefault="006A6F6D"/>
    <w:sectPr w:rsidR="006A6F6D" w:rsidRPr="00F8006C" w:rsidSect="00850DD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FB7"/>
    <w:rsid w:val="00034ABE"/>
    <w:rsid w:val="000578A5"/>
    <w:rsid w:val="000C2316"/>
    <w:rsid w:val="00126724"/>
    <w:rsid w:val="00161ED8"/>
    <w:rsid w:val="002700ED"/>
    <w:rsid w:val="002A297B"/>
    <w:rsid w:val="002F592D"/>
    <w:rsid w:val="00313CD0"/>
    <w:rsid w:val="003319D1"/>
    <w:rsid w:val="003B19BE"/>
    <w:rsid w:val="003C166D"/>
    <w:rsid w:val="003E6FAF"/>
    <w:rsid w:val="00463B5D"/>
    <w:rsid w:val="00474937"/>
    <w:rsid w:val="00544988"/>
    <w:rsid w:val="005E5198"/>
    <w:rsid w:val="00647675"/>
    <w:rsid w:val="00686B1A"/>
    <w:rsid w:val="006960CE"/>
    <w:rsid w:val="0069780A"/>
    <w:rsid w:val="006A6F6D"/>
    <w:rsid w:val="00724E83"/>
    <w:rsid w:val="007D3FB7"/>
    <w:rsid w:val="007E0177"/>
    <w:rsid w:val="007E708A"/>
    <w:rsid w:val="00800CDA"/>
    <w:rsid w:val="00835B4F"/>
    <w:rsid w:val="00850DD3"/>
    <w:rsid w:val="008C72A1"/>
    <w:rsid w:val="008E708B"/>
    <w:rsid w:val="009B22F5"/>
    <w:rsid w:val="009B5DFB"/>
    <w:rsid w:val="009C0335"/>
    <w:rsid w:val="00A61DFD"/>
    <w:rsid w:val="00A91915"/>
    <w:rsid w:val="00AA3618"/>
    <w:rsid w:val="00B17AF2"/>
    <w:rsid w:val="00B236E7"/>
    <w:rsid w:val="00B74E72"/>
    <w:rsid w:val="00C068F8"/>
    <w:rsid w:val="00D4346B"/>
    <w:rsid w:val="00D863A4"/>
    <w:rsid w:val="00DC65D4"/>
    <w:rsid w:val="00DD3097"/>
    <w:rsid w:val="00DE1E90"/>
    <w:rsid w:val="00E03E9D"/>
    <w:rsid w:val="00ED58EF"/>
    <w:rsid w:val="00F8006C"/>
    <w:rsid w:val="00F84F71"/>
    <w:rsid w:val="00F94131"/>
    <w:rsid w:val="00FF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FBA88"/>
  <w15:chartTrackingRefBased/>
  <w15:docId w15:val="{86F565F1-B560-8748-B7C0-FD4614398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3FB7"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klamaMetni">
    <w:name w:val="annotation text"/>
    <w:basedOn w:val="Normal"/>
    <w:link w:val="AklamaMetni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Pr>
      <w:rFonts w:ascii="Tahoma" w:eastAsia="Times New Roman" w:hAnsi="Tahoma" w:cs="Tahoma"/>
      <w:sz w:val="16"/>
      <w:szCs w:val="20"/>
      <w:lang w:val="en-US"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800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8006C"/>
    <w:rPr>
      <w:rFonts w:ascii="Segoe UI" w:eastAsia="Times New Roman" w:hAnsi="Segoe UI" w:cs="Segoe UI"/>
      <w:sz w:val="18"/>
      <w:szCs w:val="18"/>
      <w:lang w:val="en-US" w:eastAsia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F8006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F8006C"/>
    <w:rPr>
      <w:rFonts w:ascii="Tahoma" w:eastAsia="Times New Roman" w:hAnsi="Tahoma" w:cs="Tahoma"/>
      <w:b/>
      <w:bCs/>
      <w:sz w:val="16"/>
      <w:szCs w:val="20"/>
      <w:lang w:val="en-US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Cihangir Akyol</dc:creator>
  <cp:lastModifiedBy>Cihangir Akyol</cp:lastModifiedBy>
  <cp:revision>2</cp:revision>
  <dcterms:created xsi:type="dcterms:W3CDTF">2020-07-20T13:46:00Z</dcterms:created>
  <dcterms:modified xsi:type="dcterms:W3CDTF">2020-07-20T13:46:00Z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otal">
    <vt:i4>26</vt:i4>
  </property>
  <property fmtid="{D5CDD505-2E9C-101B-9397-08002B2CF9AE}" pid="3" name="UseTimer">
    <vt:bool>false</vt:bool>
  </property>
  <property fmtid="{D5CDD505-2E9C-101B-9397-08002B2CF9AE}" pid="4" name="LastTick">
    <vt:r8>44011.7348958333</vt:r8>
  </property>
</Properties>
</file>