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D193E1" w14:textId="4EE8EAAC" w:rsidR="000C4061" w:rsidRPr="00387E85" w:rsidRDefault="00A20093" w:rsidP="00387E85">
      <w:pPr>
        <w:spacing w:line="240" w:lineRule="auto"/>
        <w:rPr>
          <w:rFonts w:asciiTheme="majorBidi" w:eastAsiaTheme="majorEastAsia" w:hAnsiTheme="majorBidi" w:cstheme="majorBidi"/>
          <w:i/>
          <w:iCs/>
          <w:sz w:val="24"/>
          <w:szCs w:val="24"/>
          <w:u w:val="single"/>
        </w:rPr>
      </w:pPr>
      <w:r w:rsidRPr="00387E85">
        <w:rPr>
          <w:rFonts w:asciiTheme="majorBidi" w:eastAsiaTheme="majorEastAsia" w:hAnsiTheme="majorBidi" w:cstheme="majorBidi"/>
          <w:i/>
          <w:iCs/>
          <w:sz w:val="24"/>
          <w:szCs w:val="24"/>
          <w:u w:val="single"/>
        </w:rPr>
        <w:t>Supplementary:</w:t>
      </w:r>
    </w:p>
    <w:p w14:paraId="369F39E5" w14:textId="77777777" w:rsidR="00A20093" w:rsidRPr="00387E85" w:rsidRDefault="00A20093" w:rsidP="00387E85">
      <w:pPr>
        <w:pStyle w:val="Heading2"/>
        <w:ind w:left="284"/>
        <w:rPr>
          <w:rFonts w:asciiTheme="majorBidi" w:hAnsiTheme="majorBidi"/>
          <w:i/>
          <w:iCs/>
          <w:color w:val="auto"/>
          <w:sz w:val="24"/>
          <w:szCs w:val="24"/>
          <w:u w:val="single"/>
        </w:rPr>
      </w:pPr>
      <w:r w:rsidRPr="00387E85">
        <w:rPr>
          <w:rFonts w:asciiTheme="majorBidi" w:hAnsiTheme="majorBidi"/>
          <w:i/>
          <w:iCs/>
          <w:color w:val="auto"/>
          <w:sz w:val="24"/>
          <w:szCs w:val="24"/>
          <w:u w:val="single"/>
        </w:rPr>
        <w:t>VPS implantation protocol</w:t>
      </w:r>
    </w:p>
    <w:p w14:paraId="157CCC2D" w14:textId="77777777" w:rsidR="00A20093" w:rsidRPr="00387E85" w:rsidRDefault="00A20093" w:rsidP="00387E85">
      <w:pPr>
        <w:pStyle w:val="ListParagraph"/>
        <w:rPr>
          <w:sz w:val="24"/>
          <w:szCs w:val="24"/>
        </w:rPr>
      </w:pPr>
    </w:p>
    <w:p w14:paraId="6FB1A6D9" w14:textId="77777777" w:rsidR="00A20093" w:rsidRPr="00387E85" w:rsidRDefault="00A20093" w:rsidP="00387E85">
      <w:pPr>
        <w:spacing w:line="240" w:lineRule="auto"/>
        <w:rPr>
          <w:rFonts w:asciiTheme="majorBidi" w:hAnsiTheme="majorBidi" w:cstheme="majorBidi"/>
          <w:sz w:val="24"/>
          <w:szCs w:val="24"/>
        </w:rPr>
      </w:pPr>
      <w:r w:rsidRPr="00387E85">
        <w:rPr>
          <w:rFonts w:asciiTheme="majorBidi" w:hAnsiTheme="majorBidi" w:cstheme="majorBidi"/>
          <w:sz w:val="24"/>
          <w:szCs w:val="24"/>
        </w:rPr>
        <w:t xml:space="preserve">The VPS implantation protocol was the one routinely and regularly used for NPH cases in clinical practice [Yamada et al., 2022]. Patients lay on their back, head turned left followed by general anesthesia, disinfection, and draping. A right frontal or occipital incision to scalp and an incision to the right abdomen is performed. All patients are implanted with CODMAN CERTAS© Plus programable valve (DePuy Synthes, Johnson &amp; Johnson). The end of the shunt tube is guided through a subcutaneous tunnel along the neck to the abdominal cavity.  A hole is </w:t>
      </w:r>
      <w:proofErr w:type="gramStart"/>
      <w:r w:rsidRPr="00387E85">
        <w:rPr>
          <w:rFonts w:asciiTheme="majorBidi" w:hAnsiTheme="majorBidi" w:cstheme="majorBidi"/>
          <w:sz w:val="24"/>
          <w:szCs w:val="24"/>
        </w:rPr>
        <w:t>drilled</w:t>
      </w:r>
      <w:proofErr w:type="gramEnd"/>
      <w:r w:rsidRPr="00387E85">
        <w:rPr>
          <w:rFonts w:asciiTheme="majorBidi" w:hAnsiTheme="majorBidi" w:cstheme="majorBidi"/>
          <w:sz w:val="24"/>
          <w:szCs w:val="24"/>
        </w:rPr>
        <w:t xml:space="preserve"> and the dura mater cut open, followed by ablation of the dura and pia. </w:t>
      </w:r>
      <w:proofErr w:type="gramStart"/>
      <w:r w:rsidRPr="00387E85">
        <w:rPr>
          <w:rFonts w:asciiTheme="majorBidi" w:hAnsiTheme="majorBidi" w:cstheme="majorBidi"/>
          <w:sz w:val="24"/>
          <w:szCs w:val="24"/>
        </w:rPr>
        <w:t>Right</w:t>
      </w:r>
      <w:proofErr w:type="gramEnd"/>
      <w:r w:rsidRPr="00387E85">
        <w:rPr>
          <w:rFonts w:asciiTheme="majorBidi" w:hAnsiTheme="majorBidi" w:cstheme="majorBidi"/>
          <w:sz w:val="24"/>
          <w:szCs w:val="24"/>
        </w:rPr>
        <w:t xml:space="preserve"> lateral ventricle is entered using the ventricular end of shunt tube until clear CSF appears and the shunt tube is fixed appropriately. During the operation, the initial opening pressure is determined, and CSF specimens are collected for analysis. Shunt valve is fixed in place.  Initial pressure setting is based on a fixed level of 5 (corresponding to 145 ±35 mm </w:t>
      </w:r>
      <w:r w:rsidRPr="00387E85">
        <w:rPr>
          <w:rFonts w:asciiTheme="majorBidi" w:hAnsiTheme="majorBidi" w:cstheme="majorBidi"/>
          <w:sz w:val="24"/>
          <w:szCs w:val="24"/>
          <w:bdr w:val="none" w:sz="0" w:space="0" w:color="auto" w:frame="1"/>
          <w:shd w:val="clear" w:color="auto" w:fill="FFFFFF"/>
        </w:rPr>
        <w:t>H</w:t>
      </w:r>
      <w:r w:rsidRPr="00387E85">
        <w:rPr>
          <w:rFonts w:asciiTheme="majorBidi" w:hAnsiTheme="majorBidi" w:cstheme="majorBidi"/>
          <w:sz w:val="24"/>
          <w:szCs w:val="24"/>
          <w:bdr w:val="none" w:sz="0" w:space="0" w:color="auto" w:frame="1"/>
          <w:shd w:val="clear" w:color="auto" w:fill="FFFFFF"/>
          <w:vertAlign w:val="subscript"/>
        </w:rPr>
        <w:t>2</w:t>
      </w:r>
      <w:r w:rsidRPr="00387E85">
        <w:rPr>
          <w:rFonts w:asciiTheme="majorBidi" w:hAnsiTheme="majorBidi" w:cstheme="majorBidi"/>
          <w:sz w:val="24"/>
          <w:szCs w:val="24"/>
          <w:bdr w:val="none" w:sz="0" w:space="0" w:color="auto" w:frame="1"/>
          <w:shd w:val="clear" w:color="auto" w:fill="FFFFFF"/>
        </w:rPr>
        <w:t>O</w:t>
      </w:r>
      <w:r w:rsidRPr="00387E85">
        <w:rPr>
          <w:rFonts w:asciiTheme="majorBidi" w:hAnsiTheme="majorBidi" w:cstheme="majorBidi"/>
          <w:sz w:val="24"/>
          <w:szCs w:val="24"/>
        </w:rPr>
        <w:t>) while accounting to the height and weight of the patient.</w:t>
      </w:r>
    </w:p>
    <w:p w14:paraId="0D5ABE22" w14:textId="77777777" w:rsidR="00A20093" w:rsidRPr="00387E85" w:rsidRDefault="00A20093" w:rsidP="00387E85">
      <w:pPr>
        <w:spacing w:line="240" w:lineRule="auto"/>
        <w:rPr>
          <w:rFonts w:asciiTheme="majorBidi" w:hAnsiTheme="majorBidi" w:cstheme="majorBidi"/>
          <w:sz w:val="24"/>
          <w:szCs w:val="24"/>
        </w:rPr>
      </w:pPr>
    </w:p>
    <w:p w14:paraId="6D3CD605" w14:textId="77777777" w:rsidR="00A20093" w:rsidRPr="00387E85" w:rsidRDefault="00A20093" w:rsidP="00387E85">
      <w:pPr>
        <w:pStyle w:val="Heading2"/>
        <w:ind w:left="284"/>
        <w:rPr>
          <w:rFonts w:asciiTheme="majorBidi" w:hAnsiTheme="majorBidi"/>
          <w:i/>
          <w:iCs/>
          <w:color w:val="auto"/>
          <w:sz w:val="24"/>
          <w:szCs w:val="24"/>
          <w:u w:val="single"/>
        </w:rPr>
      </w:pPr>
      <w:r w:rsidRPr="00387E85">
        <w:rPr>
          <w:rFonts w:asciiTheme="majorBidi" w:hAnsiTheme="majorBidi"/>
          <w:i/>
          <w:iCs/>
          <w:color w:val="auto"/>
          <w:sz w:val="24"/>
          <w:szCs w:val="24"/>
          <w:u w:val="single"/>
        </w:rPr>
        <w:t>Post-ventriculoperitoneal shunt placement protocol</w:t>
      </w:r>
    </w:p>
    <w:p w14:paraId="51EB7C72" w14:textId="77777777" w:rsidR="00A20093" w:rsidRPr="00387E85" w:rsidRDefault="00A20093" w:rsidP="00387E85">
      <w:pPr>
        <w:spacing w:line="240" w:lineRule="auto"/>
        <w:rPr>
          <w:sz w:val="24"/>
          <w:szCs w:val="24"/>
        </w:rPr>
      </w:pPr>
    </w:p>
    <w:p w14:paraId="5211FA5A" w14:textId="77777777" w:rsidR="00A20093" w:rsidRPr="00387E85" w:rsidRDefault="00A20093" w:rsidP="00387E85">
      <w:pPr>
        <w:spacing w:line="240" w:lineRule="auto"/>
        <w:rPr>
          <w:rStyle w:val="m-6452224808153580728contentpasted1"/>
          <w:rFonts w:asciiTheme="majorBidi" w:hAnsiTheme="majorBidi" w:cstheme="majorBidi"/>
          <w:color w:val="000000"/>
          <w:sz w:val="24"/>
          <w:szCs w:val="24"/>
          <w:bdr w:val="none" w:sz="0" w:space="0" w:color="auto" w:frame="1"/>
          <w:shd w:val="clear" w:color="auto" w:fill="FFFFFF"/>
        </w:rPr>
      </w:pPr>
      <w:r w:rsidRPr="00387E85">
        <w:rPr>
          <w:rStyle w:val="m-6452224808153580728contentpasted1"/>
          <w:rFonts w:asciiTheme="majorBidi" w:hAnsiTheme="majorBidi" w:cstheme="majorBidi"/>
          <w:color w:val="000000"/>
          <w:sz w:val="24"/>
          <w:szCs w:val="24"/>
          <w:bdr w:val="none" w:sz="0" w:space="0" w:color="auto" w:frame="1"/>
          <w:shd w:val="clear" w:color="auto" w:fill="FFFFFF"/>
        </w:rPr>
        <w:t>CT scans are performed on all patients within 24 hours from surgery to verify the catheter location and</w:t>
      </w:r>
      <w:r w:rsidRPr="00387E85">
        <w:rPr>
          <w:rStyle w:val="m-6452224808153580728contentpasted1"/>
          <w:rFonts w:asciiTheme="majorBidi" w:hAnsiTheme="majorBidi" w:cstheme="majorBidi"/>
          <w:color w:val="000000"/>
          <w:sz w:val="24"/>
          <w:szCs w:val="24"/>
          <w:bdr w:val="none" w:sz="0" w:space="0" w:color="auto" w:frame="1"/>
          <w:shd w:val="clear" w:color="auto" w:fill="FFFFFF"/>
          <w:rtl/>
        </w:rPr>
        <w:t xml:space="preserve"> </w:t>
      </w:r>
      <w:r w:rsidRPr="00387E85">
        <w:rPr>
          <w:rStyle w:val="m-6452224808153580728contentpasted1"/>
          <w:rFonts w:asciiTheme="majorBidi" w:hAnsiTheme="majorBidi" w:cstheme="majorBidi"/>
          <w:color w:val="000000"/>
          <w:sz w:val="24"/>
          <w:szCs w:val="24"/>
          <w:bdr w:val="none" w:sz="0" w:space="0" w:color="auto" w:frame="1"/>
          <w:shd w:val="clear" w:color="auto" w:fill="FFFFFF"/>
        </w:rPr>
        <w:t>absence of bleeding. Postoperative follow-up visits are routinely performed 1 month and 3 months post operation by the neurosurgeon and additional</w:t>
      </w:r>
      <w:r w:rsidRPr="00387E85">
        <w:rPr>
          <w:rStyle w:val="m-6452224808153580728contentpasted1"/>
          <w:rFonts w:asciiTheme="majorBidi" w:hAnsiTheme="majorBidi" w:cstheme="majorBidi"/>
          <w:color w:val="000000"/>
          <w:sz w:val="24"/>
          <w:szCs w:val="24"/>
          <w:bdr w:val="none" w:sz="0" w:space="0" w:color="auto" w:frame="1"/>
          <w:shd w:val="clear" w:color="auto" w:fill="FFFFFF"/>
          <w:rtl/>
        </w:rPr>
        <w:t xml:space="preserve"> </w:t>
      </w:r>
      <w:r w:rsidRPr="00387E85">
        <w:rPr>
          <w:rStyle w:val="m-6452224808153580728contentpasted1"/>
          <w:rFonts w:asciiTheme="majorBidi" w:hAnsiTheme="majorBidi" w:cstheme="majorBidi"/>
          <w:color w:val="000000"/>
          <w:sz w:val="24"/>
          <w:szCs w:val="24"/>
          <w:bdr w:val="none" w:sz="0" w:space="0" w:color="auto" w:frame="1"/>
          <w:shd w:val="clear" w:color="auto" w:fill="FFFFFF"/>
        </w:rPr>
        <w:t xml:space="preserve">follow up visits are performed by the SMDI neurologists up to one year after operation. </w:t>
      </w:r>
      <w:r w:rsidRPr="00387E85">
        <w:rPr>
          <w:rFonts w:asciiTheme="majorBidi" w:hAnsiTheme="majorBidi" w:cstheme="majorBidi"/>
          <w:sz w:val="24"/>
          <w:szCs w:val="24"/>
          <w:bdr w:val="none" w:sz="0" w:space="0" w:color="auto" w:frame="1"/>
          <w:shd w:val="clear" w:color="auto" w:fill="FFFFFF"/>
        </w:rPr>
        <w:t xml:space="preserve">Additional follow-up visits may take place at neurosurgeons’ discretion. </w:t>
      </w:r>
      <w:r w:rsidRPr="00387E85">
        <w:rPr>
          <w:rStyle w:val="m-6452224808153580728contentpasted1"/>
          <w:rFonts w:asciiTheme="majorBidi" w:hAnsiTheme="majorBidi" w:cstheme="majorBidi"/>
          <w:color w:val="000000"/>
          <w:sz w:val="24"/>
          <w:szCs w:val="24"/>
          <w:bdr w:val="none" w:sz="0" w:space="0" w:color="auto" w:frame="1"/>
          <w:shd w:val="clear" w:color="auto" w:fill="FFFFFF"/>
        </w:rPr>
        <w:t xml:space="preserve">Adjustments of valve pressure levels at 1 or 3 months follow up are performed as needed. The setting may be adjusted to level 6 </w:t>
      </w:r>
      <w:r w:rsidRPr="00387E85">
        <w:rPr>
          <w:rFonts w:asciiTheme="majorBidi" w:hAnsiTheme="majorBidi" w:cstheme="majorBidi"/>
          <w:sz w:val="24"/>
          <w:szCs w:val="24"/>
          <w:bdr w:val="none" w:sz="0" w:space="0" w:color="auto" w:frame="1"/>
          <w:shd w:val="clear" w:color="auto" w:fill="FFFFFF"/>
        </w:rPr>
        <w:t>(180 ±35 mm H</w:t>
      </w:r>
      <w:r w:rsidRPr="00387E85">
        <w:rPr>
          <w:rFonts w:asciiTheme="majorBidi" w:hAnsiTheme="majorBidi" w:cstheme="majorBidi"/>
          <w:sz w:val="24"/>
          <w:szCs w:val="24"/>
          <w:bdr w:val="none" w:sz="0" w:space="0" w:color="auto" w:frame="1"/>
          <w:shd w:val="clear" w:color="auto" w:fill="FFFFFF"/>
          <w:vertAlign w:val="subscript"/>
        </w:rPr>
        <w:t>2</w:t>
      </w:r>
      <w:r w:rsidRPr="00387E85">
        <w:rPr>
          <w:rFonts w:asciiTheme="majorBidi" w:hAnsiTheme="majorBidi" w:cstheme="majorBidi"/>
          <w:sz w:val="24"/>
          <w:szCs w:val="24"/>
          <w:bdr w:val="none" w:sz="0" w:space="0" w:color="auto" w:frame="1"/>
          <w:shd w:val="clear" w:color="auto" w:fill="FFFFFF"/>
        </w:rPr>
        <w:t xml:space="preserve">O, according to device datasheet) </w:t>
      </w:r>
      <w:r w:rsidRPr="00387E85">
        <w:rPr>
          <w:rStyle w:val="m-6452224808153580728contentpasted1"/>
          <w:rFonts w:asciiTheme="majorBidi" w:hAnsiTheme="majorBidi" w:cstheme="majorBidi"/>
          <w:color w:val="000000"/>
          <w:sz w:val="24"/>
          <w:szCs w:val="24"/>
          <w:bdr w:val="none" w:sz="0" w:space="0" w:color="auto" w:frame="1"/>
          <w:shd w:val="clear" w:color="auto" w:fill="FFFFFF"/>
        </w:rPr>
        <w:t>if symptoms of over-drainage are reported (postural headaches</w:t>
      </w:r>
      <w:r w:rsidRPr="00387E85">
        <w:rPr>
          <w:rStyle w:val="m-6452224808153580728contentpasted1"/>
          <w:rFonts w:asciiTheme="majorBidi" w:hAnsiTheme="majorBidi" w:cstheme="majorBidi"/>
          <w:color w:val="000000"/>
          <w:sz w:val="24"/>
          <w:szCs w:val="24"/>
          <w:bdr w:val="none" w:sz="0" w:space="0" w:color="auto" w:frame="1"/>
          <w:shd w:val="clear" w:color="auto" w:fill="FFFFFF"/>
          <w:rtl/>
        </w:rPr>
        <w:t>,</w:t>
      </w:r>
      <w:r w:rsidRPr="00387E85">
        <w:rPr>
          <w:rStyle w:val="m-6452224808153580728contentpasted1"/>
          <w:rFonts w:asciiTheme="majorBidi" w:hAnsiTheme="majorBidi" w:cstheme="majorBidi"/>
          <w:color w:val="000000"/>
          <w:sz w:val="24"/>
          <w:szCs w:val="24"/>
          <w:bdr w:val="none" w:sz="0" w:space="0" w:color="auto" w:frame="1"/>
          <w:shd w:val="clear" w:color="auto" w:fill="FFFFFF"/>
        </w:rPr>
        <w:t xml:space="preserve"> dizziness, nausea, vomiting, </w:t>
      </w:r>
      <w:proofErr w:type="gramStart"/>
      <w:r w:rsidRPr="00387E85">
        <w:rPr>
          <w:rStyle w:val="m-6452224808153580728contentpasted1"/>
          <w:rFonts w:asciiTheme="majorBidi" w:hAnsiTheme="majorBidi" w:cstheme="majorBidi"/>
          <w:color w:val="000000"/>
          <w:sz w:val="24"/>
          <w:szCs w:val="24"/>
          <w:bdr w:val="none" w:sz="0" w:space="0" w:color="auto" w:frame="1"/>
          <w:shd w:val="clear" w:color="auto" w:fill="FFFFFF"/>
        </w:rPr>
        <w:t>diplopia</w:t>
      </w:r>
      <w:proofErr w:type="gramEnd"/>
      <w:r w:rsidRPr="00387E85">
        <w:rPr>
          <w:rStyle w:val="m-6452224808153580728contentpasted1"/>
          <w:rFonts w:asciiTheme="majorBidi" w:hAnsiTheme="majorBidi" w:cstheme="majorBidi"/>
          <w:color w:val="000000"/>
          <w:sz w:val="24"/>
          <w:szCs w:val="24"/>
          <w:bdr w:val="none" w:sz="0" w:space="0" w:color="auto" w:frame="1"/>
          <w:shd w:val="clear" w:color="auto" w:fill="FFFFFF"/>
        </w:rPr>
        <w:t xml:space="preserve"> and seizures). If patient does not experience improvement in gait, the level may be adjusted to 4 </w:t>
      </w:r>
      <w:r w:rsidRPr="00387E85">
        <w:rPr>
          <w:rFonts w:asciiTheme="majorBidi" w:hAnsiTheme="majorBidi" w:cstheme="majorBidi"/>
          <w:sz w:val="24"/>
          <w:szCs w:val="24"/>
          <w:bdr w:val="none" w:sz="0" w:space="0" w:color="auto" w:frame="1"/>
          <w:shd w:val="clear" w:color="auto" w:fill="FFFFFF"/>
        </w:rPr>
        <w:t>(110 ±25 mm H</w:t>
      </w:r>
      <w:r w:rsidRPr="00387E85">
        <w:rPr>
          <w:rFonts w:asciiTheme="majorBidi" w:hAnsiTheme="majorBidi" w:cstheme="majorBidi"/>
          <w:sz w:val="24"/>
          <w:szCs w:val="24"/>
          <w:bdr w:val="none" w:sz="0" w:space="0" w:color="auto" w:frame="1"/>
          <w:shd w:val="clear" w:color="auto" w:fill="FFFFFF"/>
          <w:vertAlign w:val="subscript"/>
        </w:rPr>
        <w:t>2</w:t>
      </w:r>
      <w:r w:rsidRPr="00387E85">
        <w:rPr>
          <w:rFonts w:asciiTheme="majorBidi" w:hAnsiTheme="majorBidi" w:cstheme="majorBidi"/>
          <w:sz w:val="24"/>
          <w:szCs w:val="24"/>
          <w:bdr w:val="none" w:sz="0" w:space="0" w:color="auto" w:frame="1"/>
          <w:shd w:val="clear" w:color="auto" w:fill="FFFFFF"/>
        </w:rPr>
        <w:t xml:space="preserve">O, according to device datasheet) </w:t>
      </w:r>
      <w:r w:rsidRPr="00387E85">
        <w:rPr>
          <w:rStyle w:val="m-6452224808153580728contentpasted1"/>
          <w:rFonts w:asciiTheme="majorBidi" w:hAnsiTheme="majorBidi" w:cstheme="majorBidi"/>
          <w:color w:val="000000"/>
          <w:sz w:val="24"/>
          <w:szCs w:val="24"/>
          <w:bdr w:val="none" w:sz="0" w:space="0" w:color="auto" w:frame="1"/>
          <w:shd w:val="clear" w:color="auto" w:fill="FFFFFF"/>
        </w:rPr>
        <w:t>at the neurosurgeon’s discretion. In cases of worsening of adverse effects, an additional CT may be performed</w:t>
      </w:r>
      <w:r w:rsidRPr="00387E85">
        <w:rPr>
          <w:rStyle w:val="m-6452224808153580728contentpasted1"/>
          <w:rFonts w:asciiTheme="majorBidi" w:hAnsiTheme="majorBidi" w:cstheme="majorBidi"/>
          <w:color w:val="000000"/>
          <w:sz w:val="24"/>
          <w:szCs w:val="24"/>
          <w:bdr w:val="none" w:sz="0" w:space="0" w:color="auto" w:frame="1"/>
          <w:shd w:val="clear" w:color="auto" w:fill="FFFFFF"/>
          <w:rtl/>
        </w:rPr>
        <w:t>.</w:t>
      </w:r>
    </w:p>
    <w:p w14:paraId="0BD4139E" w14:textId="461C26EE" w:rsidR="00D815D3" w:rsidRPr="00387E85" w:rsidRDefault="00D815D3" w:rsidP="00387E85">
      <w:pPr>
        <w:pStyle w:val="Heading2"/>
        <w:ind w:left="284"/>
        <w:rPr>
          <w:rFonts w:asciiTheme="majorBidi" w:hAnsiTheme="majorBidi"/>
          <w:i/>
          <w:iCs/>
          <w:color w:val="auto"/>
          <w:sz w:val="24"/>
          <w:szCs w:val="24"/>
          <w:u w:val="single"/>
        </w:rPr>
      </w:pPr>
      <w:r w:rsidRPr="00387E85">
        <w:rPr>
          <w:rFonts w:asciiTheme="majorBidi" w:hAnsiTheme="majorBidi"/>
          <w:i/>
          <w:iCs/>
          <w:color w:val="auto"/>
          <w:sz w:val="24"/>
          <w:szCs w:val="24"/>
          <w:u w:val="single"/>
        </w:rPr>
        <w:t>TMS-EEG Procedure:</w:t>
      </w:r>
    </w:p>
    <w:p w14:paraId="67BDBCD5" w14:textId="77777777" w:rsidR="00B466B6" w:rsidRPr="00387E85" w:rsidRDefault="00B466B6" w:rsidP="00387E85">
      <w:pPr>
        <w:spacing w:line="240" w:lineRule="auto"/>
        <w:rPr>
          <w:rFonts w:asciiTheme="majorBidi" w:hAnsiTheme="majorBidi" w:cstheme="majorBidi"/>
          <w:sz w:val="24"/>
          <w:szCs w:val="24"/>
        </w:rPr>
      </w:pPr>
      <w:r w:rsidRPr="00387E85">
        <w:rPr>
          <w:rFonts w:asciiTheme="majorBidi" w:hAnsiTheme="majorBidi" w:cstheme="majorBidi"/>
          <w:sz w:val="24"/>
          <w:szCs w:val="24"/>
        </w:rPr>
        <w:t>TMS-EEG acquisition was performed with the Delphi system version 1.0 including Delphi acquisition and analysis software (QuantalX Neuroscience), EEG compatible TMS stimulator and 65 mm figure 8 coil (</w:t>
      </w:r>
      <w:proofErr w:type="spellStart"/>
      <w:r w:rsidRPr="00387E85">
        <w:rPr>
          <w:rFonts w:asciiTheme="majorBidi" w:hAnsiTheme="majorBidi" w:cstheme="majorBidi"/>
          <w:sz w:val="24"/>
          <w:szCs w:val="24"/>
        </w:rPr>
        <w:t>MagPro</w:t>
      </w:r>
      <w:proofErr w:type="spellEnd"/>
      <w:r w:rsidRPr="00387E85">
        <w:rPr>
          <w:rFonts w:asciiTheme="majorBidi" w:hAnsiTheme="majorBidi" w:cstheme="majorBidi"/>
          <w:sz w:val="24"/>
          <w:szCs w:val="24"/>
        </w:rPr>
        <w:t xml:space="preserve"> R30 stimulator (</w:t>
      </w:r>
      <w:proofErr w:type="spellStart"/>
      <w:r w:rsidRPr="00387E85">
        <w:rPr>
          <w:rFonts w:asciiTheme="majorBidi" w:hAnsiTheme="majorBidi" w:cstheme="majorBidi"/>
          <w:sz w:val="24"/>
          <w:szCs w:val="24"/>
        </w:rPr>
        <w:t>MagVenture</w:t>
      </w:r>
      <w:proofErr w:type="spellEnd"/>
      <w:r w:rsidRPr="00387E85">
        <w:rPr>
          <w:rFonts w:asciiTheme="majorBidi" w:hAnsiTheme="majorBidi" w:cstheme="majorBidi"/>
          <w:sz w:val="24"/>
          <w:szCs w:val="24"/>
        </w:rPr>
        <w:t>, Denmark) and an MCF-B65-HO figure-8 Coil (</w:t>
      </w:r>
      <w:proofErr w:type="spellStart"/>
      <w:r w:rsidRPr="00387E85">
        <w:rPr>
          <w:rFonts w:asciiTheme="majorBidi" w:hAnsiTheme="majorBidi" w:cstheme="majorBidi"/>
          <w:sz w:val="24"/>
          <w:szCs w:val="24"/>
        </w:rPr>
        <w:t>MagVenture</w:t>
      </w:r>
      <w:proofErr w:type="spellEnd"/>
      <w:r w:rsidRPr="00387E85">
        <w:rPr>
          <w:rFonts w:asciiTheme="majorBidi" w:hAnsiTheme="majorBidi" w:cstheme="majorBidi"/>
          <w:sz w:val="24"/>
          <w:szCs w:val="24"/>
        </w:rPr>
        <w:t xml:space="preserve">, Denmark), TMS compatible DC coupled amplifier with sampling rate of 5Hz (Delphi Amplifier, QuantalX Neuroscience Ltd.) and 34 electrode cap with Ag\AgCl sintered electrodes (MCS Delphi cap, QuantalX Neuroscience Ltd.). The reference and ground electrodes were affixed to the ear lobes. </w:t>
      </w:r>
    </w:p>
    <w:p w14:paraId="757A167D" w14:textId="7502284B" w:rsidR="00B466B6" w:rsidRPr="00387E85" w:rsidRDefault="00B466B6" w:rsidP="00387E85">
      <w:pPr>
        <w:spacing w:line="240" w:lineRule="auto"/>
        <w:rPr>
          <w:rFonts w:asciiTheme="majorBidi" w:hAnsiTheme="majorBidi" w:cstheme="majorBidi"/>
          <w:sz w:val="24"/>
          <w:szCs w:val="24"/>
          <w:rtl/>
        </w:rPr>
      </w:pPr>
      <w:r w:rsidRPr="00387E85">
        <w:rPr>
          <w:rFonts w:asciiTheme="majorBidi" w:hAnsiTheme="majorBidi" w:cstheme="majorBidi"/>
          <w:sz w:val="24"/>
          <w:szCs w:val="24"/>
        </w:rPr>
        <w:t>All the subjects included in the study performed the same TMS-EEG (Delphi) evaluation prior to CTT.</w:t>
      </w:r>
    </w:p>
    <w:p w14:paraId="4C382CEC" w14:textId="2C9544B8" w:rsidR="00D815D3" w:rsidRPr="00387E85" w:rsidRDefault="00D815D3" w:rsidP="00387E85">
      <w:pPr>
        <w:spacing w:line="240" w:lineRule="auto"/>
        <w:rPr>
          <w:rFonts w:asciiTheme="majorBidi" w:hAnsiTheme="majorBidi" w:cstheme="majorBidi"/>
          <w:sz w:val="24"/>
          <w:szCs w:val="24"/>
        </w:rPr>
      </w:pPr>
      <w:r w:rsidRPr="00387E85">
        <w:rPr>
          <w:rFonts w:asciiTheme="majorBidi" w:hAnsiTheme="majorBidi" w:cstheme="majorBidi"/>
          <w:sz w:val="24"/>
          <w:szCs w:val="24"/>
        </w:rPr>
        <w:t xml:space="preserve">The resting motor threshold (RMT) was obtained at the beginning of each session by stimulating the left and right M1 and was defined as the intensity that produced a visible twitch in abductor </w:t>
      </w:r>
      <w:proofErr w:type="spellStart"/>
      <w:r w:rsidRPr="00387E85">
        <w:rPr>
          <w:rFonts w:asciiTheme="majorBidi" w:hAnsiTheme="majorBidi" w:cstheme="majorBidi"/>
          <w:sz w:val="24"/>
          <w:szCs w:val="24"/>
        </w:rPr>
        <w:t>policis</w:t>
      </w:r>
      <w:proofErr w:type="spellEnd"/>
      <w:r w:rsidRPr="00387E85">
        <w:rPr>
          <w:rFonts w:asciiTheme="majorBidi" w:hAnsiTheme="majorBidi" w:cstheme="majorBidi"/>
          <w:sz w:val="24"/>
          <w:szCs w:val="24"/>
        </w:rPr>
        <w:t xml:space="preserve"> brevis on 50% of stimulations. A 0.5 mm foam pad was attached to the magnetic coil and ear plugs were used to minimize electrode movement and bone-conducted auditory artefact. Magnetic coil was positioned over the left and right M1 at 45◦ toward the contralateral forehead according to guidelines [Rossini et al., 2015]. The stimulation protocol included four stimulation sites: left and right M1, left and right DLPFC. </w:t>
      </w:r>
      <w:r w:rsidRPr="00387E85">
        <w:rPr>
          <w:rFonts w:asciiTheme="majorBidi" w:hAnsiTheme="majorBidi" w:cstheme="majorBidi"/>
          <w:sz w:val="24"/>
          <w:szCs w:val="24"/>
        </w:rPr>
        <w:lastRenderedPageBreak/>
        <w:t xml:space="preserve">Each stimulation site was averaged with its contralateral counterpart, resulting in two output stimulation sites. The location of DLPFC is determined based on the M1 location and is defined as 5-6 cm anteriorly from M1. Single-pulse (no history dependent; &lt;0.3Hz frequency) </w:t>
      </w:r>
      <w:proofErr w:type="gramStart"/>
      <w:r w:rsidRPr="00387E85">
        <w:rPr>
          <w:rFonts w:asciiTheme="majorBidi" w:hAnsiTheme="majorBidi" w:cstheme="majorBidi"/>
          <w:sz w:val="24"/>
          <w:szCs w:val="24"/>
        </w:rPr>
        <w:t>with  85</w:t>
      </w:r>
      <w:proofErr w:type="gramEnd"/>
      <w:r w:rsidRPr="00387E85">
        <w:rPr>
          <w:rFonts w:asciiTheme="majorBidi" w:hAnsiTheme="majorBidi" w:cstheme="majorBidi"/>
          <w:sz w:val="24"/>
          <w:szCs w:val="24"/>
        </w:rPr>
        <w:t xml:space="preserve">% of RMT intensity was applied. Data acquisition, pre-processing, and cleaning of the transcranial evoked response was performed with Delphi software 1.0 with automatic rejection of bad channels and epochs containing large artifacts followed by bandpass FIR filter (0.5– 45Hz) as detailed elsewhere [Zifman et al., 2019; Levy-Lamdan et al., 2020; Maidan et al., 2021; Fogel et al., 2021]. Participants were instructed to keep their eyes closed throughout the examination to reduce ocular artifacts. The operator of the system conversed with subjects between the short stimulation protocol blocks </w:t>
      </w:r>
      <w:proofErr w:type="gramStart"/>
      <w:r w:rsidRPr="00387E85">
        <w:rPr>
          <w:rFonts w:asciiTheme="majorBidi" w:hAnsiTheme="majorBidi" w:cstheme="majorBidi"/>
          <w:sz w:val="24"/>
          <w:szCs w:val="24"/>
        </w:rPr>
        <w:t>in order to</w:t>
      </w:r>
      <w:proofErr w:type="gramEnd"/>
      <w:r w:rsidRPr="00387E85">
        <w:rPr>
          <w:rFonts w:asciiTheme="majorBidi" w:hAnsiTheme="majorBidi" w:cstheme="majorBidi"/>
          <w:sz w:val="24"/>
          <w:szCs w:val="24"/>
        </w:rPr>
        <w:t xml:space="preserve"> avoid drowsiness.</w:t>
      </w:r>
    </w:p>
    <w:p w14:paraId="3339D1F3" w14:textId="77777777" w:rsidR="00D815D3" w:rsidRPr="00387E85" w:rsidRDefault="00D815D3" w:rsidP="00387E85">
      <w:pPr>
        <w:spacing w:line="240" w:lineRule="auto"/>
        <w:rPr>
          <w:rFonts w:asciiTheme="majorBidi" w:hAnsiTheme="majorBidi" w:cstheme="majorBidi"/>
          <w:sz w:val="24"/>
          <w:szCs w:val="24"/>
        </w:rPr>
      </w:pPr>
    </w:p>
    <w:p w14:paraId="48C131C5" w14:textId="77777777" w:rsidR="00A20093" w:rsidRPr="00387E85" w:rsidRDefault="00A20093" w:rsidP="00387E85">
      <w:pPr>
        <w:spacing w:line="240" w:lineRule="auto"/>
        <w:rPr>
          <w:sz w:val="24"/>
          <w:szCs w:val="24"/>
        </w:rPr>
      </w:pPr>
    </w:p>
    <w:sectPr w:rsidR="00A20093" w:rsidRPr="00387E8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altName w:val="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0093"/>
    <w:rsid w:val="000C4061"/>
    <w:rsid w:val="00387E85"/>
    <w:rsid w:val="005A411A"/>
    <w:rsid w:val="00A20093"/>
    <w:rsid w:val="00B466B6"/>
    <w:rsid w:val="00C71ED1"/>
    <w:rsid w:val="00D815D3"/>
  </w:rsids>
  <m:mathPr>
    <m:mathFont m:val="Cambria Math"/>
    <m:brkBin m:val="before"/>
    <m:brkBinSub m:val="--"/>
    <m:smallFrac m:val="0"/>
    <m:dispDef/>
    <m:lMargin m:val="0"/>
    <m:rMargin m:val="0"/>
    <m:defJc m:val="centerGroup"/>
    <m:wrapIndent m:val="1440"/>
    <m:intLim m:val="subSup"/>
    <m:naryLim m:val="undOvr"/>
  </m:mathPr>
  <w:themeFontLang w:val="en-IL"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80DA0F"/>
  <w15:chartTrackingRefBased/>
  <w15:docId w15:val="{EBA70DA8-90CC-42AB-B4F7-7CBE0AC502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L"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paragraph" w:styleId="Heading2">
    <w:name w:val="heading 2"/>
    <w:basedOn w:val="Normal"/>
    <w:next w:val="Normal"/>
    <w:link w:val="Heading2Char"/>
    <w:uiPriority w:val="9"/>
    <w:unhideWhenUsed/>
    <w:qFormat/>
    <w:rsid w:val="00A20093"/>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20093"/>
    <w:rPr>
      <w:rFonts w:asciiTheme="majorHAnsi" w:eastAsiaTheme="majorEastAsia" w:hAnsiTheme="majorHAnsi" w:cstheme="majorBidi"/>
      <w:color w:val="404040" w:themeColor="text1" w:themeTint="BF"/>
      <w:sz w:val="28"/>
      <w:szCs w:val="28"/>
      <w:lang w:val="en-US"/>
    </w:rPr>
  </w:style>
  <w:style w:type="paragraph" w:styleId="ListParagraph">
    <w:name w:val="List Paragraph"/>
    <w:aliases w:val="Bullet"/>
    <w:basedOn w:val="Normal"/>
    <w:link w:val="ListParagraphChar"/>
    <w:autoRedefine/>
    <w:uiPriority w:val="34"/>
    <w:qFormat/>
    <w:rsid w:val="00A20093"/>
    <w:pPr>
      <w:autoSpaceDE w:val="0"/>
      <w:autoSpaceDN w:val="0"/>
      <w:spacing w:after="0" w:line="240" w:lineRule="auto"/>
      <w:ind w:left="720" w:right="4"/>
    </w:pPr>
    <w:rPr>
      <w:rFonts w:eastAsia="Times New Roman" w:cstheme="minorHAnsi"/>
      <w:sz w:val="20"/>
      <w:szCs w:val="20"/>
      <w:lang w:val="en-CA"/>
    </w:rPr>
  </w:style>
  <w:style w:type="character" w:customStyle="1" w:styleId="ListParagraphChar">
    <w:name w:val="List Paragraph Char"/>
    <w:aliases w:val="Bullet Char"/>
    <w:link w:val="ListParagraph"/>
    <w:uiPriority w:val="34"/>
    <w:qFormat/>
    <w:rsid w:val="00A20093"/>
    <w:rPr>
      <w:rFonts w:eastAsia="Times New Roman" w:cstheme="minorHAnsi"/>
      <w:sz w:val="20"/>
      <w:szCs w:val="20"/>
      <w:lang w:val="en-CA"/>
    </w:rPr>
  </w:style>
  <w:style w:type="character" w:customStyle="1" w:styleId="m-6452224808153580728contentpasted1">
    <w:name w:val="m_-6452224808153580728contentpasted1"/>
    <w:basedOn w:val="DefaultParagraphFont"/>
    <w:rsid w:val="00A200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2</Pages>
  <Words>646</Words>
  <Characters>3688</Characters>
  <Application>Microsoft Office Word</Application>
  <DocSecurity>0</DocSecurity>
  <Lines>30</Lines>
  <Paragraphs>8</Paragraphs>
  <ScaleCrop>false</ScaleCrop>
  <Company/>
  <LinksUpToDate>false</LinksUpToDate>
  <CharactersWithSpaces>4326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נועה זיפמן</dc:creator>
  <cp:keywords/>
  <dc:description/>
  <cp:lastModifiedBy>נועה זיפמן</cp:lastModifiedBy>
  <cp:revision>6</cp:revision>
  <dcterms:created xsi:type="dcterms:W3CDTF">2024-01-08T08:37:00Z</dcterms:created>
  <dcterms:modified xsi:type="dcterms:W3CDTF">2024-03-25T11:57:00Z</dcterms:modified>
</cp:coreProperties>
</file>