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DD0" w:rsidRDefault="00685DD0" w:rsidP="00685DD0">
      <w:pPr>
        <w:pStyle w:val="Titulek"/>
        <w:keepNext/>
      </w:pPr>
      <w:r>
        <w:t xml:space="preserve">Table </w:t>
      </w:r>
      <w:r w:rsidR="00C44C20">
        <w:t>3</w:t>
      </w:r>
      <w:bookmarkStart w:id="0" w:name="_GoBack"/>
      <w:bookmarkEnd w:id="0"/>
      <w:r>
        <w:t xml:space="preserve"> Primers used in PCR characterization</w:t>
      </w:r>
    </w:p>
    <w:tbl>
      <w:tblPr>
        <w:tblStyle w:val="Svtlstnovn"/>
        <w:tblW w:w="10139" w:type="dxa"/>
        <w:tblLayout w:type="fixed"/>
        <w:tblLook w:val="06A0" w:firstRow="1" w:lastRow="0" w:firstColumn="1" w:lastColumn="0" w:noHBand="1" w:noVBand="1"/>
      </w:tblPr>
      <w:tblGrid>
        <w:gridCol w:w="1517"/>
        <w:gridCol w:w="3553"/>
        <w:gridCol w:w="992"/>
        <w:gridCol w:w="567"/>
        <w:gridCol w:w="1276"/>
        <w:gridCol w:w="2234"/>
      </w:tblGrid>
      <w:tr w:rsidR="00A44860" w:rsidRPr="007F474A" w:rsidTr="00685D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74A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3553" w:type="dxa"/>
          </w:tcPr>
          <w:p w:rsidR="00A44860" w:rsidRPr="007F474A" w:rsidRDefault="00685DD0" w:rsidP="000C5616">
            <w:pPr>
              <w:spacing w:after="1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Sequ</w:t>
            </w:r>
            <w:r w:rsidR="00A44860" w:rsidRPr="007F474A">
              <w:rPr>
                <w:rFonts w:ascii="Times New Roman" w:hAnsi="Times New Roman" w:cs="Times New Roman"/>
                <w:sz w:val="24"/>
                <w:szCs w:val="24"/>
              </w:rPr>
              <w:t>ence</w:t>
            </w:r>
          </w:p>
        </w:tc>
        <w:tc>
          <w:tcPr>
            <w:tcW w:w="992" w:type="dxa"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F474A">
              <w:rPr>
                <w:rFonts w:ascii="Times New Roman" w:hAnsi="Times New Roman" w:cs="Times New Roman"/>
                <w:iCs/>
                <w:sz w:val="24"/>
                <w:szCs w:val="24"/>
              </w:rPr>
              <w:t>Gen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e</w:t>
            </w:r>
          </w:p>
        </w:tc>
        <w:tc>
          <w:tcPr>
            <w:tcW w:w="567" w:type="dxa"/>
          </w:tcPr>
          <w:p w:rsidR="00A44860" w:rsidRPr="007F474A" w:rsidRDefault="00A44860" w:rsidP="000C5616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44860" w:rsidRPr="007F474A" w:rsidRDefault="00A44860" w:rsidP="000C5616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 (bp)</w:t>
            </w:r>
          </w:p>
        </w:tc>
        <w:tc>
          <w:tcPr>
            <w:tcW w:w="2234" w:type="dxa"/>
          </w:tcPr>
          <w:p w:rsidR="00A44860" w:rsidRPr="007F474A" w:rsidRDefault="00A44860" w:rsidP="000C5616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F474A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474A">
              <w:rPr>
                <w:rFonts w:ascii="Times New Roman" w:hAnsi="Times New Roman" w:cs="Times New Roman"/>
                <w:sz w:val="20"/>
                <w:szCs w:val="20"/>
              </w:rPr>
              <w:t>blaTEM-F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F474A">
              <w:rPr>
                <w:rFonts w:ascii="Times New Roman" w:hAnsi="Times New Roman" w:cs="Times New Roman"/>
                <w:sz w:val="16"/>
                <w:szCs w:val="16"/>
              </w:rPr>
              <w:t>ATT CTT GAA GAC GAA AGG GC</w:t>
            </w:r>
          </w:p>
        </w:tc>
        <w:tc>
          <w:tcPr>
            <w:tcW w:w="992" w:type="dxa"/>
            <w:vMerge w:val="restart"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F474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bla</w:t>
            </w:r>
            <w:r w:rsidRPr="007F474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TEM</w:t>
            </w:r>
          </w:p>
        </w:tc>
        <w:tc>
          <w:tcPr>
            <w:tcW w:w="567" w:type="dxa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474A">
              <w:rPr>
                <w:rFonts w:ascii="Times New Roman" w:hAnsi="Times New Roman" w:cs="Times New Roman"/>
                <w:sz w:val="20"/>
                <w:szCs w:val="20"/>
              </w:rPr>
              <w:t>1150</w:t>
            </w:r>
          </w:p>
        </w:tc>
        <w:tc>
          <w:tcPr>
            <w:tcW w:w="2234" w:type="dxa"/>
            <w:vMerge w:val="restart"/>
            <w:hideMark/>
          </w:tcPr>
          <w:p w:rsidR="00A44860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474A">
              <w:rPr>
                <w:rFonts w:ascii="Times New Roman" w:hAnsi="Times New Roman" w:cs="Times New Roman"/>
                <w:sz w:val="20"/>
                <w:szCs w:val="20"/>
              </w:rPr>
              <w:t>Brinas et al., 2002</w:t>
            </w:r>
          </w:p>
          <w:p w:rsidR="00A44860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4860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Ng et al., 1999</w:t>
            </w: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474A">
              <w:rPr>
                <w:rFonts w:ascii="Times New Roman" w:hAnsi="Times New Roman" w:cs="Times New Roman"/>
                <w:sz w:val="20"/>
                <w:szCs w:val="20"/>
              </w:rPr>
              <w:t>blaTEM-R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F474A">
              <w:rPr>
                <w:rFonts w:ascii="Times New Roman" w:hAnsi="Times New Roman" w:cs="Times New Roman"/>
                <w:sz w:val="16"/>
                <w:szCs w:val="16"/>
              </w:rPr>
              <w:t>ACG CTC AGT GGA ACG AAA AC</w:t>
            </w:r>
          </w:p>
        </w:tc>
        <w:tc>
          <w:tcPr>
            <w:tcW w:w="992" w:type="dxa"/>
            <w:vMerge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67" w:type="dxa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4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474A">
              <w:rPr>
                <w:rFonts w:ascii="Times New Roman" w:hAnsi="Times New Roman" w:cs="Times New Roman"/>
                <w:sz w:val="20"/>
                <w:szCs w:val="20"/>
              </w:rPr>
              <w:t>blaSHV-F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F474A">
              <w:rPr>
                <w:rFonts w:ascii="Times New Roman" w:hAnsi="Times New Roman" w:cs="Times New Roman"/>
                <w:sz w:val="16"/>
                <w:szCs w:val="16"/>
              </w:rPr>
              <w:t>CAC TCA AGG ATG TAT TGT G</w:t>
            </w:r>
          </w:p>
        </w:tc>
        <w:tc>
          <w:tcPr>
            <w:tcW w:w="992" w:type="dxa"/>
            <w:vMerge w:val="restart"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7F474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bla</w:t>
            </w:r>
            <w:r w:rsidRPr="007F474A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SHV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474A">
              <w:rPr>
                <w:rFonts w:ascii="Times New Roman" w:hAnsi="Times New Roman" w:cs="Times New Roman"/>
                <w:sz w:val="20"/>
                <w:szCs w:val="20"/>
              </w:rPr>
              <w:t>885</w:t>
            </w:r>
          </w:p>
        </w:tc>
        <w:tc>
          <w:tcPr>
            <w:tcW w:w="2234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474A">
              <w:rPr>
                <w:rFonts w:ascii="Times New Roman" w:hAnsi="Times New Roman" w:cs="Times New Roman"/>
                <w:sz w:val="20"/>
                <w:szCs w:val="20"/>
              </w:rPr>
              <w:t>blaSHV-R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7F474A">
              <w:rPr>
                <w:rFonts w:ascii="Times New Roman" w:hAnsi="Times New Roman" w:cs="Times New Roman"/>
                <w:sz w:val="16"/>
                <w:szCs w:val="16"/>
              </w:rPr>
              <w:t>TTA GCG TTG CCA GTG CTC G</w:t>
            </w:r>
          </w:p>
        </w:tc>
        <w:tc>
          <w:tcPr>
            <w:tcW w:w="992" w:type="dxa"/>
            <w:vMerge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4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tetA/F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GCT ACA TCC TGC TTG CCT TC</w:t>
            </w:r>
          </w:p>
        </w:tc>
        <w:tc>
          <w:tcPr>
            <w:tcW w:w="992" w:type="dxa"/>
            <w:vMerge w:val="restart"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tetA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210</w:t>
            </w:r>
          </w:p>
        </w:tc>
        <w:tc>
          <w:tcPr>
            <w:tcW w:w="2234" w:type="dxa"/>
            <w:vMerge w:val="restart"/>
            <w:hideMark/>
          </w:tcPr>
          <w:p w:rsidR="00A44860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Ng et al., 1999</w:t>
            </w:r>
          </w:p>
          <w:p w:rsidR="00A44860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  <w:p w:rsidR="00A44860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  <w:p w:rsidR="00A44860" w:rsidRDefault="00A44860" w:rsidP="000C5616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       </w:t>
            </w: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Ng et al., 1999</w:t>
            </w:r>
          </w:p>
          <w:p w:rsidR="00A44860" w:rsidRDefault="00A44860" w:rsidP="000C5616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  <w:p w:rsidR="00A44860" w:rsidRDefault="00A44860" w:rsidP="000C5616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   </w:t>
            </w:r>
          </w:p>
          <w:p w:rsidR="00A44860" w:rsidRPr="007F474A" w:rsidRDefault="00A44860" w:rsidP="000C5616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      </w:t>
            </w: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Ng et al., 1999</w:t>
            </w: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tetA/R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CAT AGA TCG CCG TGA AGA GG</w:t>
            </w:r>
          </w:p>
        </w:tc>
        <w:tc>
          <w:tcPr>
            <w:tcW w:w="992" w:type="dxa"/>
            <w:vMerge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tetB/F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 xml:space="preserve">TTG GTT AGG GGC AAG TTT TG  </w:t>
            </w:r>
          </w:p>
        </w:tc>
        <w:tc>
          <w:tcPr>
            <w:tcW w:w="992" w:type="dxa"/>
            <w:vMerge w:val="restart"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tetB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659</w:t>
            </w:r>
          </w:p>
        </w:tc>
        <w:tc>
          <w:tcPr>
            <w:tcW w:w="2234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tetB/R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GTA ATG GGC CAA TAA CAC CG</w:t>
            </w:r>
          </w:p>
        </w:tc>
        <w:tc>
          <w:tcPr>
            <w:tcW w:w="992" w:type="dxa"/>
            <w:vMerge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tetD/F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AAA CCA TTA CGG CAT TCT GC</w:t>
            </w:r>
          </w:p>
        </w:tc>
        <w:tc>
          <w:tcPr>
            <w:tcW w:w="992" w:type="dxa"/>
            <w:vMerge w:val="restart"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tetD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787</w:t>
            </w:r>
          </w:p>
        </w:tc>
        <w:tc>
          <w:tcPr>
            <w:tcW w:w="2234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tetD/R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GAC CGG ATA CAC CAT CCA TC</w:t>
            </w:r>
          </w:p>
        </w:tc>
        <w:tc>
          <w:tcPr>
            <w:tcW w:w="992" w:type="dxa"/>
            <w:vMerge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sul1/F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CTT CGA TGA GAG CCG GCG GC</w:t>
            </w:r>
          </w:p>
        </w:tc>
        <w:tc>
          <w:tcPr>
            <w:tcW w:w="992" w:type="dxa"/>
            <w:vMerge w:val="restart"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sul1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417</w:t>
            </w:r>
          </w:p>
        </w:tc>
        <w:tc>
          <w:tcPr>
            <w:tcW w:w="2234" w:type="dxa"/>
            <w:vMerge w:val="restart"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Zhao et al., 2001</w:t>
            </w: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sul1/R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GCA AGG CGG AAA CCC GCG CC</w:t>
            </w:r>
          </w:p>
        </w:tc>
        <w:tc>
          <w:tcPr>
            <w:tcW w:w="992" w:type="dxa"/>
            <w:vMerge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sul2/F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AGG GGG CAG ATG TGA TCG AC</w:t>
            </w:r>
          </w:p>
        </w:tc>
        <w:tc>
          <w:tcPr>
            <w:tcW w:w="992" w:type="dxa"/>
            <w:vMerge w:val="restart"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sul2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249</w:t>
            </w:r>
          </w:p>
        </w:tc>
        <w:tc>
          <w:tcPr>
            <w:tcW w:w="2234" w:type="dxa"/>
            <w:vMerge w:val="restart"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Faldynova et al., 2003</w:t>
            </w: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sul2/R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GCA GAT GAT TTC GCC AAT TG</w:t>
            </w:r>
          </w:p>
        </w:tc>
        <w:tc>
          <w:tcPr>
            <w:tcW w:w="992" w:type="dxa"/>
            <w:vMerge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sul3/F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GAG CAA GAT TTT TGG AAT CG</w:t>
            </w:r>
          </w:p>
        </w:tc>
        <w:tc>
          <w:tcPr>
            <w:tcW w:w="992" w:type="dxa"/>
            <w:vMerge w:val="restart"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sul3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789</w:t>
            </w:r>
          </w:p>
        </w:tc>
        <w:tc>
          <w:tcPr>
            <w:tcW w:w="2234" w:type="dxa"/>
            <w:vMerge w:val="restart"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Perreten et al., 2003</w:t>
            </w: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  <w:hideMark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sul3/R</w:t>
            </w:r>
          </w:p>
        </w:tc>
        <w:tc>
          <w:tcPr>
            <w:tcW w:w="3553" w:type="dxa"/>
            <w:hideMark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CAT CTG CAG CTA ACC TAG GGC TTT GGA</w:t>
            </w:r>
          </w:p>
        </w:tc>
        <w:tc>
          <w:tcPr>
            <w:tcW w:w="992" w:type="dxa"/>
            <w:vMerge/>
            <w:hideMark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  <w:hideMark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ompT/F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mallCaps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mallCaps/>
                <w:sz w:val="16"/>
                <w:szCs w:val="16"/>
                <w:lang w:eastAsia="cs-CZ"/>
              </w:rPr>
              <w:t>TTG cta ctg cac tct cag c</w:t>
            </w:r>
          </w:p>
        </w:tc>
        <w:tc>
          <w:tcPr>
            <w:tcW w:w="992" w:type="dxa"/>
            <w:vMerge w:val="restart"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ompT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610</w:t>
            </w:r>
          </w:p>
        </w:tc>
        <w:tc>
          <w:tcPr>
            <w:tcW w:w="2234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Bethe et al, 2012</w:t>
            </w: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ompT/R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CGA CAG ATA CTC TGG GTA ACA</w:t>
            </w:r>
          </w:p>
        </w:tc>
        <w:tc>
          <w:tcPr>
            <w:tcW w:w="992" w:type="dxa"/>
            <w:vMerge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iroN/F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ATC CTC TGG TCG CTA ACT G</w:t>
            </w:r>
          </w:p>
        </w:tc>
        <w:tc>
          <w:tcPr>
            <w:tcW w:w="992" w:type="dxa"/>
            <w:vMerge w:val="restart"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iroN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847</w:t>
            </w:r>
          </w:p>
        </w:tc>
        <w:tc>
          <w:tcPr>
            <w:tcW w:w="2234" w:type="dxa"/>
            <w:vMerge w:val="restart"/>
          </w:tcPr>
          <w:p w:rsidR="00A44860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Ewers et al., 2007</w:t>
            </w:r>
          </w:p>
          <w:p w:rsidR="00A44860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  <w:p w:rsidR="00A44860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  <w:p w:rsidR="00A44860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Ewers et al., 2007</w:t>
            </w:r>
          </w:p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iroN/R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CTG CAC TGG AAG AAC TGT TCT</w:t>
            </w:r>
          </w:p>
        </w:tc>
        <w:tc>
          <w:tcPr>
            <w:tcW w:w="992" w:type="dxa"/>
            <w:vMerge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iss/F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ATC ACA TAG GAT TCT GCC G</w:t>
            </w:r>
          </w:p>
        </w:tc>
        <w:tc>
          <w:tcPr>
            <w:tcW w:w="992" w:type="dxa"/>
            <w:vMerge w:val="restart"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iss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309</w:t>
            </w:r>
          </w:p>
        </w:tc>
        <w:tc>
          <w:tcPr>
            <w:tcW w:w="2234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iss/R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CAG CGG AGT ATA GAT GCC A</w:t>
            </w:r>
          </w:p>
        </w:tc>
        <w:tc>
          <w:tcPr>
            <w:tcW w:w="992" w:type="dxa"/>
            <w:vMerge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cvaC/F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CAC ACA CAA ACG GGA GCT GTT</w:t>
            </w:r>
          </w:p>
        </w:tc>
        <w:tc>
          <w:tcPr>
            <w:tcW w:w="992" w:type="dxa"/>
            <w:vMerge w:val="restart"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cvaC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679</w:t>
            </w:r>
          </w:p>
        </w:tc>
        <w:tc>
          <w:tcPr>
            <w:tcW w:w="2234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Dissanayake et al., 2008</w:t>
            </w: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cvaC/R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CTT CCC GCA GCA TAG TTC CAT</w:t>
            </w:r>
          </w:p>
        </w:tc>
        <w:tc>
          <w:tcPr>
            <w:tcW w:w="992" w:type="dxa"/>
            <w:vMerge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tsh/F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GGT GGT GCA CTG GAG TGG</w:t>
            </w:r>
          </w:p>
        </w:tc>
        <w:tc>
          <w:tcPr>
            <w:tcW w:w="992" w:type="dxa"/>
            <w:vMerge w:val="restart"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tsh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620</w:t>
            </w:r>
          </w:p>
        </w:tc>
        <w:tc>
          <w:tcPr>
            <w:tcW w:w="2234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Moulin-Schouler et al., 2007</w:t>
            </w: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tsh/R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AGT CCA GCG TGA TAG TGG</w:t>
            </w:r>
          </w:p>
        </w:tc>
        <w:tc>
          <w:tcPr>
            <w:tcW w:w="992" w:type="dxa"/>
            <w:vMerge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iutA/F 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GGC TGG ACA TCA TGG GAA CTG G</w:t>
            </w:r>
          </w:p>
        </w:tc>
        <w:tc>
          <w:tcPr>
            <w:tcW w:w="992" w:type="dxa"/>
            <w:vMerge w:val="restart"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iutA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300</w:t>
            </w:r>
          </w:p>
        </w:tc>
        <w:tc>
          <w:tcPr>
            <w:tcW w:w="2234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Johnson et Stell, 2000</w:t>
            </w: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iutA/R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CGT CGG GAA CGG GTA GAA TCG</w:t>
            </w:r>
          </w:p>
        </w:tc>
        <w:tc>
          <w:tcPr>
            <w:tcW w:w="992" w:type="dxa"/>
            <w:vMerge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frz/F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TCA GTA AGA ACG AAA GTG TG</w:t>
            </w:r>
          </w:p>
        </w:tc>
        <w:tc>
          <w:tcPr>
            <w:tcW w:w="992" w:type="dxa"/>
            <w:vMerge w:val="restart"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frz</w:t>
            </w: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vertAlign w:val="subscript"/>
                <w:lang w:eastAsia="cs-CZ"/>
              </w:rPr>
              <w:t>orf4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565</w:t>
            </w:r>
          </w:p>
        </w:tc>
        <w:tc>
          <w:tcPr>
            <w:tcW w:w="2234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Dissanayake et al., 2014</w:t>
            </w: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frz/R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ACA GGA ACA ATC CCG TGG AT</w:t>
            </w:r>
          </w:p>
        </w:tc>
        <w:tc>
          <w:tcPr>
            <w:tcW w:w="992" w:type="dxa"/>
            <w:vMerge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 xml:space="preserve">felA/F 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GGT CAA SCA GCT AAA AAC GGT AAG G</w:t>
            </w:r>
          </w:p>
        </w:tc>
        <w:tc>
          <w:tcPr>
            <w:tcW w:w="992" w:type="dxa"/>
            <w:vMerge w:val="restart"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felA</w:t>
            </w:r>
          </w:p>
        </w:tc>
        <w:tc>
          <w:tcPr>
            <w:tcW w:w="567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239</w:t>
            </w:r>
          </w:p>
        </w:tc>
        <w:tc>
          <w:tcPr>
            <w:tcW w:w="2234" w:type="dxa"/>
            <w:vMerge w:val="restart"/>
          </w:tcPr>
          <w:p w:rsidR="00A44860" w:rsidRPr="007F474A" w:rsidRDefault="00A44860" w:rsidP="000C561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Moulin-Schouler et al., 2006</w:t>
            </w:r>
          </w:p>
        </w:tc>
      </w:tr>
      <w:tr w:rsidR="00A44860" w:rsidRPr="007F474A" w:rsidTr="00685DD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7" w:type="dxa"/>
          </w:tcPr>
          <w:p w:rsidR="00A44860" w:rsidRPr="007F474A" w:rsidRDefault="00A44860" w:rsidP="000C5616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  <w:t>felA/R</w:t>
            </w:r>
          </w:p>
        </w:tc>
        <w:tc>
          <w:tcPr>
            <w:tcW w:w="3553" w:type="dxa"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</w:pPr>
            <w:r w:rsidRPr="007F474A">
              <w:rPr>
                <w:rFonts w:ascii="Times New Roman" w:eastAsia="Times New Roman" w:hAnsi="Times New Roman" w:cs="Times New Roman"/>
                <w:sz w:val="16"/>
                <w:szCs w:val="16"/>
                <w:lang w:eastAsia="cs-CZ"/>
              </w:rPr>
              <w:t>CCT TCA GAA ACA GTA CCG CAA TTC G</w:t>
            </w:r>
          </w:p>
        </w:tc>
        <w:tc>
          <w:tcPr>
            <w:tcW w:w="992" w:type="dxa"/>
            <w:vMerge/>
          </w:tcPr>
          <w:p w:rsidR="00A44860" w:rsidRPr="007F474A" w:rsidRDefault="00A44860" w:rsidP="00685DD0">
            <w:pPr>
              <w:tabs>
                <w:tab w:val="left" w:pos="443"/>
              </w:tabs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vMerge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vMerge/>
          </w:tcPr>
          <w:p w:rsidR="00A44860" w:rsidRPr="007F474A" w:rsidRDefault="00A44860" w:rsidP="000C5616">
            <w:pPr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2234" w:type="dxa"/>
            <w:vMerge/>
          </w:tcPr>
          <w:p w:rsidR="00A44860" w:rsidRPr="007F474A" w:rsidRDefault="00A44860" w:rsidP="00685DD0">
            <w:pPr>
              <w:keepNext/>
              <w:spacing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</w:tbl>
    <w:p w:rsidR="00F35013" w:rsidRDefault="00685DD0" w:rsidP="00685DD0">
      <w:pPr>
        <w:pStyle w:val="Titulek"/>
      </w:pPr>
      <w:r>
        <w:br/>
      </w:r>
      <w:r>
        <w:br/>
      </w:r>
    </w:p>
    <w:p w:rsidR="00A44860" w:rsidRPr="00685DD0" w:rsidRDefault="00A44860">
      <w:pPr>
        <w:rPr>
          <w:rFonts w:ascii="Times New Roman" w:hAnsi="Times New Roman" w:cs="Times New Roman"/>
        </w:rPr>
      </w:pPr>
      <w:r w:rsidRPr="00685DD0">
        <w:rPr>
          <w:rFonts w:ascii="Times New Roman" w:hAnsi="Times New Roman" w:cs="Times New Roman"/>
        </w:rPr>
        <w:lastRenderedPageBreak/>
        <w:t>References</w:t>
      </w:r>
    </w:p>
    <w:p w:rsidR="00F97783" w:rsidRPr="00F97783" w:rsidRDefault="00F97783" w:rsidP="00F97783">
      <w:pPr>
        <w:widowControl w:val="0"/>
        <w:autoSpaceDE w:val="0"/>
        <w:autoSpaceDN w:val="0"/>
        <w:adjustRightInd w:val="0"/>
        <w:spacing w:after="12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F97783">
        <w:rPr>
          <w:rFonts w:ascii="Times New Roman" w:hAnsi="Times New Roman" w:cs="Times New Roman"/>
          <w:sz w:val="24"/>
          <w:szCs w:val="24"/>
        </w:rPr>
        <w:t xml:space="preserve">Briñas, L., Zarazaga, M., Sáenz, Y., Ruiz-Larrea, F., Torres, C., 2002. β-Lactamases in Ampicillin-Resistant </w:t>
      </w:r>
      <w:r w:rsidRPr="00F97783">
        <w:rPr>
          <w:rFonts w:ascii="Times New Roman" w:hAnsi="Times New Roman" w:cs="Times New Roman"/>
          <w:i/>
          <w:sz w:val="24"/>
          <w:szCs w:val="24"/>
        </w:rPr>
        <w:t>Escherichia</w:t>
      </w:r>
      <w:r w:rsidRPr="00F97783">
        <w:rPr>
          <w:rFonts w:ascii="Times New Roman" w:hAnsi="Times New Roman" w:cs="Times New Roman"/>
          <w:sz w:val="24"/>
          <w:szCs w:val="24"/>
        </w:rPr>
        <w:t xml:space="preserve"> </w:t>
      </w:r>
      <w:r w:rsidRPr="00F97783">
        <w:rPr>
          <w:rFonts w:ascii="Times New Roman" w:hAnsi="Times New Roman" w:cs="Times New Roman"/>
          <w:i/>
          <w:sz w:val="24"/>
          <w:szCs w:val="24"/>
        </w:rPr>
        <w:t>coli</w:t>
      </w:r>
      <w:r w:rsidRPr="00F97783">
        <w:rPr>
          <w:rFonts w:ascii="Times New Roman" w:hAnsi="Times New Roman" w:cs="Times New Roman"/>
          <w:sz w:val="24"/>
          <w:szCs w:val="24"/>
        </w:rPr>
        <w:t xml:space="preserve"> Isolates from Foods, Humans, and Healthy Animals. Antimicrobial Agents and Chemotherapy 46, 3156–3163.</w:t>
      </w:r>
    </w:p>
    <w:p w:rsidR="00F2127D" w:rsidRPr="00F2127D" w:rsidRDefault="00F2127D" w:rsidP="00F2127D">
      <w:pPr>
        <w:widowControl w:val="0"/>
        <w:autoSpaceDE w:val="0"/>
        <w:autoSpaceDN w:val="0"/>
        <w:adjustRightInd w:val="0"/>
        <w:spacing w:after="12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F2127D">
        <w:rPr>
          <w:rFonts w:ascii="Times New Roman" w:hAnsi="Times New Roman" w:cs="Times New Roman"/>
          <w:sz w:val="24"/>
          <w:szCs w:val="24"/>
        </w:rPr>
        <w:t>Bethe, A., Janβen, T., Ewers, C., Oelgeschl</w:t>
      </w:r>
      <w:r w:rsidRPr="00F2127D">
        <w:rPr>
          <w:rFonts w:ascii="Calibri" w:hAnsi="Calibri" w:cs="Times New Roman"/>
          <w:sz w:val="24"/>
          <w:szCs w:val="24"/>
        </w:rPr>
        <w:t>ä</w:t>
      </w:r>
      <w:r w:rsidRPr="00F2127D">
        <w:rPr>
          <w:rFonts w:ascii="Times New Roman" w:hAnsi="Times New Roman" w:cs="Times New Roman"/>
          <w:sz w:val="24"/>
          <w:szCs w:val="24"/>
        </w:rPr>
        <w:t xml:space="preserve">ger, K., Krinke, P., Kűhl, M. 2012. Multiplex PCR I-IX. Institut fűr Mikrobiologie und Tierseuchen, FU Berlin, 16 p.  </w:t>
      </w:r>
    </w:p>
    <w:p w:rsidR="00F2127D" w:rsidRPr="00F2127D" w:rsidRDefault="00F2127D" w:rsidP="00F2127D">
      <w:pPr>
        <w:widowControl w:val="0"/>
        <w:autoSpaceDE w:val="0"/>
        <w:autoSpaceDN w:val="0"/>
        <w:adjustRightInd w:val="0"/>
        <w:spacing w:after="12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F2127D">
        <w:rPr>
          <w:rFonts w:ascii="Times New Roman" w:hAnsi="Times New Roman" w:cs="Times New Roman"/>
          <w:sz w:val="24"/>
          <w:szCs w:val="24"/>
        </w:rPr>
        <w:t xml:space="preserve">Dissanayake, D.R.A., Octavia, S., Lan, R., 2014. Population structure and virulence content of avian pathogenic </w:t>
      </w:r>
      <w:r w:rsidRPr="00F2127D">
        <w:rPr>
          <w:rFonts w:ascii="Times New Roman" w:hAnsi="Times New Roman" w:cs="Times New Roman"/>
          <w:i/>
          <w:sz w:val="24"/>
          <w:szCs w:val="24"/>
        </w:rPr>
        <w:t>Escherichia coli</w:t>
      </w:r>
      <w:r w:rsidRPr="00F2127D">
        <w:rPr>
          <w:rFonts w:ascii="Times New Roman" w:hAnsi="Times New Roman" w:cs="Times New Roman"/>
          <w:sz w:val="24"/>
          <w:szCs w:val="24"/>
        </w:rPr>
        <w:t xml:space="preserve"> isolated from outbreaks in Sri Lanka. Veterinary Microbiology 168, 403–412.</w:t>
      </w:r>
    </w:p>
    <w:p w:rsidR="00E005DA" w:rsidRPr="00E005DA" w:rsidRDefault="00E005DA" w:rsidP="00E005DA">
      <w:pPr>
        <w:widowControl w:val="0"/>
        <w:autoSpaceDE w:val="0"/>
        <w:autoSpaceDN w:val="0"/>
        <w:adjustRightInd w:val="0"/>
        <w:spacing w:after="12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005DA">
        <w:rPr>
          <w:rFonts w:ascii="Times New Roman" w:hAnsi="Times New Roman" w:cs="Times New Roman"/>
          <w:sz w:val="24"/>
          <w:szCs w:val="24"/>
        </w:rPr>
        <w:t xml:space="preserve">Ewers, C., Li, G., Wilking, H., Kieβling, S., Alt, K., Antáo, E.-M., Laturnus, C., Diehl, I., Glodde, S., Homeier, T., Böhnke, U., Steinrück, H., Philipp, H.-C., Wieler, L.H., 2007. Avian pathogenic, uropathogenic, and newborn meningitis-causing </w:t>
      </w:r>
      <w:r w:rsidRPr="00E005DA">
        <w:rPr>
          <w:rFonts w:ascii="Times New Roman" w:hAnsi="Times New Roman" w:cs="Times New Roman"/>
          <w:i/>
          <w:sz w:val="24"/>
          <w:szCs w:val="24"/>
        </w:rPr>
        <w:t>Escherichia</w:t>
      </w:r>
      <w:r w:rsidRPr="00E005DA">
        <w:rPr>
          <w:rFonts w:ascii="Times New Roman" w:hAnsi="Times New Roman" w:cs="Times New Roman"/>
          <w:sz w:val="24"/>
          <w:szCs w:val="24"/>
        </w:rPr>
        <w:t xml:space="preserve"> </w:t>
      </w:r>
      <w:r w:rsidRPr="00E005DA">
        <w:rPr>
          <w:rFonts w:ascii="Times New Roman" w:hAnsi="Times New Roman" w:cs="Times New Roman"/>
          <w:i/>
          <w:sz w:val="24"/>
          <w:szCs w:val="24"/>
        </w:rPr>
        <w:t>coli</w:t>
      </w:r>
      <w:r w:rsidRPr="00E005DA">
        <w:rPr>
          <w:rFonts w:ascii="Times New Roman" w:hAnsi="Times New Roman" w:cs="Times New Roman"/>
          <w:sz w:val="24"/>
          <w:szCs w:val="24"/>
        </w:rPr>
        <w:t xml:space="preserve">: How closely related are they? International Journal of Medical Microbiology 297, 163–176. </w:t>
      </w:r>
    </w:p>
    <w:p w:rsidR="00E005DA" w:rsidRPr="00E005DA" w:rsidRDefault="00E005DA" w:rsidP="00E005DA">
      <w:pPr>
        <w:widowControl w:val="0"/>
        <w:autoSpaceDE w:val="0"/>
        <w:autoSpaceDN w:val="0"/>
        <w:adjustRightInd w:val="0"/>
        <w:spacing w:after="12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E005DA">
        <w:rPr>
          <w:rFonts w:ascii="Times New Roman" w:hAnsi="Times New Roman" w:cs="Times New Roman"/>
          <w:sz w:val="24"/>
          <w:szCs w:val="24"/>
        </w:rPr>
        <w:t xml:space="preserve">Faldynova, M., Pravcova, M., Sisak, F., Havlickova, H., Kolackova, I., Cizek, A., Karpiskova, R., Rychlik, I., 2003. Evolution of Antibiotic Resistance in </w:t>
      </w:r>
      <w:r w:rsidRPr="00E005DA">
        <w:rPr>
          <w:rFonts w:ascii="Times New Roman" w:hAnsi="Times New Roman" w:cs="Times New Roman"/>
          <w:i/>
          <w:sz w:val="24"/>
          <w:szCs w:val="24"/>
        </w:rPr>
        <w:t>Salmonella enterica</w:t>
      </w:r>
      <w:r w:rsidRPr="00E005DA">
        <w:rPr>
          <w:rFonts w:ascii="Times New Roman" w:hAnsi="Times New Roman" w:cs="Times New Roman"/>
          <w:sz w:val="24"/>
          <w:szCs w:val="24"/>
        </w:rPr>
        <w:t xml:space="preserve"> Serovar Typhimurium Strains Isolated in the Czech Republic between 1984 and 2002. Antimicrobial Agents and Chemotherapy 47, 2002–2005.</w:t>
      </w:r>
    </w:p>
    <w:p w:rsidR="00783A67" w:rsidRPr="00783A67" w:rsidRDefault="00783A67" w:rsidP="00783A67">
      <w:pPr>
        <w:widowControl w:val="0"/>
        <w:autoSpaceDE w:val="0"/>
        <w:autoSpaceDN w:val="0"/>
        <w:adjustRightInd w:val="0"/>
        <w:spacing w:after="12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83A67">
        <w:rPr>
          <w:rFonts w:ascii="Times New Roman" w:hAnsi="Times New Roman" w:cs="Times New Roman"/>
          <w:sz w:val="24"/>
          <w:szCs w:val="24"/>
        </w:rPr>
        <w:t xml:space="preserve">Johnson, J.R., Stell, A.L., 2000. Extended Virulence Genotypes of </w:t>
      </w:r>
      <w:r w:rsidRPr="00783A67">
        <w:rPr>
          <w:rFonts w:ascii="Times New Roman" w:hAnsi="Times New Roman" w:cs="Times New Roman"/>
          <w:i/>
          <w:sz w:val="24"/>
          <w:szCs w:val="24"/>
        </w:rPr>
        <w:t>Escherichia coli</w:t>
      </w:r>
      <w:r w:rsidRPr="00783A67">
        <w:rPr>
          <w:rFonts w:ascii="Times New Roman" w:hAnsi="Times New Roman" w:cs="Times New Roman"/>
          <w:sz w:val="24"/>
          <w:szCs w:val="24"/>
        </w:rPr>
        <w:t xml:space="preserve"> Strains from Patients with Urosepsis in Relation to Phylogeny and Host Compromise. The Journal of Infectious Diseases 181, 261–272</w:t>
      </w:r>
    </w:p>
    <w:p w:rsidR="004E3F8E" w:rsidRPr="004E3F8E" w:rsidRDefault="004E3F8E" w:rsidP="004E3F8E">
      <w:pPr>
        <w:widowControl w:val="0"/>
        <w:autoSpaceDE w:val="0"/>
        <w:autoSpaceDN w:val="0"/>
        <w:adjustRightInd w:val="0"/>
        <w:spacing w:after="12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4E3F8E">
        <w:rPr>
          <w:rFonts w:ascii="Times New Roman" w:hAnsi="Times New Roman" w:cs="Times New Roman"/>
          <w:sz w:val="24"/>
          <w:szCs w:val="24"/>
        </w:rPr>
        <w:t xml:space="preserve">Moulin-Schouleur, M., Schouler, C., Tailliez, P., Kao, M.-R., Brée, A., Germon, P., Oswald, E., Mainil, J., Blanco, M., Blanco, J., 2006. Common Virulence Factors and Genetic Relationships between O18:K1:H7 </w:t>
      </w:r>
      <w:r w:rsidRPr="004E3F8E">
        <w:rPr>
          <w:rFonts w:ascii="Times New Roman" w:hAnsi="Times New Roman" w:cs="Times New Roman"/>
          <w:i/>
          <w:sz w:val="24"/>
          <w:szCs w:val="24"/>
        </w:rPr>
        <w:t>Escherichia coli</w:t>
      </w:r>
      <w:r w:rsidRPr="004E3F8E">
        <w:rPr>
          <w:rFonts w:ascii="Times New Roman" w:hAnsi="Times New Roman" w:cs="Times New Roman"/>
          <w:sz w:val="24"/>
          <w:szCs w:val="24"/>
        </w:rPr>
        <w:t xml:space="preserve"> Isolates of Human and Avian Origin. Journal of Clinical Microbiology 44, 3484–3492.</w:t>
      </w:r>
    </w:p>
    <w:p w:rsidR="004E3F8E" w:rsidRPr="004E3F8E" w:rsidRDefault="004E3F8E" w:rsidP="004E3F8E">
      <w:pPr>
        <w:widowControl w:val="0"/>
        <w:autoSpaceDE w:val="0"/>
        <w:autoSpaceDN w:val="0"/>
        <w:adjustRightInd w:val="0"/>
        <w:spacing w:after="12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4E3F8E">
        <w:rPr>
          <w:rFonts w:ascii="Times New Roman" w:hAnsi="Times New Roman" w:cs="Times New Roman"/>
          <w:sz w:val="24"/>
          <w:szCs w:val="24"/>
        </w:rPr>
        <w:t>Ng, L.-K., Mulvey, M.R., Martin, I., Peters, G.A., Johnson, W., 1999. Genetic Characterization of Antimicrobial Resistance in Canadian Isolates of Salmonella Serovar Typhimurium DT104. Antimicrobial Agents and Chemotherapy 43, 3018–3021.</w:t>
      </w:r>
    </w:p>
    <w:p w:rsidR="00663CAD" w:rsidRPr="00663CAD" w:rsidRDefault="00663CAD" w:rsidP="00663CAD">
      <w:pPr>
        <w:widowControl w:val="0"/>
        <w:autoSpaceDE w:val="0"/>
        <w:autoSpaceDN w:val="0"/>
        <w:adjustRightInd w:val="0"/>
        <w:spacing w:after="12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663CAD">
        <w:rPr>
          <w:rFonts w:ascii="Times New Roman" w:hAnsi="Times New Roman" w:cs="Times New Roman"/>
          <w:sz w:val="24"/>
          <w:szCs w:val="24"/>
        </w:rPr>
        <w:t>Perreten, V., Boerlin, P., 2003. A New Sulfonamide Resistance Gene (</w:t>
      </w:r>
      <w:r w:rsidRPr="00663CAD">
        <w:rPr>
          <w:rFonts w:ascii="Times New Roman" w:hAnsi="Times New Roman" w:cs="Times New Roman"/>
          <w:i/>
          <w:sz w:val="24"/>
          <w:szCs w:val="24"/>
        </w:rPr>
        <w:t>sul3</w:t>
      </w:r>
      <w:r w:rsidRPr="00663CAD">
        <w:rPr>
          <w:rFonts w:ascii="Times New Roman" w:hAnsi="Times New Roman" w:cs="Times New Roman"/>
          <w:sz w:val="24"/>
          <w:szCs w:val="24"/>
        </w:rPr>
        <w:t xml:space="preserve">) in </w:t>
      </w:r>
      <w:r w:rsidRPr="00663CAD">
        <w:rPr>
          <w:rFonts w:ascii="Times New Roman" w:hAnsi="Times New Roman" w:cs="Times New Roman"/>
          <w:i/>
          <w:sz w:val="24"/>
          <w:szCs w:val="24"/>
        </w:rPr>
        <w:t>Escherichia</w:t>
      </w:r>
      <w:r w:rsidRPr="00663CAD">
        <w:rPr>
          <w:rFonts w:ascii="Times New Roman" w:hAnsi="Times New Roman" w:cs="Times New Roman"/>
          <w:sz w:val="24"/>
          <w:szCs w:val="24"/>
        </w:rPr>
        <w:t xml:space="preserve"> </w:t>
      </w:r>
      <w:r w:rsidRPr="00663CAD">
        <w:rPr>
          <w:rFonts w:ascii="Times New Roman" w:hAnsi="Times New Roman" w:cs="Times New Roman"/>
          <w:i/>
          <w:sz w:val="24"/>
          <w:szCs w:val="24"/>
        </w:rPr>
        <w:t>coli</w:t>
      </w:r>
      <w:r w:rsidRPr="00663CAD">
        <w:rPr>
          <w:rFonts w:ascii="Times New Roman" w:hAnsi="Times New Roman" w:cs="Times New Roman"/>
          <w:sz w:val="24"/>
          <w:szCs w:val="24"/>
        </w:rPr>
        <w:t xml:space="preserve"> Is Widespread in the Pig Population of Switzerland. Antimicrobial Agents and Chemotherapy 47, 1169–1172.</w:t>
      </w:r>
    </w:p>
    <w:p w:rsidR="00840D74" w:rsidRPr="00840D74" w:rsidRDefault="00840D74" w:rsidP="00840D74">
      <w:pPr>
        <w:widowControl w:val="0"/>
        <w:autoSpaceDE w:val="0"/>
        <w:autoSpaceDN w:val="0"/>
        <w:adjustRightInd w:val="0"/>
        <w:spacing w:after="120" w:line="24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840D74">
        <w:rPr>
          <w:rFonts w:ascii="Times New Roman" w:hAnsi="Times New Roman" w:cs="Times New Roman"/>
          <w:sz w:val="24"/>
          <w:szCs w:val="24"/>
        </w:rPr>
        <w:t xml:space="preserve">Zhao, S., White, D.G., Ge, B., Ayers, S., Friedman, S., English, L., Wagner, D., Gaines, S., Meng, J., 2001. Identification and Characterization of Integron-Mediated Antibiotic Resistance among Shiga Toxin-Producing </w:t>
      </w:r>
      <w:r w:rsidRPr="00840D74">
        <w:rPr>
          <w:rFonts w:ascii="Times New Roman" w:hAnsi="Times New Roman" w:cs="Times New Roman"/>
          <w:i/>
          <w:sz w:val="24"/>
          <w:szCs w:val="24"/>
        </w:rPr>
        <w:t>Escherichia coli</w:t>
      </w:r>
      <w:r w:rsidRPr="00840D74">
        <w:rPr>
          <w:rFonts w:ascii="Times New Roman" w:hAnsi="Times New Roman" w:cs="Times New Roman"/>
          <w:sz w:val="24"/>
          <w:szCs w:val="24"/>
        </w:rPr>
        <w:t xml:space="preserve"> Isolates. Applied and Environmental Microbiology 67, 1558–1564.</w:t>
      </w:r>
    </w:p>
    <w:p w:rsidR="00A44860" w:rsidRDefault="00A44860"/>
    <w:sectPr w:rsidR="00A448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FA8"/>
    <w:rsid w:val="00406FA8"/>
    <w:rsid w:val="004E3F8E"/>
    <w:rsid w:val="00663CAD"/>
    <w:rsid w:val="00685DD0"/>
    <w:rsid w:val="00783A67"/>
    <w:rsid w:val="007C610E"/>
    <w:rsid w:val="00840D74"/>
    <w:rsid w:val="00A44860"/>
    <w:rsid w:val="00B27FF4"/>
    <w:rsid w:val="00C44C20"/>
    <w:rsid w:val="00E005DA"/>
    <w:rsid w:val="00F2127D"/>
    <w:rsid w:val="00F97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7A98F"/>
  <w15:docId w15:val="{7F762172-AC00-4229-8B8F-EAB4DFF6C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4486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Svtlstnovn">
    <w:name w:val="Light Shading"/>
    <w:basedOn w:val="Normlntabulka"/>
    <w:uiPriority w:val="60"/>
    <w:rsid w:val="00A4486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itulek">
    <w:name w:val="caption"/>
    <w:basedOn w:val="Normln"/>
    <w:next w:val="Normln"/>
    <w:uiPriority w:val="35"/>
    <w:unhideWhenUsed/>
    <w:qFormat/>
    <w:rsid w:val="00685DD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632</Words>
  <Characters>3730</Characters>
  <Application>Microsoft Office Word</Application>
  <DocSecurity>0</DocSecurity>
  <Lines>31</Lines>
  <Paragraphs>8</Paragraphs>
  <ScaleCrop>false</ScaleCrop>
  <Company>HP</Company>
  <LinksUpToDate>false</LinksUpToDate>
  <CharactersWithSpaces>4354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V18168</cp:lastModifiedBy>
  <cp:revision>11</cp:revision>
  <dcterms:created xsi:type="dcterms:W3CDTF">2019-05-24T12:00:00Z</dcterms:created>
  <dcterms:modified xsi:type="dcterms:W3CDTF">2019-08-14T08:40:00Z</dcterms:modified>
</cp:coreProperties>
</file>