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B6893E" w14:textId="77777777" w:rsidR="00FE2F6D" w:rsidRPr="00CC3778" w:rsidRDefault="00FE2F6D">
      <w:pPr>
        <w:spacing w:after="160" w:line="259" w:lineRule="auto"/>
        <w:rPr>
          <w:lang w:eastAsia="ko-KR"/>
        </w:rPr>
      </w:pPr>
      <w:bookmarkStart w:id="0" w:name="Table1"/>
      <w:r w:rsidRPr="00CC3778">
        <w:rPr>
          <w:rFonts w:hint="eastAsia"/>
          <w:lang w:eastAsia="ko-KR"/>
        </w:rPr>
        <w:t xml:space="preserve">Supplementary Information for: </w:t>
      </w:r>
    </w:p>
    <w:p w14:paraId="6F7F3A2A" w14:textId="4E3720F4" w:rsidR="00FE2F6D" w:rsidRDefault="00FE2F6D" w:rsidP="6677930E">
      <w:pPr>
        <w:jc w:val="center"/>
        <w:rPr>
          <w:b/>
          <w:bCs/>
        </w:rPr>
      </w:pPr>
      <w:r w:rsidRPr="6677930E">
        <w:rPr>
          <w:b/>
          <w:bCs/>
        </w:rPr>
        <w:t>The overlapping global distribution of dengue, chikungunya, Zika and yellow fever</w:t>
      </w:r>
    </w:p>
    <w:sdt>
      <w:sdtPr>
        <w:rPr>
          <w:rFonts w:asciiTheme="minorHAnsi" w:eastAsia="Batang" w:hAnsiTheme="minorHAnsi" w:cstheme="minorBidi"/>
          <w:color w:val="auto"/>
          <w:kern w:val="2"/>
          <w:sz w:val="24"/>
          <w:szCs w:val="24"/>
          <w:lang w:val="en-GB"/>
          <w14:ligatures w14:val="standardContextual"/>
        </w:rPr>
        <w:id w:val="-1054936958"/>
        <w:docPartObj>
          <w:docPartGallery w:val="Table of Contents"/>
          <w:docPartUnique/>
        </w:docPartObj>
      </w:sdtPr>
      <w:sdtEndPr>
        <w:rPr>
          <w:b/>
          <w:bCs/>
          <w:noProof/>
        </w:rPr>
      </w:sdtEndPr>
      <w:sdtContent>
        <w:p w14:paraId="258D5A7D" w14:textId="0419EAEB" w:rsidR="002872E0" w:rsidRPr="00CC3778" w:rsidRDefault="002872E0">
          <w:pPr>
            <w:pStyle w:val="TOCHeading"/>
            <w:rPr>
              <w:sz w:val="24"/>
              <w:szCs w:val="24"/>
            </w:rPr>
          </w:pPr>
          <w:r w:rsidRPr="00CC3778">
            <w:rPr>
              <w:sz w:val="24"/>
              <w:szCs w:val="24"/>
            </w:rPr>
            <w:t>Contents</w:t>
          </w:r>
        </w:p>
        <w:p w14:paraId="362DF10B" w14:textId="47A7C5DC" w:rsidR="00533748" w:rsidRPr="00533748" w:rsidRDefault="002872E0">
          <w:pPr>
            <w:pStyle w:val="TOC2"/>
            <w:tabs>
              <w:tab w:val="right" w:leader="dot" w:pos="9628"/>
            </w:tabs>
            <w:rPr>
              <w:rFonts w:eastAsiaTheme="minorEastAsia"/>
              <w:noProof/>
              <w:sz w:val="20"/>
              <w:szCs w:val="20"/>
              <w:lang w:eastAsia="ko-KR"/>
            </w:rPr>
          </w:pPr>
          <w:r w:rsidRPr="00CC3778">
            <w:rPr>
              <w:sz w:val="20"/>
              <w:szCs w:val="20"/>
            </w:rPr>
            <w:fldChar w:fldCharType="begin"/>
          </w:r>
          <w:r w:rsidRPr="00CC3778">
            <w:rPr>
              <w:sz w:val="20"/>
              <w:szCs w:val="20"/>
            </w:rPr>
            <w:instrText xml:space="preserve"> TOC \o "1-3" \h \z \u </w:instrText>
          </w:r>
          <w:r w:rsidRPr="00CC3778">
            <w:rPr>
              <w:sz w:val="20"/>
              <w:szCs w:val="20"/>
            </w:rPr>
            <w:fldChar w:fldCharType="separate"/>
          </w:r>
          <w:hyperlink w:anchor="_Toc168329356" w:history="1">
            <w:r w:rsidR="00533748" w:rsidRPr="00533748">
              <w:rPr>
                <w:rStyle w:val="Hyperlink"/>
                <w:noProof/>
                <w:sz w:val="20"/>
                <w:szCs w:val="20"/>
                <w:lang w:eastAsia="ko-KR"/>
              </w:rPr>
              <w:t>Supplementary Table 1. Data sources and the number of occurrence data extracted from each source</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_Toc168329356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2</w:t>
            </w:r>
            <w:r w:rsidR="00533748" w:rsidRPr="00533748">
              <w:rPr>
                <w:noProof/>
                <w:webHidden/>
                <w:sz w:val="20"/>
                <w:szCs w:val="20"/>
              </w:rPr>
              <w:fldChar w:fldCharType="end"/>
            </w:r>
          </w:hyperlink>
        </w:p>
        <w:p w14:paraId="1B851169" w14:textId="7DB2C223" w:rsidR="00533748" w:rsidRPr="00533748" w:rsidRDefault="00000000">
          <w:pPr>
            <w:pStyle w:val="TOC2"/>
            <w:tabs>
              <w:tab w:val="right" w:leader="dot" w:pos="9628"/>
            </w:tabs>
            <w:rPr>
              <w:rFonts w:eastAsiaTheme="minorEastAsia"/>
              <w:noProof/>
              <w:sz w:val="20"/>
              <w:szCs w:val="20"/>
              <w:lang w:eastAsia="ko-KR"/>
            </w:rPr>
          </w:pPr>
          <w:hyperlink w:anchor="_Toc168329357" w:history="1">
            <w:r w:rsidR="00533748" w:rsidRPr="00533748">
              <w:rPr>
                <w:rStyle w:val="Hyperlink"/>
                <w:noProof/>
                <w:sz w:val="20"/>
                <w:szCs w:val="20"/>
                <w:lang w:eastAsia="ko-KR"/>
              </w:rPr>
              <w:t>Supplementary Table 2. Number of occurrence points for each disease before and after the removal of spatial duplicates (thinning).</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_Toc168329357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3</w:t>
            </w:r>
            <w:r w:rsidR="00533748" w:rsidRPr="00533748">
              <w:rPr>
                <w:noProof/>
                <w:webHidden/>
                <w:sz w:val="20"/>
                <w:szCs w:val="20"/>
              </w:rPr>
              <w:fldChar w:fldCharType="end"/>
            </w:r>
          </w:hyperlink>
        </w:p>
        <w:p w14:paraId="5AF99786" w14:textId="785896DD" w:rsidR="00533748" w:rsidRPr="00533748" w:rsidRDefault="00000000">
          <w:pPr>
            <w:pStyle w:val="TOC2"/>
            <w:tabs>
              <w:tab w:val="right" w:leader="dot" w:pos="9628"/>
            </w:tabs>
            <w:rPr>
              <w:rFonts w:eastAsiaTheme="minorEastAsia"/>
              <w:noProof/>
              <w:sz w:val="20"/>
              <w:szCs w:val="20"/>
              <w:lang w:eastAsia="ko-KR"/>
            </w:rPr>
          </w:pPr>
          <w:hyperlink w:anchor="_Toc168329358" w:history="1">
            <w:r w:rsidR="00533748" w:rsidRPr="00533748">
              <w:rPr>
                <w:rStyle w:val="Hyperlink"/>
                <w:noProof/>
                <w:sz w:val="20"/>
                <w:szCs w:val="20"/>
                <w:lang w:eastAsia="ko-KR"/>
              </w:rPr>
              <w:t xml:space="preserve">Supplementary </w:t>
            </w:r>
            <w:r w:rsidR="00533748" w:rsidRPr="00533748">
              <w:rPr>
                <w:rStyle w:val="Hyperlink"/>
                <w:noProof/>
                <w:sz w:val="20"/>
                <w:szCs w:val="20"/>
              </w:rPr>
              <w:t>Table 3</w:t>
            </w:r>
            <w:r w:rsidR="00533748" w:rsidRPr="00533748">
              <w:rPr>
                <w:rStyle w:val="Hyperlink"/>
                <w:noProof/>
                <w:sz w:val="20"/>
                <w:szCs w:val="20"/>
                <w:lang w:eastAsia="ko-KR"/>
              </w:rPr>
              <w:t xml:space="preserve">. </w:t>
            </w:r>
            <w:r w:rsidR="00533748" w:rsidRPr="00533748">
              <w:rPr>
                <w:rStyle w:val="Hyperlink"/>
                <w:noProof/>
                <w:sz w:val="20"/>
                <w:szCs w:val="20"/>
              </w:rPr>
              <w:t>Occurrence data for other emerging acute viral infectious diseases.</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_Toc168329358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4</w:t>
            </w:r>
            <w:r w:rsidR="00533748" w:rsidRPr="00533748">
              <w:rPr>
                <w:noProof/>
                <w:webHidden/>
                <w:sz w:val="20"/>
                <w:szCs w:val="20"/>
              </w:rPr>
              <w:fldChar w:fldCharType="end"/>
            </w:r>
          </w:hyperlink>
        </w:p>
        <w:p w14:paraId="3436DA3B" w14:textId="3EAD349C" w:rsidR="00533748" w:rsidRPr="00533748" w:rsidRDefault="00000000">
          <w:pPr>
            <w:pStyle w:val="TOC2"/>
            <w:tabs>
              <w:tab w:val="right" w:leader="dot" w:pos="9628"/>
            </w:tabs>
            <w:rPr>
              <w:rFonts w:eastAsiaTheme="minorEastAsia"/>
              <w:noProof/>
              <w:sz w:val="20"/>
              <w:szCs w:val="20"/>
              <w:lang w:eastAsia="ko-KR"/>
            </w:rPr>
          </w:pPr>
          <w:hyperlink w:anchor="_Toc168329359" w:history="1">
            <w:r w:rsidR="00533748" w:rsidRPr="00533748">
              <w:rPr>
                <w:rStyle w:val="Hyperlink"/>
                <w:noProof/>
                <w:sz w:val="20"/>
                <w:szCs w:val="20"/>
                <w:lang w:eastAsia="ko-KR"/>
              </w:rPr>
              <w:t xml:space="preserve">Supplementary </w:t>
            </w:r>
            <w:r w:rsidR="00533748" w:rsidRPr="00533748">
              <w:rPr>
                <w:rStyle w:val="Hyperlink"/>
                <w:noProof/>
                <w:sz w:val="20"/>
                <w:szCs w:val="20"/>
              </w:rPr>
              <w:t>Table 4. Covariates included in the models.</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_Toc168329359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5</w:t>
            </w:r>
            <w:r w:rsidR="00533748" w:rsidRPr="00533748">
              <w:rPr>
                <w:noProof/>
                <w:webHidden/>
                <w:sz w:val="20"/>
                <w:szCs w:val="20"/>
              </w:rPr>
              <w:fldChar w:fldCharType="end"/>
            </w:r>
          </w:hyperlink>
        </w:p>
        <w:p w14:paraId="375EC826" w14:textId="75334ECF" w:rsidR="00533748" w:rsidRPr="00533748" w:rsidRDefault="00000000">
          <w:pPr>
            <w:pStyle w:val="TOC2"/>
            <w:tabs>
              <w:tab w:val="right" w:leader="dot" w:pos="9628"/>
            </w:tabs>
            <w:rPr>
              <w:rFonts w:eastAsiaTheme="minorEastAsia"/>
              <w:noProof/>
              <w:sz w:val="20"/>
              <w:szCs w:val="20"/>
              <w:lang w:eastAsia="ko-KR"/>
            </w:rPr>
          </w:pPr>
          <w:hyperlink w:anchor="_Toc168329360" w:history="1">
            <w:r w:rsidR="00533748" w:rsidRPr="00533748">
              <w:rPr>
                <w:rStyle w:val="Hyperlink"/>
                <w:noProof/>
                <w:sz w:val="20"/>
                <w:szCs w:val="20"/>
                <w:lang w:eastAsia="ko-KR"/>
              </w:rPr>
              <w:t xml:space="preserve">Supplementary </w:t>
            </w:r>
            <w:r w:rsidR="00533748" w:rsidRPr="00533748">
              <w:rPr>
                <w:rStyle w:val="Hyperlink"/>
                <w:noProof/>
                <w:sz w:val="20"/>
                <w:szCs w:val="20"/>
              </w:rPr>
              <w:t>Table 5</w:t>
            </w:r>
            <w:r w:rsidR="00533748" w:rsidRPr="00533748">
              <w:rPr>
                <w:rStyle w:val="Hyperlink"/>
                <w:noProof/>
                <w:sz w:val="20"/>
                <w:szCs w:val="20"/>
                <w:lang w:eastAsia="ko-KR"/>
              </w:rPr>
              <w:t>. Questionnaire for independent validation of preliminary results presented to the Technical Advisory Group on Arbovirus (TAG-Arbovirus)</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_Toc168329360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6</w:t>
            </w:r>
            <w:r w:rsidR="00533748" w:rsidRPr="00533748">
              <w:rPr>
                <w:noProof/>
                <w:webHidden/>
                <w:sz w:val="20"/>
                <w:szCs w:val="20"/>
              </w:rPr>
              <w:fldChar w:fldCharType="end"/>
            </w:r>
          </w:hyperlink>
        </w:p>
        <w:p w14:paraId="4A3134EB" w14:textId="519FC4F4" w:rsidR="00533748" w:rsidRPr="00533748" w:rsidRDefault="00000000">
          <w:pPr>
            <w:pStyle w:val="TOC2"/>
            <w:tabs>
              <w:tab w:val="right" w:leader="dot" w:pos="9628"/>
            </w:tabs>
            <w:rPr>
              <w:rFonts w:eastAsiaTheme="minorEastAsia"/>
              <w:noProof/>
              <w:sz w:val="20"/>
              <w:szCs w:val="20"/>
              <w:lang w:eastAsia="ko-KR"/>
            </w:rPr>
          </w:pPr>
          <w:hyperlink w:anchor="_Toc168329361" w:history="1">
            <w:r w:rsidR="00533748" w:rsidRPr="00533748">
              <w:rPr>
                <w:rStyle w:val="Hyperlink"/>
                <w:noProof/>
                <w:sz w:val="20"/>
                <w:szCs w:val="20"/>
                <w:lang w:eastAsia="ko-KR"/>
              </w:rPr>
              <w:t xml:space="preserve">Supplementary </w:t>
            </w:r>
            <w:r w:rsidR="00533748" w:rsidRPr="00533748">
              <w:rPr>
                <w:rStyle w:val="Hyperlink"/>
                <w:noProof/>
                <w:sz w:val="20"/>
                <w:szCs w:val="20"/>
              </w:rPr>
              <w:t>Figure 1</w:t>
            </w:r>
            <w:r w:rsidR="00533748" w:rsidRPr="00533748">
              <w:rPr>
                <w:rStyle w:val="Hyperlink"/>
                <w:noProof/>
                <w:sz w:val="20"/>
                <w:szCs w:val="20"/>
                <w:lang w:eastAsia="ko-KR"/>
              </w:rPr>
              <w:t>. Comparing occurrence data for each disease between published and newly added datasets for each disease.</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_Toc168329361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7</w:t>
            </w:r>
            <w:r w:rsidR="00533748" w:rsidRPr="00533748">
              <w:rPr>
                <w:noProof/>
                <w:webHidden/>
                <w:sz w:val="20"/>
                <w:szCs w:val="20"/>
              </w:rPr>
              <w:fldChar w:fldCharType="end"/>
            </w:r>
          </w:hyperlink>
        </w:p>
        <w:p w14:paraId="5CC7F06A" w14:textId="595E2C4B" w:rsidR="00533748" w:rsidRPr="00533748" w:rsidRDefault="00000000">
          <w:pPr>
            <w:pStyle w:val="TOC2"/>
            <w:tabs>
              <w:tab w:val="right" w:leader="dot" w:pos="9628"/>
            </w:tabs>
            <w:rPr>
              <w:rFonts w:eastAsiaTheme="minorEastAsia"/>
              <w:noProof/>
              <w:sz w:val="20"/>
              <w:szCs w:val="20"/>
              <w:lang w:eastAsia="ko-KR"/>
            </w:rPr>
          </w:pPr>
          <w:hyperlink w:anchor="_Toc168329362" w:history="1">
            <w:r w:rsidR="00533748" w:rsidRPr="00533748">
              <w:rPr>
                <w:rStyle w:val="Hyperlink"/>
                <w:noProof/>
                <w:sz w:val="20"/>
                <w:szCs w:val="20"/>
                <w:lang w:eastAsia="ko-KR"/>
              </w:rPr>
              <w:t xml:space="preserve">Supplementary </w:t>
            </w:r>
            <w:r w:rsidR="00533748" w:rsidRPr="00533748">
              <w:rPr>
                <w:rStyle w:val="Hyperlink"/>
                <w:noProof/>
                <w:sz w:val="20"/>
                <w:szCs w:val="20"/>
              </w:rPr>
              <w:t>Figure 2. Occurrence data for all viral diseases which is used in the surveillance model.</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_Toc168329362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8</w:t>
            </w:r>
            <w:r w:rsidR="00533748" w:rsidRPr="00533748">
              <w:rPr>
                <w:noProof/>
                <w:webHidden/>
                <w:sz w:val="20"/>
                <w:szCs w:val="20"/>
              </w:rPr>
              <w:fldChar w:fldCharType="end"/>
            </w:r>
          </w:hyperlink>
        </w:p>
        <w:p w14:paraId="7D5EF290" w14:textId="42D7F232" w:rsidR="00533748" w:rsidRPr="00533748" w:rsidRDefault="00000000">
          <w:pPr>
            <w:pStyle w:val="TOC2"/>
            <w:tabs>
              <w:tab w:val="right" w:leader="dot" w:pos="9628"/>
            </w:tabs>
            <w:rPr>
              <w:rFonts w:eastAsiaTheme="minorEastAsia"/>
              <w:noProof/>
              <w:sz w:val="20"/>
              <w:szCs w:val="20"/>
              <w:lang w:eastAsia="ko-KR"/>
            </w:rPr>
          </w:pPr>
          <w:hyperlink w:anchor="_Toc168329363" w:history="1">
            <w:r w:rsidR="00533748" w:rsidRPr="00533748">
              <w:rPr>
                <w:rStyle w:val="Hyperlink"/>
                <w:noProof/>
                <w:sz w:val="20"/>
                <w:szCs w:val="20"/>
                <w:lang w:eastAsia="ko-KR"/>
              </w:rPr>
              <w:t xml:space="preserve">Supplementary </w:t>
            </w:r>
            <w:r w:rsidR="00533748" w:rsidRPr="00533748">
              <w:rPr>
                <w:rStyle w:val="Hyperlink"/>
                <w:noProof/>
                <w:sz w:val="20"/>
                <w:szCs w:val="20"/>
              </w:rPr>
              <w:t>Figure 3. Relative contribution of each covariate in explaining the global surveillance capability (</w:t>
            </w:r>
            <w:r w:rsidR="00533748" w:rsidRPr="00533748">
              <w:rPr>
                <w:rStyle w:val="Hyperlink"/>
                <w:noProof/>
                <w:sz w:val="20"/>
                <w:szCs w:val="20"/>
                <w:lang w:eastAsia="ko-KR"/>
              </w:rPr>
              <w:t>a</w:t>
            </w:r>
            <w:r w:rsidR="00533748" w:rsidRPr="00533748">
              <w:rPr>
                <w:rStyle w:val="Hyperlink"/>
                <w:noProof/>
                <w:sz w:val="20"/>
                <w:szCs w:val="20"/>
              </w:rPr>
              <w:t>); partial dependence plots showing the effects of each covariate on the overall response and their 95% confidence intervals (</w:t>
            </w:r>
            <w:r w:rsidR="00533748" w:rsidRPr="00533748">
              <w:rPr>
                <w:rStyle w:val="Hyperlink"/>
                <w:noProof/>
                <w:sz w:val="20"/>
                <w:szCs w:val="20"/>
                <w:lang w:eastAsia="ko-KR"/>
              </w:rPr>
              <w:t>b</w:t>
            </w:r>
            <w:r w:rsidR="00533748" w:rsidRPr="00533748">
              <w:rPr>
                <w:rStyle w:val="Hyperlink"/>
                <w:noProof/>
                <w:sz w:val="20"/>
                <w:szCs w:val="20"/>
              </w:rPr>
              <w:t>).</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_Toc168329363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9</w:t>
            </w:r>
            <w:r w:rsidR="00533748" w:rsidRPr="00533748">
              <w:rPr>
                <w:noProof/>
                <w:webHidden/>
                <w:sz w:val="20"/>
                <w:szCs w:val="20"/>
              </w:rPr>
              <w:fldChar w:fldCharType="end"/>
            </w:r>
          </w:hyperlink>
        </w:p>
        <w:p w14:paraId="3E8C7945" w14:textId="274CD6FF" w:rsidR="00533748" w:rsidRPr="00533748" w:rsidRDefault="00000000">
          <w:pPr>
            <w:pStyle w:val="TOC2"/>
            <w:tabs>
              <w:tab w:val="right" w:leader="dot" w:pos="9628"/>
            </w:tabs>
            <w:rPr>
              <w:rFonts w:eastAsiaTheme="minorEastAsia"/>
              <w:noProof/>
              <w:sz w:val="20"/>
              <w:szCs w:val="20"/>
              <w:lang w:eastAsia="ko-KR"/>
            </w:rPr>
          </w:pPr>
          <w:hyperlink w:anchor="_Toc168329364" w:history="1">
            <w:r w:rsidR="00533748" w:rsidRPr="00533748">
              <w:rPr>
                <w:rStyle w:val="Hyperlink"/>
                <w:noProof/>
                <w:sz w:val="20"/>
                <w:szCs w:val="20"/>
                <w:lang w:eastAsia="ko-KR"/>
              </w:rPr>
              <w:t xml:space="preserve">Supplementary </w:t>
            </w:r>
            <w:r w:rsidR="00533748" w:rsidRPr="00533748">
              <w:rPr>
                <w:rStyle w:val="Hyperlink"/>
                <w:noProof/>
                <w:sz w:val="20"/>
                <w:szCs w:val="20"/>
              </w:rPr>
              <w:t>Figure 4. The degree of uncertainty (interquartile range of 100 predictions) around surveillance capability model predictions.</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_Toc168329364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10</w:t>
            </w:r>
            <w:r w:rsidR="00533748" w:rsidRPr="00533748">
              <w:rPr>
                <w:noProof/>
                <w:webHidden/>
                <w:sz w:val="20"/>
                <w:szCs w:val="20"/>
              </w:rPr>
              <w:fldChar w:fldCharType="end"/>
            </w:r>
          </w:hyperlink>
        </w:p>
        <w:p w14:paraId="2E1528C1" w14:textId="74189C18" w:rsidR="00533748" w:rsidRPr="00533748" w:rsidRDefault="00000000">
          <w:pPr>
            <w:pStyle w:val="TOC2"/>
            <w:tabs>
              <w:tab w:val="right" w:leader="dot" w:pos="9628"/>
            </w:tabs>
            <w:rPr>
              <w:rFonts w:eastAsiaTheme="minorEastAsia"/>
              <w:noProof/>
              <w:sz w:val="20"/>
              <w:szCs w:val="20"/>
              <w:lang w:eastAsia="ko-KR"/>
            </w:rPr>
          </w:pPr>
          <w:hyperlink w:anchor="_Toc168329365" w:history="1">
            <w:r w:rsidR="00533748" w:rsidRPr="00533748">
              <w:rPr>
                <w:rStyle w:val="Hyperlink"/>
                <w:noProof/>
                <w:sz w:val="20"/>
                <w:szCs w:val="20"/>
                <w:lang w:eastAsia="ko-KR"/>
              </w:rPr>
              <w:t xml:space="preserve">Supplementary </w:t>
            </w:r>
            <w:r w:rsidR="00533748" w:rsidRPr="00533748">
              <w:rPr>
                <w:rStyle w:val="Hyperlink"/>
                <w:noProof/>
                <w:sz w:val="20"/>
                <w:szCs w:val="20"/>
              </w:rPr>
              <w:t>Figure 5. Overall and regionally-stratified model performance metrics for the global surveillance capability model, including the Area Under the Curve (AUC), sensitivity, and specificity.</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_Toc168329365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11</w:t>
            </w:r>
            <w:r w:rsidR="00533748" w:rsidRPr="00533748">
              <w:rPr>
                <w:noProof/>
                <w:webHidden/>
                <w:sz w:val="20"/>
                <w:szCs w:val="20"/>
              </w:rPr>
              <w:fldChar w:fldCharType="end"/>
            </w:r>
          </w:hyperlink>
        </w:p>
        <w:p w14:paraId="7CC94209" w14:textId="6FDEEE62" w:rsidR="00533748" w:rsidRPr="00533748" w:rsidRDefault="00000000">
          <w:pPr>
            <w:pStyle w:val="TOC2"/>
            <w:tabs>
              <w:tab w:val="right" w:leader="dot" w:pos="9628"/>
            </w:tabs>
            <w:rPr>
              <w:rFonts w:eastAsiaTheme="minorEastAsia"/>
              <w:noProof/>
              <w:sz w:val="20"/>
              <w:szCs w:val="20"/>
              <w:lang w:eastAsia="ko-KR"/>
            </w:rPr>
          </w:pPr>
          <w:hyperlink w:anchor="_Toc168329366" w:history="1">
            <w:r w:rsidR="00533748" w:rsidRPr="00533748">
              <w:rPr>
                <w:rStyle w:val="Hyperlink"/>
                <w:noProof/>
                <w:sz w:val="20"/>
                <w:szCs w:val="20"/>
                <w:lang w:eastAsia="ko-KR"/>
              </w:rPr>
              <w:t xml:space="preserve">Supplementary </w:t>
            </w:r>
            <w:r w:rsidR="00533748" w:rsidRPr="00533748">
              <w:rPr>
                <w:rStyle w:val="Hyperlink"/>
                <w:noProof/>
                <w:sz w:val="20"/>
                <w:szCs w:val="20"/>
              </w:rPr>
              <w:t>Figure 6. Spatial map illustrating the model performance of the global surveillance capability model, as measured by the Area Under the Curve (AUC).</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_Toc168329366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12</w:t>
            </w:r>
            <w:r w:rsidR="00533748" w:rsidRPr="00533748">
              <w:rPr>
                <w:noProof/>
                <w:webHidden/>
                <w:sz w:val="20"/>
                <w:szCs w:val="20"/>
              </w:rPr>
              <w:fldChar w:fldCharType="end"/>
            </w:r>
          </w:hyperlink>
        </w:p>
        <w:p w14:paraId="4FF74FE0" w14:textId="2BB294D8" w:rsidR="00533748" w:rsidRPr="00533748" w:rsidRDefault="00000000">
          <w:pPr>
            <w:pStyle w:val="TOC2"/>
            <w:tabs>
              <w:tab w:val="right" w:leader="dot" w:pos="9628"/>
            </w:tabs>
            <w:rPr>
              <w:rFonts w:eastAsiaTheme="minorEastAsia"/>
              <w:noProof/>
              <w:sz w:val="20"/>
              <w:szCs w:val="20"/>
              <w:lang w:eastAsia="ko-KR"/>
            </w:rPr>
          </w:pPr>
          <w:hyperlink w:anchor="_Toc168329367" w:history="1">
            <w:r w:rsidR="00533748" w:rsidRPr="00533748">
              <w:rPr>
                <w:rStyle w:val="Hyperlink"/>
                <w:noProof/>
                <w:sz w:val="20"/>
                <w:szCs w:val="20"/>
                <w:lang w:eastAsia="ko-KR"/>
              </w:rPr>
              <w:t xml:space="preserve">Supplementary </w:t>
            </w:r>
            <w:r w:rsidR="00533748" w:rsidRPr="00533748">
              <w:rPr>
                <w:rStyle w:val="Hyperlink"/>
                <w:noProof/>
                <w:sz w:val="20"/>
                <w:szCs w:val="20"/>
              </w:rPr>
              <w:t>Figure 7. Relative contribution of each covariate in explaining the global environmental suitability for dengue, chikungunya, and Zika (</w:t>
            </w:r>
            <w:r w:rsidR="00533748" w:rsidRPr="00533748">
              <w:rPr>
                <w:rStyle w:val="Hyperlink"/>
                <w:noProof/>
                <w:sz w:val="20"/>
                <w:szCs w:val="20"/>
                <w:lang w:eastAsia="ko-KR"/>
              </w:rPr>
              <w:t>a</w:t>
            </w:r>
            <w:r w:rsidR="00533748" w:rsidRPr="00533748">
              <w:rPr>
                <w:rStyle w:val="Hyperlink"/>
                <w:noProof/>
                <w:sz w:val="20"/>
                <w:szCs w:val="20"/>
              </w:rPr>
              <w:t>); partial dependence plots showing the effects of each covariate on the overall response and their 95%</w:t>
            </w:r>
            <w:r w:rsidR="00533748" w:rsidRPr="00533748">
              <w:rPr>
                <w:rStyle w:val="Hyperlink"/>
                <w:noProof/>
                <w:sz w:val="20"/>
                <w:szCs w:val="20"/>
                <w:lang w:eastAsia="ko-KR"/>
              </w:rPr>
              <w:t xml:space="preserve"> confidence intervals (b).</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_Toc168329367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13</w:t>
            </w:r>
            <w:r w:rsidR="00533748" w:rsidRPr="00533748">
              <w:rPr>
                <w:noProof/>
                <w:webHidden/>
                <w:sz w:val="20"/>
                <w:szCs w:val="20"/>
              </w:rPr>
              <w:fldChar w:fldCharType="end"/>
            </w:r>
          </w:hyperlink>
        </w:p>
        <w:p w14:paraId="5DC020E9" w14:textId="59B3EE4D" w:rsidR="00533748" w:rsidRPr="00533748" w:rsidRDefault="00000000">
          <w:pPr>
            <w:pStyle w:val="TOC2"/>
            <w:tabs>
              <w:tab w:val="right" w:leader="dot" w:pos="9628"/>
            </w:tabs>
            <w:rPr>
              <w:rFonts w:eastAsiaTheme="minorEastAsia"/>
              <w:noProof/>
              <w:sz w:val="20"/>
              <w:szCs w:val="20"/>
              <w:lang w:eastAsia="ko-KR"/>
            </w:rPr>
          </w:pPr>
          <w:hyperlink w:anchor="_Toc168329368" w:history="1">
            <w:r w:rsidR="00533748" w:rsidRPr="00533748">
              <w:rPr>
                <w:rStyle w:val="Hyperlink"/>
                <w:noProof/>
                <w:sz w:val="20"/>
                <w:szCs w:val="20"/>
                <w:lang w:eastAsia="ko-KR"/>
              </w:rPr>
              <w:t xml:space="preserve">Supplementary </w:t>
            </w:r>
            <w:r w:rsidR="00533748" w:rsidRPr="00533748">
              <w:rPr>
                <w:rStyle w:val="Hyperlink"/>
                <w:noProof/>
                <w:sz w:val="20"/>
                <w:szCs w:val="20"/>
              </w:rPr>
              <w:t xml:space="preserve">Figure 8. Model predicted </w:t>
            </w:r>
            <w:r w:rsidR="00533748" w:rsidRPr="00533748">
              <w:rPr>
                <w:rStyle w:val="Hyperlink"/>
                <w:noProof/>
                <w:sz w:val="20"/>
                <w:szCs w:val="20"/>
                <w:lang w:eastAsia="ko-KR"/>
              </w:rPr>
              <w:t>environmental suitability</w:t>
            </w:r>
            <w:r w:rsidR="00533748" w:rsidRPr="00533748">
              <w:rPr>
                <w:rStyle w:val="Hyperlink"/>
                <w:noProof/>
                <w:sz w:val="20"/>
                <w:szCs w:val="20"/>
              </w:rPr>
              <w:t xml:space="preserve"> of dengue (</w:t>
            </w:r>
            <w:r w:rsidR="00533748" w:rsidRPr="00533748">
              <w:rPr>
                <w:rStyle w:val="Hyperlink"/>
                <w:noProof/>
                <w:sz w:val="20"/>
                <w:szCs w:val="20"/>
                <w:lang w:eastAsia="ko-KR"/>
              </w:rPr>
              <w:t>a</w:t>
            </w:r>
            <w:r w:rsidR="00533748" w:rsidRPr="00533748">
              <w:rPr>
                <w:rStyle w:val="Hyperlink"/>
                <w:noProof/>
                <w:sz w:val="20"/>
                <w:szCs w:val="20"/>
              </w:rPr>
              <w:t>), chikungunya (</w:t>
            </w:r>
            <w:r w:rsidR="00533748" w:rsidRPr="00533748">
              <w:rPr>
                <w:rStyle w:val="Hyperlink"/>
                <w:noProof/>
                <w:sz w:val="20"/>
                <w:szCs w:val="20"/>
                <w:lang w:eastAsia="ko-KR"/>
              </w:rPr>
              <w:t>b</w:t>
            </w:r>
            <w:r w:rsidR="00533748" w:rsidRPr="00533748">
              <w:rPr>
                <w:rStyle w:val="Hyperlink"/>
                <w:noProof/>
                <w:sz w:val="20"/>
                <w:szCs w:val="20"/>
              </w:rPr>
              <w:t>), and Zika (</w:t>
            </w:r>
            <w:r w:rsidR="00533748" w:rsidRPr="00533748">
              <w:rPr>
                <w:rStyle w:val="Hyperlink"/>
                <w:noProof/>
                <w:sz w:val="20"/>
                <w:szCs w:val="20"/>
                <w:lang w:eastAsia="ko-KR"/>
              </w:rPr>
              <w:t>c</w:t>
            </w:r>
            <w:r w:rsidR="00533748" w:rsidRPr="00533748">
              <w:rPr>
                <w:rStyle w:val="Hyperlink"/>
                <w:noProof/>
                <w:sz w:val="20"/>
                <w:szCs w:val="20"/>
              </w:rPr>
              <w:t>). Areas without a suitable temperature range for transmission have been set to 0.</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_Toc168329368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14</w:t>
            </w:r>
            <w:r w:rsidR="00533748" w:rsidRPr="00533748">
              <w:rPr>
                <w:noProof/>
                <w:webHidden/>
                <w:sz w:val="20"/>
                <w:szCs w:val="20"/>
              </w:rPr>
              <w:fldChar w:fldCharType="end"/>
            </w:r>
          </w:hyperlink>
        </w:p>
        <w:p w14:paraId="2EBB70FF" w14:textId="650A5A2C" w:rsidR="00533748" w:rsidRPr="00533748" w:rsidRDefault="00000000">
          <w:pPr>
            <w:pStyle w:val="TOC2"/>
            <w:tabs>
              <w:tab w:val="right" w:leader="dot" w:pos="9628"/>
            </w:tabs>
            <w:rPr>
              <w:rFonts w:eastAsiaTheme="minorEastAsia"/>
              <w:noProof/>
              <w:sz w:val="20"/>
              <w:szCs w:val="20"/>
              <w:lang w:eastAsia="ko-KR"/>
            </w:rPr>
          </w:pPr>
          <w:hyperlink w:anchor="_Toc168329369" w:history="1">
            <w:r w:rsidR="00533748" w:rsidRPr="00533748">
              <w:rPr>
                <w:rStyle w:val="Hyperlink"/>
                <w:noProof/>
                <w:sz w:val="20"/>
                <w:szCs w:val="20"/>
                <w:lang w:eastAsia="ko-KR"/>
              </w:rPr>
              <w:t xml:space="preserve">Supplementary </w:t>
            </w:r>
            <w:r w:rsidR="00533748" w:rsidRPr="00533748">
              <w:rPr>
                <w:rStyle w:val="Hyperlink"/>
                <w:noProof/>
                <w:sz w:val="20"/>
                <w:szCs w:val="20"/>
              </w:rPr>
              <w:t>Figure 9</w:t>
            </w:r>
            <w:r w:rsidR="00533748" w:rsidRPr="00533748">
              <w:rPr>
                <w:rStyle w:val="Hyperlink"/>
                <w:noProof/>
                <w:sz w:val="20"/>
                <w:szCs w:val="20"/>
                <w:lang w:eastAsia="ko-KR"/>
              </w:rPr>
              <w:t>. A comparison of arbovirus model performance with and without disease-specific thermal suitability included as a covariate.</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_Toc168329369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15</w:t>
            </w:r>
            <w:r w:rsidR="00533748" w:rsidRPr="00533748">
              <w:rPr>
                <w:noProof/>
                <w:webHidden/>
                <w:sz w:val="20"/>
                <w:szCs w:val="20"/>
              </w:rPr>
              <w:fldChar w:fldCharType="end"/>
            </w:r>
          </w:hyperlink>
        </w:p>
        <w:p w14:paraId="67EAC51F" w14:textId="4518746F" w:rsidR="00533748" w:rsidRPr="00533748" w:rsidRDefault="00000000">
          <w:pPr>
            <w:pStyle w:val="TOC2"/>
            <w:tabs>
              <w:tab w:val="right" w:leader="dot" w:pos="9628"/>
            </w:tabs>
            <w:rPr>
              <w:rFonts w:eastAsiaTheme="minorEastAsia"/>
              <w:noProof/>
              <w:sz w:val="20"/>
              <w:szCs w:val="20"/>
              <w:lang w:eastAsia="ko-KR"/>
            </w:rPr>
          </w:pPr>
          <w:hyperlink w:anchor="_Toc168329370" w:history="1">
            <w:r w:rsidR="00533748" w:rsidRPr="00533748">
              <w:rPr>
                <w:rStyle w:val="Hyperlink"/>
                <w:noProof/>
                <w:sz w:val="20"/>
                <w:szCs w:val="20"/>
                <w:lang w:eastAsia="ko-KR"/>
              </w:rPr>
              <w:t xml:space="preserve">Supplementary </w:t>
            </w:r>
            <w:r w:rsidR="00533748" w:rsidRPr="00533748">
              <w:rPr>
                <w:rStyle w:val="Hyperlink"/>
                <w:noProof/>
                <w:sz w:val="20"/>
                <w:szCs w:val="20"/>
              </w:rPr>
              <w:t>Figure 10. The degree of uncertainty (interquartile range of 100 predictions) around dengue (</w:t>
            </w:r>
            <w:r w:rsidR="00533748" w:rsidRPr="00533748">
              <w:rPr>
                <w:rStyle w:val="Hyperlink"/>
                <w:noProof/>
                <w:sz w:val="20"/>
                <w:szCs w:val="20"/>
                <w:lang w:eastAsia="ko-KR"/>
              </w:rPr>
              <w:t>a</w:t>
            </w:r>
            <w:r w:rsidR="00533748" w:rsidRPr="00533748">
              <w:rPr>
                <w:rStyle w:val="Hyperlink"/>
                <w:noProof/>
                <w:sz w:val="20"/>
                <w:szCs w:val="20"/>
              </w:rPr>
              <w:t>), chikungunya (</w:t>
            </w:r>
            <w:r w:rsidR="00533748" w:rsidRPr="00533748">
              <w:rPr>
                <w:rStyle w:val="Hyperlink"/>
                <w:noProof/>
                <w:sz w:val="20"/>
                <w:szCs w:val="20"/>
                <w:lang w:eastAsia="ko-KR"/>
              </w:rPr>
              <w:t>b</w:t>
            </w:r>
            <w:r w:rsidR="00533748" w:rsidRPr="00533748">
              <w:rPr>
                <w:rStyle w:val="Hyperlink"/>
                <w:noProof/>
                <w:sz w:val="20"/>
                <w:szCs w:val="20"/>
              </w:rPr>
              <w:t>), Zika (</w:t>
            </w:r>
            <w:r w:rsidR="00533748" w:rsidRPr="00533748">
              <w:rPr>
                <w:rStyle w:val="Hyperlink"/>
                <w:noProof/>
                <w:sz w:val="20"/>
                <w:szCs w:val="20"/>
                <w:lang w:eastAsia="ko-KR"/>
              </w:rPr>
              <w:t>c</w:t>
            </w:r>
            <w:r w:rsidR="00533748" w:rsidRPr="00533748">
              <w:rPr>
                <w:rStyle w:val="Hyperlink"/>
                <w:noProof/>
                <w:sz w:val="20"/>
                <w:szCs w:val="20"/>
              </w:rPr>
              <w:t>), and yellow fever (</w:t>
            </w:r>
            <w:r w:rsidR="00533748" w:rsidRPr="00533748">
              <w:rPr>
                <w:rStyle w:val="Hyperlink"/>
                <w:noProof/>
                <w:sz w:val="20"/>
                <w:szCs w:val="20"/>
                <w:lang w:eastAsia="ko-KR"/>
              </w:rPr>
              <w:t>d</w:t>
            </w:r>
            <w:r w:rsidR="00533748" w:rsidRPr="00533748">
              <w:rPr>
                <w:rStyle w:val="Hyperlink"/>
                <w:noProof/>
                <w:sz w:val="20"/>
                <w:szCs w:val="20"/>
              </w:rPr>
              <w:t>) risk predictions, ranging from 0 (very little uncertainty) to 0.05 (the greatest uncertainty).</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_Toc168329370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16</w:t>
            </w:r>
            <w:r w:rsidR="00533748" w:rsidRPr="00533748">
              <w:rPr>
                <w:noProof/>
                <w:webHidden/>
                <w:sz w:val="20"/>
                <w:szCs w:val="20"/>
              </w:rPr>
              <w:fldChar w:fldCharType="end"/>
            </w:r>
          </w:hyperlink>
        </w:p>
        <w:p w14:paraId="349911FA" w14:textId="0D897C13" w:rsidR="00533748" w:rsidRPr="00533748" w:rsidRDefault="00000000">
          <w:pPr>
            <w:pStyle w:val="TOC2"/>
            <w:tabs>
              <w:tab w:val="right" w:leader="dot" w:pos="9628"/>
            </w:tabs>
            <w:rPr>
              <w:rFonts w:eastAsiaTheme="minorEastAsia"/>
              <w:noProof/>
              <w:sz w:val="20"/>
              <w:szCs w:val="20"/>
              <w:lang w:eastAsia="ko-KR"/>
            </w:rPr>
          </w:pPr>
          <w:hyperlink w:anchor="_Toc168329371" w:history="1">
            <w:r w:rsidR="00533748" w:rsidRPr="00533748">
              <w:rPr>
                <w:rStyle w:val="Hyperlink"/>
                <w:noProof/>
                <w:sz w:val="20"/>
                <w:szCs w:val="20"/>
                <w:lang w:eastAsia="ko-KR"/>
              </w:rPr>
              <w:t xml:space="preserve">Supplementary </w:t>
            </w:r>
            <w:r w:rsidR="00533748" w:rsidRPr="00533748">
              <w:rPr>
                <w:rStyle w:val="Hyperlink"/>
                <w:noProof/>
                <w:sz w:val="20"/>
                <w:szCs w:val="20"/>
              </w:rPr>
              <w:t>Figure 11. Overall and regionally-stratified model performance metrics for the arbovirus and yellow fever models, including the Area Under the Curve (AUC), sensitivity, and specificity.</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_Toc168329371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17</w:t>
            </w:r>
            <w:r w:rsidR="00533748" w:rsidRPr="00533748">
              <w:rPr>
                <w:noProof/>
                <w:webHidden/>
                <w:sz w:val="20"/>
                <w:szCs w:val="20"/>
              </w:rPr>
              <w:fldChar w:fldCharType="end"/>
            </w:r>
          </w:hyperlink>
        </w:p>
        <w:p w14:paraId="6F5363E2" w14:textId="7E398E25" w:rsidR="00533748" w:rsidRPr="00533748" w:rsidRDefault="00000000">
          <w:pPr>
            <w:pStyle w:val="TOC2"/>
            <w:tabs>
              <w:tab w:val="right" w:leader="dot" w:pos="9628"/>
            </w:tabs>
            <w:rPr>
              <w:rFonts w:eastAsiaTheme="minorEastAsia"/>
              <w:noProof/>
              <w:sz w:val="20"/>
              <w:szCs w:val="20"/>
              <w:lang w:eastAsia="ko-KR"/>
            </w:rPr>
          </w:pPr>
          <w:hyperlink w:anchor="_Toc168329372" w:history="1">
            <w:r w:rsidR="00533748" w:rsidRPr="00533748">
              <w:rPr>
                <w:rStyle w:val="Hyperlink"/>
                <w:noProof/>
                <w:sz w:val="20"/>
                <w:szCs w:val="20"/>
                <w:lang w:eastAsia="ko-KR"/>
              </w:rPr>
              <w:t xml:space="preserve">Supplementary </w:t>
            </w:r>
            <w:r w:rsidR="00533748" w:rsidRPr="00533748">
              <w:rPr>
                <w:rStyle w:val="Hyperlink"/>
                <w:noProof/>
                <w:sz w:val="20"/>
                <w:szCs w:val="20"/>
              </w:rPr>
              <w:t>Figure 12. Spatial map illustrating the model performance of the arbovirus (</w:t>
            </w:r>
            <w:r w:rsidR="00533748" w:rsidRPr="00533748">
              <w:rPr>
                <w:rStyle w:val="Hyperlink"/>
                <w:noProof/>
                <w:sz w:val="20"/>
                <w:szCs w:val="20"/>
                <w:lang w:eastAsia="ko-KR"/>
              </w:rPr>
              <w:t>a</w:t>
            </w:r>
            <w:r w:rsidR="00533748" w:rsidRPr="00533748">
              <w:rPr>
                <w:rStyle w:val="Hyperlink"/>
                <w:noProof/>
                <w:sz w:val="20"/>
                <w:szCs w:val="20"/>
              </w:rPr>
              <w:t>-</w:t>
            </w:r>
            <w:r w:rsidR="00533748" w:rsidRPr="00533748">
              <w:rPr>
                <w:rStyle w:val="Hyperlink"/>
                <w:noProof/>
                <w:sz w:val="20"/>
                <w:szCs w:val="20"/>
                <w:lang w:eastAsia="ko-KR"/>
              </w:rPr>
              <w:t>c</w:t>
            </w:r>
            <w:r w:rsidR="00533748" w:rsidRPr="00533748">
              <w:rPr>
                <w:rStyle w:val="Hyperlink"/>
                <w:noProof/>
                <w:sz w:val="20"/>
                <w:szCs w:val="20"/>
              </w:rPr>
              <w:t>)</w:t>
            </w:r>
            <w:r w:rsidR="00533748" w:rsidRPr="00533748">
              <w:rPr>
                <w:rStyle w:val="Hyperlink"/>
                <w:noProof/>
                <w:sz w:val="20"/>
                <w:szCs w:val="20"/>
                <w:lang w:eastAsia="ko-KR"/>
              </w:rPr>
              <w:t xml:space="preserve"> </w:t>
            </w:r>
            <w:r w:rsidR="00533748" w:rsidRPr="00533748">
              <w:rPr>
                <w:rStyle w:val="Hyperlink"/>
                <w:noProof/>
                <w:sz w:val="20"/>
                <w:szCs w:val="20"/>
              </w:rPr>
              <w:t>and yellow fever models (</w:t>
            </w:r>
            <w:r w:rsidR="00533748" w:rsidRPr="00533748">
              <w:rPr>
                <w:rStyle w:val="Hyperlink"/>
                <w:noProof/>
                <w:sz w:val="20"/>
                <w:szCs w:val="20"/>
                <w:lang w:eastAsia="ko-KR"/>
              </w:rPr>
              <w:t>d</w:t>
            </w:r>
            <w:r w:rsidR="00533748" w:rsidRPr="00533748">
              <w:rPr>
                <w:rStyle w:val="Hyperlink"/>
                <w:noProof/>
                <w:sz w:val="20"/>
                <w:szCs w:val="20"/>
              </w:rPr>
              <w:t>), as measured by the Area Under the Curve (AUC).</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_Toc168329372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18</w:t>
            </w:r>
            <w:r w:rsidR="00533748" w:rsidRPr="00533748">
              <w:rPr>
                <w:noProof/>
                <w:webHidden/>
                <w:sz w:val="20"/>
                <w:szCs w:val="20"/>
              </w:rPr>
              <w:fldChar w:fldCharType="end"/>
            </w:r>
          </w:hyperlink>
        </w:p>
        <w:p w14:paraId="6D2BBA8D" w14:textId="2D567373" w:rsidR="00533748" w:rsidRPr="00533748" w:rsidRDefault="00000000">
          <w:pPr>
            <w:pStyle w:val="TOC2"/>
            <w:tabs>
              <w:tab w:val="right" w:leader="dot" w:pos="9628"/>
            </w:tabs>
            <w:rPr>
              <w:rFonts w:eastAsiaTheme="minorEastAsia"/>
              <w:noProof/>
              <w:sz w:val="20"/>
              <w:szCs w:val="20"/>
              <w:lang w:eastAsia="ko-KR"/>
            </w:rPr>
          </w:pPr>
          <w:hyperlink w:anchor="_Toc168329373" w:history="1">
            <w:r w:rsidR="00533748" w:rsidRPr="00533748">
              <w:rPr>
                <w:rStyle w:val="Hyperlink"/>
                <w:noProof/>
                <w:sz w:val="20"/>
                <w:szCs w:val="20"/>
                <w:lang w:eastAsia="ko-KR"/>
              </w:rPr>
              <w:t xml:space="preserve">Supplementary </w:t>
            </w:r>
            <w:r w:rsidR="00533748" w:rsidRPr="00533748">
              <w:rPr>
                <w:rStyle w:val="Hyperlink"/>
                <w:noProof/>
                <w:sz w:val="20"/>
                <w:szCs w:val="20"/>
              </w:rPr>
              <w:t>Figure 13. Relative contribution of each covariate in explaining the global environmental suitability for yellow fever (</w:t>
            </w:r>
            <w:r w:rsidR="00533748" w:rsidRPr="00533748">
              <w:rPr>
                <w:rStyle w:val="Hyperlink"/>
                <w:noProof/>
                <w:sz w:val="20"/>
                <w:szCs w:val="20"/>
                <w:lang w:eastAsia="ko-KR"/>
              </w:rPr>
              <w:t>a</w:t>
            </w:r>
            <w:r w:rsidR="00533748" w:rsidRPr="00533748">
              <w:rPr>
                <w:rStyle w:val="Hyperlink"/>
                <w:noProof/>
                <w:sz w:val="20"/>
                <w:szCs w:val="20"/>
              </w:rPr>
              <w:t>); partial dependence plots showing the effects of each covariate on the overall response and their 95% confidence intervals (</w:t>
            </w:r>
            <w:r w:rsidR="00533748" w:rsidRPr="00533748">
              <w:rPr>
                <w:rStyle w:val="Hyperlink"/>
                <w:noProof/>
                <w:sz w:val="20"/>
                <w:szCs w:val="20"/>
                <w:lang w:eastAsia="ko-KR"/>
              </w:rPr>
              <w:t>b</w:t>
            </w:r>
            <w:r w:rsidR="00533748" w:rsidRPr="00533748">
              <w:rPr>
                <w:rStyle w:val="Hyperlink"/>
                <w:noProof/>
                <w:sz w:val="20"/>
                <w:szCs w:val="20"/>
              </w:rPr>
              <w:t>).</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_Toc168329373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19</w:t>
            </w:r>
            <w:r w:rsidR="00533748" w:rsidRPr="00533748">
              <w:rPr>
                <w:noProof/>
                <w:webHidden/>
                <w:sz w:val="20"/>
                <w:szCs w:val="20"/>
              </w:rPr>
              <w:fldChar w:fldCharType="end"/>
            </w:r>
          </w:hyperlink>
        </w:p>
        <w:p w14:paraId="41A0B154" w14:textId="5F085E36" w:rsidR="00533748" w:rsidRPr="00533748" w:rsidRDefault="00000000">
          <w:pPr>
            <w:pStyle w:val="TOC2"/>
            <w:tabs>
              <w:tab w:val="right" w:leader="dot" w:pos="9628"/>
            </w:tabs>
            <w:rPr>
              <w:rFonts w:eastAsiaTheme="minorEastAsia"/>
              <w:noProof/>
              <w:sz w:val="20"/>
              <w:szCs w:val="20"/>
              <w:lang w:eastAsia="ko-KR"/>
            </w:rPr>
          </w:pPr>
          <w:hyperlink w:anchor="_Toc168329374" w:history="1">
            <w:r w:rsidR="00533748" w:rsidRPr="00533748">
              <w:rPr>
                <w:rStyle w:val="Hyperlink"/>
                <w:noProof/>
                <w:sz w:val="20"/>
                <w:szCs w:val="20"/>
                <w:lang w:eastAsia="ko-KR"/>
              </w:rPr>
              <w:t xml:space="preserve">Supplementary Figure 14. A comparison of yellow fever model performance with and without </w:t>
            </w:r>
            <w:r w:rsidR="00533748" w:rsidRPr="00533748">
              <w:rPr>
                <w:rStyle w:val="Hyperlink"/>
                <w:i/>
                <w:iCs/>
                <w:noProof/>
                <w:sz w:val="20"/>
                <w:szCs w:val="20"/>
                <w:lang w:eastAsia="ko-KR"/>
              </w:rPr>
              <w:t>Aedes aegypti</w:t>
            </w:r>
            <w:r w:rsidR="00533748" w:rsidRPr="00533748">
              <w:rPr>
                <w:rStyle w:val="Hyperlink"/>
                <w:noProof/>
                <w:sz w:val="20"/>
                <w:szCs w:val="20"/>
                <w:lang w:eastAsia="ko-KR"/>
              </w:rPr>
              <w:t xml:space="preserve"> included as a covariate.</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_Toc168329374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20</w:t>
            </w:r>
            <w:r w:rsidR="00533748" w:rsidRPr="00533748">
              <w:rPr>
                <w:noProof/>
                <w:webHidden/>
                <w:sz w:val="20"/>
                <w:szCs w:val="20"/>
              </w:rPr>
              <w:fldChar w:fldCharType="end"/>
            </w:r>
          </w:hyperlink>
        </w:p>
        <w:p w14:paraId="4CBFB1F7" w14:textId="59241C2E" w:rsidR="00533748" w:rsidRPr="00533748" w:rsidRDefault="00000000">
          <w:pPr>
            <w:pStyle w:val="TOC2"/>
            <w:tabs>
              <w:tab w:val="right" w:leader="dot" w:pos="9628"/>
            </w:tabs>
            <w:rPr>
              <w:rFonts w:eastAsiaTheme="minorEastAsia"/>
              <w:noProof/>
              <w:sz w:val="20"/>
              <w:szCs w:val="20"/>
              <w:lang w:eastAsia="ko-KR"/>
            </w:rPr>
          </w:pPr>
          <w:hyperlink w:anchor="_Toc168329375" w:history="1">
            <w:r w:rsidR="00533748" w:rsidRPr="00533748">
              <w:rPr>
                <w:rStyle w:val="Hyperlink"/>
                <w:noProof/>
                <w:sz w:val="20"/>
                <w:szCs w:val="20"/>
                <w:lang w:eastAsia="ko-KR"/>
              </w:rPr>
              <w:t xml:space="preserve">Supplementary </w:t>
            </w:r>
            <w:r w:rsidR="00533748" w:rsidRPr="00533748">
              <w:rPr>
                <w:rStyle w:val="Hyperlink"/>
                <w:noProof/>
                <w:sz w:val="20"/>
                <w:szCs w:val="20"/>
              </w:rPr>
              <w:t>Figure 15. Covariates included in the surveillance capability model.</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_Toc168329375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21</w:t>
            </w:r>
            <w:r w:rsidR="00533748" w:rsidRPr="00533748">
              <w:rPr>
                <w:noProof/>
                <w:webHidden/>
                <w:sz w:val="20"/>
                <w:szCs w:val="20"/>
              </w:rPr>
              <w:fldChar w:fldCharType="end"/>
            </w:r>
          </w:hyperlink>
        </w:p>
        <w:p w14:paraId="711B3163" w14:textId="272824A0" w:rsidR="00533748" w:rsidRPr="00533748" w:rsidRDefault="00000000">
          <w:pPr>
            <w:pStyle w:val="TOC2"/>
            <w:tabs>
              <w:tab w:val="right" w:leader="dot" w:pos="9628"/>
            </w:tabs>
            <w:rPr>
              <w:rFonts w:eastAsiaTheme="minorEastAsia"/>
              <w:noProof/>
              <w:sz w:val="20"/>
              <w:szCs w:val="20"/>
              <w:lang w:eastAsia="ko-KR"/>
            </w:rPr>
          </w:pPr>
          <w:hyperlink w:anchor="_Toc168329376" w:history="1">
            <w:r w:rsidR="00533748" w:rsidRPr="00533748">
              <w:rPr>
                <w:rStyle w:val="Hyperlink"/>
                <w:noProof/>
                <w:sz w:val="20"/>
                <w:szCs w:val="20"/>
                <w:lang w:eastAsia="ko-KR"/>
              </w:rPr>
              <w:t xml:space="preserve">Supplementary </w:t>
            </w:r>
            <w:r w:rsidR="00533748" w:rsidRPr="00533748">
              <w:rPr>
                <w:rStyle w:val="Hyperlink"/>
                <w:noProof/>
                <w:sz w:val="20"/>
                <w:szCs w:val="20"/>
              </w:rPr>
              <w:t>Figure 16. Covariates included in the arbovirus and yellow fever models.</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_Toc168329376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22</w:t>
            </w:r>
            <w:r w:rsidR="00533748" w:rsidRPr="00533748">
              <w:rPr>
                <w:noProof/>
                <w:webHidden/>
                <w:sz w:val="20"/>
                <w:szCs w:val="20"/>
              </w:rPr>
              <w:fldChar w:fldCharType="end"/>
            </w:r>
          </w:hyperlink>
        </w:p>
        <w:p w14:paraId="3B4288F1" w14:textId="4269ABCC" w:rsidR="00533748" w:rsidRDefault="00000000">
          <w:pPr>
            <w:pStyle w:val="TOC2"/>
            <w:tabs>
              <w:tab w:val="right" w:leader="dot" w:pos="9628"/>
            </w:tabs>
            <w:rPr>
              <w:rFonts w:eastAsiaTheme="minorEastAsia"/>
              <w:noProof/>
              <w:lang w:eastAsia="ko-KR"/>
            </w:rPr>
          </w:pPr>
          <w:hyperlink w:anchor="_Toc168329377" w:history="1">
            <w:r w:rsidR="00533748" w:rsidRPr="00533748">
              <w:rPr>
                <w:rStyle w:val="Hyperlink"/>
                <w:noProof/>
                <w:sz w:val="20"/>
                <w:szCs w:val="20"/>
              </w:rPr>
              <w:t>References</w:t>
            </w:r>
            <w:r w:rsidR="00533748" w:rsidRPr="00533748">
              <w:rPr>
                <w:noProof/>
                <w:webHidden/>
                <w:sz w:val="20"/>
                <w:szCs w:val="20"/>
              </w:rPr>
              <w:tab/>
            </w:r>
            <w:r w:rsidR="00533748" w:rsidRPr="00533748">
              <w:rPr>
                <w:noProof/>
                <w:webHidden/>
                <w:sz w:val="20"/>
                <w:szCs w:val="20"/>
              </w:rPr>
              <w:fldChar w:fldCharType="begin"/>
            </w:r>
            <w:r w:rsidR="00533748" w:rsidRPr="00533748">
              <w:rPr>
                <w:noProof/>
                <w:webHidden/>
                <w:sz w:val="20"/>
                <w:szCs w:val="20"/>
              </w:rPr>
              <w:instrText xml:space="preserve"> PAGEREF _Toc168329377 \h </w:instrText>
            </w:r>
            <w:r w:rsidR="00533748" w:rsidRPr="00533748">
              <w:rPr>
                <w:noProof/>
                <w:webHidden/>
                <w:sz w:val="20"/>
                <w:szCs w:val="20"/>
              </w:rPr>
            </w:r>
            <w:r w:rsidR="00533748" w:rsidRPr="00533748">
              <w:rPr>
                <w:noProof/>
                <w:webHidden/>
                <w:sz w:val="20"/>
                <w:szCs w:val="20"/>
              </w:rPr>
              <w:fldChar w:fldCharType="separate"/>
            </w:r>
            <w:r w:rsidR="00533748" w:rsidRPr="00533748">
              <w:rPr>
                <w:noProof/>
                <w:webHidden/>
                <w:sz w:val="20"/>
                <w:szCs w:val="20"/>
              </w:rPr>
              <w:t>23</w:t>
            </w:r>
            <w:r w:rsidR="00533748" w:rsidRPr="00533748">
              <w:rPr>
                <w:noProof/>
                <w:webHidden/>
                <w:sz w:val="20"/>
                <w:szCs w:val="20"/>
              </w:rPr>
              <w:fldChar w:fldCharType="end"/>
            </w:r>
          </w:hyperlink>
        </w:p>
        <w:p w14:paraId="3AD53784" w14:textId="028C67A3" w:rsidR="002872E0" w:rsidRDefault="002872E0">
          <w:r w:rsidRPr="00CC3778">
            <w:rPr>
              <w:sz w:val="20"/>
              <w:szCs w:val="20"/>
            </w:rPr>
            <w:fldChar w:fldCharType="end"/>
          </w:r>
        </w:p>
      </w:sdtContent>
    </w:sdt>
    <w:p w14:paraId="46EAD0E3" w14:textId="08177443" w:rsidR="00082194" w:rsidRDefault="00C25391" w:rsidP="00BF604F">
      <w:pPr>
        <w:pStyle w:val="Heading2"/>
        <w:rPr>
          <w:lang w:eastAsia="ko-KR"/>
        </w:rPr>
      </w:pPr>
      <w:bookmarkStart w:id="1" w:name="_Toc168329356"/>
      <w:bookmarkEnd w:id="0"/>
      <w:r>
        <w:rPr>
          <w:rFonts w:hint="eastAsia"/>
          <w:lang w:eastAsia="ko-KR"/>
        </w:rPr>
        <w:lastRenderedPageBreak/>
        <w:t xml:space="preserve">Supplementary </w:t>
      </w:r>
      <w:r w:rsidR="00082194">
        <w:rPr>
          <w:lang w:eastAsia="ko-KR"/>
        </w:rPr>
        <w:t xml:space="preserve">Table </w:t>
      </w:r>
      <w:r w:rsidR="00082194">
        <w:rPr>
          <w:lang w:eastAsia="ko-KR"/>
        </w:rPr>
        <w:fldChar w:fldCharType="begin"/>
      </w:r>
      <w:r w:rsidR="00082194">
        <w:rPr>
          <w:lang w:eastAsia="ko-KR"/>
        </w:rPr>
        <w:instrText xml:space="preserve"> SEQ Table \* ARABIC </w:instrText>
      </w:r>
      <w:r w:rsidR="00082194">
        <w:rPr>
          <w:lang w:eastAsia="ko-KR"/>
        </w:rPr>
        <w:fldChar w:fldCharType="separate"/>
      </w:r>
      <w:r w:rsidR="005F2BC4">
        <w:rPr>
          <w:lang w:eastAsia="ko-KR"/>
        </w:rPr>
        <w:t>1</w:t>
      </w:r>
      <w:r w:rsidR="00082194">
        <w:rPr>
          <w:lang w:eastAsia="ko-KR"/>
        </w:rPr>
        <w:fldChar w:fldCharType="end"/>
      </w:r>
      <w:r w:rsidR="00082194">
        <w:rPr>
          <w:rFonts w:hint="eastAsia"/>
          <w:lang w:eastAsia="ko-KR"/>
        </w:rPr>
        <w:t xml:space="preserve">. </w:t>
      </w:r>
      <w:r w:rsidR="00082194" w:rsidRPr="00082194">
        <w:rPr>
          <w:lang w:eastAsia="ko-KR"/>
        </w:rPr>
        <w:t xml:space="preserve">Data </w:t>
      </w:r>
      <w:r w:rsidR="00082194">
        <w:rPr>
          <w:rFonts w:hint="eastAsia"/>
          <w:lang w:eastAsia="ko-KR"/>
        </w:rPr>
        <w:t>s</w:t>
      </w:r>
      <w:r w:rsidR="00082194" w:rsidRPr="00082194">
        <w:rPr>
          <w:lang w:eastAsia="ko-KR"/>
        </w:rPr>
        <w:t xml:space="preserve">ources and </w:t>
      </w:r>
      <w:r w:rsidR="00082194">
        <w:rPr>
          <w:rFonts w:hint="eastAsia"/>
          <w:lang w:eastAsia="ko-KR"/>
        </w:rPr>
        <w:t>the number</w:t>
      </w:r>
      <w:r w:rsidR="00082194" w:rsidRPr="00082194">
        <w:rPr>
          <w:lang w:eastAsia="ko-KR"/>
        </w:rPr>
        <w:t xml:space="preserve"> of</w:t>
      </w:r>
      <w:r w:rsidR="00082194">
        <w:rPr>
          <w:rFonts w:hint="eastAsia"/>
          <w:lang w:eastAsia="ko-KR"/>
        </w:rPr>
        <w:t xml:space="preserve"> </w:t>
      </w:r>
      <w:r w:rsidR="00082194">
        <w:rPr>
          <w:lang w:eastAsia="ko-KR"/>
        </w:rPr>
        <w:t>o</w:t>
      </w:r>
      <w:r w:rsidR="00082194" w:rsidRPr="00082194">
        <w:rPr>
          <w:lang w:eastAsia="ko-KR"/>
        </w:rPr>
        <w:t xml:space="preserve">ccurrence </w:t>
      </w:r>
      <w:r w:rsidR="00082194">
        <w:rPr>
          <w:rFonts w:hint="eastAsia"/>
          <w:lang w:eastAsia="ko-KR"/>
        </w:rPr>
        <w:t>d</w:t>
      </w:r>
      <w:r w:rsidR="00082194" w:rsidRPr="00082194">
        <w:rPr>
          <w:lang w:eastAsia="ko-KR"/>
        </w:rPr>
        <w:t xml:space="preserve">ata </w:t>
      </w:r>
      <w:r w:rsidR="00082194">
        <w:rPr>
          <w:rFonts w:hint="eastAsia"/>
          <w:lang w:eastAsia="ko-KR"/>
        </w:rPr>
        <w:t>e</w:t>
      </w:r>
      <w:r w:rsidR="00082194" w:rsidRPr="00082194">
        <w:rPr>
          <w:lang w:eastAsia="ko-KR"/>
        </w:rPr>
        <w:t xml:space="preserve">xtracted from </w:t>
      </w:r>
      <w:r w:rsidR="00082194">
        <w:rPr>
          <w:rFonts w:hint="eastAsia"/>
          <w:lang w:eastAsia="ko-KR"/>
        </w:rPr>
        <w:t>e</w:t>
      </w:r>
      <w:r w:rsidR="00082194" w:rsidRPr="00082194">
        <w:rPr>
          <w:lang w:eastAsia="ko-KR"/>
        </w:rPr>
        <w:t xml:space="preserve">ach </w:t>
      </w:r>
      <w:r w:rsidR="00082194">
        <w:rPr>
          <w:rFonts w:hint="eastAsia"/>
          <w:lang w:eastAsia="ko-KR"/>
        </w:rPr>
        <w:t>s</w:t>
      </w:r>
      <w:r w:rsidR="00082194" w:rsidRPr="00082194">
        <w:rPr>
          <w:lang w:eastAsia="ko-KR"/>
        </w:rPr>
        <w:t>ource</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1967"/>
        <w:gridCol w:w="2058"/>
        <w:gridCol w:w="1729"/>
        <w:gridCol w:w="1989"/>
      </w:tblGrid>
      <w:tr w:rsidR="0027633B" w:rsidRPr="00E7406E" w14:paraId="4B7D6A6E" w14:textId="77777777" w:rsidTr="008C1641">
        <w:trPr>
          <w:trHeight w:val="520"/>
        </w:trPr>
        <w:tc>
          <w:tcPr>
            <w:tcW w:w="1802" w:type="dxa"/>
            <w:tcBorders>
              <w:top w:val="single" w:sz="4" w:space="0" w:color="auto"/>
              <w:bottom w:val="single" w:sz="4" w:space="0" w:color="auto"/>
            </w:tcBorders>
            <w:vAlign w:val="center"/>
          </w:tcPr>
          <w:p w14:paraId="73AA4028" w14:textId="2F77C507" w:rsidR="0027633B" w:rsidRPr="00E7406E" w:rsidRDefault="0027633B" w:rsidP="0027633B">
            <w:pPr>
              <w:jc w:val="center"/>
              <w:rPr>
                <w:rFonts w:cstheme="minorHAnsi"/>
                <w:sz w:val="20"/>
                <w:szCs w:val="20"/>
                <w:lang w:eastAsia="ko-KR"/>
              </w:rPr>
            </w:pPr>
            <w:r w:rsidRPr="00E7406E">
              <w:rPr>
                <w:rFonts w:cstheme="minorHAnsi"/>
                <w:sz w:val="20"/>
                <w:szCs w:val="20"/>
                <w:lang w:eastAsia="ko-KR"/>
              </w:rPr>
              <w:t>Disease</w:t>
            </w:r>
          </w:p>
        </w:tc>
        <w:tc>
          <w:tcPr>
            <w:tcW w:w="1967" w:type="dxa"/>
            <w:tcBorders>
              <w:top w:val="single" w:sz="4" w:space="0" w:color="auto"/>
              <w:bottom w:val="single" w:sz="4" w:space="0" w:color="auto"/>
            </w:tcBorders>
            <w:vAlign w:val="center"/>
          </w:tcPr>
          <w:p w14:paraId="656C446D" w14:textId="51285AB1" w:rsidR="0027633B" w:rsidRPr="00E7406E" w:rsidRDefault="00E7406E" w:rsidP="0027633B">
            <w:pPr>
              <w:jc w:val="center"/>
              <w:rPr>
                <w:rFonts w:cstheme="minorHAnsi"/>
                <w:sz w:val="20"/>
                <w:szCs w:val="20"/>
                <w:lang w:eastAsia="ko-KR"/>
              </w:rPr>
            </w:pPr>
            <w:r>
              <w:rPr>
                <w:rFonts w:cstheme="minorHAnsi" w:hint="eastAsia"/>
                <w:sz w:val="20"/>
                <w:szCs w:val="20"/>
                <w:lang w:eastAsia="ko-KR"/>
              </w:rPr>
              <w:t>Data</w:t>
            </w:r>
          </w:p>
        </w:tc>
        <w:tc>
          <w:tcPr>
            <w:tcW w:w="2058" w:type="dxa"/>
            <w:tcBorders>
              <w:top w:val="single" w:sz="4" w:space="0" w:color="auto"/>
              <w:bottom w:val="single" w:sz="4" w:space="0" w:color="auto"/>
            </w:tcBorders>
            <w:vAlign w:val="center"/>
          </w:tcPr>
          <w:p w14:paraId="0589FA38" w14:textId="38E76FF7" w:rsidR="0027633B" w:rsidRPr="00E7406E" w:rsidRDefault="0027633B" w:rsidP="0027633B">
            <w:pPr>
              <w:jc w:val="center"/>
              <w:rPr>
                <w:rFonts w:cstheme="minorHAnsi"/>
                <w:sz w:val="20"/>
                <w:szCs w:val="20"/>
                <w:lang w:eastAsia="ko-KR"/>
              </w:rPr>
            </w:pPr>
            <w:r w:rsidRPr="00E7406E">
              <w:rPr>
                <w:rFonts w:cstheme="minorHAnsi"/>
                <w:sz w:val="20"/>
                <w:szCs w:val="20"/>
                <w:lang w:eastAsia="ko-KR"/>
              </w:rPr>
              <w:t>Number of occurrence data</w:t>
            </w:r>
          </w:p>
        </w:tc>
        <w:tc>
          <w:tcPr>
            <w:tcW w:w="1729" w:type="dxa"/>
            <w:tcBorders>
              <w:top w:val="single" w:sz="4" w:space="0" w:color="auto"/>
              <w:bottom w:val="single" w:sz="4" w:space="0" w:color="auto"/>
            </w:tcBorders>
            <w:vAlign w:val="center"/>
          </w:tcPr>
          <w:p w14:paraId="1950EA0C" w14:textId="081EE387" w:rsidR="0027633B" w:rsidRPr="00E7406E" w:rsidRDefault="0027633B" w:rsidP="0027633B">
            <w:pPr>
              <w:jc w:val="center"/>
              <w:rPr>
                <w:rFonts w:cstheme="minorHAnsi"/>
                <w:sz w:val="20"/>
                <w:szCs w:val="20"/>
                <w:lang w:eastAsia="ko-KR"/>
              </w:rPr>
            </w:pPr>
            <w:r w:rsidRPr="00E7406E">
              <w:rPr>
                <w:rFonts w:cstheme="minorHAnsi"/>
                <w:sz w:val="20"/>
                <w:szCs w:val="20"/>
                <w:lang w:eastAsia="ko-KR"/>
              </w:rPr>
              <w:t>Year</w:t>
            </w:r>
            <w:r w:rsidR="00E7406E">
              <w:rPr>
                <w:rFonts w:cstheme="minorHAnsi" w:hint="eastAsia"/>
                <w:sz w:val="20"/>
                <w:szCs w:val="20"/>
                <w:lang w:eastAsia="ko-KR"/>
              </w:rPr>
              <w:t>s covered</w:t>
            </w:r>
          </w:p>
        </w:tc>
        <w:tc>
          <w:tcPr>
            <w:tcW w:w="1989" w:type="dxa"/>
            <w:tcBorders>
              <w:top w:val="single" w:sz="4" w:space="0" w:color="auto"/>
              <w:bottom w:val="single" w:sz="4" w:space="0" w:color="auto"/>
            </w:tcBorders>
            <w:vAlign w:val="center"/>
          </w:tcPr>
          <w:p w14:paraId="502F8E92" w14:textId="1299C06D" w:rsidR="0027633B" w:rsidRPr="00E7406E" w:rsidRDefault="00E7406E" w:rsidP="0027633B">
            <w:pPr>
              <w:jc w:val="center"/>
              <w:rPr>
                <w:rFonts w:cstheme="minorHAnsi"/>
                <w:sz w:val="20"/>
                <w:szCs w:val="20"/>
                <w:lang w:eastAsia="ko-KR"/>
              </w:rPr>
            </w:pPr>
            <w:r>
              <w:rPr>
                <w:rFonts w:cstheme="minorHAnsi" w:hint="eastAsia"/>
                <w:sz w:val="20"/>
                <w:szCs w:val="20"/>
                <w:lang w:eastAsia="ko-KR"/>
              </w:rPr>
              <w:t>Source</w:t>
            </w:r>
          </w:p>
        </w:tc>
      </w:tr>
      <w:tr w:rsidR="0027633B" w:rsidRPr="00E7406E" w14:paraId="204FB2E4" w14:textId="77777777" w:rsidTr="008C1641">
        <w:trPr>
          <w:trHeight w:val="520"/>
        </w:trPr>
        <w:tc>
          <w:tcPr>
            <w:tcW w:w="1802" w:type="dxa"/>
            <w:tcBorders>
              <w:top w:val="single" w:sz="4" w:space="0" w:color="auto"/>
            </w:tcBorders>
            <w:vAlign w:val="center"/>
          </w:tcPr>
          <w:p w14:paraId="2568CD50" w14:textId="7272CC34" w:rsidR="0027633B" w:rsidRPr="00E7406E" w:rsidRDefault="0027633B" w:rsidP="0027633B">
            <w:pPr>
              <w:jc w:val="center"/>
              <w:rPr>
                <w:rFonts w:cstheme="minorHAnsi"/>
                <w:sz w:val="20"/>
                <w:szCs w:val="20"/>
                <w:lang w:eastAsia="ko-KR"/>
              </w:rPr>
            </w:pPr>
            <w:r w:rsidRPr="00E7406E">
              <w:rPr>
                <w:rFonts w:cstheme="minorHAnsi"/>
                <w:sz w:val="20"/>
                <w:szCs w:val="20"/>
                <w:lang w:eastAsia="ko-KR"/>
              </w:rPr>
              <w:t>Acute viral diseases</w:t>
            </w:r>
          </w:p>
        </w:tc>
        <w:tc>
          <w:tcPr>
            <w:tcW w:w="1967" w:type="dxa"/>
            <w:tcBorders>
              <w:top w:val="single" w:sz="4" w:space="0" w:color="auto"/>
            </w:tcBorders>
          </w:tcPr>
          <w:p w14:paraId="40993740" w14:textId="159432A9" w:rsidR="0027633B" w:rsidRPr="00E7406E" w:rsidRDefault="0027633B" w:rsidP="00D50777">
            <w:pPr>
              <w:jc w:val="center"/>
              <w:rPr>
                <w:rFonts w:cstheme="minorHAnsi"/>
                <w:sz w:val="20"/>
                <w:szCs w:val="20"/>
                <w:lang w:eastAsia="ko-KR"/>
              </w:rPr>
            </w:pPr>
            <w:r w:rsidRPr="00E7406E">
              <w:rPr>
                <w:rFonts w:cstheme="minorHAnsi"/>
                <w:sz w:val="20"/>
                <w:szCs w:val="20"/>
                <w:lang w:eastAsia="ko-KR"/>
              </w:rPr>
              <w:t>Published dataset</w:t>
            </w:r>
          </w:p>
        </w:tc>
        <w:tc>
          <w:tcPr>
            <w:tcW w:w="2058" w:type="dxa"/>
            <w:tcBorders>
              <w:top w:val="single" w:sz="4" w:space="0" w:color="auto"/>
            </w:tcBorders>
          </w:tcPr>
          <w:p w14:paraId="50E96D23" w14:textId="0886141A" w:rsidR="0027633B" w:rsidRPr="00E7406E" w:rsidRDefault="0027633B" w:rsidP="00D50777">
            <w:pPr>
              <w:jc w:val="right"/>
              <w:rPr>
                <w:rFonts w:cstheme="minorHAnsi"/>
                <w:sz w:val="20"/>
                <w:szCs w:val="20"/>
                <w:lang w:eastAsia="ko-KR"/>
              </w:rPr>
            </w:pPr>
            <w:r w:rsidRPr="00E7406E">
              <w:rPr>
                <w:rFonts w:cstheme="minorHAnsi"/>
                <w:sz w:val="20"/>
                <w:szCs w:val="20"/>
                <w:lang w:eastAsia="ko-KR"/>
              </w:rPr>
              <w:t>69,426</w:t>
            </w:r>
          </w:p>
        </w:tc>
        <w:tc>
          <w:tcPr>
            <w:tcW w:w="1729" w:type="dxa"/>
            <w:tcBorders>
              <w:top w:val="single" w:sz="4" w:space="0" w:color="auto"/>
            </w:tcBorders>
          </w:tcPr>
          <w:p w14:paraId="260CBE38" w14:textId="7E8BEA35" w:rsidR="0027633B" w:rsidRPr="00E7406E" w:rsidRDefault="0027633B" w:rsidP="00D50777">
            <w:pPr>
              <w:jc w:val="center"/>
              <w:rPr>
                <w:rFonts w:cstheme="minorHAnsi"/>
                <w:sz w:val="20"/>
                <w:szCs w:val="20"/>
                <w:lang w:eastAsia="ko-KR"/>
              </w:rPr>
            </w:pPr>
            <w:r w:rsidRPr="00E7406E">
              <w:rPr>
                <w:rFonts w:cstheme="minorHAnsi"/>
                <w:sz w:val="20"/>
                <w:szCs w:val="20"/>
                <w:lang w:eastAsia="ko-KR"/>
              </w:rPr>
              <w:t>2006-2014</w:t>
            </w:r>
          </w:p>
        </w:tc>
        <w:tc>
          <w:tcPr>
            <w:tcW w:w="1989" w:type="dxa"/>
            <w:tcBorders>
              <w:top w:val="single" w:sz="4" w:space="0" w:color="auto"/>
            </w:tcBorders>
          </w:tcPr>
          <w:p w14:paraId="51EA3067" w14:textId="246EEDBB" w:rsidR="0027633B" w:rsidRPr="00E7406E" w:rsidRDefault="0027633B" w:rsidP="00D50777">
            <w:pPr>
              <w:jc w:val="center"/>
              <w:rPr>
                <w:rFonts w:cstheme="minorHAnsi"/>
                <w:sz w:val="20"/>
                <w:szCs w:val="20"/>
                <w:lang w:eastAsia="ko-KR"/>
              </w:rPr>
            </w:pPr>
            <w:r w:rsidRPr="00E7406E">
              <w:rPr>
                <w:rFonts w:cstheme="minorHAnsi"/>
                <w:sz w:val="20"/>
                <w:szCs w:val="20"/>
                <w:lang w:eastAsia="ko-KR"/>
              </w:rPr>
              <w:fldChar w:fldCharType="begin"/>
            </w:r>
            <w:r w:rsidR="00E572AD">
              <w:rPr>
                <w:rFonts w:cstheme="minorHAnsi"/>
                <w:sz w:val="20"/>
                <w:szCs w:val="20"/>
                <w:lang w:eastAsia="ko-KR"/>
              </w:rPr>
              <w:instrText xml:space="preserve"> ADDIN ZOTERO_ITEM CSL_CITATION {"citationID":"gBXf9n1o","properties":{"formattedCitation":"\\super 1\\nosupersub{}","plainCitation":"1","noteIndex":0},"citationItems":[{"id":8368,"uris":["http://zotero.org/users/9849050/items/ZN6G976L"],"itemData":{"id":8368,"type":"article-journal","abstract":"Background\nYellow fever cases are under-reported and the exact distribution of the disease is unknown. An effective vaccine is available but more information is needed about which populations within risk zones should be targeted to implement interventions. Substantial outbreaks of yellow fever in Angola, Democratic Republic of the Congo, and Brazil, coupled with the global expansion of the range of its main urban vector, Aedes aegypti, suggest that yellow fever has the propensity to spread further internationally. The aim of this study was to estimate the disease's contemporary distribution and potential for spread into new areas to help inform optimal control and prevention strategies.\nMethods\nWe assembled 1155 geographical records of yellow fever virus infection in people from 1970 to 2016. We used a Poisson point process boosted regression tree model that explicitly incorporated environmental and biological explanatory covariates, vaccination coverage, and spatial variability in disease reporting rates to predict the relative risk of apparent yellow fever virus infection at a 5 × 5 km resolution across all risk zones (47 countries across the Americas and Africa). We also used the fitted model to predict the receptivity of areas outside at-risk zones to the introduction or reintroduction of yellow fever transmission. By use of previously published estimates of annual national case numbers, we used the model to map subnational variation in incidence of yellow fever across at-risk countries and to estimate the number of cases averted by vaccination worldwide.\nFindings\nSubstantial international and subnational spatial variation exists in relative risk and incidence of yellow fever as well as varied success of vaccination in reducing incidence in several high-risk regions, including Brazil, Cameroon, and Togo. Areas with the highest predicted average annual case numbers include large parts of Nigeria, the Democratic Republic of the Congo, and South Sudan, where vaccination coverage in 2016 was estimated to be substantially less than the recommended threshold to prevent outbreaks. Overall, we estimated that vaccination coverage levels achieved by 2016 avert between 94 336 and 118 500 cases of yellow fever annually within risk zones, on the basis of conservative and optimistic vaccination scenarios. The areas outside at-risk regions with predicted high receptivity to yellow fever transmission (eg, parts of Malaysia, Indonesia, and Thailand) were less extensive than the distribution of the main urban vector, A aegypti, with low receptivity to yellow fever transmission in southern China, where A aegypti is known to occur.\nInterpretation\nOur results provide the evidence base for targeting vaccination campaigns within risk zones, as well as emphasising their high effectiveness. Our study highlights areas where public health authorities should be most vigilant for potential spread or importation events.\nFunding\nBill &amp; Melinda Gates Foundation.","container-title":"The Lancet Global Health","DOI":"10.1016/S2214-109X(18)30024-X","ISSN":"2214-109X","issue":"3","journalAbbreviation":"The Lancet Global Health","language":"en","page":"e270-e278","source":"ScienceDirect","title":"Existing and potential infection risk zones of yellow fever worldwide: a modelling analysis","title-short":"Existing and potential infection risk zones of yellow fever worldwide","volume":"6","author":[{"family":"Shearer","given":"Freya M"},{"family":"Longbottom","given":"Joshua"},{"family":"Browne","given":"Annie J"},{"family":"Pigott","given":"David M"},{"family":"Brady","given":"Oliver J"},{"family":"Kraemer","given":"Moritz U G"},{"family":"Marinho","given":"Fatima"},{"family":"Yactayo","given":"Sergio"},{"family":"Araújo","given":"Valdelaine E M","non-dropping-particle":"de"},{"family":"Nóbrega","given":"Aglaêr A","non-dropping-particle":"da"},{"family":"Fullman","given":"Nancy"},{"family":"Ray","given":"Sarah E"},{"family":"Mosser","given":"Jonathan F"},{"family":"Stanaway","given":"Jeffrey D"},{"family":"Lim","given":"Stephen S"},{"family":"Reiner","given":"Robert C"},{"family":"Moyes","given":"Catherine L"},{"family":"Hay","given":"Simon I"},{"family":"Golding","given":"Nick"}],"issued":{"date-parts":[["2018",3,1]]}}}],"schema":"https://github.com/citation-style-language/schema/raw/master/csl-citation.json"} </w:instrText>
            </w:r>
            <w:r w:rsidRPr="00E7406E">
              <w:rPr>
                <w:rFonts w:cstheme="minorHAnsi"/>
                <w:sz w:val="20"/>
                <w:szCs w:val="20"/>
                <w:lang w:eastAsia="ko-KR"/>
              </w:rPr>
              <w:fldChar w:fldCharType="separate"/>
            </w:r>
            <w:r w:rsidR="00E572AD" w:rsidRPr="00E572AD">
              <w:rPr>
                <w:rFonts w:ascii="Calibri" w:hAnsi="Calibri" w:cs="Calibri"/>
                <w:kern w:val="0"/>
                <w:sz w:val="20"/>
                <w:vertAlign w:val="superscript"/>
              </w:rPr>
              <w:t>1</w:t>
            </w:r>
            <w:r w:rsidRPr="00E7406E">
              <w:rPr>
                <w:rFonts w:cstheme="minorHAnsi"/>
                <w:sz w:val="20"/>
                <w:szCs w:val="20"/>
                <w:lang w:eastAsia="ko-KR"/>
              </w:rPr>
              <w:fldChar w:fldCharType="end"/>
            </w:r>
          </w:p>
        </w:tc>
      </w:tr>
      <w:tr w:rsidR="0027633B" w:rsidRPr="00E7406E" w14:paraId="01D13C54" w14:textId="77777777" w:rsidTr="008C1641">
        <w:trPr>
          <w:trHeight w:val="259"/>
        </w:trPr>
        <w:tc>
          <w:tcPr>
            <w:tcW w:w="1802" w:type="dxa"/>
            <w:tcBorders>
              <w:bottom w:val="single" w:sz="4" w:space="0" w:color="auto"/>
            </w:tcBorders>
            <w:vAlign w:val="center"/>
          </w:tcPr>
          <w:p w14:paraId="2C8E95A5" w14:textId="77777777" w:rsidR="0027633B" w:rsidRPr="00E7406E" w:rsidRDefault="0027633B" w:rsidP="0027633B">
            <w:pPr>
              <w:jc w:val="center"/>
              <w:rPr>
                <w:rFonts w:cstheme="minorHAnsi"/>
                <w:sz w:val="20"/>
                <w:szCs w:val="20"/>
                <w:lang w:eastAsia="ko-KR"/>
              </w:rPr>
            </w:pPr>
          </w:p>
        </w:tc>
        <w:tc>
          <w:tcPr>
            <w:tcW w:w="1967" w:type="dxa"/>
            <w:tcBorders>
              <w:bottom w:val="single" w:sz="4" w:space="0" w:color="auto"/>
            </w:tcBorders>
            <w:vAlign w:val="center"/>
          </w:tcPr>
          <w:p w14:paraId="750F92FC" w14:textId="1B2D3B5F" w:rsidR="0027633B" w:rsidRPr="00E7406E" w:rsidRDefault="0027633B" w:rsidP="0027633B">
            <w:pPr>
              <w:jc w:val="center"/>
              <w:rPr>
                <w:rFonts w:cstheme="minorHAnsi"/>
                <w:sz w:val="20"/>
                <w:szCs w:val="20"/>
                <w:lang w:eastAsia="ko-KR"/>
              </w:rPr>
            </w:pPr>
            <w:r w:rsidRPr="00E7406E">
              <w:rPr>
                <w:rFonts w:cstheme="minorHAnsi"/>
                <w:sz w:val="20"/>
                <w:szCs w:val="20"/>
                <w:lang w:eastAsia="ko-KR"/>
              </w:rPr>
              <w:t>HealthMap</w:t>
            </w:r>
          </w:p>
        </w:tc>
        <w:tc>
          <w:tcPr>
            <w:tcW w:w="2058" w:type="dxa"/>
            <w:tcBorders>
              <w:bottom w:val="single" w:sz="4" w:space="0" w:color="auto"/>
            </w:tcBorders>
            <w:vAlign w:val="center"/>
          </w:tcPr>
          <w:p w14:paraId="7186C8A7" w14:textId="147E3684" w:rsidR="0027633B" w:rsidRPr="00E7406E" w:rsidRDefault="004C1AA4" w:rsidP="0027633B">
            <w:pPr>
              <w:jc w:val="right"/>
              <w:rPr>
                <w:rFonts w:cstheme="minorHAnsi"/>
                <w:sz w:val="20"/>
                <w:szCs w:val="20"/>
                <w:lang w:eastAsia="ko-KR"/>
              </w:rPr>
            </w:pPr>
            <w:r>
              <w:rPr>
                <w:rFonts w:cstheme="minorHAnsi" w:hint="eastAsia"/>
                <w:sz w:val="20"/>
                <w:szCs w:val="20"/>
                <w:lang w:eastAsia="ko-KR"/>
              </w:rPr>
              <w:t>385,944</w:t>
            </w:r>
          </w:p>
        </w:tc>
        <w:tc>
          <w:tcPr>
            <w:tcW w:w="1729" w:type="dxa"/>
            <w:tcBorders>
              <w:bottom w:val="single" w:sz="4" w:space="0" w:color="auto"/>
            </w:tcBorders>
            <w:vAlign w:val="center"/>
          </w:tcPr>
          <w:p w14:paraId="5ACC994A" w14:textId="0FF27DC5" w:rsidR="0027633B" w:rsidRPr="00E7406E" w:rsidRDefault="0027633B" w:rsidP="0027633B">
            <w:pPr>
              <w:jc w:val="center"/>
              <w:rPr>
                <w:rFonts w:cstheme="minorHAnsi"/>
                <w:sz w:val="20"/>
                <w:szCs w:val="20"/>
                <w:lang w:eastAsia="ko-KR"/>
              </w:rPr>
            </w:pPr>
            <w:r w:rsidRPr="00E7406E">
              <w:rPr>
                <w:rFonts w:cstheme="minorHAnsi"/>
                <w:sz w:val="20"/>
                <w:szCs w:val="20"/>
                <w:lang w:eastAsia="ko-KR"/>
              </w:rPr>
              <w:t>2006-2019</w:t>
            </w:r>
          </w:p>
        </w:tc>
        <w:tc>
          <w:tcPr>
            <w:tcW w:w="1989" w:type="dxa"/>
            <w:tcBorders>
              <w:bottom w:val="single" w:sz="4" w:space="0" w:color="auto"/>
            </w:tcBorders>
            <w:vAlign w:val="center"/>
          </w:tcPr>
          <w:p w14:paraId="76219800" w14:textId="60FE0C11" w:rsidR="0027633B" w:rsidRPr="00E7406E" w:rsidRDefault="00E7406E" w:rsidP="0027633B">
            <w:pPr>
              <w:jc w:val="center"/>
              <w:rPr>
                <w:rFonts w:cstheme="minorHAnsi"/>
                <w:sz w:val="20"/>
                <w:szCs w:val="20"/>
                <w:lang w:eastAsia="ko-KR"/>
              </w:rPr>
            </w:pPr>
            <w:r w:rsidRPr="00E7406E">
              <w:rPr>
                <w:rFonts w:cstheme="minorHAnsi"/>
                <w:sz w:val="20"/>
                <w:szCs w:val="20"/>
                <w:lang w:eastAsia="ko-KR"/>
              </w:rPr>
              <w:t>www.healthmap.org</w:t>
            </w:r>
          </w:p>
        </w:tc>
      </w:tr>
      <w:tr w:rsidR="0027633B" w:rsidRPr="00E7406E" w14:paraId="70B5C1E1" w14:textId="77777777" w:rsidTr="008C1641">
        <w:trPr>
          <w:trHeight w:val="259"/>
        </w:trPr>
        <w:tc>
          <w:tcPr>
            <w:tcW w:w="1802" w:type="dxa"/>
            <w:tcBorders>
              <w:top w:val="single" w:sz="4" w:space="0" w:color="auto"/>
            </w:tcBorders>
            <w:vAlign w:val="center"/>
          </w:tcPr>
          <w:p w14:paraId="53040D99" w14:textId="3116AA99" w:rsidR="0027633B" w:rsidRPr="00E7406E" w:rsidRDefault="0027633B" w:rsidP="0027633B">
            <w:pPr>
              <w:jc w:val="center"/>
              <w:rPr>
                <w:rFonts w:cstheme="minorHAnsi"/>
                <w:sz w:val="20"/>
                <w:szCs w:val="20"/>
                <w:lang w:eastAsia="ko-KR"/>
              </w:rPr>
            </w:pPr>
            <w:r w:rsidRPr="00E7406E">
              <w:rPr>
                <w:rFonts w:cstheme="minorHAnsi"/>
                <w:sz w:val="20"/>
                <w:szCs w:val="20"/>
                <w:lang w:eastAsia="ko-KR"/>
              </w:rPr>
              <w:t>Dengue</w:t>
            </w:r>
          </w:p>
        </w:tc>
        <w:tc>
          <w:tcPr>
            <w:tcW w:w="1967" w:type="dxa"/>
            <w:tcBorders>
              <w:top w:val="single" w:sz="4" w:space="0" w:color="auto"/>
            </w:tcBorders>
            <w:vAlign w:val="center"/>
          </w:tcPr>
          <w:p w14:paraId="5D8A916E" w14:textId="22F46A06" w:rsidR="0027633B" w:rsidRPr="00E7406E" w:rsidRDefault="0027633B" w:rsidP="0027633B">
            <w:pPr>
              <w:jc w:val="center"/>
              <w:rPr>
                <w:rFonts w:cstheme="minorHAnsi"/>
                <w:sz w:val="20"/>
                <w:szCs w:val="20"/>
                <w:lang w:eastAsia="ko-KR"/>
              </w:rPr>
            </w:pPr>
            <w:r w:rsidRPr="00E7406E">
              <w:rPr>
                <w:rFonts w:cstheme="minorHAnsi"/>
                <w:sz w:val="20"/>
                <w:szCs w:val="20"/>
                <w:lang w:eastAsia="ko-KR"/>
              </w:rPr>
              <w:t>Published dataset</w:t>
            </w:r>
          </w:p>
        </w:tc>
        <w:tc>
          <w:tcPr>
            <w:tcW w:w="2058" w:type="dxa"/>
            <w:tcBorders>
              <w:top w:val="single" w:sz="4" w:space="0" w:color="auto"/>
            </w:tcBorders>
            <w:vAlign w:val="center"/>
          </w:tcPr>
          <w:p w14:paraId="27FA1A8E" w14:textId="5A230437" w:rsidR="0027633B" w:rsidRPr="00E7406E" w:rsidRDefault="0027633B" w:rsidP="0027633B">
            <w:pPr>
              <w:jc w:val="right"/>
              <w:rPr>
                <w:rFonts w:cstheme="minorHAnsi"/>
                <w:sz w:val="20"/>
                <w:szCs w:val="20"/>
                <w:lang w:eastAsia="ko-KR"/>
              </w:rPr>
            </w:pPr>
            <w:r w:rsidRPr="00E7406E">
              <w:rPr>
                <w:rFonts w:cstheme="minorHAnsi"/>
                <w:sz w:val="20"/>
                <w:szCs w:val="20"/>
                <w:lang w:eastAsia="ko-KR"/>
              </w:rPr>
              <w:t>13,604</w:t>
            </w:r>
          </w:p>
        </w:tc>
        <w:tc>
          <w:tcPr>
            <w:tcW w:w="1729" w:type="dxa"/>
            <w:tcBorders>
              <w:top w:val="single" w:sz="4" w:space="0" w:color="auto"/>
            </w:tcBorders>
            <w:vAlign w:val="center"/>
          </w:tcPr>
          <w:p w14:paraId="40D97B26" w14:textId="0DB78CAE" w:rsidR="0027633B" w:rsidRPr="00E7406E" w:rsidRDefault="0027633B" w:rsidP="0027633B">
            <w:pPr>
              <w:jc w:val="center"/>
              <w:rPr>
                <w:rFonts w:cstheme="minorHAnsi"/>
                <w:sz w:val="20"/>
                <w:szCs w:val="20"/>
                <w:lang w:eastAsia="ko-KR"/>
              </w:rPr>
            </w:pPr>
            <w:r w:rsidRPr="00E7406E">
              <w:rPr>
                <w:rFonts w:cstheme="minorHAnsi"/>
                <w:sz w:val="20"/>
                <w:szCs w:val="20"/>
                <w:lang w:eastAsia="ko-KR"/>
              </w:rPr>
              <w:t>1960-2015</w:t>
            </w:r>
          </w:p>
        </w:tc>
        <w:tc>
          <w:tcPr>
            <w:tcW w:w="1989" w:type="dxa"/>
            <w:tcBorders>
              <w:top w:val="single" w:sz="4" w:space="0" w:color="auto"/>
            </w:tcBorders>
            <w:vAlign w:val="center"/>
          </w:tcPr>
          <w:p w14:paraId="7256382B" w14:textId="03009229" w:rsidR="0027633B" w:rsidRPr="00E7406E" w:rsidRDefault="0027633B" w:rsidP="0027633B">
            <w:pPr>
              <w:jc w:val="center"/>
              <w:rPr>
                <w:rFonts w:cstheme="minorHAnsi"/>
                <w:sz w:val="20"/>
                <w:szCs w:val="20"/>
                <w:lang w:eastAsia="ko-KR"/>
              </w:rPr>
            </w:pPr>
            <w:r w:rsidRPr="00E7406E">
              <w:rPr>
                <w:rFonts w:cstheme="minorHAnsi"/>
                <w:sz w:val="20"/>
                <w:szCs w:val="20"/>
                <w:lang w:eastAsia="ko-KR"/>
              </w:rPr>
              <w:fldChar w:fldCharType="begin"/>
            </w:r>
            <w:r w:rsidR="00E572AD">
              <w:rPr>
                <w:rFonts w:cstheme="minorHAnsi"/>
                <w:sz w:val="20"/>
                <w:szCs w:val="20"/>
                <w:lang w:eastAsia="ko-KR"/>
              </w:rPr>
              <w:instrText xml:space="preserve"> ADDIN ZOTERO_ITEM CSL_CITATION {"citationID":"q0suGMXO","properties":{"formattedCitation":"\\super 2\\nosupersub{}","plainCitation":"2","noteIndex":0},"citationItems":[{"id":8180,"uris":["http://zotero.org/users/9849050/items/PM6BZC9F"],"itemData":{"id":8180,"type":"article-journal","abstract":"Dengue is a mosquito-borne viral infection that has spread throughout the tropical world over the past 60 years and now affects over half the world’s population. The geographical range of dengue is expected to further expand due to ongoing global phenomena including climate change and urbanization. We applied statistical mapping techniques to the most extensive database of case locations to date to predict global environmental suitability for the virus as of 2015. We then made use of climate, population and socioeconomic projections for the years 2020, 2050 and 2080 to project future changes in virus suitability and human population at risk. This study is the first to consider the spread of Aedes mosquito vectors to project dengue suitability. Our projections provide a key missing piece of evidence for the changing global threat of vector-borne disease and will help decision-makers worldwide to better prepare for and respond to future changes in dengue risk.","container-title":"Nature Microbiology","DOI":"10.1038/s41564-019-0476-8","ISSN":"2058-5276","issue":"9","journalAbbreviation":"Nat Microbiol","language":"en","license":"2019 The Author(s), under exclusive licence to Springer Nature Limited","note":"number: 9\npublisher: Nature Publishing Group","page":"1508-1515","source":"www.nature.com","title":"The current and future global distribution and population at risk of dengue","volume":"4","author":[{"family":"Messina","given":"Jane P."},{"family":"Brady","given":"Oliver J."},{"family":"Golding","given":"Nick"},{"family":"Kraemer","given":"Moritz U. G."},{"family":"Wint","given":"G. R. William"},{"family":"Ray","given":"Sarah E."},{"family":"Pigott","given":"David M."},{"family":"Shearer","given":"Freya M."},{"family":"Johnson","given":"Kimberly"},{"family":"Earl","given":"Lucas"},{"family":"Marczak","given":"Laurie B."},{"family":"Shirude","given":"Shreya"},{"family":"Davis Weaver","given":"Nicole"},{"family":"Gilbert","given":"Marius"},{"family":"Velayudhan","given":"Raman"},{"family":"Jones","given":"Peter"},{"family":"Jaenisch","given":"Thomas"},{"family":"Scott","given":"Thomas W."},{"family":"Reiner","given":"Robert C."},{"family":"Hay","given":"Simon I."}],"issued":{"date-parts":[["2019",9]]}}}],"schema":"https://github.com/citation-style-language/schema/raw/master/csl-citation.json"} </w:instrText>
            </w:r>
            <w:r w:rsidRPr="00E7406E">
              <w:rPr>
                <w:rFonts w:cstheme="minorHAnsi"/>
                <w:sz w:val="20"/>
                <w:szCs w:val="20"/>
                <w:lang w:eastAsia="ko-KR"/>
              </w:rPr>
              <w:fldChar w:fldCharType="separate"/>
            </w:r>
            <w:r w:rsidR="00E572AD" w:rsidRPr="00E572AD">
              <w:rPr>
                <w:rFonts w:ascii="Calibri" w:hAnsi="Calibri" w:cs="Calibri"/>
                <w:kern w:val="0"/>
                <w:sz w:val="20"/>
                <w:vertAlign w:val="superscript"/>
              </w:rPr>
              <w:t>2</w:t>
            </w:r>
            <w:r w:rsidRPr="00E7406E">
              <w:rPr>
                <w:rFonts w:cstheme="minorHAnsi"/>
                <w:sz w:val="20"/>
                <w:szCs w:val="20"/>
                <w:lang w:eastAsia="ko-KR"/>
              </w:rPr>
              <w:fldChar w:fldCharType="end"/>
            </w:r>
          </w:p>
        </w:tc>
      </w:tr>
      <w:tr w:rsidR="00E7406E" w:rsidRPr="00E7406E" w14:paraId="389DB7C1" w14:textId="77777777" w:rsidTr="008C1641">
        <w:trPr>
          <w:trHeight w:val="259"/>
        </w:trPr>
        <w:tc>
          <w:tcPr>
            <w:tcW w:w="1802" w:type="dxa"/>
            <w:vAlign w:val="center"/>
          </w:tcPr>
          <w:p w14:paraId="07DBC31D" w14:textId="77777777" w:rsidR="00E7406E" w:rsidRPr="00E7406E" w:rsidRDefault="00E7406E" w:rsidP="00E7406E">
            <w:pPr>
              <w:jc w:val="center"/>
              <w:rPr>
                <w:rFonts w:cstheme="minorHAnsi"/>
                <w:sz w:val="20"/>
                <w:szCs w:val="20"/>
                <w:lang w:eastAsia="ko-KR"/>
              </w:rPr>
            </w:pPr>
          </w:p>
        </w:tc>
        <w:tc>
          <w:tcPr>
            <w:tcW w:w="1967" w:type="dxa"/>
            <w:vAlign w:val="center"/>
          </w:tcPr>
          <w:p w14:paraId="14D8D214" w14:textId="7EACAB86" w:rsidR="00E7406E" w:rsidRPr="00E7406E" w:rsidRDefault="00E7406E" w:rsidP="00E7406E">
            <w:pPr>
              <w:jc w:val="center"/>
              <w:rPr>
                <w:rFonts w:cstheme="minorHAnsi"/>
                <w:sz w:val="20"/>
                <w:szCs w:val="20"/>
                <w:lang w:eastAsia="ko-KR"/>
              </w:rPr>
            </w:pPr>
            <w:r w:rsidRPr="00E7406E">
              <w:rPr>
                <w:rFonts w:cstheme="minorHAnsi"/>
                <w:sz w:val="20"/>
                <w:szCs w:val="20"/>
                <w:lang w:eastAsia="ko-KR"/>
              </w:rPr>
              <w:t>HealthMap</w:t>
            </w:r>
          </w:p>
        </w:tc>
        <w:tc>
          <w:tcPr>
            <w:tcW w:w="2058" w:type="dxa"/>
            <w:vAlign w:val="center"/>
          </w:tcPr>
          <w:p w14:paraId="5D0018FD" w14:textId="05A73C09" w:rsidR="00E7406E" w:rsidRPr="00E7406E" w:rsidRDefault="00E7406E" w:rsidP="00E7406E">
            <w:pPr>
              <w:jc w:val="right"/>
              <w:rPr>
                <w:rFonts w:cstheme="minorHAnsi"/>
                <w:sz w:val="20"/>
                <w:szCs w:val="20"/>
                <w:lang w:eastAsia="ko-KR"/>
              </w:rPr>
            </w:pPr>
            <w:r w:rsidRPr="00E7406E">
              <w:rPr>
                <w:rFonts w:cstheme="minorHAnsi"/>
                <w:sz w:val="20"/>
                <w:szCs w:val="20"/>
                <w:lang w:eastAsia="ko-KR"/>
              </w:rPr>
              <w:t>23,527</w:t>
            </w:r>
          </w:p>
        </w:tc>
        <w:tc>
          <w:tcPr>
            <w:tcW w:w="1729" w:type="dxa"/>
            <w:vAlign w:val="center"/>
          </w:tcPr>
          <w:p w14:paraId="67CB85F0" w14:textId="0EE281D3" w:rsidR="00E7406E" w:rsidRPr="00E7406E" w:rsidRDefault="00E7406E" w:rsidP="00E7406E">
            <w:pPr>
              <w:jc w:val="center"/>
              <w:rPr>
                <w:rFonts w:cstheme="minorHAnsi"/>
                <w:sz w:val="20"/>
                <w:szCs w:val="20"/>
                <w:lang w:eastAsia="ko-KR"/>
              </w:rPr>
            </w:pPr>
            <w:r w:rsidRPr="00E7406E">
              <w:rPr>
                <w:rFonts w:cstheme="minorHAnsi"/>
                <w:sz w:val="20"/>
                <w:szCs w:val="20"/>
                <w:lang w:eastAsia="ko-KR"/>
              </w:rPr>
              <w:t>2015-2019</w:t>
            </w:r>
          </w:p>
        </w:tc>
        <w:tc>
          <w:tcPr>
            <w:tcW w:w="1989" w:type="dxa"/>
            <w:vAlign w:val="center"/>
          </w:tcPr>
          <w:p w14:paraId="05DE34D6" w14:textId="26B8AFC7" w:rsidR="00E7406E" w:rsidRPr="00E7406E" w:rsidRDefault="00E7406E" w:rsidP="00E7406E">
            <w:pPr>
              <w:jc w:val="center"/>
              <w:rPr>
                <w:rFonts w:cstheme="minorHAnsi"/>
                <w:sz w:val="20"/>
                <w:szCs w:val="20"/>
                <w:lang w:eastAsia="ko-KR"/>
              </w:rPr>
            </w:pPr>
            <w:r w:rsidRPr="00E7406E">
              <w:rPr>
                <w:rFonts w:cstheme="minorHAnsi"/>
                <w:sz w:val="20"/>
                <w:szCs w:val="20"/>
                <w:lang w:eastAsia="ko-KR"/>
              </w:rPr>
              <w:t>www.healthmap.org</w:t>
            </w:r>
          </w:p>
        </w:tc>
      </w:tr>
      <w:tr w:rsidR="00E7406E" w:rsidRPr="00E7406E" w14:paraId="0B8FB539" w14:textId="77777777" w:rsidTr="008C1641">
        <w:trPr>
          <w:trHeight w:val="259"/>
        </w:trPr>
        <w:tc>
          <w:tcPr>
            <w:tcW w:w="1802" w:type="dxa"/>
            <w:tcBorders>
              <w:bottom w:val="single" w:sz="4" w:space="0" w:color="auto"/>
            </w:tcBorders>
            <w:vAlign w:val="center"/>
          </w:tcPr>
          <w:p w14:paraId="6D3B5641" w14:textId="77777777" w:rsidR="00E7406E" w:rsidRPr="00E7406E" w:rsidRDefault="00E7406E" w:rsidP="00E7406E">
            <w:pPr>
              <w:jc w:val="center"/>
              <w:rPr>
                <w:rFonts w:cstheme="minorHAnsi"/>
                <w:sz w:val="20"/>
                <w:szCs w:val="20"/>
                <w:lang w:eastAsia="ko-KR"/>
              </w:rPr>
            </w:pPr>
          </w:p>
        </w:tc>
        <w:tc>
          <w:tcPr>
            <w:tcW w:w="1967" w:type="dxa"/>
            <w:tcBorders>
              <w:bottom w:val="single" w:sz="4" w:space="0" w:color="auto"/>
            </w:tcBorders>
            <w:vAlign w:val="center"/>
          </w:tcPr>
          <w:p w14:paraId="1868FC91" w14:textId="1DAF3D2C" w:rsidR="00E7406E" w:rsidRPr="00E7406E" w:rsidRDefault="00E7406E" w:rsidP="00E7406E">
            <w:pPr>
              <w:jc w:val="center"/>
              <w:rPr>
                <w:rFonts w:cstheme="minorHAnsi"/>
                <w:sz w:val="20"/>
                <w:szCs w:val="20"/>
                <w:lang w:eastAsia="ko-KR"/>
              </w:rPr>
            </w:pPr>
            <w:r w:rsidRPr="00E7406E">
              <w:rPr>
                <w:rFonts w:cstheme="minorHAnsi"/>
                <w:sz w:val="20"/>
                <w:szCs w:val="20"/>
                <w:lang w:eastAsia="ko-KR"/>
              </w:rPr>
              <w:t>Others</w:t>
            </w:r>
          </w:p>
        </w:tc>
        <w:tc>
          <w:tcPr>
            <w:tcW w:w="2058" w:type="dxa"/>
            <w:tcBorders>
              <w:bottom w:val="single" w:sz="4" w:space="0" w:color="auto"/>
            </w:tcBorders>
            <w:vAlign w:val="center"/>
          </w:tcPr>
          <w:p w14:paraId="0EAE1162" w14:textId="0440D23C" w:rsidR="00E7406E" w:rsidRPr="00E7406E" w:rsidRDefault="00E7406E" w:rsidP="00E7406E">
            <w:pPr>
              <w:jc w:val="right"/>
              <w:rPr>
                <w:rFonts w:cstheme="minorHAnsi"/>
                <w:sz w:val="20"/>
                <w:szCs w:val="20"/>
                <w:lang w:eastAsia="ko-KR"/>
              </w:rPr>
            </w:pPr>
            <w:r w:rsidRPr="00E7406E">
              <w:rPr>
                <w:rFonts w:cstheme="minorHAnsi"/>
                <w:sz w:val="20"/>
                <w:szCs w:val="20"/>
                <w:lang w:eastAsia="ko-KR"/>
              </w:rPr>
              <w:t>96</w:t>
            </w:r>
          </w:p>
        </w:tc>
        <w:tc>
          <w:tcPr>
            <w:tcW w:w="1729" w:type="dxa"/>
            <w:tcBorders>
              <w:bottom w:val="single" w:sz="4" w:space="0" w:color="auto"/>
            </w:tcBorders>
            <w:vAlign w:val="center"/>
          </w:tcPr>
          <w:p w14:paraId="46DD93C0" w14:textId="3DD3AF47" w:rsidR="00E7406E" w:rsidRPr="00E7406E" w:rsidRDefault="00E7406E" w:rsidP="00E7406E">
            <w:pPr>
              <w:jc w:val="center"/>
              <w:rPr>
                <w:rFonts w:cstheme="minorHAnsi"/>
                <w:sz w:val="20"/>
                <w:szCs w:val="20"/>
                <w:lang w:eastAsia="ko-KR"/>
              </w:rPr>
            </w:pPr>
            <w:r w:rsidRPr="00E7406E">
              <w:rPr>
                <w:rFonts w:cstheme="minorHAnsi"/>
                <w:sz w:val="20"/>
                <w:szCs w:val="20"/>
                <w:lang w:eastAsia="ko-KR"/>
              </w:rPr>
              <w:t>2015-2024</w:t>
            </w:r>
          </w:p>
        </w:tc>
        <w:tc>
          <w:tcPr>
            <w:tcW w:w="1989" w:type="dxa"/>
            <w:tcBorders>
              <w:bottom w:val="single" w:sz="4" w:space="0" w:color="auto"/>
            </w:tcBorders>
            <w:vAlign w:val="center"/>
          </w:tcPr>
          <w:p w14:paraId="3D79FA9A" w14:textId="7577D636" w:rsidR="00E7406E" w:rsidRPr="00E7406E" w:rsidRDefault="00E7406E" w:rsidP="00E7406E">
            <w:pPr>
              <w:jc w:val="center"/>
              <w:rPr>
                <w:rFonts w:cstheme="minorHAnsi"/>
                <w:sz w:val="20"/>
                <w:szCs w:val="20"/>
                <w:lang w:eastAsia="ko-KR"/>
              </w:rPr>
            </w:pPr>
            <w:r>
              <w:rPr>
                <w:rFonts w:cstheme="minorHAnsi"/>
                <w:sz w:val="20"/>
                <w:szCs w:val="20"/>
                <w:lang w:eastAsia="ko-KR"/>
              </w:rPr>
              <w:fldChar w:fldCharType="begin"/>
            </w:r>
            <w:r w:rsidR="00E572AD">
              <w:rPr>
                <w:rFonts w:cstheme="minorHAnsi"/>
                <w:sz w:val="20"/>
                <w:szCs w:val="20"/>
                <w:lang w:eastAsia="ko-KR"/>
              </w:rPr>
              <w:instrText xml:space="preserve"> ADDIN ZOTERO_ITEM CSL_CITATION {"citationID":"rAA8twah","properties":{"formattedCitation":"\\super 3\\uc0\\u8211{}8\\nosupersub{}","plainCitation":"3–8","noteIndex":0},"citationItems":[{"id":12315,"uris":["http://zotero.org/users/9849050/items/FDRV7TSL"],"itemData":{"id":12315,"type":"webpage","abstract":"Information on autochthonous vectorial transmission of dengue in mainland EU/EEA, including location, period, number of cases, virus serotype and mode of transmission.","language":"en","title":"Autochthonous vectorial transmission of dengue virus in mainland EU/EEA, 2010-present","URL":"https://www.ecdc.europa.eu/en/all-topics-z/dengue/surveillance-and-disease-data/autochthonous-transmission-dengue-virus-eueea","author":[{"literal":"ECDC"}],"accessed":{"date-parts":[["2023",11,24]]},"issued":{"date-parts":[["2023",10,31]]}}},{"id":12880,"uris":["http://zotero.org/users/9849050/items/33VBB4SY"],"itemData":{"id":12880,"type":"webpage","abstract":"</w:instrText>
            </w:r>
            <w:r w:rsidR="00E572AD">
              <w:rPr>
                <w:rFonts w:cstheme="minorHAnsi" w:hint="eastAsia"/>
                <w:sz w:val="20"/>
                <w:szCs w:val="20"/>
                <w:lang w:eastAsia="ko-KR"/>
              </w:rPr>
              <w:instrText>世</w:instrText>
            </w:r>
            <w:r w:rsidR="00E572AD">
              <w:rPr>
                <w:rFonts w:ascii="SimSun" w:eastAsia="SimSun" w:hAnsi="SimSun" w:cs="SimSun" w:hint="eastAsia"/>
                <w:sz w:val="20"/>
                <w:szCs w:val="20"/>
                <w:lang w:eastAsia="ko-KR"/>
              </w:rPr>
              <w:instrText>卫组织</w:instrText>
            </w:r>
            <w:r w:rsidR="00E572AD">
              <w:rPr>
                <w:rFonts w:ascii="Batang" w:hAnsi="Batang" w:cs="Batang" w:hint="eastAsia"/>
                <w:sz w:val="20"/>
                <w:szCs w:val="20"/>
                <w:lang w:eastAsia="ko-KR"/>
              </w:rPr>
              <w:instrText>最新疾病暴</w:instrText>
            </w:r>
            <w:r w:rsidR="00E572AD">
              <w:rPr>
                <w:rFonts w:ascii="SimSun" w:eastAsia="SimSun" w:hAnsi="SimSun" w:cs="SimSun" w:hint="eastAsia"/>
                <w:sz w:val="20"/>
                <w:szCs w:val="20"/>
                <w:lang w:eastAsia="ko-KR"/>
              </w:rPr>
              <w:instrText>发</w:instrText>
            </w:r>
            <w:r w:rsidR="00E572AD">
              <w:rPr>
                <w:rFonts w:ascii="Batang" w:hAnsi="Batang" w:cs="Batang" w:hint="eastAsia"/>
                <w:sz w:val="20"/>
                <w:szCs w:val="20"/>
                <w:lang w:eastAsia="ko-KR"/>
              </w:rPr>
              <w:instrText>新</w:instrText>
            </w:r>
            <w:r w:rsidR="00E572AD">
              <w:rPr>
                <w:rFonts w:ascii="SimSun" w:eastAsia="SimSun" w:hAnsi="SimSun" w:cs="SimSun" w:hint="eastAsia"/>
                <w:sz w:val="20"/>
                <w:szCs w:val="20"/>
                <w:lang w:eastAsia="ko-KR"/>
              </w:rPr>
              <w:instrText>闻</w:instrText>
            </w:r>
            <w:r w:rsidR="00E572AD">
              <w:rPr>
                <w:rFonts w:ascii="Batang" w:hAnsi="Batang" w:cs="Batang" w:hint="eastAsia"/>
                <w:sz w:val="20"/>
                <w:szCs w:val="20"/>
                <w:lang w:eastAsia="ko-KR"/>
              </w:rPr>
              <w:instrText>，提供</w:instrText>
            </w:r>
            <w:r w:rsidR="00E572AD">
              <w:rPr>
                <w:rFonts w:ascii="MS Gothic" w:eastAsia="MS Gothic" w:hAnsi="MS Gothic" w:cs="MS Gothic" w:hint="eastAsia"/>
                <w:sz w:val="20"/>
                <w:szCs w:val="20"/>
                <w:lang w:eastAsia="ko-KR"/>
              </w:rPr>
              <w:instrText>关</w:instrText>
            </w:r>
            <w:r w:rsidR="00E572AD">
              <w:rPr>
                <w:rFonts w:ascii="Batang" w:hAnsi="Batang" w:cs="Batang" w:hint="eastAsia"/>
                <w:sz w:val="20"/>
                <w:szCs w:val="20"/>
                <w:lang w:eastAsia="ko-KR"/>
              </w:rPr>
              <w:instrText>于已确</w:instrText>
            </w:r>
            <w:r w:rsidR="00E572AD">
              <w:rPr>
                <w:rFonts w:ascii="SimSun" w:eastAsia="SimSun" w:hAnsi="SimSun" w:cs="SimSun" w:hint="eastAsia"/>
                <w:sz w:val="20"/>
                <w:szCs w:val="20"/>
                <w:lang w:eastAsia="ko-KR"/>
              </w:rPr>
              <w:instrText>认</w:instrText>
            </w:r>
            <w:r w:rsidR="00E572AD">
              <w:rPr>
                <w:rFonts w:ascii="Batang" w:hAnsi="Batang" w:cs="Batang" w:hint="eastAsia"/>
                <w:sz w:val="20"/>
                <w:szCs w:val="20"/>
                <w:lang w:eastAsia="ko-KR"/>
              </w:rPr>
              <w:instrText>的</w:instrText>
            </w:r>
            <w:r w:rsidR="00E572AD">
              <w:rPr>
                <w:rFonts w:ascii="SimSun" w:eastAsia="SimSun" w:hAnsi="SimSun" w:cs="SimSun" w:hint="eastAsia"/>
                <w:sz w:val="20"/>
                <w:szCs w:val="20"/>
                <w:lang w:eastAsia="ko-KR"/>
              </w:rPr>
              <w:instrText>紧</w:instrText>
            </w:r>
            <w:r w:rsidR="00E572AD">
              <w:rPr>
                <w:rFonts w:ascii="Batang" w:hAnsi="Batang" w:cs="Batang" w:hint="eastAsia"/>
                <w:sz w:val="20"/>
                <w:szCs w:val="20"/>
                <w:lang w:eastAsia="ko-KR"/>
              </w:rPr>
              <w:instrText>急公共</w:instrText>
            </w:r>
            <w:r w:rsidR="00E572AD">
              <w:rPr>
                <w:rFonts w:ascii="SimSun" w:eastAsia="SimSun" w:hAnsi="SimSun" w:cs="SimSun" w:hint="eastAsia"/>
                <w:sz w:val="20"/>
                <w:szCs w:val="20"/>
                <w:lang w:eastAsia="ko-KR"/>
              </w:rPr>
              <w:instrText>卫</w:instrText>
            </w:r>
            <w:r w:rsidR="00E572AD">
              <w:rPr>
                <w:rFonts w:ascii="Batang" w:hAnsi="Batang" w:cs="Batang" w:hint="eastAsia"/>
                <w:sz w:val="20"/>
                <w:szCs w:val="20"/>
                <w:lang w:eastAsia="ko-KR"/>
              </w:rPr>
              <w:instrText>生事件或引起</w:instrText>
            </w:r>
            <w:r w:rsidR="00E572AD">
              <w:rPr>
                <w:rFonts w:ascii="MS Gothic" w:eastAsia="MS Gothic" w:hAnsi="MS Gothic" w:cs="MS Gothic" w:hint="eastAsia"/>
                <w:sz w:val="20"/>
                <w:szCs w:val="20"/>
                <w:lang w:eastAsia="ko-KR"/>
              </w:rPr>
              <w:instrText>关</w:instrText>
            </w:r>
            <w:r w:rsidR="00E572AD">
              <w:rPr>
                <w:rFonts w:ascii="Batang" w:hAnsi="Batang" w:cs="Batang" w:hint="eastAsia"/>
                <w:sz w:val="20"/>
                <w:szCs w:val="20"/>
                <w:lang w:eastAsia="ko-KR"/>
              </w:rPr>
              <w:instrText>注的潜在事件的信息。</w:instrText>
            </w:r>
            <w:r w:rsidR="00E572AD">
              <w:rPr>
                <w:rFonts w:cstheme="minorHAnsi"/>
                <w:sz w:val="20"/>
                <w:szCs w:val="20"/>
                <w:lang w:eastAsia="ko-KR"/>
              </w:rPr>
              <w:instrText xml:space="preserve">","language":"en","title":"Disease Outbreak News","URL":"https://www.who.int/emergencies/disease-outbreak-news","accessed":{"date-parts":[["2024",4,11]]}}},{"id":12887,"uris":["http://zotero.org/users/9849050/items/8J5HWCFL"],"itemData":{"id":12887,"type":"webpage","title":"Frequent Import and Multiple Sources of Dengue Fever have Changed the Epidemic Situation of the Disease in Fujian Province, China","URL":"https://www.besjournal.com/en/article/doi/10.3967/bes2020.016","accessed":{"date-parts":[["2024",4,11]]}},"label":"page"},{"id":12884,"uris":["http://zotero.org/users/9849050/items/Q6E6CTNI"],"itemData":{"id":12884,"type":"article-journal","abstract":"Objective\nAutochthonous transmission of the dengue virus (DENV) occurred each year from 2014 to 2018 in Zhejiang province, and became an emerging public health problem. We characterized the autochthonous transmission of the DENV and traced the source of infection for further control and prevention of dengue.\n\nMethods\nDescriptive and spatiotemporal cluster analyses were conducted to characterize the epidemiology of autochthonous transmission of the DENV. Molecular epidemiology was used to identify the infection source.\n\nResults\nIn total, 1,654 indigenous cases and 12 outbreaks, with no deaths, were reported during 2004–2018. Before 2017, all outbreaks occurred in suburban areas. During 2017–2018, five out of eight outbreaks occurred in urban areas. The median duration of outbreaks (28 days) in 2017–2018 was shortened significantly (P = 0.028) in comparison with that in 2004–2016 (71 days). The median onset-visiting time, visiting-confirmation time, and onset-confirmation time was 1, 3, and 4 days, respectively. The DENV serotypes responsible for autochthonous transmission in Zhejiang Province were DENV 1, DENV 2, and DENV 3, with DENV 1 being the most frequently reported. Southeast Asia was the predominant source of indigenous infection.\n\nConclusions\nZhejiang Province witnessed an increase in the frequency, incidence, and geographic expansion of indigenous Dengue cases in recent years. The more developed coastal and central region of Zhejiang Province was impacted the most.","container-title":"Frontiers in Public Health","DOI":"10.3389/fpubh.2022.857911","ISSN":"2296-2565","journalAbbreviation":"Front Public Health","note":"PMID: 35493348\nPMCID: PMC9046573","page":"857911","source":"PubMed Central","title":"Epidemiology of Indigenous Dengue Cases in Zhejiang Province, Southeast China","volume":"10","author":[{"family":"Ren","given":"Jiangping"},{"family":"Chen","given":"Zhiping"},{"family":"Ling","given":"Feng"},{"family":"Huang","given":"Yangmei"},{"family":"Gong","given":"Zhenyu"},{"family":"Liu","given":"Ying"},{"family":"Mao","given":"Zhiyuan"},{"family":"Lin","given":"Chunping"},{"family":"Yan","given":"Hao"},{"family":"Shi","given":"Xuguang"},{"family":"Zhang","given":"Rong"},{"family":"Guo","given":"Song"},{"family":"Chen","given":"Enfu"},{"family":"Wang","given":"Zhen"},{"family":"Sun","given":"Jimin"}],"issued":{"date-parts":[["2022",4,14]]}}},{"id":12890,"uris":["http://zotero.org/users/9849050/items/LB9DVG7Y"],"itemData":{"id":12890,"type":"article-journal","abstract":"Dengue imposes a heavy economic burden on families and society. We used surveillance data reported in 2019 to characterize the dengue epidemic in Zhejiang Province, China, which provided guidance for dengue prevention and control. Dengue epidemics mostly occurred in July to October. People aged 30–44 years, males, and commercial service workers were more likely to suffer from dengue. The epidemic areas were mainly in Hangzhou and Wenzhou. Meanwhile, we assessed the economic cost of dengue in the province from both family and organizational perspectives. The direct economic burden of dengue patients was estimated to be USD 405,038.25, and the indirect economic burden was USD 140,364.90, for a total economic burden of USD 543,213.00. The direct economic burden of dengue patients should be reduced by increasing the coverage and reimbursement of health insurance. Additionally, the total annual cost of dengue prevention and control for the government and organizational sectors was estimated to be USD 7075,654.83. Quantifying the dengue burden is critical for developing disease control strategies, allocating public health resources, and setting health policy priorities.","container-title":"Viruses","DOI":"10.3390/v15081731","ISSN":"1999-4915","issue":"8","language":"en","license":"http://creativecommons.org/licenses/by/3.0/","note":"number: 8\npublisher: Multidisciplinary Digital Publishing Institute","page":"1731","source":"www.mdpi.com","title":"Epidemiological Characteristics and Economic Burden of Dengue in Zhejiang Province, China","volume":"15","author":[{"family":"Yu","given":"Yi"},{"family":"Liu","given":"Ying"},{"family":"Ling","given":"Feng"},{"family":"Sun","given":"Jimin"},{"family":"Jiang","given":"Jianmin"}],"issued":{"date-parts":[["2023",8]]}}},{"id":12888,"uris":["http://zotero.org/users/9849050/items/PCM68HPZ"],"itemData":{"id":12888,"type":"article-journal","abstract":"&lt;sec&gt;&lt;title&gt;Introduction&lt;/title&gt;&lt;p&gt;In 2019, China experienced massive dengue outbreaks with high incidence and expanded outbreak areas. The study aims to depict dengue’s epidemiology and evolutionary dynamics in China and explore the possible origin of these outbreaks.&lt;/p&gt;&lt;/sec&gt;&lt;sec&gt;&lt;title&gt;Methods&lt;/title&gt;&lt;p&gt;Records of confirmed dengue cases in 2019 were obtained from the China Notifiable Disease Surveillance System. The sequences of complete envelope gene detected from the outbreak provinces in China in 2019 were retrieved from GenBank. Maximum Likelihood trees were constructed to genotype the viruses. The median-joining network was used to visualize fine-scale genetic relationships. Four methods were used to estimate the selective pressure.&lt;/p&gt;&lt;/sec&gt;&lt;sec&gt;&lt;title&gt;Results&lt;/title&gt;&lt;p&gt;A total of 22,688 dengue cases were reported, 71.4% of which were indigenous cases and 28.6% were imported cases (including from abroad and from other domestic provinces). The abroad cases were predominantly imported from Southeast Asia countries (94.6%), with Cambodia (3,234 cases, 58.9%), and Myanmar (1,097 cases, 20.0%) ranked as the top two. A total of 11 provinces with dengue outbreaks were identified in the central-south of China, of which Yunnan and Guangdong provinces had the highest number of imported and indigenous cases. The primary source of imported cases in Yunnan was from Myanmar, while in the other ten provinces, the majority of imported cases were from Cambodia. Guangdong, Yunnan and Guangxi provinces were China’s primary sources of domestically imported cases. Phylogenetic analysis of the viruses in outbreak provinces revealed three genotypes: (I, IV, and V) in DENV 1, Cosmopolitan and Asian I genotypes in DENV 2, and two genotypes (I and III) in DENV 3. Some genotypes concurrently circulated in different outbreak provinces. Most of the viruses were clustered with those from Southeast Asia. Haplotype network analysis showed that Southeast Asia, possibly Cambodia and Thailand, was the respective origin of the viruses in clade 1 and 4 for DENV 1. Positive selection was detected at codon 386 in clade 1.&lt;/p&gt;&lt;/sec&gt;&lt;sec&gt;&lt;title&gt;Conclusion&lt;/title&gt;&lt;p&gt;Dengue importation from abroad, especially from Southeast Asia, resulted in the dengue epidemic in China in 2019. Domestic transmission between provinces and positive selection on virus evolution may contribute to the massive dengue outbreaks.&lt;/p&gt;&lt;/sec&gt;","container-title":"Frontiers in Microbiology","DOI":"10.3389/fmicb.2023.1156176","ISSN":"1664-302X","journalAbbreviation":"Front. Microbiol.","language":"English","note":"publisher: Frontiers","source":"Frontiers","title":"The epidemiology and evolutionary dynamics of massive dengue outbreak in China, 2019","URL":"https://www.frontiersin.org/journals/microbiology/articles/10.3389/fmicb.2023.1156176/full","volume":"14","author":[{"family":"Sang","given":"Shaowei"},{"family":"Yue","given":"Yujuan"},{"family":"Wang","given":"Yiguan"},{"family":"Zhang","given":"Xiangwei"}],"accessed":{"date-parts":[["2024",4,11]]},"issued":{"date-parts":[["2023",4,17]]}}}],"schema":"https://github.com/citation-style-language/schema/raw/master/csl-citation.json"} </w:instrText>
            </w:r>
            <w:r>
              <w:rPr>
                <w:rFonts w:cstheme="minorHAnsi"/>
                <w:sz w:val="20"/>
                <w:szCs w:val="20"/>
                <w:lang w:eastAsia="ko-KR"/>
              </w:rPr>
              <w:fldChar w:fldCharType="separate"/>
            </w:r>
            <w:r w:rsidR="00E572AD" w:rsidRPr="00E572AD">
              <w:rPr>
                <w:rFonts w:ascii="Calibri" w:hAnsi="Calibri" w:cs="Calibri"/>
                <w:kern w:val="0"/>
                <w:sz w:val="20"/>
                <w:vertAlign w:val="superscript"/>
              </w:rPr>
              <w:t>3–8</w:t>
            </w:r>
            <w:r>
              <w:rPr>
                <w:rFonts w:cstheme="minorHAnsi"/>
                <w:sz w:val="20"/>
                <w:szCs w:val="20"/>
                <w:lang w:eastAsia="ko-KR"/>
              </w:rPr>
              <w:fldChar w:fldCharType="end"/>
            </w:r>
          </w:p>
        </w:tc>
      </w:tr>
      <w:tr w:rsidR="00E7406E" w:rsidRPr="00E7406E" w14:paraId="1C87ACAE" w14:textId="77777777" w:rsidTr="008C1641">
        <w:trPr>
          <w:trHeight w:val="259"/>
        </w:trPr>
        <w:tc>
          <w:tcPr>
            <w:tcW w:w="1802" w:type="dxa"/>
            <w:tcBorders>
              <w:top w:val="single" w:sz="4" w:space="0" w:color="auto"/>
            </w:tcBorders>
            <w:vAlign w:val="center"/>
          </w:tcPr>
          <w:p w14:paraId="159F41EE" w14:textId="4F09A362" w:rsidR="00E7406E" w:rsidRPr="00E7406E" w:rsidRDefault="00E7406E" w:rsidP="00E7406E">
            <w:pPr>
              <w:jc w:val="center"/>
              <w:rPr>
                <w:rFonts w:cstheme="minorHAnsi"/>
                <w:sz w:val="20"/>
                <w:szCs w:val="20"/>
                <w:lang w:eastAsia="ko-KR"/>
              </w:rPr>
            </w:pPr>
            <w:r w:rsidRPr="00E7406E">
              <w:rPr>
                <w:rFonts w:cstheme="minorHAnsi"/>
                <w:sz w:val="20"/>
                <w:szCs w:val="20"/>
                <w:lang w:eastAsia="ko-KR"/>
              </w:rPr>
              <w:t>Chikungunya</w:t>
            </w:r>
          </w:p>
        </w:tc>
        <w:tc>
          <w:tcPr>
            <w:tcW w:w="1967" w:type="dxa"/>
            <w:tcBorders>
              <w:top w:val="single" w:sz="4" w:space="0" w:color="auto"/>
            </w:tcBorders>
            <w:vAlign w:val="center"/>
          </w:tcPr>
          <w:p w14:paraId="19B100A2" w14:textId="09FC0555" w:rsidR="00E7406E" w:rsidRPr="00E7406E" w:rsidRDefault="00E7406E" w:rsidP="00E7406E">
            <w:pPr>
              <w:jc w:val="center"/>
              <w:rPr>
                <w:rFonts w:cstheme="minorHAnsi"/>
                <w:sz w:val="20"/>
                <w:szCs w:val="20"/>
                <w:lang w:eastAsia="ko-KR"/>
              </w:rPr>
            </w:pPr>
            <w:r w:rsidRPr="00E7406E">
              <w:rPr>
                <w:rFonts w:cstheme="minorHAnsi"/>
                <w:sz w:val="20"/>
                <w:szCs w:val="20"/>
                <w:lang w:eastAsia="ko-KR"/>
              </w:rPr>
              <w:t>Published dataset</w:t>
            </w:r>
          </w:p>
        </w:tc>
        <w:tc>
          <w:tcPr>
            <w:tcW w:w="2058" w:type="dxa"/>
            <w:tcBorders>
              <w:top w:val="single" w:sz="4" w:space="0" w:color="auto"/>
            </w:tcBorders>
            <w:vAlign w:val="center"/>
          </w:tcPr>
          <w:p w14:paraId="36721108" w14:textId="4B96B903" w:rsidR="00E7406E" w:rsidRPr="00E7406E" w:rsidRDefault="00E7406E" w:rsidP="00E7406E">
            <w:pPr>
              <w:jc w:val="right"/>
              <w:rPr>
                <w:rFonts w:cstheme="minorHAnsi"/>
                <w:sz w:val="20"/>
                <w:szCs w:val="20"/>
                <w:lang w:eastAsia="ko-KR"/>
              </w:rPr>
            </w:pPr>
            <w:r w:rsidRPr="00E7406E">
              <w:rPr>
                <w:rFonts w:cstheme="minorHAnsi"/>
                <w:sz w:val="20"/>
                <w:szCs w:val="20"/>
                <w:lang w:eastAsia="ko-KR"/>
              </w:rPr>
              <w:t>1,211</w:t>
            </w:r>
          </w:p>
        </w:tc>
        <w:tc>
          <w:tcPr>
            <w:tcW w:w="1729" w:type="dxa"/>
            <w:tcBorders>
              <w:top w:val="single" w:sz="4" w:space="0" w:color="auto"/>
            </w:tcBorders>
            <w:vAlign w:val="center"/>
          </w:tcPr>
          <w:p w14:paraId="51043300" w14:textId="62049A15" w:rsidR="00E7406E" w:rsidRPr="00E7406E" w:rsidRDefault="00E7406E" w:rsidP="00E7406E">
            <w:pPr>
              <w:jc w:val="center"/>
              <w:rPr>
                <w:rFonts w:cstheme="minorHAnsi"/>
                <w:sz w:val="20"/>
                <w:szCs w:val="20"/>
                <w:lang w:eastAsia="ko-KR"/>
              </w:rPr>
            </w:pPr>
            <w:r w:rsidRPr="00E7406E">
              <w:rPr>
                <w:rFonts w:cstheme="minorHAnsi"/>
                <w:sz w:val="20"/>
                <w:szCs w:val="20"/>
                <w:lang w:eastAsia="ko-KR"/>
              </w:rPr>
              <w:t>1952-2015</w:t>
            </w:r>
          </w:p>
        </w:tc>
        <w:tc>
          <w:tcPr>
            <w:tcW w:w="1989" w:type="dxa"/>
            <w:tcBorders>
              <w:top w:val="single" w:sz="4" w:space="0" w:color="auto"/>
            </w:tcBorders>
            <w:vAlign w:val="center"/>
          </w:tcPr>
          <w:p w14:paraId="292571B3" w14:textId="768970BF" w:rsidR="00E7406E" w:rsidRPr="00E7406E" w:rsidRDefault="00E7406E" w:rsidP="00E7406E">
            <w:pPr>
              <w:jc w:val="center"/>
              <w:rPr>
                <w:rFonts w:cstheme="minorHAnsi"/>
                <w:sz w:val="20"/>
                <w:szCs w:val="20"/>
                <w:lang w:eastAsia="ko-KR"/>
              </w:rPr>
            </w:pPr>
            <w:r w:rsidRPr="00E7406E">
              <w:rPr>
                <w:rFonts w:cstheme="minorHAnsi"/>
                <w:sz w:val="20"/>
                <w:szCs w:val="20"/>
                <w:lang w:eastAsia="ko-KR"/>
              </w:rPr>
              <w:fldChar w:fldCharType="begin"/>
            </w:r>
            <w:r w:rsidR="00E572AD">
              <w:rPr>
                <w:rFonts w:cstheme="minorHAnsi"/>
                <w:sz w:val="20"/>
                <w:szCs w:val="20"/>
                <w:lang w:eastAsia="ko-KR"/>
              </w:rPr>
              <w:instrText xml:space="preserve"> ADDIN ZOTERO_ITEM CSL_CITATION {"citationID":"DirmQioh","properties":{"formattedCitation":"\\super 9\\nosupersub{}","plainCitation":"9","noteIndex":0},"citationItems":[{"id":8187,"uris":["http://zotero.org/users/9849050/items/7NFATQ6E"],"itemData":{"id":8187,"type":"article-journal","abstract":"Chikungunya fever is an acute febrile illness caused by the chikungunya virus (CHIKV), which is transmitted to humans by Aedes mosquitoes. Although chikungunya fever is rarely fatal, patients can experience debilitating symptoms that last from months to years. Here we comprehensively assess the global distribution of chikungunya and produce high-resolution maps, using an established modelling framework that combines a comprehensive occurrence database with bespoke environmental correlates, including up-to-date Aedes distribution maps. This enables estimation of the current total population-at-risk of CHIKV transmission and identification of areas where the virus may spread to in the future. We identified 94 countries with good evidence for current CHIKV presence and a set of countries in the New and Old World with potential for future CHIKV establishment, demonstrated by high environmental suitability for transmission and in some cases previous sporadic reports. Aedes aegypti presence was identified as one of the major contributing factors to CHIKV transmission but significant geographical heterogeneity exists. We estimated 1.3 billion people are living in areas at-risk of CHIKV transmission. These maps provide a baseline for identifying areas where prevention and control efforts should be prioritised and can be used to guide estimation of the global burden of CHIKV.","container-title":"Eurosurveillance","DOI":"10.2807/1560-7917.ES.2016.21.20.30234","ISSN":"1560-7917","issue":"20","language":"en","note":"publisher: European Centre for Disease Prevention and Control","page":"30234","source":"www.eurosurveillance.org","title":"Global distribution and environmental suitability for chikungunya virus, 1952 to 2015","volume":"21","author":[{"family":"Nsoesie","given":"Elaine O."},{"family":"Kraemer","given":"Moritz UG"},{"family":"Golding","given":"Nick"},{"family":"Pigott","given":"David M."},{"family":"Brady","given":"Oliver J."},{"family":"Moyes","given":"Catherine L."},{"family":"Johansson","given":"Michael A."},{"family":"Gething","given":"Peter W."},{"family":"Velayudhan","given":"Raman"},{"family":"Khan","given":"Kamran"},{"family":"Hay","given":"Simon I."},{"family":"Brownstein","given":"John S."}],"issued":{"date-parts":[["2016",5,19]]}}}],"schema":"https://github.com/citation-style-language/schema/raw/master/csl-citation.json"} </w:instrText>
            </w:r>
            <w:r w:rsidRPr="00E7406E">
              <w:rPr>
                <w:rFonts w:cstheme="minorHAnsi"/>
                <w:sz w:val="20"/>
                <w:szCs w:val="20"/>
                <w:lang w:eastAsia="ko-KR"/>
              </w:rPr>
              <w:fldChar w:fldCharType="separate"/>
            </w:r>
            <w:r w:rsidR="00E572AD" w:rsidRPr="00E572AD">
              <w:rPr>
                <w:rFonts w:ascii="Calibri" w:hAnsi="Calibri" w:cs="Calibri"/>
                <w:kern w:val="0"/>
                <w:sz w:val="20"/>
                <w:vertAlign w:val="superscript"/>
              </w:rPr>
              <w:t>9</w:t>
            </w:r>
            <w:r w:rsidRPr="00E7406E">
              <w:rPr>
                <w:rFonts w:cstheme="minorHAnsi"/>
                <w:sz w:val="20"/>
                <w:szCs w:val="20"/>
                <w:lang w:eastAsia="ko-KR"/>
              </w:rPr>
              <w:fldChar w:fldCharType="end"/>
            </w:r>
          </w:p>
        </w:tc>
      </w:tr>
      <w:tr w:rsidR="00E7406E" w:rsidRPr="00E7406E" w14:paraId="162A73E5" w14:textId="77777777" w:rsidTr="008C1641">
        <w:trPr>
          <w:trHeight w:val="259"/>
        </w:trPr>
        <w:tc>
          <w:tcPr>
            <w:tcW w:w="1802" w:type="dxa"/>
            <w:vAlign w:val="center"/>
          </w:tcPr>
          <w:p w14:paraId="1BF86216" w14:textId="77777777" w:rsidR="00E7406E" w:rsidRPr="00E7406E" w:rsidRDefault="00E7406E" w:rsidP="00E7406E">
            <w:pPr>
              <w:jc w:val="center"/>
              <w:rPr>
                <w:rFonts w:cstheme="minorHAnsi"/>
                <w:sz w:val="20"/>
                <w:szCs w:val="20"/>
                <w:lang w:eastAsia="ko-KR"/>
              </w:rPr>
            </w:pPr>
          </w:p>
        </w:tc>
        <w:tc>
          <w:tcPr>
            <w:tcW w:w="1967" w:type="dxa"/>
            <w:vAlign w:val="center"/>
          </w:tcPr>
          <w:p w14:paraId="22D7956D" w14:textId="075B1542" w:rsidR="00E7406E" w:rsidRPr="00E7406E" w:rsidRDefault="00E7406E" w:rsidP="00E7406E">
            <w:pPr>
              <w:jc w:val="center"/>
              <w:rPr>
                <w:rFonts w:cstheme="minorHAnsi"/>
                <w:sz w:val="20"/>
                <w:szCs w:val="20"/>
                <w:lang w:eastAsia="ko-KR"/>
              </w:rPr>
            </w:pPr>
            <w:r w:rsidRPr="00E7406E">
              <w:rPr>
                <w:rFonts w:cstheme="minorHAnsi"/>
                <w:sz w:val="20"/>
                <w:szCs w:val="20"/>
                <w:lang w:eastAsia="ko-KR"/>
              </w:rPr>
              <w:t>HealthMap</w:t>
            </w:r>
          </w:p>
        </w:tc>
        <w:tc>
          <w:tcPr>
            <w:tcW w:w="2058" w:type="dxa"/>
            <w:vAlign w:val="center"/>
          </w:tcPr>
          <w:p w14:paraId="438C2940" w14:textId="17F4F9BE" w:rsidR="00E7406E" w:rsidRPr="00E7406E" w:rsidRDefault="004C1AA4" w:rsidP="00E7406E">
            <w:pPr>
              <w:jc w:val="right"/>
              <w:rPr>
                <w:rFonts w:cstheme="minorHAnsi"/>
                <w:sz w:val="20"/>
                <w:szCs w:val="20"/>
                <w:lang w:eastAsia="ko-KR"/>
              </w:rPr>
            </w:pPr>
            <w:r>
              <w:rPr>
                <w:rFonts w:cstheme="minorHAnsi" w:hint="eastAsia"/>
                <w:sz w:val="20"/>
                <w:szCs w:val="20"/>
                <w:lang w:eastAsia="ko-KR"/>
              </w:rPr>
              <w:t>1,330</w:t>
            </w:r>
          </w:p>
        </w:tc>
        <w:tc>
          <w:tcPr>
            <w:tcW w:w="1729" w:type="dxa"/>
            <w:vAlign w:val="center"/>
          </w:tcPr>
          <w:p w14:paraId="73174DFE" w14:textId="6C07F35C" w:rsidR="00E7406E" w:rsidRPr="00E7406E" w:rsidRDefault="00E7406E" w:rsidP="00E7406E">
            <w:pPr>
              <w:jc w:val="center"/>
              <w:rPr>
                <w:rFonts w:cstheme="minorHAnsi"/>
                <w:sz w:val="20"/>
                <w:szCs w:val="20"/>
                <w:lang w:eastAsia="ko-KR"/>
              </w:rPr>
            </w:pPr>
            <w:r w:rsidRPr="00E7406E">
              <w:rPr>
                <w:rFonts w:cstheme="minorHAnsi"/>
                <w:sz w:val="20"/>
                <w:szCs w:val="20"/>
                <w:lang w:eastAsia="ko-KR"/>
              </w:rPr>
              <w:t>2015-2019</w:t>
            </w:r>
          </w:p>
        </w:tc>
        <w:tc>
          <w:tcPr>
            <w:tcW w:w="1989" w:type="dxa"/>
            <w:vAlign w:val="center"/>
          </w:tcPr>
          <w:p w14:paraId="60180FFE" w14:textId="5296E132" w:rsidR="00E7406E" w:rsidRPr="00E7406E" w:rsidRDefault="00E7406E" w:rsidP="00E7406E">
            <w:pPr>
              <w:jc w:val="center"/>
              <w:rPr>
                <w:rFonts w:cstheme="minorHAnsi"/>
                <w:sz w:val="20"/>
                <w:szCs w:val="20"/>
                <w:lang w:eastAsia="ko-KR"/>
              </w:rPr>
            </w:pPr>
            <w:r w:rsidRPr="00E7406E">
              <w:rPr>
                <w:rFonts w:cstheme="minorHAnsi"/>
                <w:sz w:val="20"/>
                <w:szCs w:val="20"/>
                <w:lang w:eastAsia="ko-KR"/>
              </w:rPr>
              <w:t>www.healthmap.org</w:t>
            </w:r>
          </w:p>
        </w:tc>
      </w:tr>
      <w:tr w:rsidR="00E7406E" w:rsidRPr="00E7406E" w14:paraId="6B56FB72" w14:textId="77777777" w:rsidTr="008C1641">
        <w:trPr>
          <w:trHeight w:val="251"/>
        </w:trPr>
        <w:tc>
          <w:tcPr>
            <w:tcW w:w="1802" w:type="dxa"/>
            <w:vAlign w:val="center"/>
          </w:tcPr>
          <w:p w14:paraId="75ACCBE4" w14:textId="77777777" w:rsidR="00E7406E" w:rsidRPr="00E7406E" w:rsidRDefault="00E7406E" w:rsidP="00E7406E">
            <w:pPr>
              <w:jc w:val="center"/>
              <w:rPr>
                <w:rFonts w:cstheme="minorHAnsi"/>
                <w:sz w:val="20"/>
                <w:szCs w:val="20"/>
                <w:lang w:eastAsia="ko-KR"/>
              </w:rPr>
            </w:pPr>
          </w:p>
        </w:tc>
        <w:tc>
          <w:tcPr>
            <w:tcW w:w="1967" w:type="dxa"/>
            <w:vAlign w:val="center"/>
          </w:tcPr>
          <w:p w14:paraId="0116D069" w14:textId="58DCEAA0" w:rsidR="00E7406E" w:rsidRPr="00E7406E" w:rsidRDefault="00E7406E" w:rsidP="00E7406E">
            <w:pPr>
              <w:jc w:val="center"/>
              <w:rPr>
                <w:rFonts w:cstheme="minorHAnsi"/>
                <w:sz w:val="20"/>
                <w:szCs w:val="20"/>
                <w:lang w:eastAsia="ko-KR"/>
              </w:rPr>
            </w:pPr>
            <w:proofErr w:type="spellStart"/>
            <w:r w:rsidRPr="00E7406E">
              <w:rPr>
                <w:rFonts w:cstheme="minorHAnsi"/>
                <w:sz w:val="20"/>
                <w:szCs w:val="20"/>
                <w:lang w:eastAsia="ko-KR"/>
              </w:rPr>
              <w:t>ProMed</w:t>
            </w:r>
            <w:proofErr w:type="spellEnd"/>
            <w:r w:rsidRPr="00E7406E">
              <w:rPr>
                <w:rFonts w:cstheme="minorHAnsi"/>
                <w:sz w:val="20"/>
                <w:szCs w:val="20"/>
                <w:lang w:eastAsia="ko-KR"/>
              </w:rPr>
              <w:t xml:space="preserve"> mail</w:t>
            </w:r>
          </w:p>
        </w:tc>
        <w:tc>
          <w:tcPr>
            <w:tcW w:w="2058" w:type="dxa"/>
            <w:vAlign w:val="center"/>
          </w:tcPr>
          <w:p w14:paraId="6345F2E1" w14:textId="00264AD0" w:rsidR="00E7406E" w:rsidRPr="00E7406E" w:rsidRDefault="00E7406E" w:rsidP="00E7406E">
            <w:pPr>
              <w:jc w:val="right"/>
              <w:rPr>
                <w:rFonts w:cstheme="minorHAnsi"/>
                <w:sz w:val="20"/>
                <w:szCs w:val="20"/>
                <w:lang w:eastAsia="ko-KR"/>
              </w:rPr>
            </w:pPr>
            <w:r w:rsidRPr="00E7406E">
              <w:rPr>
                <w:rFonts w:cstheme="minorHAnsi"/>
                <w:sz w:val="20"/>
                <w:szCs w:val="20"/>
                <w:lang w:eastAsia="ko-KR"/>
              </w:rPr>
              <w:t>531</w:t>
            </w:r>
          </w:p>
        </w:tc>
        <w:tc>
          <w:tcPr>
            <w:tcW w:w="1729" w:type="dxa"/>
            <w:vAlign w:val="center"/>
          </w:tcPr>
          <w:p w14:paraId="0D839E6C" w14:textId="2F47D97B" w:rsidR="00E7406E" w:rsidRPr="00E7406E" w:rsidRDefault="00E7406E" w:rsidP="00E7406E">
            <w:pPr>
              <w:jc w:val="center"/>
              <w:rPr>
                <w:rFonts w:cstheme="minorHAnsi"/>
                <w:sz w:val="20"/>
                <w:szCs w:val="20"/>
                <w:lang w:eastAsia="ko-KR"/>
              </w:rPr>
            </w:pPr>
            <w:r w:rsidRPr="00E7406E">
              <w:rPr>
                <w:rFonts w:cstheme="minorHAnsi"/>
                <w:sz w:val="20"/>
                <w:szCs w:val="20"/>
                <w:lang w:eastAsia="ko-KR"/>
              </w:rPr>
              <w:t>2015-2022</w:t>
            </w:r>
          </w:p>
        </w:tc>
        <w:tc>
          <w:tcPr>
            <w:tcW w:w="1989" w:type="dxa"/>
            <w:vAlign w:val="center"/>
          </w:tcPr>
          <w:p w14:paraId="0D615DC5" w14:textId="77777777" w:rsidR="00E7406E" w:rsidRPr="00E7406E" w:rsidRDefault="00E7406E" w:rsidP="00E7406E">
            <w:pPr>
              <w:jc w:val="center"/>
              <w:rPr>
                <w:rFonts w:cstheme="minorHAnsi"/>
                <w:sz w:val="20"/>
                <w:szCs w:val="20"/>
                <w:lang w:eastAsia="ko-KR"/>
              </w:rPr>
            </w:pPr>
          </w:p>
        </w:tc>
      </w:tr>
      <w:tr w:rsidR="00E7406E" w:rsidRPr="00E7406E" w14:paraId="2C0F77E9" w14:textId="77777777" w:rsidTr="008C1641">
        <w:trPr>
          <w:trHeight w:val="259"/>
        </w:trPr>
        <w:tc>
          <w:tcPr>
            <w:tcW w:w="1802" w:type="dxa"/>
            <w:tcBorders>
              <w:bottom w:val="single" w:sz="4" w:space="0" w:color="auto"/>
            </w:tcBorders>
            <w:vAlign w:val="center"/>
          </w:tcPr>
          <w:p w14:paraId="2BBAEDDC" w14:textId="77777777" w:rsidR="00E7406E" w:rsidRPr="00E7406E" w:rsidRDefault="00E7406E" w:rsidP="00E7406E">
            <w:pPr>
              <w:jc w:val="center"/>
              <w:rPr>
                <w:rFonts w:cstheme="minorHAnsi"/>
                <w:sz w:val="20"/>
                <w:szCs w:val="20"/>
                <w:lang w:eastAsia="ko-KR"/>
              </w:rPr>
            </w:pPr>
          </w:p>
        </w:tc>
        <w:tc>
          <w:tcPr>
            <w:tcW w:w="1967" w:type="dxa"/>
            <w:tcBorders>
              <w:bottom w:val="single" w:sz="4" w:space="0" w:color="auto"/>
            </w:tcBorders>
            <w:vAlign w:val="center"/>
          </w:tcPr>
          <w:p w14:paraId="3D43CCF1" w14:textId="12CB47C5" w:rsidR="00E7406E" w:rsidRPr="00E7406E" w:rsidRDefault="00E7406E" w:rsidP="00E7406E">
            <w:pPr>
              <w:jc w:val="center"/>
              <w:rPr>
                <w:rFonts w:cstheme="minorHAnsi"/>
                <w:sz w:val="20"/>
                <w:szCs w:val="20"/>
                <w:lang w:eastAsia="ko-KR"/>
              </w:rPr>
            </w:pPr>
            <w:r w:rsidRPr="00E7406E">
              <w:rPr>
                <w:rFonts w:cstheme="minorHAnsi"/>
                <w:sz w:val="20"/>
                <w:szCs w:val="20"/>
                <w:lang w:eastAsia="ko-KR"/>
              </w:rPr>
              <w:t>Others</w:t>
            </w:r>
          </w:p>
        </w:tc>
        <w:tc>
          <w:tcPr>
            <w:tcW w:w="2058" w:type="dxa"/>
            <w:tcBorders>
              <w:bottom w:val="single" w:sz="4" w:space="0" w:color="auto"/>
            </w:tcBorders>
            <w:vAlign w:val="center"/>
          </w:tcPr>
          <w:p w14:paraId="6D19FFFB" w14:textId="7250C80A" w:rsidR="00E7406E" w:rsidRPr="00E7406E" w:rsidRDefault="00E7406E" w:rsidP="00E7406E">
            <w:pPr>
              <w:jc w:val="right"/>
              <w:rPr>
                <w:rFonts w:cstheme="minorHAnsi"/>
                <w:sz w:val="20"/>
                <w:szCs w:val="20"/>
                <w:lang w:eastAsia="ko-KR"/>
              </w:rPr>
            </w:pPr>
            <w:r w:rsidRPr="00E7406E">
              <w:rPr>
                <w:rFonts w:cstheme="minorHAnsi"/>
                <w:sz w:val="20"/>
                <w:szCs w:val="20"/>
                <w:lang w:eastAsia="ko-KR"/>
              </w:rPr>
              <w:t>10,974</w:t>
            </w:r>
          </w:p>
        </w:tc>
        <w:tc>
          <w:tcPr>
            <w:tcW w:w="1729" w:type="dxa"/>
            <w:tcBorders>
              <w:bottom w:val="single" w:sz="4" w:space="0" w:color="auto"/>
            </w:tcBorders>
            <w:vAlign w:val="center"/>
          </w:tcPr>
          <w:p w14:paraId="197E3680" w14:textId="54C7D42B" w:rsidR="00E7406E" w:rsidRPr="00E7406E" w:rsidRDefault="00E7406E" w:rsidP="00E7406E">
            <w:pPr>
              <w:jc w:val="center"/>
              <w:rPr>
                <w:rFonts w:cstheme="minorHAnsi"/>
                <w:sz w:val="20"/>
                <w:szCs w:val="20"/>
                <w:lang w:eastAsia="ko-KR"/>
              </w:rPr>
            </w:pPr>
            <w:r w:rsidRPr="00E7406E">
              <w:rPr>
                <w:rFonts w:cstheme="minorHAnsi"/>
                <w:sz w:val="20"/>
                <w:szCs w:val="20"/>
                <w:lang w:eastAsia="ko-KR"/>
              </w:rPr>
              <w:t>2015-2024</w:t>
            </w:r>
          </w:p>
        </w:tc>
        <w:tc>
          <w:tcPr>
            <w:tcW w:w="1989" w:type="dxa"/>
            <w:tcBorders>
              <w:bottom w:val="single" w:sz="4" w:space="0" w:color="auto"/>
            </w:tcBorders>
            <w:vAlign w:val="center"/>
          </w:tcPr>
          <w:p w14:paraId="19FD78C9" w14:textId="2F1188B1" w:rsidR="00E7406E" w:rsidRPr="00E7406E" w:rsidRDefault="00DB7804" w:rsidP="00E7406E">
            <w:pPr>
              <w:jc w:val="center"/>
              <w:rPr>
                <w:rFonts w:cstheme="minorHAnsi"/>
                <w:sz w:val="20"/>
                <w:szCs w:val="20"/>
                <w:lang w:eastAsia="ko-KR"/>
              </w:rPr>
            </w:pPr>
            <w:r>
              <w:rPr>
                <w:rFonts w:cstheme="minorHAnsi"/>
                <w:sz w:val="20"/>
                <w:szCs w:val="20"/>
                <w:lang w:eastAsia="ko-KR"/>
              </w:rPr>
              <w:fldChar w:fldCharType="begin"/>
            </w:r>
            <w:r w:rsidR="00E572AD">
              <w:rPr>
                <w:rFonts w:cstheme="minorHAnsi"/>
                <w:sz w:val="20"/>
                <w:szCs w:val="20"/>
                <w:lang w:eastAsia="ko-KR"/>
              </w:rPr>
              <w:instrText xml:space="preserve"> ADDIN ZOTERO_ITEM CSL_CITATION {"citationID":"NfufsbTx","properties":{"formattedCitation":"\\super 10\\uc0\\u8211{}13\\nosupersub{}","plainCitation":"10–13","noteIndex":0},"citationItems":[{"id":12313,"uris":["http://zotero.org/users/9849050/items/LMBI6RVP"],"itemData":{"id":12313,"type":"webpage","abstract":"Every month ECDC provides detailed epidemiological overview of the worldwide transmission of chikungunya in its weekly threat report (Communicable Diseases Threat Report).","language":"en","title":"Chikungunya worldwide overview","URL":"https://www.ecdc.europa.eu/en/chikungunya-monthly","author":[{"literal":"ECDC"}],"accessed":{"date-parts":[["2023",11,24]]},"issued":{"date-parts":[["2023",11,15]]}},"label":"page"},{"id":12882,"uris":["http://zotero.org/users/9849050/items/54TUNQS3"],"itemData":{"id":12882,"type":"webpage","abstract":"Chikungunya is not endemic in the EU/EEA and the majority of the cases are travellers infected outside of the EU/EEA. When the environmental conditions are favourable, in areas where Ae. albopictus is established, viraemic travel-related cases may generate a local transmission of the virus as demonstrated by the sporadic events of chikungunya virus transmission since 2007.","language":"en","title":"Autochthonous transmission of chikungunya virus in mainland EU/EEA, 2007–present","URL":"https://www.ecdc.europa.eu/en/infectious-disease-topics/z-disease-list/chikungunya-virus-disease/surveillance-threats-and","author":[{"literal":"ECDC"}],"accessed":{"date-parts":[["2024",4,11]]},"issued":{"date-parts":[["2019",8,9]]}}},{"id":12892,"uris":["http://zotero.org/users/9849050/items/Z9LUSZIX"],"itemData":{"id":12892,"type":"article-journal","abstract":"A disease outbreak with dengue-like symptoms was reported in Guangdong Province, China, in October 2010. Testing results confirmed that the pathogen causing the outbreak was chikungunya virus. Phylogenic analysis indicated that this virus was a member of the Indian Ocean clade of the East/Center/South African subgroup of chikungunya virus.","container-title":"Emerging Infectious Diseases","DOI":"10.3201/eid1803.110034","ISSN":"1080-6040","issue":"3","journalAbbreviation":"Emerg Infect Dis","note":"PMID: 22377135\nPMCID: PMC3309566","page":"493-495","source":"PubMed Central","title":"Chikungunya Outbreak in Guangdong Province, China, 2010","volume":"18","author":[{"family":"Wu","given":"De"},{"family":"Wu","given":"Jie"},{"family":"Zhang","given":"Qiaoli"},{"family":"Zhong","given":"Haojie"},{"family":"Ke","given":"Changwen"},{"family":"Deng","given":"Xiaoling"},{"family":"Guan","given":"Dawei"},{"family":"Li","given":"Hui"},{"family":"Zhang","given":"Yonghui"},{"family":"Zhou","given":"Huiqiong"},{"family":"He","given":"Jianfeng"},{"family":"Li","given":"Linghui"},{"family":"Yang","given":"Xingfen"}],"issued":{"date-parts":[["2012",3]]}}},{"id":12435,"uris":["http://zotero.org/users/9849050/items/B9625WMN"],"itemData":{"id":12435,"type":"article-journal","container-title":"The Lancet Microbe","DOI":"10.1016/S2666-5247(23)00033-2","ISSN":"2666-5247","issue":"5","journalAbbreviation":"The Lancet Microbe","language":"English","note":"publisher: Elsevier\nPMID: 37031687","page":"e319-e329","source":"www.thelancet.com","title":"Spatiotemporal dynamics and recurrence of chikungunya virus in Brazil: an epidemiological study","title-short":"Spatiotemporal dynamics and recurrence of chikungunya virus in Brazil","volume":"4","author":[{"family":"Souza","given":"William M.","dropping-particle":"de"},{"family":"Lima","given":"Shirlene T. S.","dropping-particle":"de"},{"family":"Mello","given":"Leda M. Simões"},{"family":"Candido","given":"Darlan S."},{"family":"Buss","given":"Lewis"},{"family":"Whittaker","given":"Charles"},{"family":"Claro","given":"Ingra M."},{"family":"Chandradeva","given":"Nilani"},{"family":"Granja","given":"Fabiana"},{"family":"Jesus","given":"Ronaldo","dropping-particle":"de"},{"family":"Lemos","given":"Poliana S."},{"family":"Toledo-Teixeira","given":"Daniel A."},{"family":"Barbosa","given":"Priscilla P."},{"family":"Firmino","given":"Antonio Carlos L."},{"family":"Amorim","given":"Mariene R."},{"family":"Duarte","given":"Larissa M. F."},{"family":"Pessoa","given":"Ivan B."},{"family":"Forato","given":"Julia"},{"family":"Vasconcelos","given":"Irihane L."},{"family":"Maximo","given":"Ana Carolina B. M."},{"family":"Araújo","given":"Emerson L. L."},{"family":"Mello","given":"Liana Perdigão"},{"family":"Sabino","given":"Ester C."},{"family":"Proença-Módena","given":"José Luiz"},{"family":"Faria","given":"Nuno R."},{"family":"Weaver","given":"Scott C."}],"issued":{"date-parts":[["2023",5,1]]}}}],"schema":"https://github.com/citation-style-language/schema/raw/master/csl-citation.json"} </w:instrText>
            </w:r>
            <w:r>
              <w:rPr>
                <w:rFonts w:cstheme="minorHAnsi"/>
                <w:sz w:val="20"/>
                <w:szCs w:val="20"/>
                <w:lang w:eastAsia="ko-KR"/>
              </w:rPr>
              <w:fldChar w:fldCharType="separate"/>
            </w:r>
            <w:r w:rsidR="00E572AD" w:rsidRPr="00E572AD">
              <w:rPr>
                <w:rFonts w:ascii="Calibri" w:hAnsi="Calibri" w:cs="Calibri"/>
                <w:kern w:val="0"/>
                <w:sz w:val="20"/>
                <w:vertAlign w:val="superscript"/>
              </w:rPr>
              <w:t>10–13</w:t>
            </w:r>
            <w:r>
              <w:rPr>
                <w:rFonts w:cstheme="minorHAnsi"/>
                <w:sz w:val="20"/>
                <w:szCs w:val="20"/>
                <w:lang w:eastAsia="ko-KR"/>
              </w:rPr>
              <w:fldChar w:fldCharType="end"/>
            </w:r>
          </w:p>
        </w:tc>
      </w:tr>
      <w:tr w:rsidR="00E7406E" w:rsidRPr="00E7406E" w14:paraId="212F5080" w14:textId="77777777" w:rsidTr="008C1641">
        <w:trPr>
          <w:trHeight w:val="259"/>
        </w:trPr>
        <w:tc>
          <w:tcPr>
            <w:tcW w:w="1802" w:type="dxa"/>
            <w:tcBorders>
              <w:top w:val="single" w:sz="4" w:space="0" w:color="auto"/>
            </w:tcBorders>
            <w:vAlign w:val="center"/>
          </w:tcPr>
          <w:p w14:paraId="1758FA4C" w14:textId="3E74CD1B" w:rsidR="00E7406E" w:rsidRPr="00E7406E" w:rsidRDefault="00E7406E" w:rsidP="00E7406E">
            <w:pPr>
              <w:jc w:val="center"/>
              <w:rPr>
                <w:rFonts w:cstheme="minorHAnsi"/>
                <w:sz w:val="20"/>
                <w:szCs w:val="20"/>
                <w:lang w:eastAsia="ko-KR"/>
              </w:rPr>
            </w:pPr>
            <w:r w:rsidRPr="00E7406E">
              <w:rPr>
                <w:rFonts w:cstheme="minorHAnsi"/>
                <w:sz w:val="20"/>
                <w:szCs w:val="20"/>
                <w:lang w:eastAsia="ko-KR"/>
              </w:rPr>
              <w:t>Zika</w:t>
            </w:r>
          </w:p>
        </w:tc>
        <w:tc>
          <w:tcPr>
            <w:tcW w:w="1967" w:type="dxa"/>
            <w:tcBorders>
              <w:top w:val="single" w:sz="4" w:space="0" w:color="auto"/>
            </w:tcBorders>
            <w:vAlign w:val="center"/>
          </w:tcPr>
          <w:p w14:paraId="4B87040F" w14:textId="48C9368F" w:rsidR="00E7406E" w:rsidRPr="00E7406E" w:rsidRDefault="00E7406E" w:rsidP="00E7406E">
            <w:pPr>
              <w:jc w:val="center"/>
              <w:rPr>
                <w:rFonts w:cstheme="minorHAnsi"/>
                <w:sz w:val="20"/>
                <w:szCs w:val="20"/>
                <w:lang w:eastAsia="ko-KR"/>
              </w:rPr>
            </w:pPr>
            <w:r w:rsidRPr="00E7406E">
              <w:rPr>
                <w:rFonts w:cstheme="minorHAnsi"/>
                <w:sz w:val="20"/>
                <w:szCs w:val="20"/>
                <w:lang w:eastAsia="ko-KR"/>
              </w:rPr>
              <w:t>Published dataset</w:t>
            </w:r>
          </w:p>
        </w:tc>
        <w:tc>
          <w:tcPr>
            <w:tcW w:w="2058" w:type="dxa"/>
            <w:tcBorders>
              <w:top w:val="single" w:sz="4" w:space="0" w:color="auto"/>
            </w:tcBorders>
            <w:vAlign w:val="center"/>
          </w:tcPr>
          <w:p w14:paraId="15B3941C" w14:textId="70932D17" w:rsidR="00E7406E" w:rsidRPr="00E7406E" w:rsidRDefault="00E7406E" w:rsidP="00E7406E">
            <w:pPr>
              <w:jc w:val="right"/>
              <w:rPr>
                <w:rFonts w:cstheme="minorHAnsi"/>
                <w:sz w:val="20"/>
                <w:szCs w:val="20"/>
                <w:lang w:eastAsia="ko-KR"/>
              </w:rPr>
            </w:pPr>
            <w:r w:rsidRPr="00E7406E">
              <w:rPr>
                <w:rFonts w:cstheme="minorHAnsi"/>
                <w:sz w:val="20"/>
                <w:szCs w:val="20"/>
                <w:lang w:eastAsia="ko-KR"/>
              </w:rPr>
              <w:t>237</w:t>
            </w:r>
          </w:p>
        </w:tc>
        <w:tc>
          <w:tcPr>
            <w:tcW w:w="1729" w:type="dxa"/>
            <w:tcBorders>
              <w:top w:val="single" w:sz="4" w:space="0" w:color="auto"/>
            </w:tcBorders>
            <w:vAlign w:val="center"/>
          </w:tcPr>
          <w:p w14:paraId="2545B5CA" w14:textId="11DB59A1" w:rsidR="00E7406E" w:rsidRPr="00E7406E" w:rsidRDefault="00E7406E" w:rsidP="00E7406E">
            <w:pPr>
              <w:jc w:val="center"/>
              <w:rPr>
                <w:rFonts w:cstheme="minorHAnsi"/>
                <w:sz w:val="20"/>
                <w:szCs w:val="20"/>
                <w:lang w:eastAsia="ko-KR"/>
              </w:rPr>
            </w:pPr>
            <w:r w:rsidRPr="00E7406E">
              <w:rPr>
                <w:rFonts w:cstheme="minorHAnsi"/>
                <w:sz w:val="20"/>
                <w:szCs w:val="20"/>
                <w:lang w:eastAsia="ko-KR"/>
              </w:rPr>
              <w:t>1953-2016</w:t>
            </w:r>
          </w:p>
        </w:tc>
        <w:tc>
          <w:tcPr>
            <w:tcW w:w="1989" w:type="dxa"/>
            <w:tcBorders>
              <w:top w:val="single" w:sz="4" w:space="0" w:color="auto"/>
            </w:tcBorders>
            <w:vAlign w:val="center"/>
          </w:tcPr>
          <w:p w14:paraId="7E5BC206" w14:textId="4B7EB07C" w:rsidR="00E7406E" w:rsidRPr="00E7406E" w:rsidRDefault="00E7406E" w:rsidP="00E7406E">
            <w:pPr>
              <w:jc w:val="center"/>
              <w:rPr>
                <w:rFonts w:cstheme="minorHAnsi"/>
                <w:sz w:val="20"/>
                <w:szCs w:val="20"/>
                <w:lang w:eastAsia="ko-KR"/>
              </w:rPr>
            </w:pPr>
            <w:r w:rsidRPr="00E7406E">
              <w:rPr>
                <w:rFonts w:cstheme="minorHAnsi"/>
                <w:sz w:val="20"/>
                <w:szCs w:val="20"/>
                <w:lang w:eastAsia="ko-KR"/>
              </w:rPr>
              <w:fldChar w:fldCharType="begin"/>
            </w:r>
            <w:r w:rsidR="00E572AD">
              <w:rPr>
                <w:rFonts w:cstheme="minorHAnsi"/>
                <w:sz w:val="20"/>
                <w:szCs w:val="20"/>
                <w:lang w:eastAsia="ko-KR"/>
              </w:rPr>
              <w:instrText xml:space="preserve"> ADDIN ZOTERO_ITEM CSL_CITATION {"citationID":"eCQVdjec","properties":{"formattedCitation":"\\super 14\\nosupersub{}","plainCitation":"14","noteIndex":0},"citationItems":[{"id":8172,"uris":["http://zotero.org/users/9849050/items/8TRC5S64"],"itemData":{"id":8172,"type":"article-journal","abstract":"Zika virus was discovered in Uganda in 1947 and is transmitted by Aedes mosquitoes, which also act as vectors for dengue and chikungunya viruses throughout much of the tropical world. In 2007, an outbreak in the Federated States of Micronesia sparked public health concern. In 2013, the virus began to spread across other parts of Oceania and in 2015, a large outbreak in Latin America began in Brazil. Possible associations with microcephaly and Guillain-Barré syndrome observed in this outbreak have raised concerns about continued global spread of Zika virus, prompting its declaration as a Public Health Emergency of International Concern by the World Health Organization. We conducted species distribution modelling to map environmental suitability for Zika. We show a large portion of tropical and sub-tropical regions globally have suitable environmental conditions with over 2.17 billion people inhabiting these areas.","container-title":"eLife","DOI":"10.7554/eLife.15272","ISSN":"2050-084X","note":"publisher: eLife Sciences Publications, Ltd","page":"e15272","source":"eLife","title":"Mapping global environmental suitability for Zika virus","volume":"5","author":[{"family":"Messina","given":"Jane P"},{"family":"Kraemer","given":"Moritz UG"},{"family":"Brady","given":"Oliver J"},{"family":"Pigott","given":"David M"},{"family":"Shearer","given":"Freya M"},{"family":"Weiss","given":"Daniel J"},{"family":"Golding","given":"Nick"},{"family":"Ruktanonchai","given":"Corrine W"},{"family":"Gething","given":"Peter W"},{"family":"Cohn","given":"Emily"},{"family":"Brownstein","given":"John S"},{"family":"Khan","given":"Kamran"},{"family":"Tatem","given":"Andrew J"},{"family":"Jaenisch","given":"Thomas"},{"family":"Murray","given":"Christopher JL"},{"family":"Marinho","given":"Fatima"},{"family":"Scott","given":"Thomas W"},{"family":"Hay","given":"Simon I"}],"editor":[{"family":"Jit","given":"Mark"}],"issued":{"date-parts":[["2016",4,19]]}}}],"schema":"https://github.com/citation-style-language/schema/raw/master/csl-citation.json"} </w:instrText>
            </w:r>
            <w:r w:rsidRPr="00E7406E">
              <w:rPr>
                <w:rFonts w:cstheme="minorHAnsi"/>
                <w:sz w:val="20"/>
                <w:szCs w:val="20"/>
                <w:lang w:eastAsia="ko-KR"/>
              </w:rPr>
              <w:fldChar w:fldCharType="separate"/>
            </w:r>
            <w:r w:rsidR="00E572AD" w:rsidRPr="00E572AD">
              <w:rPr>
                <w:rFonts w:ascii="Calibri" w:hAnsi="Calibri" w:cs="Calibri"/>
                <w:kern w:val="0"/>
                <w:sz w:val="20"/>
                <w:vertAlign w:val="superscript"/>
              </w:rPr>
              <w:t>14</w:t>
            </w:r>
            <w:r w:rsidRPr="00E7406E">
              <w:rPr>
                <w:rFonts w:cstheme="minorHAnsi"/>
                <w:sz w:val="20"/>
                <w:szCs w:val="20"/>
                <w:lang w:eastAsia="ko-KR"/>
              </w:rPr>
              <w:fldChar w:fldCharType="end"/>
            </w:r>
          </w:p>
        </w:tc>
      </w:tr>
      <w:tr w:rsidR="00082194" w:rsidRPr="00E7406E" w14:paraId="2C9C3977" w14:textId="77777777" w:rsidTr="008C1641">
        <w:trPr>
          <w:trHeight w:val="259"/>
        </w:trPr>
        <w:tc>
          <w:tcPr>
            <w:tcW w:w="1802" w:type="dxa"/>
            <w:vMerge w:val="restart"/>
            <w:vAlign w:val="center"/>
          </w:tcPr>
          <w:p w14:paraId="6DE433FA" w14:textId="77777777" w:rsidR="00082194" w:rsidRPr="00E7406E" w:rsidRDefault="00082194" w:rsidP="00E7406E">
            <w:pPr>
              <w:jc w:val="center"/>
              <w:rPr>
                <w:rFonts w:cstheme="minorHAnsi"/>
                <w:sz w:val="20"/>
                <w:szCs w:val="20"/>
                <w:lang w:eastAsia="ko-KR"/>
              </w:rPr>
            </w:pPr>
          </w:p>
        </w:tc>
        <w:tc>
          <w:tcPr>
            <w:tcW w:w="1967" w:type="dxa"/>
            <w:vAlign w:val="center"/>
          </w:tcPr>
          <w:p w14:paraId="66AADFE6" w14:textId="6A3EE93C" w:rsidR="00082194" w:rsidRPr="00E7406E" w:rsidRDefault="00082194" w:rsidP="00E7406E">
            <w:pPr>
              <w:jc w:val="center"/>
              <w:rPr>
                <w:rFonts w:cstheme="minorHAnsi"/>
                <w:sz w:val="20"/>
                <w:szCs w:val="20"/>
                <w:lang w:eastAsia="ko-KR"/>
              </w:rPr>
            </w:pPr>
            <w:r w:rsidRPr="00E7406E">
              <w:rPr>
                <w:rFonts w:cstheme="minorHAnsi"/>
                <w:sz w:val="20"/>
                <w:szCs w:val="20"/>
                <w:lang w:eastAsia="ko-KR"/>
              </w:rPr>
              <w:t>HealthMap</w:t>
            </w:r>
          </w:p>
        </w:tc>
        <w:tc>
          <w:tcPr>
            <w:tcW w:w="2058" w:type="dxa"/>
            <w:vAlign w:val="center"/>
          </w:tcPr>
          <w:p w14:paraId="445C71EA" w14:textId="650B6323" w:rsidR="00082194" w:rsidRPr="00E7406E" w:rsidRDefault="004C1AA4" w:rsidP="00E7406E">
            <w:pPr>
              <w:jc w:val="right"/>
              <w:rPr>
                <w:rFonts w:cstheme="minorHAnsi"/>
                <w:sz w:val="20"/>
                <w:szCs w:val="20"/>
                <w:lang w:eastAsia="ko-KR"/>
              </w:rPr>
            </w:pPr>
            <w:r>
              <w:rPr>
                <w:rFonts w:cstheme="minorHAnsi" w:hint="eastAsia"/>
                <w:sz w:val="20"/>
                <w:szCs w:val="20"/>
                <w:lang w:eastAsia="ko-KR"/>
              </w:rPr>
              <w:t>3,398</w:t>
            </w:r>
          </w:p>
        </w:tc>
        <w:tc>
          <w:tcPr>
            <w:tcW w:w="1729" w:type="dxa"/>
            <w:vAlign w:val="center"/>
          </w:tcPr>
          <w:p w14:paraId="298B0569" w14:textId="54449F8E" w:rsidR="00082194" w:rsidRPr="00E7406E" w:rsidRDefault="00082194" w:rsidP="00E7406E">
            <w:pPr>
              <w:jc w:val="center"/>
              <w:rPr>
                <w:rFonts w:cstheme="minorHAnsi"/>
                <w:sz w:val="20"/>
                <w:szCs w:val="20"/>
                <w:lang w:eastAsia="ko-KR"/>
              </w:rPr>
            </w:pPr>
            <w:r w:rsidRPr="00E7406E">
              <w:rPr>
                <w:rFonts w:cstheme="minorHAnsi"/>
                <w:sz w:val="20"/>
                <w:szCs w:val="20"/>
                <w:lang w:eastAsia="ko-KR"/>
              </w:rPr>
              <w:t>2015-2019</w:t>
            </w:r>
          </w:p>
        </w:tc>
        <w:tc>
          <w:tcPr>
            <w:tcW w:w="1989" w:type="dxa"/>
            <w:vAlign w:val="center"/>
          </w:tcPr>
          <w:p w14:paraId="555B5A18" w14:textId="46734E0F" w:rsidR="00082194" w:rsidRPr="00E7406E" w:rsidRDefault="00082194" w:rsidP="00E7406E">
            <w:pPr>
              <w:jc w:val="center"/>
              <w:rPr>
                <w:rFonts w:cstheme="minorHAnsi"/>
                <w:sz w:val="20"/>
                <w:szCs w:val="20"/>
                <w:lang w:eastAsia="ko-KR"/>
              </w:rPr>
            </w:pPr>
            <w:r w:rsidRPr="00E7406E">
              <w:rPr>
                <w:rFonts w:cstheme="minorHAnsi"/>
                <w:sz w:val="20"/>
                <w:szCs w:val="20"/>
                <w:lang w:eastAsia="ko-KR"/>
              </w:rPr>
              <w:t>www.healthmap.org</w:t>
            </w:r>
          </w:p>
        </w:tc>
      </w:tr>
      <w:tr w:rsidR="00082194" w:rsidRPr="00E7406E" w14:paraId="2D22D9C6" w14:textId="77777777" w:rsidTr="008C1641">
        <w:trPr>
          <w:trHeight w:val="152"/>
        </w:trPr>
        <w:tc>
          <w:tcPr>
            <w:tcW w:w="1802" w:type="dxa"/>
            <w:vMerge/>
            <w:vAlign w:val="center"/>
          </w:tcPr>
          <w:p w14:paraId="2F7EA050" w14:textId="77777777" w:rsidR="00082194" w:rsidRPr="00E7406E" w:rsidRDefault="00082194" w:rsidP="00E7406E">
            <w:pPr>
              <w:jc w:val="center"/>
              <w:rPr>
                <w:rFonts w:cstheme="minorHAnsi"/>
                <w:sz w:val="20"/>
                <w:szCs w:val="20"/>
                <w:lang w:eastAsia="ko-KR"/>
              </w:rPr>
            </w:pPr>
          </w:p>
        </w:tc>
        <w:tc>
          <w:tcPr>
            <w:tcW w:w="1967" w:type="dxa"/>
            <w:vAlign w:val="center"/>
          </w:tcPr>
          <w:p w14:paraId="27D8EA9D" w14:textId="0A86821C" w:rsidR="00082194" w:rsidRPr="00E7406E" w:rsidRDefault="00082194" w:rsidP="00E7406E">
            <w:pPr>
              <w:jc w:val="center"/>
              <w:rPr>
                <w:rFonts w:cstheme="minorHAnsi"/>
                <w:sz w:val="20"/>
                <w:szCs w:val="20"/>
                <w:lang w:eastAsia="ko-KR"/>
              </w:rPr>
            </w:pPr>
            <w:proofErr w:type="spellStart"/>
            <w:r w:rsidRPr="00E7406E">
              <w:rPr>
                <w:rFonts w:cstheme="minorHAnsi"/>
                <w:sz w:val="20"/>
                <w:szCs w:val="20"/>
                <w:lang w:eastAsia="ko-KR"/>
              </w:rPr>
              <w:t>ProMed</w:t>
            </w:r>
            <w:proofErr w:type="spellEnd"/>
            <w:r w:rsidRPr="00E7406E">
              <w:rPr>
                <w:rFonts w:cstheme="minorHAnsi"/>
                <w:sz w:val="20"/>
                <w:szCs w:val="20"/>
                <w:lang w:eastAsia="ko-KR"/>
              </w:rPr>
              <w:t xml:space="preserve"> mail</w:t>
            </w:r>
          </w:p>
        </w:tc>
        <w:tc>
          <w:tcPr>
            <w:tcW w:w="2058" w:type="dxa"/>
            <w:vAlign w:val="center"/>
          </w:tcPr>
          <w:p w14:paraId="47AD62CD" w14:textId="09396C9F" w:rsidR="00082194" w:rsidRPr="00E7406E" w:rsidRDefault="00082194" w:rsidP="00E7406E">
            <w:pPr>
              <w:jc w:val="right"/>
              <w:rPr>
                <w:rFonts w:cstheme="minorHAnsi"/>
                <w:sz w:val="20"/>
                <w:szCs w:val="20"/>
                <w:lang w:eastAsia="ko-KR"/>
              </w:rPr>
            </w:pPr>
            <w:r w:rsidRPr="00E7406E">
              <w:rPr>
                <w:rFonts w:cstheme="minorHAnsi"/>
                <w:sz w:val="20"/>
                <w:szCs w:val="20"/>
                <w:lang w:eastAsia="ko-KR"/>
              </w:rPr>
              <w:t>77</w:t>
            </w:r>
            <w:r w:rsidR="004C1AA4">
              <w:rPr>
                <w:rFonts w:cstheme="minorHAnsi" w:hint="eastAsia"/>
                <w:sz w:val="20"/>
                <w:szCs w:val="20"/>
                <w:lang w:eastAsia="ko-KR"/>
              </w:rPr>
              <w:t>3</w:t>
            </w:r>
          </w:p>
        </w:tc>
        <w:tc>
          <w:tcPr>
            <w:tcW w:w="1729" w:type="dxa"/>
            <w:vAlign w:val="center"/>
          </w:tcPr>
          <w:p w14:paraId="61B41D2D" w14:textId="71A6C320" w:rsidR="00082194" w:rsidRPr="00E7406E" w:rsidRDefault="00082194" w:rsidP="00E7406E">
            <w:pPr>
              <w:jc w:val="center"/>
              <w:rPr>
                <w:rFonts w:cstheme="minorHAnsi"/>
                <w:sz w:val="20"/>
                <w:szCs w:val="20"/>
                <w:lang w:eastAsia="ko-KR"/>
              </w:rPr>
            </w:pPr>
            <w:r w:rsidRPr="00E7406E">
              <w:rPr>
                <w:rFonts w:cstheme="minorHAnsi"/>
                <w:sz w:val="20"/>
                <w:szCs w:val="20"/>
                <w:lang w:eastAsia="ko-KR"/>
              </w:rPr>
              <w:t>2015-2022</w:t>
            </w:r>
          </w:p>
        </w:tc>
        <w:tc>
          <w:tcPr>
            <w:tcW w:w="1989" w:type="dxa"/>
            <w:vAlign w:val="center"/>
          </w:tcPr>
          <w:p w14:paraId="55D024DB" w14:textId="77777777" w:rsidR="00082194" w:rsidRPr="00E7406E" w:rsidRDefault="00082194" w:rsidP="00E7406E">
            <w:pPr>
              <w:jc w:val="center"/>
              <w:rPr>
                <w:rFonts w:cstheme="minorHAnsi"/>
                <w:sz w:val="20"/>
                <w:szCs w:val="20"/>
                <w:lang w:eastAsia="ko-KR"/>
              </w:rPr>
            </w:pPr>
          </w:p>
        </w:tc>
      </w:tr>
      <w:tr w:rsidR="00E7406E" w:rsidRPr="00E7406E" w14:paraId="2012B170" w14:textId="77777777" w:rsidTr="008C1641">
        <w:trPr>
          <w:trHeight w:val="259"/>
        </w:trPr>
        <w:tc>
          <w:tcPr>
            <w:tcW w:w="1802" w:type="dxa"/>
            <w:tcBorders>
              <w:top w:val="single" w:sz="4" w:space="0" w:color="auto"/>
            </w:tcBorders>
            <w:vAlign w:val="center"/>
          </w:tcPr>
          <w:p w14:paraId="441D5CF8" w14:textId="233C88F2" w:rsidR="00E7406E" w:rsidRPr="00E7406E" w:rsidRDefault="00E7406E" w:rsidP="00E7406E">
            <w:pPr>
              <w:jc w:val="center"/>
              <w:rPr>
                <w:rFonts w:cstheme="minorHAnsi"/>
                <w:sz w:val="20"/>
                <w:szCs w:val="20"/>
                <w:lang w:eastAsia="ko-KR"/>
              </w:rPr>
            </w:pPr>
            <w:r w:rsidRPr="00E7406E">
              <w:rPr>
                <w:rFonts w:cstheme="minorHAnsi"/>
                <w:sz w:val="20"/>
                <w:szCs w:val="20"/>
                <w:lang w:eastAsia="ko-KR"/>
              </w:rPr>
              <w:t>Yellow fever</w:t>
            </w:r>
          </w:p>
        </w:tc>
        <w:tc>
          <w:tcPr>
            <w:tcW w:w="1967" w:type="dxa"/>
            <w:tcBorders>
              <w:top w:val="single" w:sz="4" w:space="0" w:color="auto"/>
            </w:tcBorders>
            <w:vAlign w:val="center"/>
          </w:tcPr>
          <w:p w14:paraId="358474BB" w14:textId="18AC9EC7" w:rsidR="00E7406E" w:rsidRPr="00E7406E" w:rsidRDefault="00E7406E" w:rsidP="00E7406E">
            <w:pPr>
              <w:jc w:val="center"/>
              <w:rPr>
                <w:rFonts w:cstheme="minorHAnsi"/>
                <w:sz w:val="20"/>
                <w:szCs w:val="20"/>
                <w:lang w:eastAsia="ko-KR"/>
              </w:rPr>
            </w:pPr>
            <w:r w:rsidRPr="00E7406E">
              <w:rPr>
                <w:rFonts w:cstheme="minorHAnsi"/>
                <w:sz w:val="20"/>
                <w:szCs w:val="20"/>
                <w:lang w:eastAsia="ko-KR"/>
              </w:rPr>
              <w:t>Published dataset</w:t>
            </w:r>
          </w:p>
        </w:tc>
        <w:tc>
          <w:tcPr>
            <w:tcW w:w="2058" w:type="dxa"/>
            <w:tcBorders>
              <w:top w:val="single" w:sz="4" w:space="0" w:color="auto"/>
            </w:tcBorders>
            <w:vAlign w:val="center"/>
          </w:tcPr>
          <w:p w14:paraId="357EED38" w14:textId="6B1EA5A9" w:rsidR="00E7406E" w:rsidRPr="00E7406E" w:rsidRDefault="00E7406E" w:rsidP="00E7406E">
            <w:pPr>
              <w:jc w:val="right"/>
              <w:rPr>
                <w:rFonts w:cstheme="minorHAnsi"/>
                <w:sz w:val="20"/>
                <w:szCs w:val="20"/>
                <w:lang w:eastAsia="ko-KR"/>
              </w:rPr>
            </w:pPr>
            <w:r w:rsidRPr="00E7406E">
              <w:rPr>
                <w:rFonts w:cstheme="minorHAnsi"/>
                <w:sz w:val="20"/>
                <w:szCs w:val="20"/>
                <w:lang w:eastAsia="ko-KR"/>
              </w:rPr>
              <w:t>1,175</w:t>
            </w:r>
          </w:p>
        </w:tc>
        <w:tc>
          <w:tcPr>
            <w:tcW w:w="1729" w:type="dxa"/>
            <w:tcBorders>
              <w:top w:val="single" w:sz="4" w:space="0" w:color="auto"/>
            </w:tcBorders>
            <w:vAlign w:val="center"/>
          </w:tcPr>
          <w:p w14:paraId="615F5B87" w14:textId="7F3532F9" w:rsidR="00E7406E" w:rsidRPr="00E7406E" w:rsidRDefault="00E7406E" w:rsidP="00E7406E">
            <w:pPr>
              <w:jc w:val="center"/>
              <w:rPr>
                <w:rFonts w:cstheme="minorHAnsi"/>
                <w:sz w:val="20"/>
                <w:szCs w:val="20"/>
                <w:lang w:eastAsia="ko-KR"/>
              </w:rPr>
            </w:pPr>
            <w:r w:rsidRPr="00E7406E">
              <w:rPr>
                <w:rFonts w:cstheme="minorHAnsi"/>
                <w:sz w:val="20"/>
                <w:szCs w:val="20"/>
                <w:lang w:eastAsia="ko-KR"/>
              </w:rPr>
              <w:t>1927-2016</w:t>
            </w:r>
          </w:p>
        </w:tc>
        <w:tc>
          <w:tcPr>
            <w:tcW w:w="1989" w:type="dxa"/>
            <w:tcBorders>
              <w:top w:val="single" w:sz="4" w:space="0" w:color="auto"/>
            </w:tcBorders>
            <w:vAlign w:val="center"/>
          </w:tcPr>
          <w:p w14:paraId="2247303F" w14:textId="275D970B" w:rsidR="00E7406E" w:rsidRPr="00E7406E" w:rsidRDefault="00E7406E" w:rsidP="00E7406E">
            <w:pPr>
              <w:jc w:val="center"/>
              <w:rPr>
                <w:rFonts w:cstheme="minorHAnsi"/>
                <w:sz w:val="20"/>
                <w:szCs w:val="20"/>
                <w:lang w:eastAsia="ko-KR"/>
              </w:rPr>
            </w:pPr>
            <w:r w:rsidRPr="00E7406E">
              <w:rPr>
                <w:rFonts w:cstheme="minorHAnsi"/>
                <w:sz w:val="20"/>
                <w:szCs w:val="20"/>
                <w:lang w:eastAsia="ko-KR"/>
              </w:rPr>
              <w:fldChar w:fldCharType="begin"/>
            </w:r>
            <w:r w:rsidR="00E572AD">
              <w:rPr>
                <w:rFonts w:cstheme="minorHAnsi"/>
                <w:sz w:val="20"/>
                <w:szCs w:val="20"/>
                <w:lang w:eastAsia="ko-KR"/>
              </w:rPr>
              <w:instrText xml:space="preserve"> ADDIN ZOTERO_ITEM CSL_CITATION {"citationID":"WCIlUV3B","properties":{"formattedCitation":"\\super 1\\nosupersub{}","plainCitation":"1","noteIndex":0},"citationItems":[{"id":8368,"uris":["http://zotero.org/users/9849050/items/ZN6G976L"],"itemData":{"id":8368,"type":"article-journal","abstract":"Background\nYellow fever cases are under-reported and the exact distribution of the disease is unknown. An effective vaccine is available but more information is needed about which populations within risk zones should be targeted to implement interventions. Substantial outbreaks of yellow fever in Angola, Democratic Republic of the Congo, and Brazil, coupled with the global expansion of the range of its main urban vector, Aedes aegypti, suggest that yellow fever has the propensity to spread further internationally. The aim of this study was to estimate the disease's contemporary distribution and potential for spread into new areas to help inform optimal control and prevention strategies.\nMethods\nWe assembled 1155 geographical records of yellow fever virus infection in people from 1970 to 2016. We used a Poisson point process boosted regression tree model that explicitly incorporated environmental and biological explanatory covariates, vaccination coverage, and spatial variability in disease reporting rates to predict the relative risk of apparent yellow fever virus infection at a 5 × 5 km resolution across all risk zones (47 countries across the Americas and Africa). We also used the fitted model to predict the receptivity of areas outside at-risk zones to the introduction or reintroduction of yellow fever transmission. By use of previously published estimates of annual national case numbers, we used the model to map subnational variation in incidence of yellow fever across at-risk countries and to estimate the number of cases averted by vaccination worldwide.\nFindings\nSubstantial international and subnational spatial variation exists in relative risk and incidence of yellow fever as well as varied success of vaccination in reducing incidence in several high-risk regions, including Brazil, Cameroon, and Togo. Areas with the highest predicted average annual case numbers include large parts of Nigeria, the Democratic Republic of the Congo, and South Sudan, where vaccination coverage in 2016 was estimated to be substantially less than the recommended threshold to prevent outbreaks. Overall, we estimated that vaccination coverage levels achieved by 2016 avert between 94 336 and 118 500 cases of yellow fever annually within risk zones, on the basis of conservative and optimistic vaccination scenarios. The areas outside at-risk regions with predicted high receptivity to yellow fever transmission (eg, parts of Malaysia, Indonesia, and Thailand) were less extensive than the distribution of the main urban vector, A aegypti, with low receptivity to yellow fever transmission in southern China, where A aegypti is known to occur.\nInterpretation\nOur results provide the evidence base for targeting vaccination campaigns within risk zones, as well as emphasising their high effectiveness. Our study highlights areas where public health authorities should be most vigilant for potential spread or importation events.\nFunding\nBill &amp; Melinda Gates Foundation.","container-title":"The Lancet Global Health","DOI":"10.1016/S2214-109X(18)30024-X","ISSN":"2214-109X","issue":"3","journalAbbreviation":"The Lancet Global Health","language":"en","page":"e270-e278","source":"ScienceDirect","title":"Existing and potential infection risk zones of yellow fever worldwide: a modelling analysis","title-short":"Existing and potential infection risk zones of yellow fever worldwide","volume":"6","author":[{"family":"Shearer","given":"Freya M"},{"family":"Longbottom","given":"Joshua"},{"family":"Browne","given":"Annie J"},{"family":"Pigott","given":"David M"},{"family":"Brady","given":"Oliver J"},{"family":"Kraemer","given":"Moritz U G"},{"family":"Marinho","given":"Fatima"},{"family":"Yactayo","given":"Sergio"},{"family":"Araújo","given":"Valdelaine E M","non-dropping-particle":"de"},{"family":"Nóbrega","given":"Aglaêr A","non-dropping-particle":"da"},{"family":"Fullman","given":"Nancy"},{"family":"Ray","given":"Sarah E"},{"family":"Mosser","given":"Jonathan F"},{"family":"Stanaway","given":"Jeffrey D"},{"family":"Lim","given":"Stephen S"},{"family":"Reiner","given":"Robert C"},{"family":"Moyes","given":"Catherine L"},{"family":"Hay","given":"Simon I"},{"family":"Golding","given":"Nick"}],"issued":{"date-parts":[["2018",3,1]]}}}],"schema":"https://github.com/citation-style-language/schema/raw/master/csl-citation.json"} </w:instrText>
            </w:r>
            <w:r w:rsidRPr="00E7406E">
              <w:rPr>
                <w:rFonts w:cstheme="minorHAnsi"/>
                <w:sz w:val="20"/>
                <w:szCs w:val="20"/>
                <w:lang w:eastAsia="ko-KR"/>
              </w:rPr>
              <w:fldChar w:fldCharType="separate"/>
            </w:r>
            <w:r w:rsidR="00E572AD" w:rsidRPr="00E572AD">
              <w:rPr>
                <w:rFonts w:ascii="Calibri" w:hAnsi="Calibri" w:cs="Calibri"/>
                <w:kern w:val="0"/>
                <w:sz w:val="20"/>
                <w:vertAlign w:val="superscript"/>
              </w:rPr>
              <w:t>1</w:t>
            </w:r>
            <w:r w:rsidRPr="00E7406E">
              <w:rPr>
                <w:rFonts w:cstheme="minorHAnsi"/>
                <w:sz w:val="20"/>
                <w:szCs w:val="20"/>
                <w:lang w:eastAsia="ko-KR"/>
              </w:rPr>
              <w:fldChar w:fldCharType="end"/>
            </w:r>
          </w:p>
        </w:tc>
      </w:tr>
      <w:tr w:rsidR="00E7406E" w:rsidRPr="00E7406E" w14:paraId="50619AE4" w14:textId="77777777" w:rsidTr="008C1641">
        <w:trPr>
          <w:trHeight w:val="259"/>
        </w:trPr>
        <w:tc>
          <w:tcPr>
            <w:tcW w:w="1802" w:type="dxa"/>
            <w:vAlign w:val="center"/>
          </w:tcPr>
          <w:p w14:paraId="21F35142" w14:textId="77777777" w:rsidR="00E7406E" w:rsidRPr="00E7406E" w:rsidRDefault="00E7406E" w:rsidP="00E7406E">
            <w:pPr>
              <w:jc w:val="center"/>
              <w:rPr>
                <w:rFonts w:cstheme="minorHAnsi"/>
                <w:sz w:val="20"/>
                <w:szCs w:val="20"/>
                <w:lang w:eastAsia="ko-KR"/>
              </w:rPr>
            </w:pPr>
          </w:p>
        </w:tc>
        <w:tc>
          <w:tcPr>
            <w:tcW w:w="1967" w:type="dxa"/>
            <w:vAlign w:val="center"/>
          </w:tcPr>
          <w:p w14:paraId="0E812234" w14:textId="38405FEB" w:rsidR="00E7406E" w:rsidRPr="00E7406E" w:rsidRDefault="00E7406E" w:rsidP="00E7406E">
            <w:pPr>
              <w:jc w:val="center"/>
              <w:rPr>
                <w:rFonts w:cstheme="minorHAnsi"/>
                <w:sz w:val="20"/>
                <w:szCs w:val="20"/>
                <w:lang w:eastAsia="ko-KR"/>
              </w:rPr>
            </w:pPr>
            <w:r w:rsidRPr="00E7406E">
              <w:rPr>
                <w:rFonts w:cstheme="minorHAnsi"/>
                <w:sz w:val="20"/>
                <w:szCs w:val="20"/>
                <w:lang w:eastAsia="ko-KR"/>
              </w:rPr>
              <w:t>HealthMap</w:t>
            </w:r>
          </w:p>
        </w:tc>
        <w:tc>
          <w:tcPr>
            <w:tcW w:w="2058" w:type="dxa"/>
            <w:vAlign w:val="center"/>
          </w:tcPr>
          <w:p w14:paraId="0B09D479" w14:textId="5D9A4F5B" w:rsidR="00E7406E" w:rsidRPr="00E7406E" w:rsidRDefault="004C1AA4" w:rsidP="00E7406E">
            <w:pPr>
              <w:jc w:val="right"/>
              <w:rPr>
                <w:rFonts w:cstheme="minorHAnsi"/>
                <w:sz w:val="20"/>
                <w:szCs w:val="20"/>
                <w:lang w:eastAsia="ko-KR"/>
              </w:rPr>
            </w:pPr>
            <w:r>
              <w:rPr>
                <w:rFonts w:cstheme="minorHAnsi" w:hint="eastAsia"/>
                <w:sz w:val="20"/>
                <w:szCs w:val="20"/>
                <w:lang w:eastAsia="ko-KR"/>
              </w:rPr>
              <w:t>1,400</w:t>
            </w:r>
          </w:p>
        </w:tc>
        <w:tc>
          <w:tcPr>
            <w:tcW w:w="1729" w:type="dxa"/>
            <w:vAlign w:val="center"/>
          </w:tcPr>
          <w:p w14:paraId="1328E68C" w14:textId="58FFA30C" w:rsidR="00E7406E" w:rsidRPr="00E7406E" w:rsidRDefault="00E7406E" w:rsidP="00E7406E">
            <w:pPr>
              <w:jc w:val="center"/>
              <w:rPr>
                <w:rFonts w:cstheme="minorHAnsi"/>
                <w:sz w:val="20"/>
                <w:szCs w:val="20"/>
                <w:lang w:eastAsia="ko-KR"/>
              </w:rPr>
            </w:pPr>
            <w:r w:rsidRPr="00E7406E">
              <w:rPr>
                <w:rFonts w:cstheme="minorHAnsi"/>
                <w:sz w:val="20"/>
                <w:szCs w:val="20"/>
                <w:lang w:eastAsia="ko-KR"/>
              </w:rPr>
              <w:t>2015-2019</w:t>
            </w:r>
          </w:p>
        </w:tc>
        <w:tc>
          <w:tcPr>
            <w:tcW w:w="1989" w:type="dxa"/>
            <w:vAlign w:val="center"/>
          </w:tcPr>
          <w:p w14:paraId="2321525E" w14:textId="2893E891" w:rsidR="00E7406E" w:rsidRPr="00E7406E" w:rsidRDefault="00E7406E" w:rsidP="00E7406E">
            <w:pPr>
              <w:jc w:val="center"/>
              <w:rPr>
                <w:rFonts w:cstheme="minorHAnsi"/>
                <w:sz w:val="20"/>
                <w:szCs w:val="20"/>
                <w:lang w:eastAsia="ko-KR"/>
              </w:rPr>
            </w:pPr>
            <w:r w:rsidRPr="00E7406E">
              <w:rPr>
                <w:rFonts w:cstheme="minorHAnsi"/>
                <w:sz w:val="20"/>
                <w:szCs w:val="20"/>
                <w:lang w:eastAsia="ko-KR"/>
              </w:rPr>
              <w:t>www.healthmap.org</w:t>
            </w:r>
          </w:p>
        </w:tc>
      </w:tr>
      <w:tr w:rsidR="00E7406E" w:rsidRPr="00E7406E" w14:paraId="18CD97D1" w14:textId="77777777" w:rsidTr="008C1641">
        <w:trPr>
          <w:trHeight w:val="259"/>
        </w:trPr>
        <w:tc>
          <w:tcPr>
            <w:tcW w:w="1802" w:type="dxa"/>
            <w:tcBorders>
              <w:bottom w:val="single" w:sz="4" w:space="0" w:color="auto"/>
            </w:tcBorders>
            <w:vAlign w:val="center"/>
          </w:tcPr>
          <w:p w14:paraId="0DDBA131" w14:textId="77777777" w:rsidR="00E7406E" w:rsidRPr="00E7406E" w:rsidRDefault="00E7406E" w:rsidP="00E7406E">
            <w:pPr>
              <w:jc w:val="center"/>
              <w:rPr>
                <w:rFonts w:cstheme="minorHAnsi"/>
                <w:sz w:val="20"/>
                <w:szCs w:val="20"/>
                <w:lang w:eastAsia="ko-KR"/>
              </w:rPr>
            </w:pPr>
          </w:p>
        </w:tc>
        <w:tc>
          <w:tcPr>
            <w:tcW w:w="1967" w:type="dxa"/>
            <w:tcBorders>
              <w:bottom w:val="single" w:sz="4" w:space="0" w:color="auto"/>
            </w:tcBorders>
            <w:vAlign w:val="center"/>
          </w:tcPr>
          <w:p w14:paraId="3DC38E32" w14:textId="0F44FC26" w:rsidR="00E7406E" w:rsidRPr="00E7406E" w:rsidRDefault="00E7406E" w:rsidP="00E7406E">
            <w:pPr>
              <w:jc w:val="center"/>
              <w:rPr>
                <w:rFonts w:cstheme="minorHAnsi"/>
                <w:sz w:val="20"/>
                <w:szCs w:val="20"/>
                <w:lang w:eastAsia="ko-KR"/>
              </w:rPr>
            </w:pPr>
            <w:r w:rsidRPr="00E7406E">
              <w:rPr>
                <w:rFonts w:cstheme="minorHAnsi"/>
                <w:sz w:val="20"/>
                <w:szCs w:val="20"/>
                <w:lang w:eastAsia="ko-KR"/>
              </w:rPr>
              <w:t>Others</w:t>
            </w:r>
          </w:p>
        </w:tc>
        <w:tc>
          <w:tcPr>
            <w:tcW w:w="2058" w:type="dxa"/>
            <w:tcBorders>
              <w:bottom w:val="single" w:sz="4" w:space="0" w:color="auto"/>
            </w:tcBorders>
            <w:vAlign w:val="center"/>
          </w:tcPr>
          <w:p w14:paraId="1232F340" w14:textId="49F307DD" w:rsidR="00E7406E" w:rsidRPr="00E7406E" w:rsidRDefault="00E7406E" w:rsidP="00E7406E">
            <w:pPr>
              <w:jc w:val="right"/>
              <w:rPr>
                <w:rFonts w:cstheme="minorHAnsi"/>
                <w:sz w:val="20"/>
                <w:szCs w:val="20"/>
                <w:lang w:eastAsia="ko-KR"/>
              </w:rPr>
            </w:pPr>
            <w:r w:rsidRPr="00E7406E">
              <w:rPr>
                <w:rFonts w:cstheme="minorHAnsi"/>
                <w:sz w:val="20"/>
                <w:szCs w:val="20"/>
                <w:lang w:eastAsia="ko-KR"/>
              </w:rPr>
              <w:t>105</w:t>
            </w:r>
          </w:p>
        </w:tc>
        <w:tc>
          <w:tcPr>
            <w:tcW w:w="1729" w:type="dxa"/>
            <w:tcBorders>
              <w:bottom w:val="single" w:sz="4" w:space="0" w:color="auto"/>
            </w:tcBorders>
            <w:vAlign w:val="center"/>
          </w:tcPr>
          <w:p w14:paraId="47AAA4FB" w14:textId="7B19DEEA" w:rsidR="00E7406E" w:rsidRPr="00E7406E" w:rsidRDefault="00E7406E" w:rsidP="00E7406E">
            <w:pPr>
              <w:jc w:val="center"/>
              <w:rPr>
                <w:rFonts w:cstheme="minorHAnsi"/>
                <w:sz w:val="20"/>
                <w:szCs w:val="20"/>
                <w:lang w:eastAsia="ko-KR"/>
              </w:rPr>
            </w:pPr>
            <w:r w:rsidRPr="00E7406E">
              <w:rPr>
                <w:rFonts w:cstheme="minorHAnsi"/>
                <w:sz w:val="20"/>
                <w:szCs w:val="20"/>
                <w:lang w:eastAsia="ko-KR"/>
              </w:rPr>
              <w:t>2015-2024</w:t>
            </w:r>
          </w:p>
        </w:tc>
        <w:tc>
          <w:tcPr>
            <w:tcW w:w="1989" w:type="dxa"/>
            <w:tcBorders>
              <w:bottom w:val="single" w:sz="4" w:space="0" w:color="auto"/>
            </w:tcBorders>
            <w:vAlign w:val="center"/>
          </w:tcPr>
          <w:p w14:paraId="78881D01" w14:textId="439E39CA" w:rsidR="00E7406E" w:rsidRPr="00E7406E" w:rsidRDefault="00DB7804" w:rsidP="00E7406E">
            <w:pPr>
              <w:jc w:val="center"/>
              <w:rPr>
                <w:rFonts w:cstheme="minorHAnsi"/>
                <w:sz w:val="20"/>
                <w:szCs w:val="20"/>
                <w:lang w:eastAsia="ko-KR"/>
              </w:rPr>
            </w:pPr>
            <w:r>
              <w:rPr>
                <w:rFonts w:cstheme="minorHAnsi"/>
                <w:sz w:val="20"/>
                <w:szCs w:val="20"/>
                <w:lang w:eastAsia="ko-KR"/>
              </w:rPr>
              <w:fldChar w:fldCharType="begin"/>
            </w:r>
            <w:r w:rsidR="00E572AD">
              <w:rPr>
                <w:rFonts w:cstheme="minorHAnsi"/>
                <w:sz w:val="20"/>
                <w:szCs w:val="20"/>
                <w:lang w:eastAsia="ko-KR"/>
              </w:rPr>
              <w:instrText xml:space="preserve"> ADDIN ZOTERO_ITEM CSL_CITATION {"citationID":"kOo2DQkA","properties":{"formattedCitation":"\\super 4,15\\nosupersub{}","plainCitation":"4,15","noteIndex":0},"citationItems":[{"id":12880,"uris":["http://zotero.org/users/9849050/items/33VBB4SY"],"itemData":{"id":12880,"type":"webpage","abstract":"</w:instrText>
            </w:r>
            <w:r w:rsidR="00E572AD">
              <w:rPr>
                <w:rFonts w:cstheme="minorHAnsi" w:hint="eastAsia"/>
                <w:sz w:val="20"/>
                <w:szCs w:val="20"/>
                <w:lang w:eastAsia="ko-KR"/>
              </w:rPr>
              <w:instrText>世</w:instrText>
            </w:r>
            <w:r w:rsidR="00E572AD">
              <w:rPr>
                <w:rFonts w:ascii="SimSun" w:eastAsia="SimSun" w:hAnsi="SimSun" w:cs="SimSun" w:hint="eastAsia"/>
                <w:sz w:val="20"/>
                <w:szCs w:val="20"/>
                <w:lang w:eastAsia="ko-KR"/>
              </w:rPr>
              <w:instrText>卫组织</w:instrText>
            </w:r>
            <w:r w:rsidR="00E572AD">
              <w:rPr>
                <w:rFonts w:ascii="Batang" w:hAnsi="Batang" w:cs="Batang" w:hint="eastAsia"/>
                <w:sz w:val="20"/>
                <w:szCs w:val="20"/>
                <w:lang w:eastAsia="ko-KR"/>
              </w:rPr>
              <w:instrText>最新疾病暴</w:instrText>
            </w:r>
            <w:r w:rsidR="00E572AD">
              <w:rPr>
                <w:rFonts w:ascii="SimSun" w:eastAsia="SimSun" w:hAnsi="SimSun" w:cs="SimSun" w:hint="eastAsia"/>
                <w:sz w:val="20"/>
                <w:szCs w:val="20"/>
                <w:lang w:eastAsia="ko-KR"/>
              </w:rPr>
              <w:instrText>发</w:instrText>
            </w:r>
            <w:r w:rsidR="00E572AD">
              <w:rPr>
                <w:rFonts w:ascii="Batang" w:hAnsi="Batang" w:cs="Batang" w:hint="eastAsia"/>
                <w:sz w:val="20"/>
                <w:szCs w:val="20"/>
                <w:lang w:eastAsia="ko-KR"/>
              </w:rPr>
              <w:instrText>新</w:instrText>
            </w:r>
            <w:r w:rsidR="00E572AD">
              <w:rPr>
                <w:rFonts w:ascii="SimSun" w:eastAsia="SimSun" w:hAnsi="SimSun" w:cs="SimSun" w:hint="eastAsia"/>
                <w:sz w:val="20"/>
                <w:szCs w:val="20"/>
                <w:lang w:eastAsia="ko-KR"/>
              </w:rPr>
              <w:instrText>闻</w:instrText>
            </w:r>
            <w:r w:rsidR="00E572AD">
              <w:rPr>
                <w:rFonts w:ascii="Batang" w:hAnsi="Batang" w:cs="Batang" w:hint="eastAsia"/>
                <w:sz w:val="20"/>
                <w:szCs w:val="20"/>
                <w:lang w:eastAsia="ko-KR"/>
              </w:rPr>
              <w:instrText>，提供</w:instrText>
            </w:r>
            <w:r w:rsidR="00E572AD">
              <w:rPr>
                <w:rFonts w:ascii="MS Gothic" w:eastAsia="MS Gothic" w:hAnsi="MS Gothic" w:cs="MS Gothic" w:hint="eastAsia"/>
                <w:sz w:val="20"/>
                <w:szCs w:val="20"/>
                <w:lang w:eastAsia="ko-KR"/>
              </w:rPr>
              <w:instrText>关</w:instrText>
            </w:r>
            <w:r w:rsidR="00E572AD">
              <w:rPr>
                <w:rFonts w:ascii="Batang" w:hAnsi="Batang" w:cs="Batang" w:hint="eastAsia"/>
                <w:sz w:val="20"/>
                <w:szCs w:val="20"/>
                <w:lang w:eastAsia="ko-KR"/>
              </w:rPr>
              <w:instrText>于已确</w:instrText>
            </w:r>
            <w:r w:rsidR="00E572AD">
              <w:rPr>
                <w:rFonts w:ascii="SimSun" w:eastAsia="SimSun" w:hAnsi="SimSun" w:cs="SimSun" w:hint="eastAsia"/>
                <w:sz w:val="20"/>
                <w:szCs w:val="20"/>
                <w:lang w:eastAsia="ko-KR"/>
              </w:rPr>
              <w:instrText>认</w:instrText>
            </w:r>
            <w:r w:rsidR="00E572AD">
              <w:rPr>
                <w:rFonts w:ascii="Batang" w:hAnsi="Batang" w:cs="Batang" w:hint="eastAsia"/>
                <w:sz w:val="20"/>
                <w:szCs w:val="20"/>
                <w:lang w:eastAsia="ko-KR"/>
              </w:rPr>
              <w:instrText>的</w:instrText>
            </w:r>
            <w:r w:rsidR="00E572AD">
              <w:rPr>
                <w:rFonts w:ascii="SimSun" w:eastAsia="SimSun" w:hAnsi="SimSun" w:cs="SimSun" w:hint="eastAsia"/>
                <w:sz w:val="20"/>
                <w:szCs w:val="20"/>
                <w:lang w:eastAsia="ko-KR"/>
              </w:rPr>
              <w:instrText>紧</w:instrText>
            </w:r>
            <w:r w:rsidR="00E572AD">
              <w:rPr>
                <w:rFonts w:ascii="Batang" w:hAnsi="Batang" w:cs="Batang" w:hint="eastAsia"/>
                <w:sz w:val="20"/>
                <w:szCs w:val="20"/>
                <w:lang w:eastAsia="ko-KR"/>
              </w:rPr>
              <w:instrText>急公共</w:instrText>
            </w:r>
            <w:r w:rsidR="00E572AD">
              <w:rPr>
                <w:rFonts w:ascii="SimSun" w:eastAsia="SimSun" w:hAnsi="SimSun" w:cs="SimSun" w:hint="eastAsia"/>
                <w:sz w:val="20"/>
                <w:szCs w:val="20"/>
                <w:lang w:eastAsia="ko-KR"/>
              </w:rPr>
              <w:instrText>卫</w:instrText>
            </w:r>
            <w:r w:rsidR="00E572AD">
              <w:rPr>
                <w:rFonts w:ascii="Batang" w:hAnsi="Batang" w:cs="Batang" w:hint="eastAsia"/>
                <w:sz w:val="20"/>
                <w:szCs w:val="20"/>
                <w:lang w:eastAsia="ko-KR"/>
              </w:rPr>
              <w:instrText>生事件或引起</w:instrText>
            </w:r>
            <w:r w:rsidR="00E572AD">
              <w:rPr>
                <w:rFonts w:ascii="MS Gothic" w:eastAsia="MS Gothic" w:hAnsi="MS Gothic" w:cs="MS Gothic" w:hint="eastAsia"/>
                <w:sz w:val="20"/>
                <w:szCs w:val="20"/>
                <w:lang w:eastAsia="ko-KR"/>
              </w:rPr>
              <w:instrText>关</w:instrText>
            </w:r>
            <w:r w:rsidR="00E572AD">
              <w:rPr>
                <w:rFonts w:ascii="Batang" w:hAnsi="Batang" w:cs="Batang" w:hint="eastAsia"/>
                <w:sz w:val="20"/>
                <w:szCs w:val="20"/>
                <w:lang w:eastAsia="ko-KR"/>
              </w:rPr>
              <w:instrText>注的潜在事件的信息。</w:instrText>
            </w:r>
            <w:r w:rsidR="00E572AD">
              <w:rPr>
                <w:rFonts w:cstheme="minorHAnsi"/>
                <w:sz w:val="20"/>
                <w:szCs w:val="20"/>
                <w:lang w:eastAsia="ko-KR"/>
              </w:rPr>
              <w:instrText xml:space="preserve">","language":"en","title":"Disease Outbreak News","URL":"https://www.who.int/emergencies/disease-outbreak-news","accessed":{"date-parts":[["2024",4,11]]}}},{"id":12317,"uris":["http://zotero.org/users/9849050/items/TP3T5MG5"],"itemData":{"id":12317,"type":"webpage","abstract":"In 2022, between epidemiological week (EW) 1 and EW 52, confirmed cases of yellow fever were reported in three countries in the Region of the Americas: Bolivia (5 confirmed cases), Brazil (during the 2021-2022 seasonal period reported 5 cases including 4 deaths), and Peru (7 confirmed cases, including 5 deaths). So far in 2023, human cases have been recorded in Bolivia (two cases) and Brazil (three cases).","language":"en","title":"Epidemiological Update - Yellow fever in the Region of the Americas - 25 April 2023","URL":"https://www.paho.org/en/documents/epidemiological-update-yellow-fever-region-americas-25-april-2023","author":[{"literal":"Pan American Health Organization / World Health Organization (PAHO/WHO)"}],"accessed":{"date-parts":[["2023",11,24]]},"issued":{"date-parts":[["2023",4,25]]}}}],"schema":"https://github.com/citation-style-language/schema/raw/master/csl-citation.json"} </w:instrText>
            </w:r>
            <w:r>
              <w:rPr>
                <w:rFonts w:cstheme="minorHAnsi"/>
                <w:sz w:val="20"/>
                <w:szCs w:val="20"/>
                <w:lang w:eastAsia="ko-KR"/>
              </w:rPr>
              <w:fldChar w:fldCharType="separate"/>
            </w:r>
            <w:r w:rsidR="00E572AD" w:rsidRPr="00E572AD">
              <w:rPr>
                <w:rFonts w:ascii="Calibri" w:hAnsi="Calibri" w:cs="Calibri"/>
                <w:kern w:val="0"/>
                <w:sz w:val="20"/>
                <w:vertAlign w:val="superscript"/>
              </w:rPr>
              <w:t>4,15</w:t>
            </w:r>
            <w:r>
              <w:rPr>
                <w:rFonts w:cstheme="minorHAnsi"/>
                <w:sz w:val="20"/>
                <w:szCs w:val="20"/>
                <w:lang w:eastAsia="ko-KR"/>
              </w:rPr>
              <w:fldChar w:fldCharType="end"/>
            </w:r>
          </w:p>
        </w:tc>
      </w:tr>
    </w:tbl>
    <w:p w14:paraId="6129B3ED" w14:textId="23C3F8F8" w:rsidR="00FA6C7F" w:rsidRDefault="0027633B">
      <w:pPr>
        <w:spacing w:after="160" w:line="259" w:lineRule="auto"/>
      </w:pPr>
      <w:r>
        <w:br w:type="page"/>
      </w:r>
    </w:p>
    <w:p w14:paraId="00ADCD9A" w14:textId="364C5930" w:rsidR="00FA6C7F" w:rsidRPr="00F41CA6" w:rsidRDefault="00C25391" w:rsidP="00A65B1A">
      <w:pPr>
        <w:pStyle w:val="Heading2"/>
        <w:rPr>
          <w:lang w:eastAsia="ko-KR"/>
        </w:rPr>
      </w:pPr>
      <w:bookmarkStart w:id="2" w:name="_Ref157236143"/>
      <w:bookmarkStart w:id="3" w:name="_Ref157236139"/>
      <w:bookmarkStart w:id="4" w:name="_Toc168329357"/>
      <w:r>
        <w:rPr>
          <w:rFonts w:hint="eastAsia"/>
          <w:lang w:eastAsia="ko-KR"/>
        </w:rPr>
        <w:lastRenderedPageBreak/>
        <w:t xml:space="preserve">Supplementary </w:t>
      </w:r>
      <w:r w:rsidR="00FA6C7F" w:rsidRPr="00F41CA6">
        <w:rPr>
          <w:lang w:eastAsia="ko-KR"/>
        </w:rPr>
        <w:t xml:space="preserve">Table </w:t>
      </w:r>
      <w:r w:rsidR="00FA6C7F">
        <w:rPr>
          <w:lang w:eastAsia="ko-KR"/>
        </w:rPr>
        <w:fldChar w:fldCharType="begin"/>
      </w:r>
      <w:r w:rsidR="00FA6C7F">
        <w:rPr>
          <w:lang w:eastAsia="ko-KR"/>
        </w:rPr>
        <w:instrText xml:space="preserve"> SEQ Table \* ARABIC </w:instrText>
      </w:r>
      <w:r w:rsidR="00FA6C7F">
        <w:rPr>
          <w:lang w:eastAsia="ko-KR"/>
        </w:rPr>
        <w:fldChar w:fldCharType="separate"/>
      </w:r>
      <w:r w:rsidR="00FA6C7F">
        <w:rPr>
          <w:lang w:eastAsia="ko-KR"/>
        </w:rPr>
        <w:t>2</w:t>
      </w:r>
      <w:r w:rsidR="00FA6C7F">
        <w:rPr>
          <w:lang w:eastAsia="ko-KR"/>
        </w:rPr>
        <w:fldChar w:fldCharType="end"/>
      </w:r>
      <w:bookmarkEnd w:id="2"/>
      <w:r w:rsidR="00FA6C7F" w:rsidRPr="00F41CA6">
        <w:rPr>
          <w:lang w:eastAsia="ko-KR"/>
        </w:rPr>
        <w:t xml:space="preserve">. Number of occurrence points for each disease before and after </w:t>
      </w:r>
      <w:bookmarkEnd w:id="3"/>
      <w:r w:rsidR="00FA6C7F">
        <w:rPr>
          <w:lang w:eastAsia="ko-KR"/>
        </w:rPr>
        <w:t>the removal of spatial duplicates (thinning).</w:t>
      </w:r>
      <w:bookmarkEnd w:id="4"/>
    </w:p>
    <w:tbl>
      <w:tblPr>
        <w:tblStyle w:val="TableGrid"/>
        <w:tblW w:w="0" w:type="auto"/>
        <w:tblLook w:val="04A0" w:firstRow="1" w:lastRow="0" w:firstColumn="1" w:lastColumn="0" w:noHBand="0" w:noVBand="1"/>
      </w:tblPr>
      <w:tblGrid>
        <w:gridCol w:w="1804"/>
        <w:gridCol w:w="1800"/>
        <w:gridCol w:w="1786"/>
        <w:gridCol w:w="1825"/>
        <w:gridCol w:w="1795"/>
      </w:tblGrid>
      <w:tr w:rsidR="00FA6C7F" w14:paraId="73A379D5" w14:textId="77777777" w:rsidTr="00532D65">
        <w:tc>
          <w:tcPr>
            <w:tcW w:w="1804" w:type="dxa"/>
          </w:tcPr>
          <w:p w14:paraId="26B54D76" w14:textId="77777777" w:rsidR="00FA6C7F" w:rsidRDefault="00FA6C7F" w:rsidP="00532D65">
            <w:pPr>
              <w:jc w:val="both"/>
            </w:pPr>
          </w:p>
        </w:tc>
        <w:tc>
          <w:tcPr>
            <w:tcW w:w="1800" w:type="dxa"/>
          </w:tcPr>
          <w:p w14:paraId="14696A68" w14:textId="77777777" w:rsidR="00FA6C7F" w:rsidRDefault="00FA6C7F" w:rsidP="00532D65">
            <w:pPr>
              <w:jc w:val="both"/>
            </w:pPr>
            <w:r>
              <w:t>Dengue</w:t>
            </w:r>
          </w:p>
        </w:tc>
        <w:tc>
          <w:tcPr>
            <w:tcW w:w="1786" w:type="dxa"/>
          </w:tcPr>
          <w:p w14:paraId="2B23E226" w14:textId="528E4B1E" w:rsidR="00FA6C7F" w:rsidRDefault="00C25391" w:rsidP="00532D65">
            <w:pPr>
              <w:jc w:val="both"/>
              <w:rPr>
                <w:lang w:eastAsia="ko-KR"/>
              </w:rPr>
            </w:pPr>
            <w:r>
              <w:rPr>
                <w:rFonts w:hint="eastAsia"/>
                <w:lang w:eastAsia="ko-KR"/>
              </w:rPr>
              <w:t>C</w:t>
            </w:r>
            <w:r w:rsidR="00FA6C7F">
              <w:rPr>
                <w:rFonts w:hint="eastAsia"/>
                <w:lang w:eastAsia="ko-KR"/>
              </w:rPr>
              <w:t>hikungunya</w:t>
            </w:r>
          </w:p>
        </w:tc>
        <w:tc>
          <w:tcPr>
            <w:tcW w:w="1825" w:type="dxa"/>
          </w:tcPr>
          <w:p w14:paraId="1AA79D24" w14:textId="77777777" w:rsidR="00FA6C7F" w:rsidRDefault="00FA6C7F" w:rsidP="00532D65">
            <w:pPr>
              <w:jc w:val="both"/>
              <w:rPr>
                <w:lang w:eastAsia="ko-KR"/>
              </w:rPr>
            </w:pPr>
            <w:r>
              <w:rPr>
                <w:rFonts w:hint="eastAsia"/>
                <w:lang w:eastAsia="ko-KR"/>
              </w:rPr>
              <w:t>Zika</w:t>
            </w:r>
          </w:p>
        </w:tc>
        <w:tc>
          <w:tcPr>
            <w:tcW w:w="1795" w:type="dxa"/>
          </w:tcPr>
          <w:p w14:paraId="2B443B4B" w14:textId="59E2A535" w:rsidR="00FA6C7F" w:rsidRDefault="00C25391" w:rsidP="00532D65">
            <w:pPr>
              <w:jc w:val="both"/>
            </w:pPr>
            <w:r>
              <w:rPr>
                <w:rFonts w:hint="eastAsia"/>
                <w:lang w:eastAsia="ko-KR"/>
              </w:rPr>
              <w:t>Y</w:t>
            </w:r>
            <w:r w:rsidR="00FA6C7F">
              <w:t>ellow fever</w:t>
            </w:r>
          </w:p>
        </w:tc>
      </w:tr>
      <w:tr w:rsidR="00FA6C7F" w14:paraId="735B8A31" w14:textId="77777777" w:rsidTr="00532D65">
        <w:tc>
          <w:tcPr>
            <w:tcW w:w="1804" w:type="dxa"/>
          </w:tcPr>
          <w:p w14:paraId="6185D0CF" w14:textId="77777777" w:rsidR="00FA6C7F" w:rsidRDefault="00FA6C7F" w:rsidP="00532D65">
            <w:pPr>
              <w:jc w:val="both"/>
            </w:pPr>
            <w:r>
              <w:t>Before thinning</w:t>
            </w:r>
          </w:p>
        </w:tc>
        <w:tc>
          <w:tcPr>
            <w:tcW w:w="1800" w:type="dxa"/>
          </w:tcPr>
          <w:p w14:paraId="65A87122" w14:textId="77777777" w:rsidR="00FA6C7F" w:rsidRDefault="00FA6C7F" w:rsidP="00532D65">
            <w:pPr>
              <w:jc w:val="both"/>
              <w:rPr>
                <w:lang w:eastAsia="ko-KR"/>
              </w:rPr>
            </w:pPr>
            <w:r>
              <w:rPr>
                <w:rFonts w:hint="eastAsia"/>
                <w:lang w:eastAsia="ko-KR"/>
              </w:rPr>
              <w:t>37227</w:t>
            </w:r>
          </w:p>
        </w:tc>
        <w:tc>
          <w:tcPr>
            <w:tcW w:w="1786" w:type="dxa"/>
          </w:tcPr>
          <w:p w14:paraId="0A0920B0" w14:textId="77777777" w:rsidR="00FA6C7F" w:rsidRDefault="00FA6C7F" w:rsidP="00532D65">
            <w:pPr>
              <w:jc w:val="both"/>
              <w:rPr>
                <w:lang w:eastAsia="ko-KR"/>
              </w:rPr>
            </w:pPr>
            <w:r>
              <w:rPr>
                <w:rFonts w:hint="eastAsia"/>
                <w:lang w:eastAsia="ko-KR"/>
              </w:rPr>
              <w:t>14046</w:t>
            </w:r>
          </w:p>
        </w:tc>
        <w:tc>
          <w:tcPr>
            <w:tcW w:w="1825" w:type="dxa"/>
          </w:tcPr>
          <w:p w14:paraId="1B37B2AB" w14:textId="77777777" w:rsidR="00FA6C7F" w:rsidRDefault="00FA6C7F" w:rsidP="00532D65">
            <w:pPr>
              <w:jc w:val="both"/>
              <w:rPr>
                <w:lang w:eastAsia="ko-KR"/>
              </w:rPr>
            </w:pPr>
            <w:r>
              <w:rPr>
                <w:rFonts w:hint="eastAsia"/>
                <w:lang w:eastAsia="ko-KR"/>
              </w:rPr>
              <w:t>4408</w:t>
            </w:r>
          </w:p>
        </w:tc>
        <w:tc>
          <w:tcPr>
            <w:tcW w:w="1795" w:type="dxa"/>
          </w:tcPr>
          <w:p w14:paraId="42CDFC79" w14:textId="77777777" w:rsidR="00FA6C7F" w:rsidRDefault="00FA6C7F" w:rsidP="00532D65">
            <w:pPr>
              <w:jc w:val="both"/>
              <w:rPr>
                <w:lang w:eastAsia="ko-KR"/>
              </w:rPr>
            </w:pPr>
            <w:r>
              <w:rPr>
                <w:rFonts w:hint="eastAsia"/>
                <w:lang w:eastAsia="ko-KR"/>
              </w:rPr>
              <w:t>2680</w:t>
            </w:r>
          </w:p>
        </w:tc>
      </w:tr>
      <w:tr w:rsidR="00FA6C7F" w14:paraId="5AF19EB8" w14:textId="77777777" w:rsidTr="00532D65">
        <w:tc>
          <w:tcPr>
            <w:tcW w:w="1804" w:type="dxa"/>
          </w:tcPr>
          <w:p w14:paraId="19D16AA5" w14:textId="77777777" w:rsidR="00FA6C7F" w:rsidRDefault="00FA6C7F" w:rsidP="00532D65">
            <w:pPr>
              <w:jc w:val="both"/>
            </w:pPr>
            <w:r>
              <w:t>After thinning</w:t>
            </w:r>
          </w:p>
        </w:tc>
        <w:tc>
          <w:tcPr>
            <w:tcW w:w="1800" w:type="dxa"/>
          </w:tcPr>
          <w:p w14:paraId="11F504B3" w14:textId="77777777" w:rsidR="00FA6C7F" w:rsidRDefault="00FA6C7F" w:rsidP="00532D65">
            <w:pPr>
              <w:jc w:val="both"/>
              <w:rPr>
                <w:lang w:eastAsia="ko-KR"/>
              </w:rPr>
            </w:pPr>
            <w:r>
              <w:rPr>
                <w:rFonts w:hint="eastAsia"/>
                <w:lang w:eastAsia="ko-KR"/>
              </w:rPr>
              <w:t>5867</w:t>
            </w:r>
          </w:p>
        </w:tc>
        <w:tc>
          <w:tcPr>
            <w:tcW w:w="1786" w:type="dxa"/>
          </w:tcPr>
          <w:p w14:paraId="7FC208D0" w14:textId="77777777" w:rsidR="00FA6C7F" w:rsidRDefault="00FA6C7F" w:rsidP="00532D65">
            <w:pPr>
              <w:jc w:val="both"/>
              <w:rPr>
                <w:lang w:eastAsia="ko-KR"/>
              </w:rPr>
            </w:pPr>
            <w:r>
              <w:rPr>
                <w:rFonts w:hint="eastAsia"/>
                <w:lang w:eastAsia="ko-KR"/>
              </w:rPr>
              <w:t>4727</w:t>
            </w:r>
          </w:p>
        </w:tc>
        <w:tc>
          <w:tcPr>
            <w:tcW w:w="1825" w:type="dxa"/>
          </w:tcPr>
          <w:p w14:paraId="51D8FFD5" w14:textId="77777777" w:rsidR="00FA6C7F" w:rsidRDefault="00FA6C7F" w:rsidP="00532D65">
            <w:pPr>
              <w:jc w:val="both"/>
              <w:rPr>
                <w:lang w:eastAsia="ko-KR"/>
              </w:rPr>
            </w:pPr>
            <w:r>
              <w:rPr>
                <w:rFonts w:hint="eastAsia"/>
                <w:lang w:eastAsia="ko-KR"/>
              </w:rPr>
              <w:t>1138</w:t>
            </w:r>
          </w:p>
        </w:tc>
        <w:tc>
          <w:tcPr>
            <w:tcW w:w="1795" w:type="dxa"/>
          </w:tcPr>
          <w:p w14:paraId="0CDB7A5B" w14:textId="77777777" w:rsidR="00FA6C7F" w:rsidRDefault="00FA6C7F" w:rsidP="00532D65">
            <w:pPr>
              <w:jc w:val="both"/>
              <w:rPr>
                <w:lang w:eastAsia="ko-KR"/>
              </w:rPr>
            </w:pPr>
            <w:r>
              <w:rPr>
                <w:rFonts w:hint="eastAsia"/>
                <w:lang w:eastAsia="ko-KR"/>
              </w:rPr>
              <w:t>1395</w:t>
            </w:r>
          </w:p>
        </w:tc>
      </w:tr>
    </w:tbl>
    <w:p w14:paraId="38571AD9" w14:textId="5415D364" w:rsidR="00FA6C7F" w:rsidRDefault="00FA6C7F">
      <w:pPr>
        <w:spacing w:after="160" w:line="259" w:lineRule="auto"/>
      </w:pPr>
    </w:p>
    <w:p w14:paraId="645B75D3" w14:textId="77777777" w:rsidR="00FA6C7F" w:rsidRDefault="00FA6C7F">
      <w:pPr>
        <w:spacing w:after="160" w:line="259" w:lineRule="auto"/>
      </w:pPr>
      <w:r>
        <w:br w:type="page"/>
      </w:r>
    </w:p>
    <w:p w14:paraId="0C84D44A" w14:textId="067D5A1F" w:rsidR="00D30F47" w:rsidRDefault="00C25391" w:rsidP="00D30F47">
      <w:pPr>
        <w:pStyle w:val="Heading2"/>
      </w:pPr>
      <w:bookmarkStart w:id="5" w:name="_Toc168329358"/>
      <w:r>
        <w:rPr>
          <w:rFonts w:hint="eastAsia"/>
          <w:lang w:eastAsia="ko-KR"/>
        </w:rPr>
        <w:lastRenderedPageBreak/>
        <w:t xml:space="preserve">Supplementary </w:t>
      </w:r>
      <w:r w:rsidR="00D30F47">
        <w:t xml:space="preserve">Table </w:t>
      </w:r>
      <w:r w:rsidR="00D30F47">
        <w:fldChar w:fldCharType="begin"/>
      </w:r>
      <w:r w:rsidR="00D30F47">
        <w:instrText xml:space="preserve"> SEQ Table \* ARABIC </w:instrText>
      </w:r>
      <w:r w:rsidR="00D30F47">
        <w:fldChar w:fldCharType="separate"/>
      </w:r>
      <w:r w:rsidR="00FA6C7F">
        <w:rPr>
          <w:noProof/>
        </w:rPr>
        <w:t>3</w:t>
      </w:r>
      <w:r w:rsidR="00D30F47">
        <w:fldChar w:fldCharType="end"/>
      </w:r>
      <w:r w:rsidR="00D30F47">
        <w:rPr>
          <w:rFonts w:hint="eastAsia"/>
          <w:lang w:eastAsia="ko-KR"/>
        </w:rPr>
        <w:t xml:space="preserve">. </w:t>
      </w:r>
      <w:r w:rsidR="00D30F47" w:rsidRPr="002872E0">
        <w:t>Occurrence data for other emerging acute viral infectious diseases.</w:t>
      </w:r>
      <w:bookmarkEnd w:id="5"/>
    </w:p>
    <w:tbl>
      <w:tblPr>
        <w:tblStyle w:val="TableGrid"/>
        <w:tblW w:w="0" w:type="auto"/>
        <w:tblLook w:val="04A0" w:firstRow="1" w:lastRow="0" w:firstColumn="1" w:lastColumn="0" w:noHBand="0" w:noVBand="1"/>
      </w:tblPr>
      <w:tblGrid>
        <w:gridCol w:w="4509"/>
        <w:gridCol w:w="4501"/>
      </w:tblGrid>
      <w:tr w:rsidR="00D30F47" w:rsidRPr="005F2BC4" w14:paraId="3C2EE140" w14:textId="77777777" w:rsidTr="003414B5">
        <w:tc>
          <w:tcPr>
            <w:tcW w:w="4509" w:type="dxa"/>
          </w:tcPr>
          <w:p w14:paraId="291D5171" w14:textId="77777777" w:rsidR="00D30F47" w:rsidRPr="00EA7BF5" w:rsidRDefault="00D30F47" w:rsidP="003414B5">
            <w:pPr>
              <w:rPr>
                <w:rFonts w:ascii="Helvetica" w:hAnsi="Helvetica"/>
                <w:sz w:val="22"/>
                <w:szCs w:val="22"/>
              </w:rPr>
            </w:pPr>
            <w:r w:rsidRPr="00EA7BF5">
              <w:rPr>
                <w:rFonts w:ascii="Helvetica" w:hAnsi="Helvetica"/>
                <w:sz w:val="22"/>
                <w:szCs w:val="22"/>
              </w:rPr>
              <w:t>Disease</w:t>
            </w:r>
          </w:p>
        </w:tc>
        <w:tc>
          <w:tcPr>
            <w:tcW w:w="4501" w:type="dxa"/>
          </w:tcPr>
          <w:p w14:paraId="64CA33B7" w14:textId="21AB1273" w:rsidR="00D30F47" w:rsidRPr="005E4FF1" w:rsidRDefault="00D30F47" w:rsidP="003414B5">
            <w:pPr>
              <w:rPr>
                <w:sz w:val="22"/>
                <w:szCs w:val="22"/>
                <w:lang w:eastAsia="ko-KR"/>
              </w:rPr>
            </w:pPr>
            <w:r w:rsidRPr="005E4FF1">
              <w:rPr>
                <w:sz w:val="22"/>
                <w:szCs w:val="22"/>
              </w:rPr>
              <w:t xml:space="preserve">Total occurrence </w:t>
            </w:r>
            <w:r w:rsidRPr="005E4FF1">
              <w:rPr>
                <w:rFonts w:hint="eastAsia"/>
                <w:sz w:val="22"/>
                <w:szCs w:val="22"/>
                <w:lang w:eastAsia="ko-KR"/>
              </w:rPr>
              <w:t>data</w:t>
            </w:r>
          </w:p>
        </w:tc>
      </w:tr>
      <w:tr w:rsidR="005E4FF1" w:rsidRPr="005F2BC4" w14:paraId="1360A437" w14:textId="77777777" w:rsidTr="00402BAD">
        <w:tc>
          <w:tcPr>
            <w:tcW w:w="4509" w:type="dxa"/>
            <w:vAlign w:val="bottom"/>
          </w:tcPr>
          <w:p w14:paraId="6D84320F" w14:textId="476D47E0" w:rsidR="005E4FF1" w:rsidRPr="005F2BC4" w:rsidRDefault="005E4FF1" w:rsidP="005E4FF1">
            <w:pPr>
              <w:rPr>
                <w:sz w:val="22"/>
                <w:szCs w:val="22"/>
              </w:rPr>
            </w:pPr>
            <w:r w:rsidRPr="005F2BC4">
              <w:rPr>
                <w:rFonts w:ascii="Segoe UI" w:hAnsi="Segoe UI" w:cs="Segoe UI"/>
                <w:color w:val="0D0D0D"/>
                <w:sz w:val="22"/>
                <w:szCs w:val="22"/>
              </w:rPr>
              <w:t>Avian influenza H5N1</w:t>
            </w:r>
          </w:p>
        </w:tc>
        <w:tc>
          <w:tcPr>
            <w:tcW w:w="4501" w:type="dxa"/>
          </w:tcPr>
          <w:p w14:paraId="0381532D" w14:textId="6490DDCD" w:rsidR="005E4FF1" w:rsidRPr="005E4FF1" w:rsidRDefault="005E4FF1" w:rsidP="005E4FF1">
            <w:pPr>
              <w:jc w:val="right"/>
              <w:rPr>
                <w:sz w:val="22"/>
                <w:szCs w:val="22"/>
              </w:rPr>
            </w:pPr>
            <w:r w:rsidRPr="005E4FF1">
              <w:rPr>
                <w:sz w:val="22"/>
                <w:szCs w:val="22"/>
              </w:rPr>
              <w:t>5036</w:t>
            </w:r>
          </w:p>
        </w:tc>
      </w:tr>
      <w:tr w:rsidR="005E4FF1" w:rsidRPr="005F2BC4" w14:paraId="7DADAE9D" w14:textId="77777777" w:rsidTr="00402BAD">
        <w:tc>
          <w:tcPr>
            <w:tcW w:w="4509" w:type="dxa"/>
            <w:vAlign w:val="bottom"/>
          </w:tcPr>
          <w:p w14:paraId="7D8894AA" w14:textId="185F60ED" w:rsidR="005E4FF1" w:rsidRPr="005F2BC4" w:rsidRDefault="005E4FF1" w:rsidP="005E4FF1">
            <w:pPr>
              <w:rPr>
                <w:sz w:val="22"/>
                <w:szCs w:val="22"/>
              </w:rPr>
            </w:pPr>
            <w:r w:rsidRPr="005F2BC4">
              <w:rPr>
                <w:rFonts w:ascii="Aptos Narrow" w:hAnsi="Aptos Narrow"/>
                <w:color w:val="000000"/>
                <w:sz w:val="22"/>
                <w:szCs w:val="22"/>
              </w:rPr>
              <w:t>Chicken pox</w:t>
            </w:r>
          </w:p>
        </w:tc>
        <w:tc>
          <w:tcPr>
            <w:tcW w:w="4501" w:type="dxa"/>
          </w:tcPr>
          <w:p w14:paraId="7BBC30EB" w14:textId="3F316A35" w:rsidR="005E4FF1" w:rsidRPr="005E4FF1" w:rsidRDefault="005E4FF1" w:rsidP="005E4FF1">
            <w:pPr>
              <w:jc w:val="right"/>
              <w:rPr>
                <w:sz w:val="22"/>
                <w:szCs w:val="22"/>
              </w:rPr>
            </w:pPr>
            <w:r w:rsidRPr="005E4FF1">
              <w:rPr>
                <w:sz w:val="22"/>
                <w:szCs w:val="22"/>
              </w:rPr>
              <w:t>4069</w:t>
            </w:r>
          </w:p>
        </w:tc>
      </w:tr>
      <w:tr w:rsidR="005E4FF1" w:rsidRPr="005F2BC4" w14:paraId="1BF4164C" w14:textId="77777777" w:rsidTr="00402BAD">
        <w:tc>
          <w:tcPr>
            <w:tcW w:w="4509" w:type="dxa"/>
            <w:vAlign w:val="bottom"/>
          </w:tcPr>
          <w:p w14:paraId="0B10B7FF" w14:textId="508A9476" w:rsidR="005E4FF1" w:rsidRPr="005F2BC4" w:rsidRDefault="005E4FF1" w:rsidP="005E4FF1">
            <w:pPr>
              <w:rPr>
                <w:sz w:val="22"/>
                <w:szCs w:val="22"/>
              </w:rPr>
            </w:pPr>
            <w:r w:rsidRPr="005F2BC4">
              <w:rPr>
                <w:rFonts w:ascii="Aptos Narrow" w:hAnsi="Aptos Narrow"/>
                <w:color w:val="000000"/>
                <w:sz w:val="22"/>
                <w:szCs w:val="22"/>
              </w:rPr>
              <w:t>Chikungunya</w:t>
            </w:r>
          </w:p>
        </w:tc>
        <w:tc>
          <w:tcPr>
            <w:tcW w:w="4501" w:type="dxa"/>
          </w:tcPr>
          <w:p w14:paraId="1B6F67F6" w14:textId="357852C8" w:rsidR="005E4FF1" w:rsidRPr="005E4FF1" w:rsidRDefault="005E4FF1" w:rsidP="005E4FF1">
            <w:pPr>
              <w:jc w:val="right"/>
              <w:rPr>
                <w:sz w:val="22"/>
                <w:szCs w:val="22"/>
              </w:rPr>
            </w:pPr>
            <w:r w:rsidRPr="005E4FF1">
              <w:rPr>
                <w:sz w:val="22"/>
                <w:szCs w:val="22"/>
              </w:rPr>
              <w:t>15113</w:t>
            </w:r>
          </w:p>
        </w:tc>
      </w:tr>
      <w:tr w:rsidR="005E4FF1" w:rsidRPr="005F2BC4" w14:paraId="3DF47E8C" w14:textId="77777777" w:rsidTr="00402BAD">
        <w:tc>
          <w:tcPr>
            <w:tcW w:w="4509" w:type="dxa"/>
            <w:vAlign w:val="bottom"/>
          </w:tcPr>
          <w:p w14:paraId="7E08117C" w14:textId="774A98DC" w:rsidR="005E4FF1" w:rsidRPr="005F2BC4" w:rsidRDefault="005E4FF1" w:rsidP="005E4FF1">
            <w:pPr>
              <w:rPr>
                <w:sz w:val="22"/>
                <w:szCs w:val="22"/>
              </w:rPr>
            </w:pPr>
            <w:r w:rsidRPr="005F2BC4">
              <w:rPr>
                <w:rFonts w:ascii="Aptos Narrow" w:hAnsi="Aptos Narrow"/>
                <w:color w:val="000000"/>
                <w:sz w:val="22"/>
                <w:szCs w:val="22"/>
              </w:rPr>
              <w:t>Common cold</w:t>
            </w:r>
          </w:p>
        </w:tc>
        <w:tc>
          <w:tcPr>
            <w:tcW w:w="4501" w:type="dxa"/>
          </w:tcPr>
          <w:p w14:paraId="1693C4E0" w14:textId="518C34F0" w:rsidR="005E4FF1" w:rsidRPr="005E4FF1" w:rsidRDefault="005E4FF1" w:rsidP="005E4FF1">
            <w:pPr>
              <w:jc w:val="right"/>
              <w:rPr>
                <w:sz w:val="22"/>
                <w:szCs w:val="22"/>
              </w:rPr>
            </w:pPr>
            <w:r w:rsidRPr="005E4FF1">
              <w:rPr>
                <w:sz w:val="22"/>
                <w:szCs w:val="22"/>
              </w:rPr>
              <w:t>1452</w:t>
            </w:r>
          </w:p>
        </w:tc>
      </w:tr>
      <w:tr w:rsidR="005E4FF1" w:rsidRPr="005F2BC4" w14:paraId="58B3B744" w14:textId="77777777" w:rsidTr="00402BAD">
        <w:tc>
          <w:tcPr>
            <w:tcW w:w="4509" w:type="dxa"/>
            <w:vAlign w:val="bottom"/>
          </w:tcPr>
          <w:p w14:paraId="67A78B09" w14:textId="37B39667" w:rsidR="005E4FF1" w:rsidRPr="005F2BC4" w:rsidRDefault="005E4FF1" w:rsidP="005E4FF1">
            <w:pPr>
              <w:rPr>
                <w:sz w:val="22"/>
                <w:szCs w:val="22"/>
              </w:rPr>
            </w:pPr>
            <w:r w:rsidRPr="005F2BC4">
              <w:rPr>
                <w:rFonts w:ascii="Aptos Narrow" w:hAnsi="Aptos Narrow"/>
                <w:color w:val="000000"/>
                <w:sz w:val="22"/>
                <w:szCs w:val="22"/>
              </w:rPr>
              <w:t>Crimean-Congo h</w:t>
            </w:r>
            <w:r>
              <w:rPr>
                <w:rFonts w:ascii="Aptos Narrow" w:hAnsi="Aptos Narrow" w:hint="eastAsia"/>
                <w:color w:val="000000"/>
                <w:sz w:val="22"/>
                <w:szCs w:val="22"/>
                <w:lang w:eastAsia="ko-KR"/>
              </w:rPr>
              <w:t>a</w:t>
            </w:r>
            <w:r w:rsidRPr="005F2BC4">
              <w:rPr>
                <w:rFonts w:ascii="Aptos Narrow" w:hAnsi="Aptos Narrow"/>
                <w:color w:val="000000"/>
                <w:sz w:val="22"/>
                <w:szCs w:val="22"/>
              </w:rPr>
              <w:t>emorrhagic fever</w:t>
            </w:r>
          </w:p>
        </w:tc>
        <w:tc>
          <w:tcPr>
            <w:tcW w:w="4501" w:type="dxa"/>
          </w:tcPr>
          <w:p w14:paraId="218DD1BB" w14:textId="137BDA5C" w:rsidR="005E4FF1" w:rsidRPr="005E4FF1" w:rsidRDefault="005E4FF1" w:rsidP="005E4FF1">
            <w:pPr>
              <w:jc w:val="right"/>
              <w:rPr>
                <w:sz w:val="22"/>
                <w:szCs w:val="22"/>
              </w:rPr>
            </w:pPr>
            <w:r w:rsidRPr="005E4FF1">
              <w:rPr>
                <w:sz w:val="22"/>
                <w:szCs w:val="22"/>
              </w:rPr>
              <w:t>940</w:t>
            </w:r>
          </w:p>
        </w:tc>
      </w:tr>
      <w:tr w:rsidR="005E4FF1" w:rsidRPr="005F2BC4" w14:paraId="664F0146" w14:textId="77777777" w:rsidTr="00402BAD">
        <w:tc>
          <w:tcPr>
            <w:tcW w:w="4509" w:type="dxa"/>
            <w:vAlign w:val="bottom"/>
          </w:tcPr>
          <w:p w14:paraId="018A9EB9" w14:textId="07EA2CCB" w:rsidR="005E4FF1" w:rsidRPr="005F2BC4" w:rsidRDefault="005E4FF1" w:rsidP="005E4FF1">
            <w:pPr>
              <w:rPr>
                <w:sz w:val="22"/>
                <w:szCs w:val="22"/>
              </w:rPr>
            </w:pPr>
            <w:r w:rsidRPr="005F2BC4">
              <w:rPr>
                <w:rFonts w:ascii="Aptos Narrow" w:hAnsi="Aptos Narrow"/>
                <w:color w:val="000000"/>
                <w:sz w:val="22"/>
                <w:szCs w:val="22"/>
              </w:rPr>
              <w:t>Dengue</w:t>
            </w:r>
          </w:p>
        </w:tc>
        <w:tc>
          <w:tcPr>
            <w:tcW w:w="4501" w:type="dxa"/>
          </w:tcPr>
          <w:p w14:paraId="3DF7CBB7" w14:textId="468B8686" w:rsidR="005E4FF1" w:rsidRPr="005E4FF1" w:rsidRDefault="005E4FF1" w:rsidP="005E4FF1">
            <w:pPr>
              <w:jc w:val="right"/>
              <w:rPr>
                <w:sz w:val="22"/>
                <w:szCs w:val="22"/>
              </w:rPr>
            </w:pPr>
            <w:r w:rsidRPr="005E4FF1">
              <w:rPr>
                <w:sz w:val="22"/>
                <w:szCs w:val="22"/>
              </w:rPr>
              <w:t>130907</w:t>
            </w:r>
          </w:p>
        </w:tc>
      </w:tr>
      <w:tr w:rsidR="005E4FF1" w:rsidRPr="005F2BC4" w14:paraId="0272C487" w14:textId="77777777" w:rsidTr="00402BAD">
        <w:tc>
          <w:tcPr>
            <w:tcW w:w="4509" w:type="dxa"/>
            <w:vAlign w:val="bottom"/>
          </w:tcPr>
          <w:p w14:paraId="7FF0BEE8" w14:textId="4CEEB42C" w:rsidR="005E4FF1" w:rsidRPr="005F2BC4" w:rsidRDefault="005E4FF1" w:rsidP="005E4FF1">
            <w:pPr>
              <w:rPr>
                <w:sz w:val="22"/>
                <w:szCs w:val="22"/>
              </w:rPr>
            </w:pPr>
            <w:r w:rsidRPr="005F2BC4">
              <w:rPr>
                <w:rFonts w:ascii="Aptos Narrow" w:hAnsi="Aptos Narrow"/>
                <w:color w:val="000000"/>
                <w:sz w:val="22"/>
                <w:szCs w:val="22"/>
              </w:rPr>
              <w:t>Eastern equine encephalitis</w:t>
            </w:r>
          </w:p>
        </w:tc>
        <w:tc>
          <w:tcPr>
            <w:tcW w:w="4501" w:type="dxa"/>
          </w:tcPr>
          <w:p w14:paraId="51D8BA60" w14:textId="3B9A2CD2" w:rsidR="005E4FF1" w:rsidRPr="005E4FF1" w:rsidRDefault="005E4FF1" w:rsidP="005E4FF1">
            <w:pPr>
              <w:jc w:val="right"/>
              <w:rPr>
                <w:sz w:val="22"/>
                <w:szCs w:val="22"/>
              </w:rPr>
            </w:pPr>
            <w:r w:rsidRPr="005E4FF1">
              <w:rPr>
                <w:sz w:val="22"/>
                <w:szCs w:val="22"/>
              </w:rPr>
              <w:t>2819</w:t>
            </w:r>
          </w:p>
        </w:tc>
      </w:tr>
      <w:tr w:rsidR="005E4FF1" w:rsidRPr="005F2BC4" w14:paraId="4834B897" w14:textId="77777777" w:rsidTr="00402BAD">
        <w:tc>
          <w:tcPr>
            <w:tcW w:w="4509" w:type="dxa"/>
            <w:vAlign w:val="bottom"/>
          </w:tcPr>
          <w:p w14:paraId="07EA25BF" w14:textId="4400FDED" w:rsidR="005E4FF1" w:rsidRPr="005F2BC4" w:rsidRDefault="005E4FF1" w:rsidP="005E4FF1">
            <w:pPr>
              <w:rPr>
                <w:sz w:val="22"/>
                <w:szCs w:val="22"/>
              </w:rPr>
            </w:pPr>
            <w:r w:rsidRPr="005F2BC4">
              <w:rPr>
                <w:rFonts w:ascii="Aptos Narrow" w:hAnsi="Aptos Narrow"/>
                <w:color w:val="000000"/>
                <w:sz w:val="22"/>
                <w:szCs w:val="22"/>
              </w:rPr>
              <w:t>Ebola</w:t>
            </w:r>
          </w:p>
        </w:tc>
        <w:tc>
          <w:tcPr>
            <w:tcW w:w="4501" w:type="dxa"/>
          </w:tcPr>
          <w:p w14:paraId="3CB6B46E" w14:textId="017592F0" w:rsidR="005E4FF1" w:rsidRPr="005E4FF1" w:rsidRDefault="005E4FF1" w:rsidP="005E4FF1">
            <w:pPr>
              <w:jc w:val="right"/>
              <w:rPr>
                <w:sz w:val="22"/>
                <w:szCs w:val="22"/>
              </w:rPr>
            </w:pPr>
            <w:r w:rsidRPr="005E4FF1">
              <w:rPr>
                <w:sz w:val="22"/>
                <w:szCs w:val="22"/>
              </w:rPr>
              <w:t>63948</w:t>
            </w:r>
          </w:p>
        </w:tc>
      </w:tr>
      <w:tr w:rsidR="005E4FF1" w:rsidRPr="005F2BC4" w14:paraId="01CB0FA1" w14:textId="77777777" w:rsidTr="00402BAD">
        <w:tc>
          <w:tcPr>
            <w:tcW w:w="4509" w:type="dxa"/>
            <w:vAlign w:val="bottom"/>
          </w:tcPr>
          <w:p w14:paraId="299A6534" w14:textId="0B683F24" w:rsidR="005E4FF1" w:rsidRPr="005F2BC4" w:rsidRDefault="005E4FF1" w:rsidP="005E4FF1">
            <w:pPr>
              <w:rPr>
                <w:sz w:val="22"/>
                <w:szCs w:val="22"/>
              </w:rPr>
            </w:pPr>
            <w:r w:rsidRPr="005F2BC4">
              <w:rPr>
                <w:rFonts w:ascii="Aptos Narrow" w:hAnsi="Aptos Narrow"/>
                <w:color w:val="000000"/>
                <w:sz w:val="22"/>
                <w:szCs w:val="22"/>
              </w:rPr>
              <w:t>Enterovirus infection</w:t>
            </w:r>
          </w:p>
        </w:tc>
        <w:tc>
          <w:tcPr>
            <w:tcW w:w="4501" w:type="dxa"/>
          </w:tcPr>
          <w:p w14:paraId="23294865" w14:textId="1779D4CB" w:rsidR="005E4FF1" w:rsidRPr="005E4FF1" w:rsidRDefault="005E4FF1" w:rsidP="005E4FF1">
            <w:pPr>
              <w:jc w:val="right"/>
              <w:rPr>
                <w:sz w:val="22"/>
                <w:szCs w:val="22"/>
              </w:rPr>
            </w:pPr>
            <w:r w:rsidRPr="005E4FF1">
              <w:rPr>
                <w:sz w:val="22"/>
                <w:szCs w:val="22"/>
              </w:rPr>
              <w:t>972</w:t>
            </w:r>
          </w:p>
        </w:tc>
      </w:tr>
      <w:tr w:rsidR="005E4FF1" w:rsidRPr="005F2BC4" w14:paraId="779BE0AF" w14:textId="77777777" w:rsidTr="00402BAD">
        <w:tc>
          <w:tcPr>
            <w:tcW w:w="4509" w:type="dxa"/>
            <w:vAlign w:val="bottom"/>
          </w:tcPr>
          <w:p w14:paraId="66234B28" w14:textId="0BDDD10E" w:rsidR="005E4FF1" w:rsidRPr="005F2BC4" w:rsidRDefault="005E4FF1" w:rsidP="005E4FF1">
            <w:pPr>
              <w:rPr>
                <w:sz w:val="22"/>
                <w:szCs w:val="22"/>
              </w:rPr>
            </w:pPr>
            <w:r w:rsidRPr="005F2BC4">
              <w:rPr>
                <w:rFonts w:ascii="Aptos Narrow" w:hAnsi="Aptos Narrow"/>
                <w:color w:val="000000"/>
                <w:sz w:val="22"/>
                <w:szCs w:val="22"/>
              </w:rPr>
              <w:t>Hepatitis A</w:t>
            </w:r>
          </w:p>
        </w:tc>
        <w:tc>
          <w:tcPr>
            <w:tcW w:w="4501" w:type="dxa"/>
          </w:tcPr>
          <w:p w14:paraId="73073C29" w14:textId="6D6F58D6" w:rsidR="005E4FF1" w:rsidRPr="005E4FF1" w:rsidRDefault="005E4FF1" w:rsidP="005E4FF1">
            <w:pPr>
              <w:jc w:val="right"/>
              <w:rPr>
                <w:sz w:val="22"/>
                <w:szCs w:val="22"/>
              </w:rPr>
            </w:pPr>
            <w:r w:rsidRPr="005E4FF1">
              <w:rPr>
                <w:sz w:val="22"/>
                <w:szCs w:val="22"/>
              </w:rPr>
              <w:t>4649</w:t>
            </w:r>
          </w:p>
        </w:tc>
      </w:tr>
      <w:tr w:rsidR="005E4FF1" w:rsidRPr="005F2BC4" w14:paraId="11E9BC8E" w14:textId="77777777" w:rsidTr="00402BAD">
        <w:tc>
          <w:tcPr>
            <w:tcW w:w="4509" w:type="dxa"/>
            <w:vAlign w:val="bottom"/>
          </w:tcPr>
          <w:p w14:paraId="32079A14" w14:textId="26EFC796" w:rsidR="005E4FF1" w:rsidRPr="005F2BC4" w:rsidRDefault="005E4FF1" w:rsidP="005E4FF1">
            <w:pPr>
              <w:rPr>
                <w:sz w:val="22"/>
                <w:szCs w:val="22"/>
              </w:rPr>
            </w:pPr>
            <w:r w:rsidRPr="005F2BC4">
              <w:rPr>
                <w:rFonts w:ascii="Aptos Narrow" w:hAnsi="Aptos Narrow"/>
                <w:color w:val="000000"/>
                <w:sz w:val="22"/>
                <w:szCs w:val="22"/>
              </w:rPr>
              <w:t>Hepatitis B</w:t>
            </w:r>
          </w:p>
        </w:tc>
        <w:tc>
          <w:tcPr>
            <w:tcW w:w="4501" w:type="dxa"/>
          </w:tcPr>
          <w:p w14:paraId="68AEB885" w14:textId="71F08C73" w:rsidR="005E4FF1" w:rsidRPr="005E4FF1" w:rsidRDefault="005E4FF1" w:rsidP="005E4FF1">
            <w:pPr>
              <w:jc w:val="right"/>
              <w:rPr>
                <w:sz w:val="22"/>
                <w:szCs w:val="22"/>
              </w:rPr>
            </w:pPr>
            <w:r w:rsidRPr="005E4FF1">
              <w:rPr>
                <w:sz w:val="22"/>
                <w:szCs w:val="22"/>
              </w:rPr>
              <w:t>2008</w:t>
            </w:r>
          </w:p>
        </w:tc>
      </w:tr>
      <w:tr w:rsidR="005E4FF1" w:rsidRPr="005F2BC4" w14:paraId="77CF593A" w14:textId="77777777" w:rsidTr="00402BAD">
        <w:tc>
          <w:tcPr>
            <w:tcW w:w="4509" w:type="dxa"/>
            <w:vAlign w:val="bottom"/>
          </w:tcPr>
          <w:p w14:paraId="4EF35F30" w14:textId="45DD59D4" w:rsidR="005E4FF1" w:rsidRPr="005F2BC4" w:rsidRDefault="005E4FF1" w:rsidP="005E4FF1">
            <w:pPr>
              <w:rPr>
                <w:sz w:val="22"/>
                <w:szCs w:val="22"/>
              </w:rPr>
            </w:pPr>
            <w:r w:rsidRPr="005F2BC4">
              <w:rPr>
                <w:rFonts w:ascii="Aptos Narrow" w:hAnsi="Aptos Narrow"/>
                <w:color w:val="000000"/>
                <w:sz w:val="22"/>
                <w:szCs w:val="22"/>
              </w:rPr>
              <w:t>Hepatitis C</w:t>
            </w:r>
          </w:p>
        </w:tc>
        <w:tc>
          <w:tcPr>
            <w:tcW w:w="4501" w:type="dxa"/>
          </w:tcPr>
          <w:p w14:paraId="699798D7" w14:textId="738E657A" w:rsidR="005E4FF1" w:rsidRPr="005E4FF1" w:rsidRDefault="005E4FF1" w:rsidP="005E4FF1">
            <w:pPr>
              <w:jc w:val="right"/>
              <w:rPr>
                <w:sz w:val="22"/>
                <w:szCs w:val="22"/>
              </w:rPr>
            </w:pPr>
            <w:r w:rsidRPr="005E4FF1">
              <w:rPr>
                <w:sz w:val="22"/>
                <w:szCs w:val="22"/>
              </w:rPr>
              <w:t>4157</w:t>
            </w:r>
          </w:p>
        </w:tc>
      </w:tr>
      <w:tr w:rsidR="005E4FF1" w:rsidRPr="005F2BC4" w14:paraId="0A4A6670" w14:textId="77777777" w:rsidTr="00402BAD">
        <w:tc>
          <w:tcPr>
            <w:tcW w:w="4509" w:type="dxa"/>
            <w:vAlign w:val="bottom"/>
          </w:tcPr>
          <w:p w14:paraId="689F0034" w14:textId="458DB349" w:rsidR="005E4FF1" w:rsidRPr="005F2BC4" w:rsidRDefault="005E4FF1" w:rsidP="005E4FF1">
            <w:pPr>
              <w:rPr>
                <w:sz w:val="22"/>
                <w:szCs w:val="22"/>
              </w:rPr>
            </w:pPr>
            <w:r w:rsidRPr="005F2BC4">
              <w:rPr>
                <w:rFonts w:ascii="Aptos Narrow" w:hAnsi="Aptos Narrow"/>
                <w:color w:val="000000"/>
                <w:sz w:val="22"/>
                <w:szCs w:val="22"/>
              </w:rPr>
              <w:t>Hepatitis D</w:t>
            </w:r>
          </w:p>
        </w:tc>
        <w:tc>
          <w:tcPr>
            <w:tcW w:w="4501" w:type="dxa"/>
          </w:tcPr>
          <w:p w14:paraId="36D7A7BA" w14:textId="4E339688" w:rsidR="005E4FF1" w:rsidRPr="005E4FF1" w:rsidRDefault="005E4FF1" w:rsidP="005E4FF1">
            <w:pPr>
              <w:jc w:val="right"/>
              <w:rPr>
                <w:sz w:val="22"/>
                <w:szCs w:val="22"/>
              </w:rPr>
            </w:pPr>
            <w:r w:rsidRPr="005E4FF1">
              <w:rPr>
                <w:sz w:val="22"/>
                <w:szCs w:val="22"/>
              </w:rPr>
              <w:t>70</w:t>
            </w:r>
          </w:p>
        </w:tc>
      </w:tr>
      <w:tr w:rsidR="005E4FF1" w:rsidRPr="005F2BC4" w14:paraId="2FAAAF20" w14:textId="77777777" w:rsidTr="00402BAD">
        <w:tc>
          <w:tcPr>
            <w:tcW w:w="4509" w:type="dxa"/>
            <w:vAlign w:val="bottom"/>
          </w:tcPr>
          <w:p w14:paraId="63487E53" w14:textId="3E4F28AF" w:rsidR="005E4FF1" w:rsidRPr="005F2BC4" w:rsidRDefault="005E4FF1" w:rsidP="005E4FF1">
            <w:pPr>
              <w:rPr>
                <w:sz w:val="22"/>
                <w:szCs w:val="22"/>
              </w:rPr>
            </w:pPr>
            <w:r w:rsidRPr="005F2BC4">
              <w:rPr>
                <w:rFonts w:ascii="Aptos Narrow" w:hAnsi="Aptos Narrow"/>
                <w:color w:val="000000"/>
                <w:sz w:val="22"/>
                <w:szCs w:val="22"/>
              </w:rPr>
              <w:t>Hepatitis E</w:t>
            </w:r>
          </w:p>
        </w:tc>
        <w:tc>
          <w:tcPr>
            <w:tcW w:w="4501" w:type="dxa"/>
          </w:tcPr>
          <w:p w14:paraId="6F23135C" w14:textId="4A07249F" w:rsidR="005E4FF1" w:rsidRPr="005E4FF1" w:rsidRDefault="005E4FF1" w:rsidP="005E4FF1">
            <w:pPr>
              <w:jc w:val="right"/>
              <w:rPr>
                <w:sz w:val="22"/>
                <w:szCs w:val="22"/>
              </w:rPr>
            </w:pPr>
            <w:r w:rsidRPr="005E4FF1">
              <w:rPr>
                <w:sz w:val="22"/>
                <w:szCs w:val="22"/>
              </w:rPr>
              <w:t>543</w:t>
            </w:r>
          </w:p>
        </w:tc>
      </w:tr>
      <w:tr w:rsidR="005E4FF1" w:rsidRPr="005F2BC4" w14:paraId="5EAFD48F" w14:textId="77777777" w:rsidTr="00402BAD">
        <w:tc>
          <w:tcPr>
            <w:tcW w:w="4509" w:type="dxa"/>
            <w:vAlign w:val="bottom"/>
          </w:tcPr>
          <w:p w14:paraId="420D3E75" w14:textId="7A253F4C" w:rsidR="005E4FF1" w:rsidRPr="005F2BC4" w:rsidRDefault="005E4FF1" w:rsidP="005E4FF1">
            <w:pPr>
              <w:rPr>
                <w:sz w:val="22"/>
                <w:szCs w:val="22"/>
              </w:rPr>
            </w:pPr>
            <w:r w:rsidRPr="005F2BC4">
              <w:rPr>
                <w:rFonts w:ascii="Aptos Narrow" w:hAnsi="Aptos Narrow"/>
                <w:color w:val="000000"/>
                <w:sz w:val="22"/>
                <w:szCs w:val="22"/>
              </w:rPr>
              <w:t>Herpes</w:t>
            </w:r>
          </w:p>
        </w:tc>
        <w:tc>
          <w:tcPr>
            <w:tcW w:w="4501" w:type="dxa"/>
          </w:tcPr>
          <w:p w14:paraId="1121F48F" w14:textId="29656D5A" w:rsidR="005E4FF1" w:rsidRPr="005E4FF1" w:rsidRDefault="005E4FF1" w:rsidP="005E4FF1">
            <w:pPr>
              <w:jc w:val="right"/>
              <w:rPr>
                <w:sz w:val="22"/>
                <w:szCs w:val="22"/>
              </w:rPr>
            </w:pPr>
            <w:r w:rsidRPr="005E4FF1">
              <w:rPr>
                <w:sz w:val="22"/>
                <w:szCs w:val="22"/>
              </w:rPr>
              <w:t>703</w:t>
            </w:r>
          </w:p>
        </w:tc>
      </w:tr>
      <w:tr w:rsidR="005E4FF1" w:rsidRPr="005F2BC4" w14:paraId="70E787AF" w14:textId="77777777" w:rsidTr="00402BAD">
        <w:tc>
          <w:tcPr>
            <w:tcW w:w="4509" w:type="dxa"/>
            <w:vAlign w:val="bottom"/>
          </w:tcPr>
          <w:p w14:paraId="1A7A5E26" w14:textId="78227AD3" w:rsidR="005E4FF1" w:rsidRPr="005F2BC4" w:rsidRDefault="005E4FF1" w:rsidP="005E4FF1">
            <w:pPr>
              <w:rPr>
                <w:sz w:val="22"/>
                <w:szCs w:val="22"/>
              </w:rPr>
            </w:pPr>
            <w:r w:rsidRPr="005F2BC4">
              <w:rPr>
                <w:rFonts w:ascii="Aptos Narrow" w:hAnsi="Aptos Narrow"/>
                <w:color w:val="000000"/>
                <w:sz w:val="22"/>
                <w:szCs w:val="22"/>
              </w:rPr>
              <w:t>HIV/AIDS</w:t>
            </w:r>
          </w:p>
        </w:tc>
        <w:tc>
          <w:tcPr>
            <w:tcW w:w="4501" w:type="dxa"/>
          </w:tcPr>
          <w:p w14:paraId="637A965E" w14:textId="110552C8" w:rsidR="005E4FF1" w:rsidRPr="005E4FF1" w:rsidRDefault="005E4FF1" w:rsidP="005E4FF1">
            <w:pPr>
              <w:jc w:val="right"/>
              <w:rPr>
                <w:sz w:val="22"/>
                <w:szCs w:val="22"/>
              </w:rPr>
            </w:pPr>
            <w:r w:rsidRPr="005E4FF1">
              <w:rPr>
                <w:sz w:val="22"/>
                <w:szCs w:val="22"/>
              </w:rPr>
              <w:t>15103</w:t>
            </w:r>
          </w:p>
        </w:tc>
      </w:tr>
      <w:tr w:rsidR="005E4FF1" w:rsidRPr="005F2BC4" w14:paraId="47695F09" w14:textId="77777777" w:rsidTr="00402BAD">
        <w:tc>
          <w:tcPr>
            <w:tcW w:w="4509" w:type="dxa"/>
            <w:vAlign w:val="bottom"/>
          </w:tcPr>
          <w:p w14:paraId="7D4D4838" w14:textId="6754064C" w:rsidR="005E4FF1" w:rsidRPr="005F2BC4" w:rsidRDefault="005E4FF1" w:rsidP="005E4FF1">
            <w:pPr>
              <w:rPr>
                <w:sz w:val="22"/>
                <w:szCs w:val="22"/>
              </w:rPr>
            </w:pPr>
            <w:r w:rsidRPr="005F2BC4">
              <w:rPr>
                <w:rFonts w:ascii="Aptos Narrow" w:hAnsi="Aptos Narrow"/>
                <w:color w:val="000000"/>
                <w:sz w:val="22"/>
                <w:szCs w:val="22"/>
              </w:rPr>
              <w:t>Influenza</w:t>
            </w:r>
          </w:p>
        </w:tc>
        <w:tc>
          <w:tcPr>
            <w:tcW w:w="4501" w:type="dxa"/>
          </w:tcPr>
          <w:p w14:paraId="18D89218" w14:textId="49449757" w:rsidR="005E4FF1" w:rsidRPr="005E4FF1" w:rsidRDefault="005E4FF1" w:rsidP="005E4FF1">
            <w:pPr>
              <w:jc w:val="right"/>
              <w:rPr>
                <w:sz w:val="22"/>
                <w:szCs w:val="22"/>
              </w:rPr>
            </w:pPr>
            <w:r w:rsidRPr="005E4FF1">
              <w:rPr>
                <w:sz w:val="22"/>
                <w:szCs w:val="22"/>
              </w:rPr>
              <w:t>81755</w:t>
            </w:r>
          </w:p>
        </w:tc>
      </w:tr>
      <w:tr w:rsidR="005E4FF1" w:rsidRPr="005F2BC4" w14:paraId="6EF5F280" w14:textId="77777777" w:rsidTr="00402BAD">
        <w:tc>
          <w:tcPr>
            <w:tcW w:w="4509" w:type="dxa"/>
            <w:vAlign w:val="bottom"/>
          </w:tcPr>
          <w:p w14:paraId="306FBE94" w14:textId="32D9247D" w:rsidR="005E4FF1" w:rsidRPr="005F2BC4" w:rsidRDefault="005E4FF1" w:rsidP="005E4FF1">
            <w:pPr>
              <w:rPr>
                <w:sz w:val="22"/>
                <w:szCs w:val="22"/>
              </w:rPr>
            </w:pPr>
            <w:r w:rsidRPr="005F2BC4">
              <w:rPr>
                <w:rFonts w:ascii="Aptos Narrow" w:hAnsi="Aptos Narrow"/>
                <w:color w:val="000000"/>
                <w:sz w:val="22"/>
                <w:szCs w:val="22"/>
              </w:rPr>
              <w:t>Japanese encephalitis</w:t>
            </w:r>
          </w:p>
        </w:tc>
        <w:tc>
          <w:tcPr>
            <w:tcW w:w="4501" w:type="dxa"/>
          </w:tcPr>
          <w:p w14:paraId="49EEF33B" w14:textId="1F4D846C" w:rsidR="005E4FF1" w:rsidRPr="005E4FF1" w:rsidRDefault="005E4FF1" w:rsidP="005E4FF1">
            <w:pPr>
              <w:jc w:val="right"/>
              <w:rPr>
                <w:sz w:val="22"/>
                <w:szCs w:val="22"/>
              </w:rPr>
            </w:pPr>
            <w:r w:rsidRPr="005E4FF1">
              <w:rPr>
                <w:sz w:val="22"/>
                <w:szCs w:val="22"/>
              </w:rPr>
              <w:t>1991</w:t>
            </w:r>
          </w:p>
        </w:tc>
      </w:tr>
      <w:tr w:rsidR="005E4FF1" w:rsidRPr="005F2BC4" w14:paraId="16B2854E" w14:textId="77777777" w:rsidTr="00402BAD">
        <w:tc>
          <w:tcPr>
            <w:tcW w:w="4509" w:type="dxa"/>
            <w:vAlign w:val="bottom"/>
          </w:tcPr>
          <w:p w14:paraId="6C65110F" w14:textId="3C90FB80" w:rsidR="005E4FF1" w:rsidRPr="005F2BC4" w:rsidRDefault="005E4FF1" w:rsidP="005E4FF1">
            <w:pPr>
              <w:rPr>
                <w:sz w:val="22"/>
                <w:szCs w:val="22"/>
              </w:rPr>
            </w:pPr>
            <w:r w:rsidRPr="005F2BC4">
              <w:rPr>
                <w:rFonts w:ascii="Aptos Narrow" w:hAnsi="Aptos Narrow"/>
                <w:color w:val="000000"/>
                <w:sz w:val="22"/>
                <w:szCs w:val="22"/>
              </w:rPr>
              <w:t>La Crosse encephalitis</w:t>
            </w:r>
          </w:p>
        </w:tc>
        <w:tc>
          <w:tcPr>
            <w:tcW w:w="4501" w:type="dxa"/>
          </w:tcPr>
          <w:p w14:paraId="7C4C5053" w14:textId="0D0F016A" w:rsidR="005E4FF1" w:rsidRPr="005E4FF1" w:rsidRDefault="005E4FF1" w:rsidP="005E4FF1">
            <w:pPr>
              <w:jc w:val="right"/>
              <w:rPr>
                <w:sz w:val="22"/>
                <w:szCs w:val="22"/>
              </w:rPr>
            </w:pPr>
            <w:r w:rsidRPr="005E4FF1">
              <w:rPr>
                <w:sz w:val="22"/>
                <w:szCs w:val="22"/>
              </w:rPr>
              <w:t>148</w:t>
            </w:r>
          </w:p>
        </w:tc>
      </w:tr>
      <w:tr w:rsidR="005E4FF1" w:rsidRPr="005F2BC4" w14:paraId="12E4ECA7" w14:textId="77777777" w:rsidTr="00402BAD">
        <w:tc>
          <w:tcPr>
            <w:tcW w:w="4509" w:type="dxa"/>
            <w:vAlign w:val="bottom"/>
          </w:tcPr>
          <w:p w14:paraId="59B0AC45" w14:textId="149AA490" w:rsidR="005E4FF1" w:rsidRPr="005F2BC4" w:rsidRDefault="005E4FF1" w:rsidP="005E4FF1">
            <w:pPr>
              <w:rPr>
                <w:sz w:val="22"/>
                <w:szCs w:val="22"/>
              </w:rPr>
            </w:pPr>
            <w:r w:rsidRPr="005F2BC4">
              <w:rPr>
                <w:rFonts w:ascii="Aptos Narrow" w:hAnsi="Aptos Narrow"/>
                <w:color w:val="000000"/>
                <w:sz w:val="22"/>
                <w:szCs w:val="22"/>
              </w:rPr>
              <w:t>Lassa fever</w:t>
            </w:r>
          </w:p>
        </w:tc>
        <w:tc>
          <w:tcPr>
            <w:tcW w:w="4501" w:type="dxa"/>
          </w:tcPr>
          <w:p w14:paraId="69CDAFFA" w14:textId="49005F25" w:rsidR="005E4FF1" w:rsidRPr="005E4FF1" w:rsidRDefault="005E4FF1" w:rsidP="005E4FF1">
            <w:pPr>
              <w:jc w:val="right"/>
              <w:rPr>
                <w:sz w:val="22"/>
                <w:szCs w:val="22"/>
              </w:rPr>
            </w:pPr>
            <w:r w:rsidRPr="005E4FF1">
              <w:rPr>
                <w:sz w:val="22"/>
                <w:szCs w:val="22"/>
              </w:rPr>
              <w:t>2319</w:t>
            </w:r>
          </w:p>
        </w:tc>
      </w:tr>
      <w:tr w:rsidR="005E4FF1" w:rsidRPr="005F2BC4" w14:paraId="22924E4F" w14:textId="77777777" w:rsidTr="00402BAD">
        <w:tc>
          <w:tcPr>
            <w:tcW w:w="4509" w:type="dxa"/>
            <w:vAlign w:val="bottom"/>
          </w:tcPr>
          <w:p w14:paraId="73578C8B" w14:textId="43373414" w:rsidR="005E4FF1" w:rsidRPr="005F2BC4" w:rsidRDefault="005E4FF1" w:rsidP="005E4FF1">
            <w:pPr>
              <w:rPr>
                <w:sz w:val="22"/>
                <w:szCs w:val="22"/>
              </w:rPr>
            </w:pPr>
            <w:proofErr w:type="spellStart"/>
            <w:r w:rsidRPr="005F2BC4">
              <w:rPr>
                <w:rFonts w:ascii="Aptos Narrow" w:hAnsi="Aptos Narrow"/>
                <w:color w:val="000000"/>
                <w:sz w:val="22"/>
                <w:szCs w:val="22"/>
              </w:rPr>
              <w:t>Machupo</w:t>
            </w:r>
            <w:proofErr w:type="spellEnd"/>
            <w:r w:rsidRPr="005F2BC4">
              <w:rPr>
                <w:rFonts w:ascii="Aptos Narrow" w:hAnsi="Aptos Narrow"/>
                <w:color w:val="000000"/>
                <w:sz w:val="22"/>
                <w:szCs w:val="22"/>
              </w:rPr>
              <w:t xml:space="preserve"> virus</w:t>
            </w:r>
          </w:p>
        </w:tc>
        <w:tc>
          <w:tcPr>
            <w:tcW w:w="4501" w:type="dxa"/>
          </w:tcPr>
          <w:p w14:paraId="00B7B473" w14:textId="26318CCF" w:rsidR="005E4FF1" w:rsidRPr="005E4FF1" w:rsidRDefault="005E4FF1" w:rsidP="005E4FF1">
            <w:pPr>
              <w:jc w:val="right"/>
              <w:rPr>
                <w:sz w:val="22"/>
                <w:szCs w:val="22"/>
              </w:rPr>
            </w:pPr>
            <w:r w:rsidRPr="005E4FF1">
              <w:rPr>
                <w:sz w:val="22"/>
                <w:szCs w:val="22"/>
              </w:rPr>
              <w:t>12</w:t>
            </w:r>
          </w:p>
        </w:tc>
      </w:tr>
      <w:tr w:rsidR="005E4FF1" w:rsidRPr="005F2BC4" w14:paraId="26B332AD" w14:textId="77777777" w:rsidTr="00402BAD">
        <w:tc>
          <w:tcPr>
            <w:tcW w:w="4509" w:type="dxa"/>
            <w:vAlign w:val="bottom"/>
          </w:tcPr>
          <w:p w14:paraId="61D2FED2" w14:textId="1E17E2BB" w:rsidR="005E4FF1" w:rsidRPr="005F2BC4" w:rsidRDefault="005E4FF1" w:rsidP="005E4FF1">
            <w:pPr>
              <w:rPr>
                <w:sz w:val="22"/>
                <w:szCs w:val="22"/>
              </w:rPr>
            </w:pPr>
            <w:r w:rsidRPr="005F2BC4">
              <w:rPr>
                <w:rFonts w:ascii="Aptos Narrow" w:hAnsi="Aptos Narrow"/>
                <w:color w:val="000000"/>
                <w:sz w:val="22"/>
                <w:szCs w:val="22"/>
              </w:rPr>
              <w:t>Marburg fever</w:t>
            </w:r>
          </w:p>
        </w:tc>
        <w:tc>
          <w:tcPr>
            <w:tcW w:w="4501" w:type="dxa"/>
          </w:tcPr>
          <w:p w14:paraId="7686A6A0" w14:textId="0197C91A" w:rsidR="005E4FF1" w:rsidRPr="005E4FF1" w:rsidRDefault="005E4FF1" w:rsidP="005E4FF1">
            <w:pPr>
              <w:jc w:val="right"/>
              <w:rPr>
                <w:sz w:val="22"/>
                <w:szCs w:val="22"/>
              </w:rPr>
            </w:pPr>
            <w:r w:rsidRPr="005E4FF1">
              <w:rPr>
                <w:sz w:val="22"/>
                <w:szCs w:val="22"/>
              </w:rPr>
              <w:t>206</w:t>
            </w:r>
          </w:p>
        </w:tc>
      </w:tr>
      <w:tr w:rsidR="005E4FF1" w:rsidRPr="005F2BC4" w14:paraId="58D18E6C" w14:textId="77777777" w:rsidTr="00402BAD">
        <w:tc>
          <w:tcPr>
            <w:tcW w:w="4509" w:type="dxa"/>
            <w:vAlign w:val="bottom"/>
          </w:tcPr>
          <w:p w14:paraId="43ABD5B6" w14:textId="69FD1B01" w:rsidR="005E4FF1" w:rsidRPr="005F2BC4" w:rsidRDefault="005E4FF1" w:rsidP="005E4FF1">
            <w:pPr>
              <w:rPr>
                <w:sz w:val="22"/>
                <w:szCs w:val="22"/>
              </w:rPr>
            </w:pPr>
            <w:r w:rsidRPr="005F2BC4">
              <w:rPr>
                <w:rFonts w:ascii="Aptos Narrow" w:hAnsi="Aptos Narrow"/>
                <w:color w:val="000000"/>
                <w:sz w:val="22"/>
                <w:szCs w:val="22"/>
              </w:rPr>
              <w:t>Measles</w:t>
            </w:r>
          </w:p>
        </w:tc>
        <w:tc>
          <w:tcPr>
            <w:tcW w:w="4501" w:type="dxa"/>
          </w:tcPr>
          <w:p w14:paraId="3232902B" w14:textId="2F086503" w:rsidR="005E4FF1" w:rsidRPr="005E4FF1" w:rsidRDefault="005E4FF1" w:rsidP="005E4FF1">
            <w:pPr>
              <w:jc w:val="right"/>
              <w:rPr>
                <w:sz w:val="22"/>
                <w:szCs w:val="22"/>
              </w:rPr>
            </w:pPr>
            <w:r w:rsidRPr="005E4FF1">
              <w:rPr>
                <w:sz w:val="22"/>
                <w:szCs w:val="22"/>
              </w:rPr>
              <w:t>30252</w:t>
            </w:r>
          </w:p>
        </w:tc>
      </w:tr>
      <w:tr w:rsidR="005E4FF1" w:rsidRPr="005F2BC4" w14:paraId="401CF1B3" w14:textId="77777777" w:rsidTr="00402BAD">
        <w:tc>
          <w:tcPr>
            <w:tcW w:w="4509" w:type="dxa"/>
            <w:vAlign w:val="bottom"/>
          </w:tcPr>
          <w:p w14:paraId="7A51A60A" w14:textId="1C0B6F4A" w:rsidR="005E4FF1" w:rsidRPr="005F2BC4" w:rsidRDefault="005E4FF1" w:rsidP="005E4FF1">
            <w:pPr>
              <w:rPr>
                <w:sz w:val="22"/>
                <w:szCs w:val="22"/>
              </w:rPr>
            </w:pPr>
            <w:r w:rsidRPr="005F2BC4">
              <w:rPr>
                <w:rFonts w:ascii="Aptos Narrow" w:hAnsi="Aptos Narrow"/>
                <w:color w:val="000000"/>
                <w:sz w:val="22"/>
                <w:szCs w:val="22"/>
              </w:rPr>
              <w:t>Mononucleosis</w:t>
            </w:r>
          </w:p>
        </w:tc>
        <w:tc>
          <w:tcPr>
            <w:tcW w:w="4501" w:type="dxa"/>
          </w:tcPr>
          <w:p w14:paraId="295BC18C" w14:textId="5EB57BD6" w:rsidR="005E4FF1" w:rsidRPr="005E4FF1" w:rsidRDefault="005E4FF1" w:rsidP="005E4FF1">
            <w:pPr>
              <w:jc w:val="right"/>
              <w:rPr>
                <w:sz w:val="22"/>
                <w:szCs w:val="22"/>
              </w:rPr>
            </w:pPr>
            <w:r w:rsidRPr="005E4FF1">
              <w:rPr>
                <w:sz w:val="22"/>
                <w:szCs w:val="22"/>
              </w:rPr>
              <w:t>162</w:t>
            </w:r>
          </w:p>
        </w:tc>
      </w:tr>
      <w:tr w:rsidR="005E4FF1" w:rsidRPr="005F2BC4" w14:paraId="4E1ACC18" w14:textId="77777777" w:rsidTr="00402BAD">
        <w:tc>
          <w:tcPr>
            <w:tcW w:w="4509" w:type="dxa"/>
            <w:vAlign w:val="bottom"/>
          </w:tcPr>
          <w:p w14:paraId="317131B3" w14:textId="451A9C64" w:rsidR="005E4FF1" w:rsidRPr="005F2BC4" w:rsidRDefault="005E4FF1" w:rsidP="005E4FF1">
            <w:pPr>
              <w:rPr>
                <w:sz w:val="22"/>
                <w:szCs w:val="22"/>
              </w:rPr>
            </w:pPr>
            <w:r w:rsidRPr="005F2BC4">
              <w:rPr>
                <w:rFonts w:ascii="Aptos Narrow" w:hAnsi="Aptos Narrow"/>
                <w:color w:val="000000"/>
                <w:sz w:val="22"/>
                <w:szCs w:val="22"/>
              </w:rPr>
              <w:t>MPOX</w:t>
            </w:r>
          </w:p>
        </w:tc>
        <w:tc>
          <w:tcPr>
            <w:tcW w:w="4501" w:type="dxa"/>
          </w:tcPr>
          <w:p w14:paraId="5E8C796A" w14:textId="451B7B59" w:rsidR="005E4FF1" w:rsidRPr="005E4FF1" w:rsidRDefault="005E4FF1" w:rsidP="005E4FF1">
            <w:pPr>
              <w:jc w:val="right"/>
              <w:rPr>
                <w:sz w:val="22"/>
                <w:szCs w:val="22"/>
              </w:rPr>
            </w:pPr>
            <w:r w:rsidRPr="005E4FF1">
              <w:rPr>
                <w:sz w:val="22"/>
                <w:szCs w:val="22"/>
              </w:rPr>
              <w:t>383</w:t>
            </w:r>
          </w:p>
        </w:tc>
      </w:tr>
      <w:tr w:rsidR="005E4FF1" w:rsidRPr="005F2BC4" w14:paraId="290712E1" w14:textId="77777777" w:rsidTr="00402BAD">
        <w:tc>
          <w:tcPr>
            <w:tcW w:w="4509" w:type="dxa"/>
            <w:vAlign w:val="bottom"/>
          </w:tcPr>
          <w:p w14:paraId="7514A6D5" w14:textId="6115BC84" w:rsidR="005E4FF1" w:rsidRPr="005F2BC4" w:rsidRDefault="005E4FF1" w:rsidP="005E4FF1">
            <w:pPr>
              <w:rPr>
                <w:sz w:val="22"/>
                <w:szCs w:val="22"/>
              </w:rPr>
            </w:pPr>
            <w:r w:rsidRPr="005F2BC4">
              <w:rPr>
                <w:rFonts w:ascii="Aptos Narrow" w:hAnsi="Aptos Narrow"/>
                <w:color w:val="000000"/>
                <w:sz w:val="22"/>
                <w:szCs w:val="22"/>
              </w:rPr>
              <w:t>Mumps</w:t>
            </w:r>
          </w:p>
        </w:tc>
        <w:tc>
          <w:tcPr>
            <w:tcW w:w="4501" w:type="dxa"/>
          </w:tcPr>
          <w:p w14:paraId="34512BB8" w14:textId="2A2A54DD" w:rsidR="005E4FF1" w:rsidRPr="005E4FF1" w:rsidRDefault="005E4FF1" w:rsidP="005E4FF1">
            <w:pPr>
              <w:jc w:val="right"/>
              <w:rPr>
                <w:sz w:val="22"/>
                <w:szCs w:val="22"/>
              </w:rPr>
            </w:pPr>
            <w:r w:rsidRPr="005E4FF1">
              <w:rPr>
                <w:sz w:val="22"/>
                <w:szCs w:val="22"/>
              </w:rPr>
              <w:t>5573</w:t>
            </w:r>
          </w:p>
        </w:tc>
      </w:tr>
      <w:tr w:rsidR="005E4FF1" w:rsidRPr="005F2BC4" w14:paraId="364C417C" w14:textId="77777777" w:rsidTr="00402BAD">
        <w:tc>
          <w:tcPr>
            <w:tcW w:w="4509" w:type="dxa"/>
            <w:vAlign w:val="bottom"/>
          </w:tcPr>
          <w:p w14:paraId="0F6BFDD6" w14:textId="59C23FA8" w:rsidR="005E4FF1" w:rsidRPr="005F2BC4" w:rsidRDefault="005E4FF1" w:rsidP="005E4FF1">
            <w:pPr>
              <w:rPr>
                <w:sz w:val="22"/>
                <w:szCs w:val="22"/>
              </w:rPr>
            </w:pPr>
            <w:r w:rsidRPr="005F2BC4">
              <w:rPr>
                <w:rFonts w:ascii="Aptos Narrow" w:hAnsi="Aptos Narrow"/>
                <w:color w:val="000000"/>
                <w:sz w:val="22"/>
                <w:szCs w:val="22"/>
              </w:rPr>
              <w:t>Murray Valley encephalitis</w:t>
            </w:r>
          </w:p>
        </w:tc>
        <w:tc>
          <w:tcPr>
            <w:tcW w:w="4501" w:type="dxa"/>
          </w:tcPr>
          <w:p w14:paraId="3CF5A1C8" w14:textId="505C9CC5" w:rsidR="005E4FF1" w:rsidRPr="005E4FF1" w:rsidRDefault="005E4FF1" w:rsidP="005E4FF1">
            <w:pPr>
              <w:jc w:val="right"/>
              <w:rPr>
                <w:sz w:val="22"/>
                <w:szCs w:val="22"/>
              </w:rPr>
            </w:pPr>
            <w:r w:rsidRPr="005E4FF1">
              <w:rPr>
                <w:sz w:val="22"/>
                <w:szCs w:val="22"/>
              </w:rPr>
              <w:t>106</w:t>
            </w:r>
          </w:p>
        </w:tc>
      </w:tr>
      <w:tr w:rsidR="005E4FF1" w:rsidRPr="005F2BC4" w14:paraId="14B46B2B" w14:textId="77777777" w:rsidTr="00402BAD">
        <w:tc>
          <w:tcPr>
            <w:tcW w:w="4509" w:type="dxa"/>
            <w:vAlign w:val="bottom"/>
          </w:tcPr>
          <w:p w14:paraId="267904FF" w14:textId="00619C42" w:rsidR="005E4FF1" w:rsidRPr="005F2BC4" w:rsidRDefault="005E4FF1" w:rsidP="005E4FF1">
            <w:pPr>
              <w:rPr>
                <w:sz w:val="22"/>
                <w:szCs w:val="22"/>
              </w:rPr>
            </w:pPr>
            <w:r w:rsidRPr="005F2BC4">
              <w:rPr>
                <w:rFonts w:ascii="Aptos Narrow" w:hAnsi="Aptos Narrow"/>
                <w:color w:val="000000"/>
                <w:sz w:val="22"/>
                <w:szCs w:val="22"/>
              </w:rPr>
              <w:t>Nipah and Nipah-like virus disease</w:t>
            </w:r>
          </w:p>
        </w:tc>
        <w:tc>
          <w:tcPr>
            <w:tcW w:w="4501" w:type="dxa"/>
          </w:tcPr>
          <w:p w14:paraId="0BC1610A" w14:textId="1E01F787" w:rsidR="005E4FF1" w:rsidRPr="005E4FF1" w:rsidRDefault="005E4FF1" w:rsidP="005E4FF1">
            <w:pPr>
              <w:jc w:val="right"/>
              <w:rPr>
                <w:sz w:val="22"/>
                <w:szCs w:val="22"/>
              </w:rPr>
            </w:pPr>
            <w:r w:rsidRPr="005E4FF1">
              <w:rPr>
                <w:sz w:val="22"/>
                <w:szCs w:val="22"/>
              </w:rPr>
              <w:t>893</w:t>
            </w:r>
          </w:p>
        </w:tc>
      </w:tr>
      <w:tr w:rsidR="005E4FF1" w:rsidRPr="005F2BC4" w14:paraId="12B09EC4" w14:textId="77777777" w:rsidTr="00402BAD">
        <w:tc>
          <w:tcPr>
            <w:tcW w:w="4509" w:type="dxa"/>
            <w:vAlign w:val="bottom"/>
          </w:tcPr>
          <w:p w14:paraId="687FFC61" w14:textId="0A8A2D7A" w:rsidR="005E4FF1" w:rsidRPr="005F2BC4" w:rsidRDefault="005E4FF1" w:rsidP="005E4FF1">
            <w:pPr>
              <w:rPr>
                <w:sz w:val="22"/>
                <w:szCs w:val="22"/>
              </w:rPr>
            </w:pPr>
            <w:r w:rsidRPr="005F2BC4">
              <w:rPr>
                <w:rFonts w:ascii="Aptos Narrow" w:hAnsi="Aptos Narrow"/>
                <w:color w:val="000000"/>
                <w:sz w:val="22"/>
                <w:szCs w:val="22"/>
              </w:rPr>
              <w:t>Parvovirus</w:t>
            </w:r>
          </w:p>
        </w:tc>
        <w:tc>
          <w:tcPr>
            <w:tcW w:w="4501" w:type="dxa"/>
          </w:tcPr>
          <w:p w14:paraId="1101F214" w14:textId="264859DE" w:rsidR="005E4FF1" w:rsidRPr="005E4FF1" w:rsidRDefault="005E4FF1" w:rsidP="005E4FF1">
            <w:pPr>
              <w:jc w:val="right"/>
              <w:rPr>
                <w:sz w:val="22"/>
                <w:szCs w:val="22"/>
              </w:rPr>
            </w:pPr>
            <w:r w:rsidRPr="005E4FF1">
              <w:rPr>
                <w:sz w:val="22"/>
                <w:szCs w:val="22"/>
              </w:rPr>
              <w:t>1135</w:t>
            </w:r>
          </w:p>
        </w:tc>
      </w:tr>
      <w:tr w:rsidR="005E4FF1" w:rsidRPr="005F2BC4" w14:paraId="1FBB30CA" w14:textId="77777777" w:rsidTr="00402BAD">
        <w:tc>
          <w:tcPr>
            <w:tcW w:w="4509" w:type="dxa"/>
            <w:vAlign w:val="bottom"/>
          </w:tcPr>
          <w:p w14:paraId="1CC79335" w14:textId="6C451DB1" w:rsidR="005E4FF1" w:rsidRPr="005F2BC4" w:rsidRDefault="005E4FF1" w:rsidP="005E4FF1">
            <w:pPr>
              <w:rPr>
                <w:sz w:val="22"/>
                <w:szCs w:val="22"/>
              </w:rPr>
            </w:pPr>
            <w:r w:rsidRPr="005F2BC4">
              <w:rPr>
                <w:rFonts w:ascii="Aptos Narrow" w:hAnsi="Aptos Narrow"/>
                <w:color w:val="000000"/>
                <w:sz w:val="22"/>
                <w:szCs w:val="22"/>
              </w:rPr>
              <w:t>Polio</w:t>
            </w:r>
          </w:p>
        </w:tc>
        <w:tc>
          <w:tcPr>
            <w:tcW w:w="4501" w:type="dxa"/>
          </w:tcPr>
          <w:p w14:paraId="2F670F1A" w14:textId="316764A3" w:rsidR="005E4FF1" w:rsidRPr="005E4FF1" w:rsidRDefault="005E4FF1" w:rsidP="005E4FF1">
            <w:pPr>
              <w:jc w:val="right"/>
              <w:rPr>
                <w:sz w:val="22"/>
                <w:szCs w:val="22"/>
              </w:rPr>
            </w:pPr>
            <w:r w:rsidRPr="005E4FF1">
              <w:rPr>
                <w:sz w:val="22"/>
                <w:szCs w:val="22"/>
              </w:rPr>
              <w:t>8062</w:t>
            </w:r>
          </w:p>
        </w:tc>
      </w:tr>
      <w:tr w:rsidR="005E4FF1" w:rsidRPr="005F2BC4" w14:paraId="5052FB0B" w14:textId="77777777" w:rsidTr="00402BAD">
        <w:tc>
          <w:tcPr>
            <w:tcW w:w="4509" w:type="dxa"/>
            <w:vAlign w:val="bottom"/>
          </w:tcPr>
          <w:p w14:paraId="6B4B6EC7" w14:textId="7FCDB379" w:rsidR="005E4FF1" w:rsidRPr="005F2BC4" w:rsidRDefault="005E4FF1" w:rsidP="005E4FF1">
            <w:pPr>
              <w:rPr>
                <w:sz w:val="22"/>
                <w:szCs w:val="22"/>
              </w:rPr>
            </w:pPr>
            <w:r w:rsidRPr="005F2BC4">
              <w:rPr>
                <w:rFonts w:ascii="Aptos Narrow" w:hAnsi="Aptos Narrow"/>
                <w:color w:val="000000"/>
                <w:sz w:val="22"/>
                <w:szCs w:val="22"/>
              </w:rPr>
              <w:t>Powassan</w:t>
            </w:r>
          </w:p>
        </w:tc>
        <w:tc>
          <w:tcPr>
            <w:tcW w:w="4501" w:type="dxa"/>
          </w:tcPr>
          <w:p w14:paraId="47E5A760" w14:textId="39A40B17" w:rsidR="005E4FF1" w:rsidRPr="005E4FF1" w:rsidRDefault="005E4FF1" w:rsidP="005E4FF1">
            <w:pPr>
              <w:jc w:val="right"/>
              <w:rPr>
                <w:sz w:val="22"/>
                <w:szCs w:val="22"/>
              </w:rPr>
            </w:pPr>
            <w:r w:rsidRPr="005E4FF1">
              <w:rPr>
                <w:sz w:val="22"/>
                <w:szCs w:val="22"/>
              </w:rPr>
              <w:t>288</w:t>
            </w:r>
          </w:p>
        </w:tc>
      </w:tr>
      <w:tr w:rsidR="005E4FF1" w:rsidRPr="005F2BC4" w14:paraId="0F908E7E" w14:textId="77777777" w:rsidTr="00402BAD">
        <w:tc>
          <w:tcPr>
            <w:tcW w:w="4509" w:type="dxa"/>
            <w:vAlign w:val="bottom"/>
          </w:tcPr>
          <w:p w14:paraId="1A75C7CA" w14:textId="551A129B" w:rsidR="005E4FF1" w:rsidRPr="005F2BC4" w:rsidRDefault="005E4FF1" w:rsidP="005E4FF1">
            <w:pPr>
              <w:rPr>
                <w:sz w:val="22"/>
                <w:szCs w:val="22"/>
              </w:rPr>
            </w:pPr>
            <w:r w:rsidRPr="005F2BC4">
              <w:rPr>
                <w:rFonts w:ascii="Aptos Narrow" w:hAnsi="Aptos Narrow"/>
                <w:color w:val="000000"/>
                <w:sz w:val="22"/>
                <w:szCs w:val="22"/>
              </w:rPr>
              <w:t>Rabies</w:t>
            </w:r>
          </w:p>
        </w:tc>
        <w:tc>
          <w:tcPr>
            <w:tcW w:w="4501" w:type="dxa"/>
          </w:tcPr>
          <w:p w14:paraId="337E4E59" w14:textId="6AA737B3" w:rsidR="005E4FF1" w:rsidRPr="005E4FF1" w:rsidRDefault="005E4FF1" w:rsidP="005E4FF1">
            <w:pPr>
              <w:jc w:val="right"/>
              <w:rPr>
                <w:sz w:val="22"/>
                <w:szCs w:val="22"/>
              </w:rPr>
            </w:pPr>
            <w:r w:rsidRPr="005E4FF1">
              <w:rPr>
                <w:sz w:val="22"/>
                <w:szCs w:val="22"/>
              </w:rPr>
              <w:t>22040</w:t>
            </w:r>
          </w:p>
        </w:tc>
      </w:tr>
      <w:tr w:rsidR="005E4FF1" w:rsidRPr="005F2BC4" w14:paraId="212D00F8" w14:textId="77777777" w:rsidTr="00402BAD">
        <w:tc>
          <w:tcPr>
            <w:tcW w:w="4509" w:type="dxa"/>
            <w:vAlign w:val="bottom"/>
          </w:tcPr>
          <w:p w14:paraId="37B7294D" w14:textId="5301714B" w:rsidR="005E4FF1" w:rsidRPr="005F2BC4" w:rsidRDefault="005E4FF1" w:rsidP="005E4FF1">
            <w:pPr>
              <w:rPr>
                <w:sz w:val="22"/>
                <w:szCs w:val="22"/>
              </w:rPr>
            </w:pPr>
            <w:r w:rsidRPr="005F2BC4">
              <w:rPr>
                <w:rFonts w:ascii="Aptos Narrow" w:hAnsi="Aptos Narrow"/>
                <w:color w:val="000000"/>
                <w:sz w:val="22"/>
                <w:szCs w:val="22"/>
              </w:rPr>
              <w:t>Respiratory syncytial virus</w:t>
            </w:r>
          </w:p>
        </w:tc>
        <w:tc>
          <w:tcPr>
            <w:tcW w:w="4501" w:type="dxa"/>
          </w:tcPr>
          <w:p w14:paraId="08B84B4A" w14:textId="1B62C381" w:rsidR="005E4FF1" w:rsidRPr="005E4FF1" w:rsidRDefault="005E4FF1" w:rsidP="005E4FF1">
            <w:pPr>
              <w:jc w:val="right"/>
              <w:rPr>
                <w:sz w:val="22"/>
                <w:szCs w:val="22"/>
              </w:rPr>
            </w:pPr>
            <w:r w:rsidRPr="005E4FF1">
              <w:rPr>
                <w:sz w:val="22"/>
                <w:szCs w:val="22"/>
              </w:rPr>
              <w:t>789</w:t>
            </w:r>
          </w:p>
        </w:tc>
      </w:tr>
      <w:tr w:rsidR="005E4FF1" w:rsidRPr="005F2BC4" w14:paraId="40CF33B0" w14:textId="77777777" w:rsidTr="00402BAD">
        <w:tc>
          <w:tcPr>
            <w:tcW w:w="4509" w:type="dxa"/>
            <w:vAlign w:val="bottom"/>
          </w:tcPr>
          <w:p w14:paraId="568AEE94" w14:textId="11369843" w:rsidR="005E4FF1" w:rsidRPr="005F2BC4" w:rsidRDefault="005E4FF1" w:rsidP="005E4FF1">
            <w:pPr>
              <w:rPr>
                <w:sz w:val="22"/>
                <w:szCs w:val="22"/>
              </w:rPr>
            </w:pPr>
            <w:r w:rsidRPr="005F2BC4">
              <w:rPr>
                <w:rFonts w:ascii="Aptos Narrow" w:hAnsi="Aptos Narrow"/>
                <w:color w:val="000000"/>
                <w:sz w:val="22"/>
                <w:szCs w:val="22"/>
              </w:rPr>
              <w:t>Rift Valley fever</w:t>
            </w:r>
          </w:p>
        </w:tc>
        <w:tc>
          <w:tcPr>
            <w:tcW w:w="4501" w:type="dxa"/>
          </w:tcPr>
          <w:p w14:paraId="2AEF7E5B" w14:textId="221DB3DC" w:rsidR="005E4FF1" w:rsidRPr="005E4FF1" w:rsidRDefault="005E4FF1" w:rsidP="005E4FF1">
            <w:pPr>
              <w:jc w:val="right"/>
              <w:rPr>
                <w:sz w:val="22"/>
                <w:szCs w:val="22"/>
              </w:rPr>
            </w:pPr>
            <w:r w:rsidRPr="005E4FF1">
              <w:rPr>
                <w:sz w:val="22"/>
                <w:szCs w:val="22"/>
              </w:rPr>
              <w:t>988</w:t>
            </w:r>
          </w:p>
        </w:tc>
      </w:tr>
      <w:tr w:rsidR="005E4FF1" w:rsidRPr="005F2BC4" w14:paraId="548BA0EE" w14:textId="77777777" w:rsidTr="00402BAD">
        <w:tc>
          <w:tcPr>
            <w:tcW w:w="4509" w:type="dxa"/>
            <w:vAlign w:val="bottom"/>
          </w:tcPr>
          <w:p w14:paraId="67FEBD7A" w14:textId="0F440590" w:rsidR="005E4FF1" w:rsidRPr="005F2BC4" w:rsidRDefault="005E4FF1" w:rsidP="005E4FF1">
            <w:pPr>
              <w:rPr>
                <w:sz w:val="22"/>
                <w:szCs w:val="22"/>
              </w:rPr>
            </w:pPr>
            <w:r w:rsidRPr="005F2BC4">
              <w:rPr>
                <w:rFonts w:ascii="Aptos Narrow" w:hAnsi="Aptos Narrow"/>
                <w:color w:val="000000"/>
                <w:sz w:val="22"/>
                <w:szCs w:val="22"/>
              </w:rPr>
              <w:t>Roseola</w:t>
            </w:r>
          </w:p>
        </w:tc>
        <w:tc>
          <w:tcPr>
            <w:tcW w:w="4501" w:type="dxa"/>
          </w:tcPr>
          <w:p w14:paraId="32B7E9A8" w14:textId="09E352CF" w:rsidR="005E4FF1" w:rsidRPr="005E4FF1" w:rsidRDefault="005E4FF1" w:rsidP="005E4FF1">
            <w:pPr>
              <w:jc w:val="right"/>
              <w:rPr>
                <w:sz w:val="22"/>
                <w:szCs w:val="22"/>
              </w:rPr>
            </w:pPr>
            <w:r w:rsidRPr="005E4FF1">
              <w:rPr>
                <w:sz w:val="22"/>
                <w:szCs w:val="22"/>
              </w:rPr>
              <w:t>9</w:t>
            </w:r>
          </w:p>
        </w:tc>
      </w:tr>
      <w:tr w:rsidR="005E4FF1" w:rsidRPr="005F2BC4" w14:paraId="5675115A" w14:textId="77777777" w:rsidTr="00402BAD">
        <w:tc>
          <w:tcPr>
            <w:tcW w:w="4509" w:type="dxa"/>
            <w:vAlign w:val="bottom"/>
          </w:tcPr>
          <w:p w14:paraId="0BA9AE92" w14:textId="7D784116" w:rsidR="005E4FF1" w:rsidRPr="005F2BC4" w:rsidRDefault="005E4FF1" w:rsidP="005E4FF1">
            <w:pPr>
              <w:rPr>
                <w:sz w:val="22"/>
                <w:szCs w:val="22"/>
              </w:rPr>
            </w:pPr>
            <w:r w:rsidRPr="005F2BC4">
              <w:rPr>
                <w:rFonts w:ascii="Aptos Narrow" w:hAnsi="Aptos Narrow"/>
                <w:color w:val="000000"/>
                <w:sz w:val="22"/>
                <w:szCs w:val="22"/>
              </w:rPr>
              <w:t>Ross River virus</w:t>
            </w:r>
          </w:p>
        </w:tc>
        <w:tc>
          <w:tcPr>
            <w:tcW w:w="4501" w:type="dxa"/>
          </w:tcPr>
          <w:p w14:paraId="079ABDEE" w14:textId="3F6055DC" w:rsidR="005E4FF1" w:rsidRPr="005E4FF1" w:rsidRDefault="005E4FF1" w:rsidP="005E4FF1">
            <w:pPr>
              <w:jc w:val="right"/>
              <w:rPr>
                <w:sz w:val="22"/>
                <w:szCs w:val="22"/>
              </w:rPr>
            </w:pPr>
            <w:r w:rsidRPr="005E4FF1">
              <w:rPr>
                <w:sz w:val="22"/>
                <w:szCs w:val="22"/>
              </w:rPr>
              <w:t>326</w:t>
            </w:r>
          </w:p>
        </w:tc>
      </w:tr>
      <w:tr w:rsidR="005E4FF1" w:rsidRPr="005F2BC4" w14:paraId="36216A79" w14:textId="77777777" w:rsidTr="00402BAD">
        <w:tc>
          <w:tcPr>
            <w:tcW w:w="4509" w:type="dxa"/>
            <w:vAlign w:val="bottom"/>
          </w:tcPr>
          <w:p w14:paraId="642784E2" w14:textId="22295D85" w:rsidR="005E4FF1" w:rsidRPr="005F2BC4" w:rsidRDefault="005E4FF1" w:rsidP="005E4FF1">
            <w:pPr>
              <w:rPr>
                <w:sz w:val="22"/>
                <w:szCs w:val="22"/>
              </w:rPr>
            </w:pPr>
            <w:r w:rsidRPr="005F2BC4">
              <w:rPr>
                <w:rFonts w:ascii="Aptos Narrow" w:hAnsi="Aptos Narrow"/>
                <w:color w:val="000000"/>
                <w:sz w:val="22"/>
                <w:szCs w:val="22"/>
              </w:rPr>
              <w:t>Rotavirus</w:t>
            </w:r>
          </w:p>
        </w:tc>
        <w:tc>
          <w:tcPr>
            <w:tcW w:w="4501" w:type="dxa"/>
          </w:tcPr>
          <w:p w14:paraId="5B21AE1D" w14:textId="1563A711" w:rsidR="005E4FF1" w:rsidRPr="005E4FF1" w:rsidRDefault="005E4FF1" w:rsidP="005E4FF1">
            <w:pPr>
              <w:jc w:val="right"/>
              <w:rPr>
                <w:sz w:val="22"/>
                <w:szCs w:val="22"/>
              </w:rPr>
            </w:pPr>
            <w:r w:rsidRPr="005E4FF1">
              <w:rPr>
                <w:sz w:val="22"/>
                <w:szCs w:val="22"/>
              </w:rPr>
              <w:t>1008</w:t>
            </w:r>
          </w:p>
        </w:tc>
      </w:tr>
      <w:tr w:rsidR="005E4FF1" w:rsidRPr="005F2BC4" w14:paraId="61D80B27" w14:textId="77777777" w:rsidTr="00402BAD">
        <w:tc>
          <w:tcPr>
            <w:tcW w:w="4509" w:type="dxa"/>
            <w:vAlign w:val="bottom"/>
          </w:tcPr>
          <w:p w14:paraId="3AFE78ED" w14:textId="123BE3CD" w:rsidR="005E4FF1" w:rsidRPr="005F2BC4" w:rsidRDefault="005E4FF1" w:rsidP="005E4FF1">
            <w:pPr>
              <w:rPr>
                <w:sz w:val="22"/>
                <w:szCs w:val="22"/>
              </w:rPr>
            </w:pPr>
            <w:r w:rsidRPr="005F2BC4">
              <w:rPr>
                <w:rFonts w:ascii="Aptos Narrow" w:hAnsi="Aptos Narrow"/>
                <w:color w:val="000000"/>
                <w:sz w:val="22"/>
                <w:szCs w:val="22"/>
              </w:rPr>
              <w:t>Rubella</w:t>
            </w:r>
          </w:p>
        </w:tc>
        <w:tc>
          <w:tcPr>
            <w:tcW w:w="4501" w:type="dxa"/>
          </w:tcPr>
          <w:p w14:paraId="4F71F530" w14:textId="288A663D" w:rsidR="005E4FF1" w:rsidRPr="005E4FF1" w:rsidRDefault="005E4FF1" w:rsidP="005E4FF1">
            <w:pPr>
              <w:jc w:val="right"/>
              <w:rPr>
                <w:sz w:val="22"/>
                <w:szCs w:val="22"/>
              </w:rPr>
            </w:pPr>
            <w:r w:rsidRPr="005E4FF1">
              <w:rPr>
                <w:sz w:val="22"/>
                <w:szCs w:val="22"/>
              </w:rPr>
              <w:t>1746</w:t>
            </w:r>
          </w:p>
        </w:tc>
      </w:tr>
      <w:tr w:rsidR="005E4FF1" w:rsidRPr="005F2BC4" w14:paraId="4A093DF2" w14:textId="77777777" w:rsidTr="00402BAD">
        <w:tc>
          <w:tcPr>
            <w:tcW w:w="4509" w:type="dxa"/>
            <w:vAlign w:val="bottom"/>
          </w:tcPr>
          <w:p w14:paraId="3830B368" w14:textId="5324570A" w:rsidR="005E4FF1" w:rsidRPr="005F2BC4" w:rsidRDefault="005E4FF1" w:rsidP="005E4FF1">
            <w:pPr>
              <w:rPr>
                <w:sz w:val="22"/>
                <w:szCs w:val="22"/>
              </w:rPr>
            </w:pPr>
            <w:r w:rsidRPr="005F2BC4">
              <w:rPr>
                <w:rFonts w:ascii="Aptos Narrow" w:hAnsi="Aptos Narrow"/>
                <w:color w:val="000000"/>
                <w:sz w:val="22"/>
                <w:szCs w:val="22"/>
              </w:rPr>
              <w:t>Shingles</w:t>
            </w:r>
          </w:p>
        </w:tc>
        <w:tc>
          <w:tcPr>
            <w:tcW w:w="4501" w:type="dxa"/>
          </w:tcPr>
          <w:p w14:paraId="3F5F6743" w14:textId="50F87635" w:rsidR="005E4FF1" w:rsidRPr="005E4FF1" w:rsidRDefault="005E4FF1" w:rsidP="005E4FF1">
            <w:pPr>
              <w:jc w:val="right"/>
              <w:rPr>
                <w:sz w:val="22"/>
                <w:szCs w:val="22"/>
              </w:rPr>
            </w:pPr>
            <w:r w:rsidRPr="005E4FF1">
              <w:rPr>
                <w:sz w:val="22"/>
                <w:szCs w:val="22"/>
              </w:rPr>
              <w:t>191</w:t>
            </w:r>
          </w:p>
        </w:tc>
      </w:tr>
      <w:tr w:rsidR="005E4FF1" w:rsidRPr="005F2BC4" w14:paraId="0291A8DE" w14:textId="77777777" w:rsidTr="00402BAD">
        <w:tc>
          <w:tcPr>
            <w:tcW w:w="4509" w:type="dxa"/>
            <w:vAlign w:val="bottom"/>
          </w:tcPr>
          <w:p w14:paraId="5F9A4720" w14:textId="171D62CF" w:rsidR="005E4FF1" w:rsidRPr="005F2BC4" w:rsidRDefault="005E4FF1" w:rsidP="005E4FF1">
            <w:pPr>
              <w:rPr>
                <w:sz w:val="22"/>
                <w:szCs w:val="22"/>
              </w:rPr>
            </w:pPr>
            <w:r w:rsidRPr="005F2BC4">
              <w:rPr>
                <w:rFonts w:ascii="Aptos Narrow" w:hAnsi="Aptos Narrow"/>
                <w:color w:val="000000"/>
                <w:sz w:val="22"/>
                <w:szCs w:val="22"/>
              </w:rPr>
              <w:t>St. Louis encephalitis</w:t>
            </w:r>
          </w:p>
        </w:tc>
        <w:tc>
          <w:tcPr>
            <w:tcW w:w="4501" w:type="dxa"/>
          </w:tcPr>
          <w:p w14:paraId="3CA78B24" w14:textId="1465CA38" w:rsidR="005E4FF1" w:rsidRPr="005E4FF1" w:rsidRDefault="005E4FF1" w:rsidP="005E4FF1">
            <w:pPr>
              <w:jc w:val="right"/>
              <w:rPr>
                <w:sz w:val="22"/>
                <w:szCs w:val="22"/>
              </w:rPr>
            </w:pPr>
            <w:r w:rsidRPr="005E4FF1">
              <w:rPr>
                <w:sz w:val="22"/>
                <w:szCs w:val="22"/>
              </w:rPr>
              <w:t>242</w:t>
            </w:r>
          </w:p>
        </w:tc>
      </w:tr>
      <w:tr w:rsidR="005E4FF1" w:rsidRPr="005F2BC4" w14:paraId="2D529738" w14:textId="77777777" w:rsidTr="00402BAD">
        <w:tc>
          <w:tcPr>
            <w:tcW w:w="4509" w:type="dxa"/>
            <w:vAlign w:val="bottom"/>
          </w:tcPr>
          <w:p w14:paraId="2907F663" w14:textId="70C0FA9B" w:rsidR="005E4FF1" w:rsidRPr="005F2BC4" w:rsidRDefault="005E4FF1" w:rsidP="005E4FF1">
            <w:pPr>
              <w:rPr>
                <w:sz w:val="22"/>
                <w:szCs w:val="22"/>
              </w:rPr>
            </w:pPr>
            <w:r w:rsidRPr="005F2BC4">
              <w:rPr>
                <w:rFonts w:ascii="Aptos Narrow" w:hAnsi="Aptos Narrow"/>
                <w:color w:val="000000"/>
                <w:sz w:val="22"/>
                <w:szCs w:val="22"/>
              </w:rPr>
              <w:t>Tick-borne encephalitis</w:t>
            </w:r>
          </w:p>
        </w:tc>
        <w:tc>
          <w:tcPr>
            <w:tcW w:w="4501" w:type="dxa"/>
          </w:tcPr>
          <w:p w14:paraId="3183EE1D" w14:textId="7746D12D" w:rsidR="005E4FF1" w:rsidRPr="005E4FF1" w:rsidRDefault="005E4FF1" w:rsidP="005E4FF1">
            <w:pPr>
              <w:jc w:val="right"/>
              <w:rPr>
                <w:sz w:val="22"/>
                <w:szCs w:val="22"/>
              </w:rPr>
            </w:pPr>
            <w:r w:rsidRPr="005E4FF1">
              <w:rPr>
                <w:sz w:val="22"/>
                <w:szCs w:val="22"/>
              </w:rPr>
              <w:t>416</w:t>
            </w:r>
          </w:p>
        </w:tc>
      </w:tr>
      <w:tr w:rsidR="005E4FF1" w:rsidRPr="005F2BC4" w14:paraId="2031C70B" w14:textId="77777777" w:rsidTr="00402BAD">
        <w:tc>
          <w:tcPr>
            <w:tcW w:w="4509" w:type="dxa"/>
            <w:vAlign w:val="bottom"/>
          </w:tcPr>
          <w:p w14:paraId="547FFA29" w14:textId="5D2438F6" w:rsidR="005E4FF1" w:rsidRPr="005F2BC4" w:rsidRDefault="005E4FF1" w:rsidP="005E4FF1">
            <w:pPr>
              <w:rPr>
                <w:sz w:val="22"/>
                <w:szCs w:val="22"/>
              </w:rPr>
            </w:pPr>
            <w:r w:rsidRPr="005F2BC4">
              <w:rPr>
                <w:rFonts w:ascii="Aptos Narrow" w:hAnsi="Aptos Narrow"/>
                <w:color w:val="000000"/>
                <w:sz w:val="22"/>
                <w:szCs w:val="22"/>
              </w:rPr>
              <w:t>Venezuelan equine encephalitis</w:t>
            </w:r>
          </w:p>
        </w:tc>
        <w:tc>
          <w:tcPr>
            <w:tcW w:w="4501" w:type="dxa"/>
          </w:tcPr>
          <w:p w14:paraId="4CACE749" w14:textId="3D2F948E" w:rsidR="005E4FF1" w:rsidRPr="005E4FF1" w:rsidRDefault="005E4FF1" w:rsidP="005E4FF1">
            <w:pPr>
              <w:jc w:val="right"/>
              <w:rPr>
                <w:sz w:val="22"/>
                <w:szCs w:val="22"/>
              </w:rPr>
            </w:pPr>
            <w:r w:rsidRPr="005E4FF1">
              <w:rPr>
                <w:sz w:val="22"/>
                <w:szCs w:val="22"/>
              </w:rPr>
              <w:t>169</w:t>
            </w:r>
          </w:p>
        </w:tc>
      </w:tr>
      <w:tr w:rsidR="005E4FF1" w:rsidRPr="005F2BC4" w14:paraId="22039641" w14:textId="77777777" w:rsidTr="00402BAD">
        <w:tc>
          <w:tcPr>
            <w:tcW w:w="4509" w:type="dxa"/>
            <w:vAlign w:val="bottom"/>
          </w:tcPr>
          <w:p w14:paraId="30ADBD93" w14:textId="045852F5" w:rsidR="005E4FF1" w:rsidRPr="005F2BC4" w:rsidRDefault="005E4FF1" w:rsidP="005E4FF1">
            <w:pPr>
              <w:rPr>
                <w:sz w:val="22"/>
                <w:szCs w:val="22"/>
              </w:rPr>
            </w:pPr>
            <w:r w:rsidRPr="005F2BC4">
              <w:rPr>
                <w:rFonts w:ascii="Aptos Narrow" w:hAnsi="Aptos Narrow"/>
                <w:color w:val="000000"/>
                <w:sz w:val="22"/>
                <w:szCs w:val="22"/>
              </w:rPr>
              <w:t>Viral meningitis</w:t>
            </w:r>
          </w:p>
        </w:tc>
        <w:tc>
          <w:tcPr>
            <w:tcW w:w="4501" w:type="dxa"/>
          </w:tcPr>
          <w:p w14:paraId="144E7C4F" w14:textId="1FDFC310" w:rsidR="005E4FF1" w:rsidRPr="005E4FF1" w:rsidRDefault="005E4FF1" w:rsidP="005E4FF1">
            <w:pPr>
              <w:jc w:val="right"/>
              <w:rPr>
                <w:sz w:val="22"/>
                <w:szCs w:val="22"/>
              </w:rPr>
            </w:pPr>
            <w:r w:rsidRPr="005E4FF1">
              <w:rPr>
                <w:sz w:val="22"/>
                <w:szCs w:val="22"/>
              </w:rPr>
              <w:t>863</w:t>
            </w:r>
          </w:p>
        </w:tc>
      </w:tr>
      <w:tr w:rsidR="005E4FF1" w:rsidRPr="005F2BC4" w14:paraId="33F5A2D5" w14:textId="77777777" w:rsidTr="00402BAD">
        <w:tc>
          <w:tcPr>
            <w:tcW w:w="4509" w:type="dxa"/>
            <w:vAlign w:val="bottom"/>
          </w:tcPr>
          <w:p w14:paraId="7EA7EDE3" w14:textId="1AEB244D" w:rsidR="005E4FF1" w:rsidRPr="005F2BC4" w:rsidRDefault="005E4FF1" w:rsidP="005E4FF1">
            <w:pPr>
              <w:rPr>
                <w:sz w:val="22"/>
                <w:szCs w:val="22"/>
              </w:rPr>
            </w:pPr>
            <w:r w:rsidRPr="005F2BC4">
              <w:rPr>
                <w:rFonts w:ascii="Aptos Narrow" w:hAnsi="Aptos Narrow"/>
                <w:color w:val="000000"/>
                <w:sz w:val="22"/>
                <w:szCs w:val="22"/>
              </w:rPr>
              <w:t>West Nile fever</w:t>
            </w:r>
          </w:p>
        </w:tc>
        <w:tc>
          <w:tcPr>
            <w:tcW w:w="4501" w:type="dxa"/>
          </w:tcPr>
          <w:p w14:paraId="0B5E191A" w14:textId="66133FFB" w:rsidR="005E4FF1" w:rsidRPr="005E4FF1" w:rsidRDefault="005E4FF1" w:rsidP="005E4FF1">
            <w:pPr>
              <w:jc w:val="right"/>
              <w:rPr>
                <w:sz w:val="22"/>
                <w:szCs w:val="22"/>
              </w:rPr>
            </w:pPr>
            <w:r w:rsidRPr="005E4FF1">
              <w:rPr>
                <w:sz w:val="22"/>
                <w:szCs w:val="22"/>
              </w:rPr>
              <w:t>26420</w:t>
            </w:r>
          </w:p>
        </w:tc>
      </w:tr>
      <w:tr w:rsidR="005E4FF1" w:rsidRPr="005F2BC4" w14:paraId="4B3FA346" w14:textId="77777777" w:rsidTr="00402BAD">
        <w:tc>
          <w:tcPr>
            <w:tcW w:w="4509" w:type="dxa"/>
            <w:vAlign w:val="bottom"/>
          </w:tcPr>
          <w:p w14:paraId="71749B8B" w14:textId="272CF7EC" w:rsidR="005E4FF1" w:rsidRPr="005F2BC4" w:rsidRDefault="005E4FF1" w:rsidP="005E4FF1">
            <w:pPr>
              <w:rPr>
                <w:sz w:val="22"/>
                <w:szCs w:val="22"/>
              </w:rPr>
            </w:pPr>
            <w:r w:rsidRPr="005F2BC4">
              <w:rPr>
                <w:rFonts w:ascii="Aptos Narrow" w:hAnsi="Aptos Narrow"/>
                <w:color w:val="000000"/>
                <w:sz w:val="22"/>
                <w:szCs w:val="22"/>
              </w:rPr>
              <w:t>Western equine encephalitis</w:t>
            </w:r>
          </w:p>
        </w:tc>
        <w:tc>
          <w:tcPr>
            <w:tcW w:w="4501" w:type="dxa"/>
          </w:tcPr>
          <w:p w14:paraId="21801F5B" w14:textId="58FF4392" w:rsidR="005E4FF1" w:rsidRPr="005E4FF1" w:rsidRDefault="005E4FF1" w:rsidP="005E4FF1">
            <w:pPr>
              <w:jc w:val="right"/>
              <w:rPr>
                <w:sz w:val="22"/>
                <w:szCs w:val="22"/>
              </w:rPr>
            </w:pPr>
            <w:r w:rsidRPr="005E4FF1">
              <w:rPr>
                <w:sz w:val="22"/>
                <w:szCs w:val="22"/>
              </w:rPr>
              <w:t>2</w:t>
            </w:r>
          </w:p>
        </w:tc>
      </w:tr>
      <w:tr w:rsidR="005E4FF1" w:rsidRPr="005F2BC4" w14:paraId="2309FDA3" w14:textId="77777777" w:rsidTr="00402BAD">
        <w:tc>
          <w:tcPr>
            <w:tcW w:w="4509" w:type="dxa"/>
            <w:vAlign w:val="bottom"/>
          </w:tcPr>
          <w:p w14:paraId="63679DA1" w14:textId="5D7D50FC" w:rsidR="005E4FF1" w:rsidRPr="005F2BC4" w:rsidRDefault="005E4FF1" w:rsidP="005E4FF1">
            <w:pPr>
              <w:rPr>
                <w:sz w:val="22"/>
                <w:szCs w:val="22"/>
              </w:rPr>
            </w:pPr>
            <w:r w:rsidRPr="005F2BC4">
              <w:rPr>
                <w:rFonts w:ascii="Aptos Narrow" w:hAnsi="Aptos Narrow"/>
                <w:color w:val="000000"/>
                <w:sz w:val="22"/>
                <w:szCs w:val="22"/>
              </w:rPr>
              <w:t>Yellow fever</w:t>
            </w:r>
          </w:p>
        </w:tc>
        <w:tc>
          <w:tcPr>
            <w:tcW w:w="4501" w:type="dxa"/>
          </w:tcPr>
          <w:p w14:paraId="1917043B" w14:textId="716469BC" w:rsidR="005E4FF1" w:rsidRPr="005E4FF1" w:rsidRDefault="005E4FF1" w:rsidP="005E4FF1">
            <w:pPr>
              <w:jc w:val="right"/>
              <w:rPr>
                <w:sz w:val="22"/>
                <w:szCs w:val="22"/>
              </w:rPr>
            </w:pPr>
            <w:r w:rsidRPr="005E4FF1">
              <w:rPr>
                <w:sz w:val="22"/>
                <w:szCs w:val="22"/>
              </w:rPr>
              <w:t>4247</w:t>
            </w:r>
          </w:p>
        </w:tc>
      </w:tr>
      <w:tr w:rsidR="005E4FF1" w:rsidRPr="005F2BC4" w14:paraId="227EEAB5" w14:textId="77777777" w:rsidTr="00402BAD">
        <w:tc>
          <w:tcPr>
            <w:tcW w:w="4509" w:type="dxa"/>
            <w:vAlign w:val="bottom"/>
          </w:tcPr>
          <w:p w14:paraId="51542484" w14:textId="1BF5AF7F" w:rsidR="005E4FF1" w:rsidRPr="005F2BC4" w:rsidRDefault="005E4FF1" w:rsidP="005E4FF1">
            <w:pPr>
              <w:rPr>
                <w:sz w:val="22"/>
                <w:szCs w:val="22"/>
              </w:rPr>
            </w:pPr>
            <w:r w:rsidRPr="005F2BC4">
              <w:rPr>
                <w:rFonts w:ascii="Aptos Narrow" w:hAnsi="Aptos Narrow"/>
                <w:color w:val="000000"/>
                <w:sz w:val="22"/>
                <w:szCs w:val="22"/>
              </w:rPr>
              <w:t>Zika</w:t>
            </w:r>
          </w:p>
        </w:tc>
        <w:tc>
          <w:tcPr>
            <w:tcW w:w="4501" w:type="dxa"/>
          </w:tcPr>
          <w:p w14:paraId="2409AEAD" w14:textId="12DF10F2" w:rsidR="005E4FF1" w:rsidRPr="005E4FF1" w:rsidRDefault="005E4FF1" w:rsidP="005E4FF1">
            <w:pPr>
              <w:jc w:val="right"/>
              <w:rPr>
                <w:sz w:val="22"/>
                <w:szCs w:val="22"/>
              </w:rPr>
            </w:pPr>
            <w:r w:rsidRPr="005E4FF1">
              <w:rPr>
                <w:sz w:val="22"/>
                <w:szCs w:val="22"/>
              </w:rPr>
              <w:t>10140</w:t>
            </w:r>
          </w:p>
        </w:tc>
      </w:tr>
    </w:tbl>
    <w:p w14:paraId="341F14A7" w14:textId="6154AF86" w:rsidR="00FA6C7F" w:rsidRPr="00F41CA6" w:rsidRDefault="00C25391" w:rsidP="00234AE0">
      <w:pPr>
        <w:pStyle w:val="Heading2"/>
      </w:pPr>
      <w:bookmarkStart w:id="6" w:name="_Ref157236238"/>
      <w:bookmarkStart w:id="7" w:name="_Toc168329359"/>
      <w:r>
        <w:rPr>
          <w:rFonts w:hint="eastAsia"/>
          <w:lang w:eastAsia="ko-KR"/>
        </w:rPr>
        <w:lastRenderedPageBreak/>
        <w:t xml:space="preserve">Supplementary </w:t>
      </w:r>
      <w:r w:rsidR="00FA6C7F" w:rsidRPr="00234AE0">
        <w:t xml:space="preserve">Table </w:t>
      </w:r>
      <w:r w:rsidR="00FA6C7F" w:rsidRPr="00234AE0">
        <w:fldChar w:fldCharType="begin"/>
      </w:r>
      <w:r w:rsidR="00FA6C7F" w:rsidRPr="00234AE0">
        <w:instrText xml:space="preserve"> SEQ Table \* ARABIC </w:instrText>
      </w:r>
      <w:r w:rsidR="00FA6C7F" w:rsidRPr="00234AE0">
        <w:fldChar w:fldCharType="separate"/>
      </w:r>
      <w:r w:rsidR="00234AE0" w:rsidRPr="00234AE0">
        <w:t>4</w:t>
      </w:r>
      <w:r w:rsidR="00FA6C7F" w:rsidRPr="00234AE0">
        <w:fldChar w:fldCharType="end"/>
      </w:r>
      <w:bookmarkEnd w:id="6"/>
      <w:r w:rsidR="00FA6C7F" w:rsidRPr="00234AE0">
        <w:t>. Covariates included in the models.</w:t>
      </w:r>
      <w:bookmarkEnd w:id="7"/>
      <w:r w:rsidR="00FA6C7F">
        <w:t xml:space="preserve"> </w:t>
      </w:r>
    </w:p>
    <w:tbl>
      <w:tblPr>
        <w:tblStyle w:val="TableGrid"/>
        <w:tblW w:w="5000" w:type="pct"/>
        <w:tblLook w:val="04A0" w:firstRow="1" w:lastRow="0" w:firstColumn="1" w:lastColumn="0" w:noHBand="0" w:noVBand="1"/>
      </w:tblPr>
      <w:tblGrid>
        <w:gridCol w:w="558"/>
        <w:gridCol w:w="4874"/>
        <w:gridCol w:w="1417"/>
        <w:gridCol w:w="1508"/>
        <w:gridCol w:w="1271"/>
      </w:tblGrid>
      <w:tr w:rsidR="00FA6C7F" w14:paraId="59FAEDE7" w14:textId="77777777" w:rsidTr="00532D65">
        <w:trPr>
          <w:trHeight w:val="558"/>
        </w:trPr>
        <w:tc>
          <w:tcPr>
            <w:tcW w:w="290" w:type="pct"/>
          </w:tcPr>
          <w:p w14:paraId="27681F44" w14:textId="77777777" w:rsidR="00FA6C7F" w:rsidRDefault="00FA6C7F" w:rsidP="00532D65">
            <w:pPr>
              <w:jc w:val="center"/>
            </w:pPr>
          </w:p>
        </w:tc>
        <w:tc>
          <w:tcPr>
            <w:tcW w:w="2531" w:type="pct"/>
          </w:tcPr>
          <w:p w14:paraId="608429F3" w14:textId="77777777" w:rsidR="00FA6C7F" w:rsidRDefault="00FA6C7F" w:rsidP="00532D65">
            <w:pPr>
              <w:jc w:val="center"/>
            </w:pPr>
            <w:r>
              <w:t>Covariate</w:t>
            </w:r>
          </w:p>
        </w:tc>
        <w:tc>
          <w:tcPr>
            <w:tcW w:w="736" w:type="pct"/>
          </w:tcPr>
          <w:p w14:paraId="494A3C99" w14:textId="77777777" w:rsidR="00FA6C7F" w:rsidRDefault="00FA6C7F" w:rsidP="00532D65">
            <w:pPr>
              <w:jc w:val="center"/>
            </w:pPr>
            <w:r>
              <w:t>Years covered</w:t>
            </w:r>
          </w:p>
        </w:tc>
        <w:tc>
          <w:tcPr>
            <w:tcW w:w="783" w:type="pct"/>
          </w:tcPr>
          <w:p w14:paraId="400393F2" w14:textId="77777777" w:rsidR="00FA6C7F" w:rsidRDefault="00FA6C7F" w:rsidP="00532D65">
            <w:pPr>
              <w:jc w:val="center"/>
              <w:rPr>
                <w:lang w:eastAsia="ko-KR"/>
              </w:rPr>
            </w:pPr>
            <w:r w:rsidRPr="00234AE0">
              <w:rPr>
                <w:rFonts w:hint="eastAsia"/>
                <w:lang w:eastAsia="ko-KR"/>
              </w:rPr>
              <w:t>Original spatial resolution</w:t>
            </w:r>
          </w:p>
        </w:tc>
        <w:tc>
          <w:tcPr>
            <w:tcW w:w="660" w:type="pct"/>
          </w:tcPr>
          <w:p w14:paraId="644F8700" w14:textId="77777777" w:rsidR="00FA6C7F" w:rsidRDefault="00FA6C7F" w:rsidP="00532D65">
            <w:pPr>
              <w:jc w:val="center"/>
            </w:pPr>
            <w:r>
              <w:t>Data source</w:t>
            </w:r>
          </w:p>
        </w:tc>
      </w:tr>
      <w:tr w:rsidR="00FA6C7F" w14:paraId="7D0C07BC" w14:textId="77777777" w:rsidTr="00532D65">
        <w:trPr>
          <w:trHeight w:val="558"/>
        </w:trPr>
        <w:tc>
          <w:tcPr>
            <w:tcW w:w="290" w:type="pct"/>
            <w:vMerge w:val="restart"/>
            <w:textDirection w:val="btLr"/>
            <w:vAlign w:val="center"/>
          </w:tcPr>
          <w:p w14:paraId="0A85AE22" w14:textId="77777777" w:rsidR="00FA6C7F" w:rsidRDefault="00FA6C7F" w:rsidP="00532D65">
            <w:pPr>
              <w:ind w:left="113" w:right="113"/>
              <w:jc w:val="center"/>
            </w:pPr>
            <w:r>
              <w:t>Surveillance factors</w:t>
            </w:r>
          </w:p>
          <w:p w14:paraId="45760174" w14:textId="77777777" w:rsidR="00FA6C7F" w:rsidRDefault="00FA6C7F" w:rsidP="00532D65">
            <w:pPr>
              <w:jc w:val="center"/>
            </w:pPr>
          </w:p>
        </w:tc>
        <w:tc>
          <w:tcPr>
            <w:tcW w:w="2531" w:type="pct"/>
          </w:tcPr>
          <w:p w14:paraId="5B229455" w14:textId="77777777" w:rsidR="00FA6C7F" w:rsidRDefault="00FA6C7F" w:rsidP="00532D65">
            <w:pPr>
              <w:jc w:val="both"/>
            </w:pPr>
            <w:r>
              <w:t>Gross Domestic Product (5km x 5km and aggregated national level)</w:t>
            </w:r>
          </w:p>
        </w:tc>
        <w:tc>
          <w:tcPr>
            <w:tcW w:w="736" w:type="pct"/>
          </w:tcPr>
          <w:p w14:paraId="58A16EDF" w14:textId="77777777" w:rsidR="00FA6C7F" w:rsidRDefault="00FA6C7F" w:rsidP="00532D65">
            <w:pPr>
              <w:jc w:val="both"/>
            </w:pPr>
            <w:r>
              <w:t xml:space="preserve">2009-2019 </w:t>
            </w:r>
          </w:p>
        </w:tc>
        <w:tc>
          <w:tcPr>
            <w:tcW w:w="783" w:type="pct"/>
          </w:tcPr>
          <w:p w14:paraId="442753BA" w14:textId="77777777" w:rsidR="00FA6C7F" w:rsidRDefault="00FA6C7F" w:rsidP="00532D65">
            <w:pPr>
              <w:jc w:val="both"/>
              <w:rPr>
                <w:lang w:eastAsia="ko-KR"/>
              </w:rPr>
            </w:pPr>
            <w:r>
              <w:rPr>
                <w:rFonts w:hint="eastAsia"/>
                <w:lang w:eastAsia="ko-KR"/>
              </w:rPr>
              <w:t>1 km</w:t>
            </w:r>
          </w:p>
        </w:tc>
        <w:tc>
          <w:tcPr>
            <w:tcW w:w="660" w:type="pct"/>
          </w:tcPr>
          <w:p w14:paraId="33C3E3EF" w14:textId="697010AA" w:rsidR="00FA6C7F" w:rsidRDefault="00FA6C7F" w:rsidP="00532D65">
            <w:pPr>
              <w:jc w:val="both"/>
            </w:pPr>
            <w:r>
              <w:fldChar w:fldCharType="begin"/>
            </w:r>
            <w:r w:rsidR="00CC3778">
              <w:instrText xml:space="preserve"> ADDIN ZOTERO_ITEM CSL_CITATION {"citationID":"0cROSuCg","properties":{"formattedCitation":"\\super 16\\nosupersub{}","plainCitation":"16","noteIndex":0},"citationItems":[{"id":12278,"uris":["http://zotero.org/users/9849050/items/9FQPQECD"],"itemData":{"id":12278,"type":"article-journal","abstract":"As fundamental data, gross domestic product (GDP) and electricity consumption can be used to effectively evaluate economic status and living standards of residents. Some scholars have estimated gridded GDP and electricity consumption. However, such gridded data have shortcomings, including overestimating real GDP growth, ignoring the heterogeneity of the spatiotemporal dynamics of the grid, and limited time-span. Simultaneously, the Defense Meteorological Satellite Program’s Operational Linescan System (DMSP/OLS) and National Polar-orbiting Partnership’s Visible Infrared Imaging Radiometer (NPP/VIIRS) nighttime light data, adopted in these studies as a proxy tool, still facing shortcomings, such as imperfect matching results, discontinuity in temporal and spatial changes. In this study, we employed a series of methods, such as a particle swarm optimization-back propagation (PSO-BP) algorithm, to unify the scales of DMSP/OLS and NPP/VIIRS images and obtain continuous 1 km × 1 km gridded nighttime light data during 1992–2019. Subsequently, from a revised real growth perspective, we employed a top-down method to calculate global 1 km × 1 km gridded revised real GDP and electricity consumption during 1992–2019 based on our calibrated nighttime light data.","container-title":"Scientific Data","DOI":"10.1038/s41597-022-01322-5","ISSN":"2052-4463","issue":"1","journalAbbreviation":"Sci Data","language":"en","license":"2022 The Author(s)","note":"number: 1\npublisher: Nature Publishing Group","page":"202","source":"www.nature.com","title":"Global 1 km × 1 km gridded revised real gross domestic product and electricity consumption during 1992–2019 based on calibrated nighttime light data","volume":"9","author":[{"family":"Chen","given":"Jiandong"},{"family":"Gao","given":"Ming"},{"family":"Cheng","given":"Shulei"},{"family":"Hou","given":"Wenxuan"},{"family":"Song","given":"Malin"},{"family":"Liu","given":"Xin"},{"family":"Liu","given":"Yu"}],"issued":{"date-parts":[["2022",5,12]]}}}],"schema":"https://github.com/citation-style-language/schema/raw/master/csl-citation.json"} </w:instrText>
            </w:r>
            <w:r>
              <w:fldChar w:fldCharType="separate"/>
            </w:r>
            <w:r w:rsidR="00CC3778" w:rsidRPr="00CC3778">
              <w:rPr>
                <w:rFonts w:ascii="Calibri" w:hAnsi="Calibri" w:cs="Calibri"/>
                <w:kern w:val="0"/>
                <w:vertAlign w:val="superscript"/>
              </w:rPr>
              <w:t>16</w:t>
            </w:r>
            <w:r>
              <w:fldChar w:fldCharType="end"/>
            </w:r>
          </w:p>
        </w:tc>
      </w:tr>
      <w:tr w:rsidR="00FA6C7F" w14:paraId="7622AEF4" w14:textId="77777777" w:rsidTr="00532D65">
        <w:trPr>
          <w:trHeight w:val="558"/>
        </w:trPr>
        <w:tc>
          <w:tcPr>
            <w:tcW w:w="290" w:type="pct"/>
            <w:vMerge/>
            <w:vAlign w:val="center"/>
          </w:tcPr>
          <w:p w14:paraId="5191B52D" w14:textId="77777777" w:rsidR="00FA6C7F" w:rsidRDefault="00FA6C7F" w:rsidP="00532D65">
            <w:pPr>
              <w:jc w:val="center"/>
            </w:pPr>
          </w:p>
        </w:tc>
        <w:tc>
          <w:tcPr>
            <w:tcW w:w="2531" w:type="pct"/>
          </w:tcPr>
          <w:p w14:paraId="5DE05F2E" w14:textId="77777777" w:rsidR="00FA6C7F" w:rsidRDefault="00FA6C7F" w:rsidP="00532D65">
            <w:pPr>
              <w:jc w:val="both"/>
            </w:pPr>
            <w:r>
              <w:t>Proportion of urban land</w:t>
            </w:r>
          </w:p>
        </w:tc>
        <w:tc>
          <w:tcPr>
            <w:tcW w:w="736" w:type="pct"/>
          </w:tcPr>
          <w:p w14:paraId="03B04DC4" w14:textId="77777777" w:rsidR="00FA6C7F" w:rsidRDefault="00FA6C7F" w:rsidP="00532D65">
            <w:pPr>
              <w:jc w:val="both"/>
            </w:pPr>
            <w:r>
              <w:t xml:space="preserve">2010 and 2020 </w:t>
            </w:r>
          </w:p>
        </w:tc>
        <w:tc>
          <w:tcPr>
            <w:tcW w:w="783" w:type="pct"/>
          </w:tcPr>
          <w:p w14:paraId="1DA41AD1" w14:textId="77777777" w:rsidR="00FA6C7F" w:rsidRDefault="00FA6C7F" w:rsidP="00532D65">
            <w:pPr>
              <w:jc w:val="both"/>
            </w:pPr>
            <w:r>
              <w:rPr>
                <w:rFonts w:hint="eastAsia"/>
                <w:lang w:eastAsia="ko-KR"/>
              </w:rPr>
              <w:t>1 km</w:t>
            </w:r>
          </w:p>
        </w:tc>
        <w:tc>
          <w:tcPr>
            <w:tcW w:w="660" w:type="pct"/>
          </w:tcPr>
          <w:p w14:paraId="3BA589C2" w14:textId="282CFF42" w:rsidR="00FA6C7F" w:rsidRPr="00956F5F" w:rsidRDefault="00FA6C7F" w:rsidP="00532D65">
            <w:pPr>
              <w:jc w:val="both"/>
            </w:pPr>
            <w:r>
              <w:fldChar w:fldCharType="begin"/>
            </w:r>
            <w:r w:rsidR="00CC3778">
              <w:instrText xml:space="preserve"> ADDIN ZOTERO_ITEM CSL_CITATION {"citationID":"vyhAqGOi","properties":{"formattedCitation":"\\super 17\\nosupersub{}","plainCitation":"17","noteIndex":0},"citationItems":[{"id":12280,"uris":["http://zotero.org/users/9849050/items/3S5T757V"],"itemData":{"id":12280,"type":"article-journal","abstract":"Urban land expansion is one of the most visible, irreversible, and rapid types of land cover/land use change in contemporary human history, and is a key driver for many environmental and societal changes across scales. Yet spatial projections of how much and where it may occur are often limited to short-term futures and small geographic areas. Here we produce a first empirically-grounded set of global, spatial urban land projections over the 21st century. We use a data-science approach exploiting 15 diverse datasets, including a newly available 40-year global time series of fine-spatial-resolution remote sensing observations. We find the global total amount of urban land could increase by a factor of 1.8–5.9, and the per capita amount by a factor of 1.1–4.9, across different socioeconomic scenarios over the century. Though the fastest urban land expansion occurs in Africa and Asia, the developed world experiences a similarly large amount of new development.","container-title":"Nature Communications","DOI":"10.1038/s41467-020-15788-7","ISSN":"2041-1723","issue":"1","journalAbbreviation":"Nat Commun","language":"en","license":"2020 The Author(s)","note":"number: 1\npublisher: Nature Publishing Group","page":"2302","source":"www.nature.com","title":"Mapping global urban land for the 21st century with data-driven simulations and Shared Socioeconomic Pathways","volume":"11","author":[{"family":"Gao","given":"Jing"},{"family":"O’Neill","given":"Brian C."}],"issued":{"date-parts":[["2020",5,8]]}}}],"schema":"https://github.com/citation-style-language/schema/raw/master/csl-citation.json"} </w:instrText>
            </w:r>
            <w:r>
              <w:fldChar w:fldCharType="separate"/>
            </w:r>
            <w:r w:rsidR="00CC3778" w:rsidRPr="00CC3778">
              <w:rPr>
                <w:rFonts w:ascii="Calibri" w:hAnsi="Calibri" w:cs="Calibri"/>
                <w:kern w:val="0"/>
                <w:vertAlign w:val="superscript"/>
              </w:rPr>
              <w:t>17</w:t>
            </w:r>
            <w:r>
              <w:fldChar w:fldCharType="end"/>
            </w:r>
          </w:p>
          <w:p w14:paraId="58A2BC67" w14:textId="77777777" w:rsidR="00FA6C7F" w:rsidRDefault="00FA6C7F" w:rsidP="00532D65">
            <w:pPr>
              <w:jc w:val="both"/>
            </w:pPr>
          </w:p>
        </w:tc>
      </w:tr>
      <w:tr w:rsidR="00FA6C7F" w14:paraId="443CBD5A" w14:textId="77777777" w:rsidTr="00532D65">
        <w:trPr>
          <w:trHeight w:val="558"/>
        </w:trPr>
        <w:tc>
          <w:tcPr>
            <w:tcW w:w="290" w:type="pct"/>
            <w:vMerge/>
            <w:vAlign w:val="center"/>
          </w:tcPr>
          <w:p w14:paraId="2B9ECA4B" w14:textId="77777777" w:rsidR="00FA6C7F" w:rsidRDefault="00FA6C7F" w:rsidP="00532D65">
            <w:pPr>
              <w:jc w:val="center"/>
            </w:pPr>
          </w:p>
        </w:tc>
        <w:tc>
          <w:tcPr>
            <w:tcW w:w="2531" w:type="pct"/>
          </w:tcPr>
          <w:p w14:paraId="05C35845" w14:textId="77777777" w:rsidR="00FA6C7F" w:rsidRDefault="00FA6C7F" w:rsidP="00532D65">
            <w:pPr>
              <w:jc w:val="both"/>
            </w:pPr>
            <w:r>
              <w:t>Travel time to healthcare facilities (walking)</w:t>
            </w:r>
          </w:p>
        </w:tc>
        <w:tc>
          <w:tcPr>
            <w:tcW w:w="736" w:type="pct"/>
          </w:tcPr>
          <w:p w14:paraId="321E0B4F" w14:textId="77777777" w:rsidR="00FA6C7F" w:rsidRDefault="00FA6C7F" w:rsidP="00532D65">
            <w:pPr>
              <w:jc w:val="both"/>
            </w:pPr>
            <w:r>
              <w:t>2020</w:t>
            </w:r>
          </w:p>
        </w:tc>
        <w:tc>
          <w:tcPr>
            <w:tcW w:w="783" w:type="pct"/>
          </w:tcPr>
          <w:p w14:paraId="45A4B109" w14:textId="77777777" w:rsidR="00FA6C7F" w:rsidRDefault="00FA6C7F" w:rsidP="00532D65">
            <w:pPr>
              <w:jc w:val="both"/>
            </w:pPr>
            <w:r>
              <w:rPr>
                <w:rFonts w:hint="eastAsia"/>
                <w:lang w:eastAsia="ko-KR"/>
              </w:rPr>
              <w:t>1 km</w:t>
            </w:r>
          </w:p>
        </w:tc>
        <w:tc>
          <w:tcPr>
            <w:tcW w:w="660" w:type="pct"/>
          </w:tcPr>
          <w:p w14:paraId="5A289038" w14:textId="05EF60FB" w:rsidR="00FA6C7F" w:rsidRPr="00956F5F" w:rsidRDefault="00FA6C7F" w:rsidP="00532D65">
            <w:pPr>
              <w:jc w:val="both"/>
            </w:pPr>
            <w:r>
              <w:fldChar w:fldCharType="begin"/>
            </w:r>
            <w:r w:rsidR="00CC3778">
              <w:instrText xml:space="preserve"> ADDIN ZOTERO_ITEM CSL_CITATION {"citationID":"sP1YV7jb","properties":{"formattedCitation":"\\super 18\\nosupersub{}","plainCitation":"18","noteIndex":0},"citationItems":[{"id":9097,"uris":["http://zotero.org/users/9849050/items/4YIR8MKP"],"itemData":{"id":9097,"type":"article-journal","abstract":"Access to healthcare is a requirement for human well-being that is constrained, in part, by the allocation of healthcare resources relative to the geographically dispersed human population1–3. Quantifying access to care globally is challenging due to the absence of a comprehensive database of healthcare facilities. We harness major data collection efforts underway by OpenStreetMap, Google Maps and academic researchers to compile the most complete collection of facility locations to date. Leveraging the geographically variable strengths of our facility datasets, we use an established methodology4 to characterize travel time to healthcare facilities in unprecedented detail. We produce maps of travel time with and without access to motorized transport, thus characterizing travel time to healthcare for populations distributed across the wealth spectrum. We find that just 8.9% of the global population (646 million people) cannot reach healthcare within one hour if they have access to motorized transport, and that 43.3% (3.16 billion people) cannot reach a healthcare facility by foot within one hour. Our maps highlight an additional vulnerability faced by poorer individuals in remote areas and can help to estimate whether individuals will seek healthcare when it is needed, as well as providing an evidence base for efficiently distributing limited healthcare and transportation resources to underserved populations both now and in the future. A global analysis generating high-resolution maps of travel time shows that 91.1% of the world's population can reach a hospital or clinic within an hour if they have access to motorized transportation, but only 56.7% can do so by walking, highlighting additional inequities for underserved populations accessing healthcare.","container-title":"Nature Medicine 2020 26:12","DOI":"10.1038/s41591-020-1059-1","ISSN":"1546-170X","issue":"12","note":"publisher: Nature Publishing Group\nPMID: 32989313","page":"1835–1838","title":"Global maps of travel time to healthcare facilities","volume":"26","author":[{"family":"Weiss","given":"D. J."},{"family":"Nelson","given":"A."},{"family":"Vargas-Ruiz","given":"C. A."},{"family":"Gligorić","given":"K."},{"family":"Bavadekar","given":"S."},{"family":"Gabrilovich","given":"E."},{"family":"Bertozzi-Villa","given":"A."},{"family":"Rozier","given":"J."},{"family":"Gibson","given":"H. S."},{"family":"Shekel","given":"T."},{"family":"Kamath","given":"C."},{"family":"Lieber","given":"A."},{"family":"Schulman","given":"K."},{"family":"Shao","given":"Y."},{"family":"Qarkaxhija","given":"V."},{"family":"Nandi","given":"A. K."},{"family":"Keddie","given":"S. H."},{"family":"Rumisha","given":"S."},{"family":"Amratia","given":"P."},{"family":"Arambepola","given":"R."},{"family":"Chestnutt","given":"E. G."},{"family":"Millar","given":"J. J."},{"family":"Symons","given":"T. L."},{"family":"Cameron","given":"E."},{"family":"Battle","given":"K. E."},{"family":"Bhatt","given":"S."},{"family":"Gething","given":"P. W."}],"issued":{"date-parts":[["2020",9]]}}}],"schema":"https://github.com/citation-style-language/schema/raw/master/csl-citation.json"} </w:instrText>
            </w:r>
            <w:r>
              <w:fldChar w:fldCharType="separate"/>
            </w:r>
            <w:r w:rsidR="00CC3778" w:rsidRPr="00CC3778">
              <w:rPr>
                <w:rFonts w:ascii="Calibri" w:hAnsi="Calibri" w:cs="Calibri"/>
                <w:kern w:val="0"/>
                <w:vertAlign w:val="superscript"/>
              </w:rPr>
              <w:t>18</w:t>
            </w:r>
            <w:r>
              <w:fldChar w:fldCharType="end"/>
            </w:r>
          </w:p>
          <w:p w14:paraId="61318809" w14:textId="77777777" w:rsidR="00FA6C7F" w:rsidRDefault="00FA6C7F" w:rsidP="00532D65">
            <w:pPr>
              <w:jc w:val="both"/>
            </w:pPr>
          </w:p>
        </w:tc>
      </w:tr>
      <w:tr w:rsidR="00FA6C7F" w:rsidRPr="00776DD1" w14:paraId="2FC23C90" w14:textId="77777777" w:rsidTr="00532D65">
        <w:trPr>
          <w:trHeight w:val="558"/>
        </w:trPr>
        <w:tc>
          <w:tcPr>
            <w:tcW w:w="290" w:type="pct"/>
            <w:vMerge/>
            <w:vAlign w:val="center"/>
          </w:tcPr>
          <w:p w14:paraId="6938F7BD" w14:textId="77777777" w:rsidR="00FA6C7F" w:rsidRDefault="00FA6C7F" w:rsidP="00532D65">
            <w:pPr>
              <w:jc w:val="center"/>
            </w:pPr>
          </w:p>
        </w:tc>
        <w:tc>
          <w:tcPr>
            <w:tcW w:w="2531" w:type="pct"/>
          </w:tcPr>
          <w:p w14:paraId="498509E4" w14:textId="77777777" w:rsidR="00FA6C7F" w:rsidRDefault="00FA6C7F" w:rsidP="00532D65">
            <w:pPr>
              <w:jc w:val="both"/>
            </w:pPr>
            <w:r>
              <w:t>Travel time to cities (&gt;50,000 people, any travel mode)</w:t>
            </w:r>
          </w:p>
        </w:tc>
        <w:tc>
          <w:tcPr>
            <w:tcW w:w="736" w:type="pct"/>
          </w:tcPr>
          <w:p w14:paraId="0FD94FD1" w14:textId="77777777" w:rsidR="00FA6C7F" w:rsidRDefault="00FA6C7F" w:rsidP="00532D65">
            <w:pPr>
              <w:jc w:val="both"/>
            </w:pPr>
            <w:r>
              <w:t>2015</w:t>
            </w:r>
          </w:p>
        </w:tc>
        <w:tc>
          <w:tcPr>
            <w:tcW w:w="783" w:type="pct"/>
          </w:tcPr>
          <w:p w14:paraId="1ED7AC31" w14:textId="77777777" w:rsidR="00FA6C7F" w:rsidRDefault="00FA6C7F" w:rsidP="00532D65">
            <w:pPr>
              <w:jc w:val="both"/>
            </w:pPr>
            <w:r>
              <w:rPr>
                <w:rFonts w:hint="eastAsia"/>
                <w:lang w:eastAsia="ko-KR"/>
              </w:rPr>
              <w:t>1 km</w:t>
            </w:r>
          </w:p>
        </w:tc>
        <w:tc>
          <w:tcPr>
            <w:tcW w:w="660" w:type="pct"/>
          </w:tcPr>
          <w:p w14:paraId="52F58E2B" w14:textId="2116D362" w:rsidR="00FA6C7F" w:rsidRPr="000D6EE7" w:rsidRDefault="00FA6C7F" w:rsidP="00532D65">
            <w:pPr>
              <w:jc w:val="both"/>
            </w:pPr>
            <w:r>
              <w:fldChar w:fldCharType="begin"/>
            </w:r>
            <w:r w:rsidR="00CC3778">
              <w:instrText xml:space="preserve"> ADDIN ZOTERO_ITEM CSL_CITATION {"citationID":"hbPhICHv","properties":{"formattedCitation":"\\super 18\\nosupersub{}","plainCitation":"18","noteIndex":0},"citationItems":[{"id":9097,"uris":["http://zotero.org/users/9849050/items/4YIR8MKP"],"itemData":{"id":9097,"type":"article-journal","abstract":"Access to healthcare is a requirement for human well-being that is constrained, in part, by the allocation of healthcare resources relative to the geographically dispersed human population1–3. Quantifying access to care globally is challenging due to the absence of a comprehensive database of healthcare facilities. We harness major data collection efforts underway by OpenStreetMap, Google Maps and academic researchers to compile the most complete collection of facility locations to date. Leveraging the geographically variable strengths of our facility datasets, we use an established methodology4 to characterize travel time to healthcare facilities in unprecedented detail. We produce maps of travel time with and without access to motorized transport, thus characterizing travel time to healthcare for populations distributed across the wealth spectrum. We find that just 8.9% of the global population (646 million people) cannot reach healthcare within one hour if they have access to motorized transport, and that 43.3% (3.16 billion people) cannot reach a healthcare facility by foot within one hour. Our maps highlight an additional vulnerability faced by poorer individuals in remote areas and can help to estimate whether individuals will seek healthcare when it is needed, as well as providing an evidence base for efficiently distributing limited healthcare and transportation resources to underserved populations both now and in the future. A global analysis generating high-resolution maps of travel time shows that 91.1% of the world's population can reach a hospital or clinic within an hour if they have access to motorized transportation, but only 56.7% can do so by walking, highlighting additional inequities for underserved populations accessing healthcare.","container-title":"Nature Medicine 2020 26:12","DOI":"10.1038/s41591-020-1059-1","ISSN":"1546-170X","issue":"12","note":"publisher: Nature Publishing Group\nPMID: 32989313","page":"1835–1838","title":"Global maps of travel time to healthcare facilities","volume":"26","author":[{"family":"Weiss","given":"D. J."},{"family":"Nelson","given":"A."},{"family":"Vargas-Ruiz","given":"C. A."},{"family":"Gligorić","given":"K."},{"family":"Bavadekar","given":"S."},{"family":"Gabrilovich","given":"E."},{"family":"Bertozzi-Villa","given":"A."},{"family":"Rozier","given":"J."},{"family":"Gibson","given":"H. S."},{"family":"Shekel","given":"T."},{"family":"Kamath","given":"C."},{"family":"Lieber","given":"A."},{"family":"Schulman","given":"K."},{"family":"Shao","given":"Y."},{"family":"Qarkaxhija","given":"V."},{"family":"Nandi","given":"A. K."},{"family":"Keddie","given":"S. H."},{"family":"Rumisha","given":"S."},{"family":"Amratia","given":"P."},{"family":"Arambepola","given":"R."},{"family":"Chestnutt","given":"E. G."},{"family":"Millar","given":"J. J."},{"family":"Symons","given":"T. L."},{"family":"Cameron","given":"E."},{"family":"Battle","given":"K. E."},{"family":"Bhatt","given":"S."},{"family":"Gething","given":"P. W."}],"issued":{"date-parts":[["2020",9]]}}}],"schema":"https://github.com/citation-style-language/schema/raw/master/csl-citation.json"} </w:instrText>
            </w:r>
            <w:r>
              <w:fldChar w:fldCharType="separate"/>
            </w:r>
            <w:r w:rsidR="00CC3778" w:rsidRPr="00CC3778">
              <w:rPr>
                <w:rFonts w:ascii="Calibri" w:hAnsi="Calibri" w:cs="Calibri"/>
                <w:kern w:val="0"/>
                <w:vertAlign w:val="superscript"/>
              </w:rPr>
              <w:t>18</w:t>
            </w:r>
            <w:r>
              <w:fldChar w:fldCharType="end"/>
            </w:r>
          </w:p>
          <w:p w14:paraId="315BF491" w14:textId="77777777" w:rsidR="00FA6C7F" w:rsidRPr="000D6EE7" w:rsidRDefault="00FA6C7F" w:rsidP="00532D65">
            <w:pPr>
              <w:jc w:val="both"/>
            </w:pPr>
          </w:p>
        </w:tc>
      </w:tr>
      <w:tr w:rsidR="00FA6C7F" w14:paraId="26AD3559" w14:textId="77777777" w:rsidTr="00532D65">
        <w:trPr>
          <w:trHeight w:val="558"/>
        </w:trPr>
        <w:tc>
          <w:tcPr>
            <w:tcW w:w="290" w:type="pct"/>
            <w:vMerge/>
            <w:vAlign w:val="center"/>
          </w:tcPr>
          <w:p w14:paraId="499A2AA4" w14:textId="77777777" w:rsidR="00FA6C7F" w:rsidRPr="000D6EE7" w:rsidRDefault="00FA6C7F" w:rsidP="00532D65">
            <w:pPr>
              <w:jc w:val="center"/>
            </w:pPr>
          </w:p>
        </w:tc>
        <w:tc>
          <w:tcPr>
            <w:tcW w:w="2531" w:type="pct"/>
          </w:tcPr>
          <w:p w14:paraId="3A62B69C" w14:textId="77777777" w:rsidR="00FA6C7F" w:rsidRPr="000D6EE7" w:rsidRDefault="00FA6C7F" w:rsidP="00532D65">
            <w:pPr>
              <w:jc w:val="both"/>
            </w:pPr>
            <w:r w:rsidRPr="000D6EE7">
              <w:t>Proportion of febrile children who sought treatment at any (public or private) healthcare facility</w:t>
            </w:r>
          </w:p>
        </w:tc>
        <w:tc>
          <w:tcPr>
            <w:tcW w:w="736" w:type="pct"/>
          </w:tcPr>
          <w:p w14:paraId="78046120" w14:textId="77777777" w:rsidR="00FA6C7F" w:rsidRDefault="00FA6C7F" w:rsidP="00532D65">
            <w:pPr>
              <w:jc w:val="both"/>
            </w:pPr>
            <w:r w:rsidRPr="00B727BD">
              <w:t>2010-</w:t>
            </w:r>
            <w:r>
              <w:t xml:space="preserve">2022 </w:t>
            </w:r>
          </w:p>
        </w:tc>
        <w:tc>
          <w:tcPr>
            <w:tcW w:w="783" w:type="pct"/>
          </w:tcPr>
          <w:p w14:paraId="5B0EFC63" w14:textId="77777777" w:rsidR="00FA6C7F" w:rsidRDefault="00FA6C7F" w:rsidP="00532D65">
            <w:pPr>
              <w:jc w:val="both"/>
              <w:rPr>
                <w:u w:val="single"/>
              </w:rPr>
            </w:pPr>
            <w:r>
              <w:rPr>
                <w:rFonts w:hint="eastAsia"/>
                <w:lang w:eastAsia="ko-KR"/>
              </w:rPr>
              <w:t>National</w:t>
            </w:r>
          </w:p>
        </w:tc>
        <w:tc>
          <w:tcPr>
            <w:tcW w:w="660" w:type="pct"/>
          </w:tcPr>
          <w:p w14:paraId="68F5543A" w14:textId="68CD5DBC" w:rsidR="00FA6C7F" w:rsidRDefault="00FA6C7F" w:rsidP="00532D65">
            <w:pPr>
              <w:jc w:val="both"/>
            </w:pPr>
            <w:r>
              <w:rPr>
                <w:u w:val="single"/>
              </w:rPr>
              <w:fldChar w:fldCharType="begin"/>
            </w:r>
            <w:r w:rsidR="00CC3778">
              <w:rPr>
                <w:u w:val="single"/>
              </w:rPr>
              <w:instrText xml:space="preserve"> ADDIN ZOTERO_ITEM CSL_CITATION {"citationID":"UdVlyqjw","properties":{"formattedCitation":"\\super 19\\nosupersub{}","plainCitation":"19","noteIndex":0},"citationItems":[{"id":12274,"uris":["http://zotero.org/users/9849050/items/XSFD9UZY"],"itemData":{"id":12274,"type":"article-journal","abstract":"Access to medical treatment for fever is essential to prevent morbidity and mortality in individuals and to prevent transmission of communicable febrile illness in communities. Quantification of the rates at which treatment is accessed is critical for health system planning and a prerequisite for disease burden estimates. In this study, national data on the proportion of children under five years old with fever who were taken for medical treatment were collected from all available countries in Africa, Latin America, and Asia (n = 91). We used generalised additive mixed models to estimate 30-year trends in the treatment-seeking rates across the majority of countries in these regions (n = 151). Our results show that the proportions of febrile children brought for medical treatment increased steadily over the last 30 years, with the greatest increases occurring in areas where rates had originally been lowest, which includes Latin America and Caribbean, North Africa and the Middle East (51 and 50% increase, respectively), and Sub-Saharan Africa (23% increase). Overall, the aggregated and population-weighted estimate of children with fever taken for treatment at any type of facility rose from 61% (59–64 95% CI) in 1990 to 71% (69–72 95% CI) in 2020. The overall population-weighted average for fraction of treatment in the public sector was largely unchanged during the study period: 49% (42–58 95% CI) sought care at public facilities in 1990 and 47% (44–52 95% CI) in 2020. Overall, the findings indicate that improvements in access to care have been made where they were most needed, but that despite rapid initial gains, progress can plateau without substantial investment. In 2020 there remained significant gaps in care utilisation that must be factored in when developing control strategies and deriving disease burden estimates.","container-title":"PLOS Global Public Health","DOI":"10.1371/journal.pgph.0002134","ISSN":"2767-3375","issue":"8","journalAbbreviation":"PLOS Global Public Health","language":"en","note":"publisher: Public Library of Science","page":"e0002134","source":"PLoS Journals","title":"Trends in treatment-seeking for fever in children under five years old in 151 countries from 1990 to 2020","volume":"3","author":[{"family":"Nguyen","given":"Michele"},{"family":"Dzianach","given":"Paulina A."},{"family":"Castle","given":"Paul E. C. W."},{"family":"Rumisha","given":"Susan F."},{"family":"Rozier","given":"Jennifer A."},{"family":"Harris","given":"Joseph R."},{"family":"Gibson","given":"Harry S."},{"family":"Twohig","given":"Katherine A."},{"family":"Vargas-Ruiz","given":"Camilo A."},{"family":"Bisanzio","given":"Donal"},{"family":"Cameron","given":"Ewan"},{"family":"Weiss","given":"Daniel J."},{"family":"Bhatt","given":"Samir"},{"family":"Gething","given":"Peter W."},{"family":"Battle","given":"Katherine E."}],"issued":{"date-parts":[["2023"]],"season":"23"}}}],"schema":"https://github.com/citation-style-language/schema/raw/master/csl-citation.json"} </w:instrText>
            </w:r>
            <w:r>
              <w:rPr>
                <w:u w:val="single"/>
              </w:rPr>
              <w:fldChar w:fldCharType="separate"/>
            </w:r>
            <w:r w:rsidR="00CC3778" w:rsidRPr="00CC3778">
              <w:rPr>
                <w:rFonts w:ascii="Calibri" w:hAnsi="Calibri" w:cs="Calibri"/>
                <w:kern w:val="0"/>
                <w:vertAlign w:val="superscript"/>
              </w:rPr>
              <w:t>19</w:t>
            </w:r>
            <w:r>
              <w:rPr>
                <w:u w:val="single"/>
              </w:rPr>
              <w:fldChar w:fldCharType="end"/>
            </w:r>
          </w:p>
        </w:tc>
      </w:tr>
      <w:tr w:rsidR="00FA6C7F" w14:paraId="1DA5D313" w14:textId="77777777" w:rsidTr="00532D65">
        <w:trPr>
          <w:trHeight w:val="558"/>
        </w:trPr>
        <w:tc>
          <w:tcPr>
            <w:tcW w:w="290" w:type="pct"/>
            <w:vMerge/>
            <w:vAlign w:val="center"/>
          </w:tcPr>
          <w:p w14:paraId="5DE46FF8" w14:textId="77777777" w:rsidR="00FA6C7F" w:rsidRDefault="00FA6C7F" w:rsidP="00532D65">
            <w:pPr>
              <w:jc w:val="center"/>
            </w:pPr>
          </w:p>
        </w:tc>
        <w:tc>
          <w:tcPr>
            <w:tcW w:w="2531" w:type="pct"/>
          </w:tcPr>
          <w:p w14:paraId="1FA878BA" w14:textId="77777777" w:rsidR="00FA6C7F" w:rsidRDefault="00FA6C7F" w:rsidP="00532D65">
            <w:pPr>
              <w:jc w:val="both"/>
            </w:pPr>
            <w:r>
              <w:t>Child mortality under five years old</w:t>
            </w:r>
          </w:p>
        </w:tc>
        <w:tc>
          <w:tcPr>
            <w:tcW w:w="736" w:type="pct"/>
          </w:tcPr>
          <w:p w14:paraId="1D2C462C" w14:textId="77777777" w:rsidR="00FA6C7F" w:rsidRPr="008F53D5" w:rsidRDefault="00FA6C7F" w:rsidP="00532D65">
            <w:pPr>
              <w:jc w:val="both"/>
            </w:pPr>
            <w:r w:rsidRPr="008F53D5">
              <w:t>2013-2020</w:t>
            </w:r>
          </w:p>
          <w:p w14:paraId="468CCE37" w14:textId="77777777" w:rsidR="00FA6C7F" w:rsidRPr="008F53D5" w:rsidRDefault="00FA6C7F" w:rsidP="00532D65">
            <w:pPr>
              <w:jc w:val="both"/>
            </w:pPr>
          </w:p>
        </w:tc>
        <w:tc>
          <w:tcPr>
            <w:tcW w:w="783" w:type="pct"/>
          </w:tcPr>
          <w:p w14:paraId="22CFF1B8" w14:textId="77777777" w:rsidR="00FA6C7F" w:rsidRDefault="00FA6C7F" w:rsidP="00532D65">
            <w:pPr>
              <w:jc w:val="both"/>
            </w:pPr>
            <w:r>
              <w:rPr>
                <w:rFonts w:hint="eastAsia"/>
                <w:lang w:eastAsia="ko-KR"/>
              </w:rPr>
              <w:t>National</w:t>
            </w:r>
          </w:p>
        </w:tc>
        <w:tc>
          <w:tcPr>
            <w:tcW w:w="660" w:type="pct"/>
          </w:tcPr>
          <w:p w14:paraId="1E78DC3D" w14:textId="5EB94D71" w:rsidR="00FA6C7F" w:rsidRPr="008F53D5" w:rsidRDefault="00FA6C7F" w:rsidP="00532D65">
            <w:pPr>
              <w:jc w:val="both"/>
            </w:pPr>
            <w:r>
              <w:fldChar w:fldCharType="begin"/>
            </w:r>
            <w:r w:rsidR="00CC3778">
              <w:instrText xml:space="preserve"> ADDIN ZOTERO_ITEM CSL_CITATION {"citationID":"TNw14Pek","properties":{"formattedCitation":"\\super 20,21\\nosupersub{}","plainCitation":"20,21","noteIndex":0},"citationItems":[{"id":12289,"uris":["http://zotero.org/users/9849050/items/DMIXP8RQ"],"itemData":{"id":12289,"type":"report","abstract":"Estimates developed by the UN Inter-agency Group for Child Mortality Estimation (IGME), child health","language":"en","publisher":"UN Inter-agency Group for Child Mortality Estimation","title":"Levels and trends in child mortality: report 2022","title-short":"Levels and trends in child mortality","URL":"https://childmortality.org/wp-content/uploads/2023/01/UN-IGME-Child-Mortality-Report-2022.pdf","author":[{"literal":"United Nations Inter-agency Group for Child Mortality Estimation (UN IGME)"}],"accessed":{"date-parts":[["2023",11,15]]}}},{"id":12296,"uris":["http://zotero.org/users/9849050/items/Z2W754KV"],"itemData":{"id":12296,"type":"dataset","title":"INFORM Risk - Results and data","URL":"https://drmkc.jrc.ec.europa.eu/inform-index/INFORM-Risk/Results-and-data/moduleId/1782/id/469/controller/Admin/action/Results","accessed":{"date-parts":[["2023",11,15]]}}}],"schema":"https://github.com/citation-style-language/schema/raw/master/csl-citation.json"} </w:instrText>
            </w:r>
            <w:r>
              <w:fldChar w:fldCharType="separate"/>
            </w:r>
            <w:r w:rsidR="00CC3778" w:rsidRPr="00CC3778">
              <w:rPr>
                <w:rFonts w:ascii="Calibri" w:hAnsi="Calibri" w:cs="Calibri"/>
                <w:kern w:val="0"/>
                <w:vertAlign w:val="superscript"/>
              </w:rPr>
              <w:t>20,21</w:t>
            </w:r>
            <w:r>
              <w:fldChar w:fldCharType="end"/>
            </w:r>
          </w:p>
        </w:tc>
      </w:tr>
      <w:tr w:rsidR="00FA6C7F" w14:paraId="26335817" w14:textId="77777777" w:rsidTr="00532D65">
        <w:trPr>
          <w:trHeight w:val="558"/>
        </w:trPr>
        <w:tc>
          <w:tcPr>
            <w:tcW w:w="290" w:type="pct"/>
            <w:vMerge/>
            <w:vAlign w:val="center"/>
          </w:tcPr>
          <w:p w14:paraId="7D9F3B3E" w14:textId="77777777" w:rsidR="00FA6C7F" w:rsidRDefault="00FA6C7F" w:rsidP="00532D65">
            <w:pPr>
              <w:jc w:val="center"/>
            </w:pPr>
          </w:p>
        </w:tc>
        <w:tc>
          <w:tcPr>
            <w:tcW w:w="2531" w:type="pct"/>
          </w:tcPr>
          <w:p w14:paraId="60B0B454" w14:textId="77777777" w:rsidR="00FA6C7F" w:rsidRDefault="00FA6C7F" w:rsidP="00532D65">
            <w:pPr>
              <w:jc w:val="both"/>
            </w:pPr>
            <w:r>
              <w:t>Government effectiveness</w:t>
            </w:r>
          </w:p>
        </w:tc>
        <w:tc>
          <w:tcPr>
            <w:tcW w:w="736" w:type="pct"/>
          </w:tcPr>
          <w:p w14:paraId="7602EFA0" w14:textId="77777777" w:rsidR="00FA6C7F" w:rsidRPr="008F53D5" w:rsidRDefault="00FA6C7F" w:rsidP="00532D65">
            <w:pPr>
              <w:jc w:val="both"/>
            </w:pPr>
            <w:r w:rsidRPr="008F53D5">
              <w:t>2013-2020</w:t>
            </w:r>
          </w:p>
          <w:p w14:paraId="69AFC9A7" w14:textId="77777777" w:rsidR="00FA6C7F" w:rsidRPr="008F53D5" w:rsidRDefault="00FA6C7F" w:rsidP="00532D65">
            <w:pPr>
              <w:jc w:val="both"/>
            </w:pPr>
          </w:p>
        </w:tc>
        <w:tc>
          <w:tcPr>
            <w:tcW w:w="783" w:type="pct"/>
          </w:tcPr>
          <w:p w14:paraId="17D807AD" w14:textId="77777777" w:rsidR="00FA6C7F" w:rsidRDefault="00FA6C7F" w:rsidP="00532D65">
            <w:pPr>
              <w:jc w:val="both"/>
            </w:pPr>
            <w:r>
              <w:rPr>
                <w:rFonts w:hint="eastAsia"/>
                <w:lang w:eastAsia="ko-KR"/>
              </w:rPr>
              <w:t>National</w:t>
            </w:r>
          </w:p>
        </w:tc>
        <w:tc>
          <w:tcPr>
            <w:tcW w:w="660" w:type="pct"/>
          </w:tcPr>
          <w:p w14:paraId="55AB42ED" w14:textId="346DB437" w:rsidR="00FA6C7F" w:rsidRPr="008F53D5" w:rsidRDefault="00FA6C7F" w:rsidP="00532D65">
            <w:pPr>
              <w:jc w:val="both"/>
            </w:pPr>
            <w:r>
              <w:fldChar w:fldCharType="begin"/>
            </w:r>
            <w:r w:rsidR="00CC3778">
              <w:instrText xml:space="preserve"> ADDIN ZOTERO_ITEM CSL_CITATION {"citationID":"c7Wh6fhC","properties":{"formattedCitation":"\\super 21,22\\nosupersub{}","plainCitation":"21,22","noteIndex":0},"citationItems":[{"id":12293,"uris":["http://zotero.org/users/9849050/items/FDWC9GVN"],"itemData":{"id":12293,"type":"dataset","title":"Worldwide Governance Indicators","URL":"www.govindicators.org","author":[{"family":"Kaufmann","given":"Daniel"},{"family":"Kraay","given":"Aart"}]}},{"id":12296,"uris":["http://zotero.org/users/9849050/items/Z2W754KV"],"itemData":{"id":12296,"type":"dataset","title":"INFORM Risk - Results and data","URL":"https://drmkc.jrc.ec.europa.eu/inform-index/INFORM-Risk/Results-and-data/moduleId/1782/id/469/controller/Admin/action/Results","accessed":{"date-parts":[["2023",11,15]]}}}],"schema":"https://github.com/citation-style-language/schema/raw/master/csl-citation.json"} </w:instrText>
            </w:r>
            <w:r>
              <w:fldChar w:fldCharType="separate"/>
            </w:r>
            <w:r w:rsidR="00CC3778" w:rsidRPr="00CC3778">
              <w:rPr>
                <w:rFonts w:ascii="Calibri" w:hAnsi="Calibri" w:cs="Calibri"/>
                <w:kern w:val="0"/>
                <w:vertAlign w:val="superscript"/>
              </w:rPr>
              <w:t>21,22</w:t>
            </w:r>
            <w:r>
              <w:fldChar w:fldCharType="end"/>
            </w:r>
          </w:p>
        </w:tc>
      </w:tr>
      <w:tr w:rsidR="00FA6C7F" w14:paraId="40B217B3" w14:textId="77777777" w:rsidTr="00532D65">
        <w:trPr>
          <w:trHeight w:val="558"/>
        </w:trPr>
        <w:tc>
          <w:tcPr>
            <w:tcW w:w="290" w:type="pct"/>
            <w:vMerge/>
            <w:vAlign w:val="center"/>
          </w:tcPr>
          <w:p w14:paraId="1AC7239A" w14:textId="77777777" w:rsidR="00FA6C7F" w:rsidRDefault="00FA6C7F" w:rsidP="00532D65">
            <w:pPr>
              <w:jc w:val="center"/>
            </w:pPr>
          </w:p>
        </w:tc>
        <w:tc>
          <w:tcPr>
            <w:tcW w:w="2531" w:type="pct"/>
          </w:tcPr>
          <w:p w14:paraId="64AD9C17" w14:textId="77777777" w:rsidR="00FA6C7F" w:rsidRDefault="00FA6C7F" w:rsidP="00532D65">
            <w:pPr>
              <w:jc w:val="both"/>
            </w:pPr>
            <w:r>
              <w:t>Physicians density</w:t>
            </w:r>
          </w:p>
        </w:tc>
        <w:tc>
          <w:tcPr>
            <w:tcW w:w="736" w:type="pct"/>
          </w:tcPr>
          <w:p w14:paraId="734A13B1" w14:textId="77777777" w:rsidR="00FA6C7F" w:rsidRPr="008F53D5" w:rsidRDefault="00FA6C7F" w:rsidP="00532D65">
            <w:pPr>
              <w:jc w:val="both"/>
            </w:pPr>
            <w:r w:rsidRPr="008F53D5">
              <w:t>2010-2018</w:t>
            </w:r>
          </w:p>
          <w:p w14:paraId="7BE2585F" w14:textId="77777777" w:rsidR="00FA6C7F" w:rsidRPr="00D8296A" w:rsidRDefault="00FA6C7F" w:rsidP="00532D65">
            <w:pPr>
              <w:jc w:val="both"/>
            </w:pPr>
          </w:p>
        </w:tc>
        <w:tc>
          <w:tcPr>
            <w:tcW w:w="783" w:type="pct"/>
          </w:tcPr>
          <w:p w14:paraId="35652415" w14:textId="77777777" w:rsidR="00FA6C7F" w:rsidRDefault="00FA6C7F" w:rsidP="00532D65">
            <w:pPr>
              <w:jc w:val="both"/>
            </w:pPr>
            <w:r>
              <w:rPr>
                <w:rFonts w:hint="eastAsia"/>
                <w:lang w:eastAsia="ko-KR"/>
              </w:rPr>
              <w:t>National</w:t>
            </w:r>
          </w:p>
        </w:tc>
        <w:tc>
          <w:tcPr>
            <w:tcW w:w="660" w:type="pct"/>
          </w:tcPr>
          <w:p w14:paraId="0425FEF1" w14:textId="723D5516" w:rsidR="00FA6C7F" w:rsidRPr="008F53D5" w:rsidRDefault="00FA6C7F" w:rsidP="00532D65">
            <w:pPr>
              <w:jc w:val="both"/>
            </w:pPr>
            <w:r>
              <w:fldChar w:fldCharType="begin"/>
            </w:r>
            <w:r w:rsidR="00CC3778">
              <w:instrText xml:space="preserve"> ADDIN ZOTERO_ITEM CSL_CITATION {"citationID":"fBJUKqeX","properties":{"formattedCitation":"\\super 21,23\\nosupersub{}","plainCitation":"21,23","noteIndex":0},"citationItems":[{"id":12294,"uris":["http://zotero.org/users/9849050/items/VYKZS5RH"],"itemData":{"id":12294,"type":"dataset","abstract":"Free and open access to global development data","language":"en","title":"Physicians (per 1,000 people)","URL":"https://data.worldbank.org/indicator/SH.MED.PHYS.ZS","author":[{"literal":"World Bank"}],"accessed":{"date-parts":[["2023",11,15]]}}},{"id":12296,"uris":["http://zotero.org/users/9849050/items/Z2W754KV"],"itemData":{"id":12296,"type":"dataset","title":"INFORM Risk - Results and data","URL":"https://drmkc.jrc.ec.europa.eu/inform-index/INFORM-Risk/Results-and-data/moduleId/1782/id/469/controller/Admin/action/Results","accessed":{"date-parts":[["2023",11,15]]}}}],"schema":"https://github.com/citation-style-language/schema/raw/master/csl-citation.json"} </w:instrText>
            </w:r>
            <w:r>
              <w:fldChar w:fldCharType="separate"/>
            </w:r>
            <w:r w:rsidR="00CC3778" w:rsidRPr="00CC3778">
              <w:rPr>
                <w:rFonts w:ascii="Calibri" w:hAnsi="Calibri" w:cs="Calibri"/>
                <w:kern w:val="0"/>
                <w:vertAlign w:val="superscript"/>
              </w:rPr>
              <w:t>21,23</w:t>
            </w:r>
            <w:r>
              <w:fldChar w:fldCharType="end"/>
            </w:r>
          </w:p>
        </w:tc>
      </w:tr>
      <w:tr w:rsidR="00FA6C7F" w14:paraId="0E4AB953" w14:textId="77777777" w:rsidTr="00532D65">
        <w:trPr>
          <w:trHeight w:val="558"/>
        </w:trPr>
        <w:tc>
          <w:tcPr>
            <w:tcW w:w="290" w:type="pct"/>
            <w:vMerge w:val="restart"/>
            <w:textDirection w:val="btLr"/>
            <w:vAlign w:val="center"/>
          </w:tcPr>
          <w:p w14:paraId="0B44180E" w14:textId="77777777" w:rsidR="00FA6C7F" w:rsidRDefault="00FA6C7F" w:rsidP="00532D65">
            <w:pPr>
              <w:ind w:left="113" w:right="113"/>
              <w:jc w:val="center"/>
            </w:pPr>
            <w:r>
              <w:t>Transmission factors</w:t>
            </w:r>
          </w:p>
        </w:tc>
        <w:tc>
          <w:tcPr>
            <w:tcW w:w="2531" w:type="pct"/>
          </w:tcPr>
          <w:p w14:paraId="4E5B8563" w14:textId="77777777" w:rsidR="00FA6C7F" w:rsidRDefault="00FA6C7F" w:rsidP="00532D65">
            <w:pPr>
              <w:jc w:val="both"/>
            </w:pPr>
            <w:r>
              <w:t>Temperature suitability for dengue virus transmission</w:t>
            </w:r>
          </w:p>
        </w:tc>
        <w:tc>
          <w:tcPr>
            <w:tcW w:w="736" w:type="pct"/>
          </w:tcPr>
          <w:p w14:paraId="2818F890" w14:textId="77777777" w:rsidR="00FA6C7F" w:rsidRDefault="00FA6C7F" w:rsidP="00532D65">
            <w:pPr>
              <w:jc w:val="both"/>
            </w:pPr>
            <w:r>
              <w:t>2010-2020</w:t>
            </w:r>
          </w:p>
        </w:tc>
        <w:tc>
          <w:tcPr>
            <w:tcW w:w="783" w:type="pct"/>
          </w:tcPr>
          <w:p w14:paraId="61047EBB" w14:textId="77777777" w:rsidR="00FA6C7F" w:rsidRDefault="00FA6C7F" w:rsidP="00532D65">
            <w:pPr>
              <w:jc w:val="both"/>
              <w:rPr>
                <w:lang w:val="da-DK"/>
              </w:rPr>
            </w:pPr>
            <w:r>
              <w:rPr>
                <w:rFonts w:hint="eastAsia"/>
                <w:lang w:eastAsia="ko-KR"/>
              </w:rPr>
              <w:t>5 km</w:t>
            </w:r>
          </w:p>
        </w:tc>
        <w:tc>
          <w:tcPr>
            <w:tcW w:w="660" w:type="pct"/>
          </w:tcPr>
          <w:p w14:paraId="047EC4A6" w14:textId="3CE34E05" w:rsidR="00FA6C7F" w:rsidRDefault="00FA6C7F" w:rsidP="00532D65">
            <w:pPr>
              <w:jc w:val="both"/>
            </w:pPr>
            <w:r>
              <w:rPr>
                <w:lang w:val="da-DK"/>
              </w:rPr>
              <w:fldChar w:fldCharType="begin"/>
            </w:r>
            <w:r w:rsidR="00CC3778">
              <w:rPr>
                <w:lang w:val="da-DK"/>
              </w:rPr>
              <w:instrText xml:space="preserve"> ADDIN ZOTERO_ITEM CSL_CITATION {"citationID":"AZQSKYQb","properties":{"formattedCitation":"\\super 24\\nosupersub{}","plainCitation":"24","noteIndex":0},"citationItems":[{"id":8022,"uris":["http://zotero.org/users/9849050/items/ISR3QLQ2"],"itemData":{"id":8022,"type":"article-journal","abstract":"Dengue is a disease that has undergone significant expansion over the past hundred years. Understanding what factors limit the distribution of transmission can be used to predict current and future limits to further dengue expansion. While not the only factor, temperature plays an important role in defining these limits. Previous attempts to analyse the effect of temperature on the geographic distribution of dengue have not considered its dynamic intra-annual and diurnal change and its cumulative effects on mosquito and virus populations.","container-title":"Parasites &amp; Vectors","DOI":"10.1186/1756-3305-7-338","ISSN":"1756-3305","issue":"1","journalAbbreviation":"Parasites &amp; Vectors","page":"338","source":"BioMed Central","title":"Global temperature constraints on Aedes aegypti and Ae. albopictus persistence and competence for dengue virus transmission","volume":"7","author":[{"family":"Brady","given":"Oliver J."},{"family":"Golding","given":"Nick"},{"family":"Pigott","given":"David M."},{"family":"Kraemer","given":"Moritz U. G."},{"family":"Messina","given":"Jane P."},{"family":"Reiner Jr","given":"Robert C."},{"family":"Scott","given":"Thomas W."},{"family":"Smith","given":"David L."},{"family":"Gething","given":"Peter W."},{"family":"Hay","given":"Simon I."}],"issued":{"date-parts":[["2014",7,22]]}}}],"schema":"https://github.com/citation-style-language/schema/raw/master/csl-citation.json"} </w:instrText>
            </w:r>
            <w:r>
              <w:rPr>
                <w:lang w:val="da-DK"/>
              </w:rPr>
              <w:fldChar w:fldCharType="separate"/>
            </w:r>
            <w:r w:rsidR="00CC3778" w:rsidRPr="00CC3778">
              <w:rPr>
                <w:rFonts w:ascii="Calibri" w:hAnsi="Calibri" w:cs="Calibri"/>
                <w:kern w:val="0"/>
                <w:vertAlign w:val="superscript"/>
              </w:rPr>
              <w:t>24</w:t>
            </w:r>
            <w:r>
              <w:rPr>
                <w:lang w:val="da-DK"/>
              </w:rPr>
              <w:fldChar w:fldCharType="end"/>
            </w:r>
          </w:p>
        </w:tc>
      </w:tr>
      <w:tr w:rsidR="00FA6C7F" w14:paraId="33B62D0B" w14:textId="77777777" w:rsidTr="00532D65">
        <w:trPr>
          <w:trHeight w:val="558"/>
        </w:trPr>
        <w:tc>
          <w:tcPr>
            <w:tcW w:w="290" w:type="pct"/>
            <w:vMerge/>
          </w:tcPr>
          <w:p w14:paraId="63B44E49" w14:textId="77777777" w:rsidR="00FA6C7F" w:rsidRDefault="00FA6C7F" w:rsidP="00532D65">
            <w:pPr>
              <w:jc w:val="both"/>
            </w:pPr>
          </w:p>
        </w:tc>
        <w:tc>
          <w:tcPr>
            <w:tcW w:w="2531" w:type="pct"/>
          </w:tcPr>
          <w:p w14:paraId="172C3C03" w14:textId="77777777" w:rsidR="00FA6C7F" w:rsidRDefault="00FA6C7F" w:rsidP="00532D65">
            <w:pPr>
              <w:jc w:val="both"/>
            </w:pPr>
            <w:r>
              <w:t>Mean temperature of the coldest month</w:t>
            </w:r>
          </w:p>
        </w:tc>
        <w:tc>
          <w:tcPr>
            <w:tcW w:w="736" w:type="pct"/>
          </w:tcPr>
          <w:p w14:paraId="1706EB60" w14:textId="77777777" w:rsidR="00FA6C7F" w:rsidRDefault="00FA6C7F" w:rsidP="00532D65">
            <w:pPr>
              <w:jc w:val="both"/>
            </w:pPr>
            <w:r>
              <w:t>2010-2020</w:t>
            </w:r>
          </w:p>
        </w:tc>
        <w:tc>
          <w:tcPr>
            <w:tcW w:w="783" w:type="pct"/>
          </w:tcPr>
          <w:p w14:paraId="7F8082C2" w14:textId="77777777" w:rsidR="00FA6C7F" w:rsidRDefault="00FA6C7F" w:rsidP="00532D65">
            <w:pPr>
              <w:jc w:val="both"/>
            </w:pPr>
            <w:r>
              <w:rPr>
                <w:rFonts w:hint="eastAsia"/>
                <w:lang w:eastAsia="ko-KR"/>
              </w:rPr>
              <w:t>5 km</w:t>
            </w:r>
          </w:p>
        </w:tc>
        <w:tc>
          <w:tcPr>
            <w:tcW w:w="660" w:type="pct"/>
          </w:tcPr>
          <w:p w14:paraId="00255839" w14:textId="6055E75F" w:rsidR="00FA6C7F" w:rsidRDefault="00FA6C7F" w:rsidP="00532D65">
            <w:pPr>
              <w:jc w:val="both"/>
            </w:pPr>
            <w:r>
              <w:fldChar w:fldCharType="begin"/>
            </w:r>
            <w:r w:rsidR="00CC3778">
              <w:instrText xml:space="preserve"> ADDIN ZOTERO_ITEM CSL_CITATION {"citationID":"Zm1JrRSV","properties":{"formattedCitation":"\\super 25\\nosupersub{}","plainCitation":"25","noteIndex":0},"citationItems":[{"id":12300,"uris":["http://zotero.org/users/9849050/items/PFXJIGBW"],"itemData":{"id":12300,"type":"article-journal","abstract":"We present TerraClimate, a dataset of high-spatial resolution (1/24°, ~4-km) monthly climate and climatic water balance for global terrestrial surfaces from 1958–2015. TerraClimate uses climatically aided interpolation, combining high-spatial resolution climatological normals from the WorldClim dataset, with coarser resolution time varying (i.e., monthly) data from other sources to produce a monthly dataset of precipitation, maximum and minimum temperature, wind speed, vapor pressure, and solar radiation. TerraClimate additionally produces monthly surface water balance datasets using a water balance model that incorporates reference evapotranspiration, precipitation, temperature, and interpolated plant extractable soil water capacity. These data provide important inputs for ecological and hydrological studies at global scales that require high spatial resolution and time varying climate and climatic water balance data. We validated spatiotemporal aspects of TerraClimate using annual temperature, precipitation, and calculated reference evapotranspiration from station data, as well as annual runoff from streamflow gauges. TerraClimate datasets showed noted improvement in overall mean absolute error and increased spatial realism relative to coarser resolution gridded datasets.","container-title":"Scientific Data","DOI":"10.1038/sdata.2017.191","ISSN":"2052-4463","issue":"1","journalAbbreviation":"Sci Data","language":"en","license":"2018 The Author(s)","note":"number: 1\npublisher: Nature Publishing Group","page":"170191","source":"www.nature.com","title":"TerraClimate, a high-resolution global dataset of monthly climate and climatic water balance from 1958–2015","volume":"5","author":[{"family":"Abatzoglou","given":"John T."},{"family":"Dobrowski","given":"Solomon Z."},{"family":"Parks","given":"Sean A."},{"family":"Hegewisch","given":"Katherine C."}],"issued":{"date-parts":[["2018",1,9]]}}}],"schema":"https://github.com/citation-style-language/schema/raw/master/csl-citation.json"} </w:instrText>
            </w:r>
            <w:r>
              <w:fldChar w:fldCharType="separate"/>
            </w:r>
            <w:r w:rsidR="00CC3778" w:rsidRPr="00CC3778">
              <w:rPr>
                <w:rFonts w:ascii="Calibri" w:hAnsi="Calibri" w:cs="Calibri"/>
                <w:kern w:val="0"/>
                <w:vertAlign w:val="superscript"/>
              </w:rPr>
              <w:t>25</w:t>
            </w:r>
            <w:r>
              <w:fldChar w:fldCharType="end"/>
            </w:r>
          </w:p>
        </w:tc>
      </w:tr>
      <w:tr w:rsidR="00FA6C7F" w14:paraId="331F86DC" w14:textId="77777777" w:rsidTr="00532D65">
        <w:trPr>
          <w:trHeight w:val="558"/>
        </w:trPr>
        <w:tc>
          <w:tcPr>
            <w:tcW w:w="290" w:type="pct"/>
            <w:vMerge/>
          </w:tcPr>
          <w:p w14:paraId="6EEACA86" w14:textId="77777777" w:rsidR="00FA6C7F" w:rsidRDefault="00FA6C7F" w:rsidP="00532D65">
            <w:pPr>
              <w:jc w:val="both"/>
            </w:pPr>
          </w:p>
        </w:tc>
        <w:tc>
          <w:tcPr>
            <w:tcW w:w="2531" w:type="pct"/>
          </w:tcPr>
          <w:p w14:paraId="40686280" w14:textId="77777777" w:rsidR="00FA6C7F" w:rsidRDefault="00FA6C7F" w:rsidP="00532D65">
            <w:pPr>
              <w:jc w:val="both"/>
            </w:pPr>
            <w:r>
              <w:rPr>
                <w:rFonts w:hint="eastAsia"/>
                <w:lang w:eastAsia="ko-KR"/>
              </w:rPr>
              <w:t>Average of annual p</w:t>
            </w:r>
            <w:r>
              <w:t>recipitation</w:t>
            </w:r>
          </w:p>
        </w:tc>
        <w:tc>
          <w:tcPr>
            <w:tcW w:w="736" w:type="pct"/>
          </w:tcPr>
          <w:p w14:paraId="7F97B105" w14:textId="77777777" w:rsidR="00FA6C7F" w:rsidRDefault="00FA6C7F" w:rsidP="00532D65">
            <w:pPr>
              <w:jc w:val="both"/>
            </w:pPr>
            <w:r>
              <w:t>2010-2020</w:t>
            </w:r>
          </w:p>
        </w:tc>
        <w:tc>
          <w:tcPr>
            <w:tcW w:w="783" w:type="pct"/>
          </w:tcPr>
          <w:p w14:paraId="796F1BED" w14:textId="77777777" w:rsidR="00FA6C7F" w:rsidRDefault="00FA6C7F" w:rsidP="00532D65">
            <w:pPr>
              <w:jc w:val="both"/>
            </w:pPr>
            <w:r>
              <w:rPr>
                <w:rFonts w:hint="eastAsia"/>
                <w:lang w:eastAsia="ko-KR"/>
              </w:rPr>
              <w:t>5 km</w:t>
            </w:r>
          </w:p>
        </w:tc>
        <w:tc>
          <w:tcPr>
            <w:tcW w:w="660" w:type="pct"/>
          </w:tcPr>
          <w:p w14:paraId="368F50E7" w14:textId="5CF00044" w:rsidR="00FA6C7F" w:rsidRDefault="00FA6C7F" w:rsidP="00532D65">
            <w:pPr>
              <w:jc w:val="both"/>
            </w:pPr>
            <w:r>
              <w:fldChar w:fldCharType="begin"/>
            </w:r>
            <w:r w:rsidR="00CC3778">
              <w:instrText xml:space="preserve"> ADDIN ZOTERO_ITEM CSL_CITATION {"citationID":"JeEdHvin","properties":{"formattedCitation":"\\super 25\\nosupersub{}","plainCitation":"25","noteIndex":0},"citationItems":[{"id":12300,"uris":["http://zotero.org/users/9849050/items/PFXJIGBW"],"itemData":{"id":12300,"type":"article-journal","abstract":"We present TerraClimate, a dataset of high-spatial resolution (1/24°, ~4-km) monthly climate and climatic water balance for global terrestrial surfaces from 1958–2015. TerraClimate uses climatically aided interpolation, combining high-spatial resolution climatological normals from the WorldClim dataset, with coarser resolution time varying (i.e., monthly) data from other sources to produce a monthly dataset of precipitation, maximum and minimum temperature, wind speed, vapor pressure, and solar radiation. TerraClimate additionally produces monthly surface water balance datasets using a water balance model that incorporates reference evapotranspiration, precipitation, temperature, and interpolated plant extractable soil water capacity. These data provide important inputs for ecological and hydrological studies at global scales that require high spatial resolution and time varying climate and climatic water balance data. We validated spatiotemporal aspects of TerraClimate using annual temperature, precipitation, and calculated reference evapotranspiration from station data, as well as annual runoff from streamflow gauges. TerraClimate datasets showed noted improvement in overall mean absolute error and increased spatial realism relative to coarser resolution gridded datasets.","container-title":"Scientific Data","DOI":"10.1038/sdata.2017.191","ISSN":"2052-4463","issue":"1","journalAbbreviation":"Sci Data","language":"en","license":"2018 The Author(s)","note":"number: 1\npublisher: Nature Publishing Group","page":"170191","source":"www.nature.com","title":"TerraClimate, a high-resolution global dataset of monthly climate and climatic water balance from 1958–2015","volume":"5","author":[{"family":"Abatzoglou","given":"John T."},{"family":"Dobrowski","given":"Solomon Z."},{"family":"Parks","given":"Sean A."},{"family":"Hegewisch","given":"Katherine C."}],"issued":{"date-parts":[["2018",1,9]]}}}],"schema":"https://github.com/citation-style-language/schema/raw/master/csl-citation.json"} </w:instrText>
            </w:r>
            <w:r>
              <w:fldChar w:fldCharType="separate"/>
            </w:r>
            <w:r w:rsidR="00CC3778" w:rsidRPr="00CC3778">
              <w:rPr>
                <w:rFonts w:ascii="Calibri" w:hAnsi="Calibri" w:cs="Calibri"/>
                <w:kern w:val="0"/>
                <w:vertAlign w:val="superscript"/>
              </w:rPr>
              <w:t>25</w:t>
            </w:r>
            <w:r>
              <w:fldChar w:fldCharType="end"/>
            </w:r>
          </w:p>
        </w:tc>
      </w:tr>
      <w:tr w:rsidR="00FA6C7F" w:rsidRPr="00B727BD" w14:paraId="2305E857" w14:textId="77777777" w:rsidTr="00532D65">
        <w:trPr>
          <w:trHeight w:val="558"/>
        </w:trPr>
        <w:tc>
          <w:tcPr>
            <w:tcW w:w="290" w:type="pct"/>
            <w:vMerge/>
          </w:tcPr>
          <w:p w14:paraId="5B8570B3" w14:textId="77777777" w:rsidR="00FA6C7F" w:rsidRDefault="00FA6C7F" w:rsidP="00532D65">
            <w:pPr>
              <w:jc w:val="both"/>
            </w:pPr>
          </w:p>
        </w:tc>
        <w:tc>
          <w:tcPr>
            <w:tcW w:w="2531" w:type="pct"/>
          </w:tcPr>
          <w:p w14:paraId="29416782" w14:textId="77777777" w:rsidR="00FA6C7F" w:rsidRDefault="00FA6C7F" w:rsidP="00532D65">
            <w:pPr>
              <w:jc w:val="both"/>
            </w:pPr>
            <w:r w:rsidRPr="00C62A8F">
              <w:t>Normalized Difference Vegetation Index (NDVI)</w:t>
            </w:r>
          </w:p>
        </w:tc>
        <w:tc>
          <w:tcPr>
            <w:tcW w:w="736" w:type="pct"/>
          </w:tcPr>
          <w:p w14:paraId="4D2CAFF5" w14:textId="77777777" w:rsidR="00FA6C7F" w:rsidRPr="00776DD1" w:rsidRDefault="00FA6C7F" w:rsidP="00532D65">
            <w:pPr>
              <w:jc w:val="both"/>
            </w:pPr>
            <w:r>
              <w:t>2010-2020</w:t>
            </w:r>
          </w:p>
        </w:tc>
        <w:tc>
          <w:tcPr>
            <w:tcW w:w="783" w:type="pct"/>
          </w:tcPr>
          <w:p w14:paraId="466719A7" w14:textId="77777777" w:rsidR="00FA6C7F" w:rsidRDefault="00FA6C7F" w:rsidP="00532D65">
            <w:pPr>
              <w:jc w:val="both"/>
              <w:rPr>
                <w:lang w:val="fr-FR" w:eastAsia="ko-KR"/>
              </w:rPr>
            </w:pPr>
            <w:r>
              <w:rPr>
                <w:rFonts w:hint="eastAsia"/>
                <w:lang w:eastAsia="ko-KR"/>
              </w:rPr>
              <w:t>5 km</w:t>
            </w:r>
          </w:p>
        </w:tc>
        <w:tc>
          <w:tcPr>
            <w:tcW w:w="660" w:type="pct"/>
          </w:tcPr>
          <w:p w14:paraId="7C4FF8BA" w14:textId="360F89FF" w:rsidR="00FA6C7F" w:rsidRPr="00B727BD" w:rsidRDefault="00FA6C7F" w:rsidP="00532D65">
            <w:pPr>
              <w:jc w:val="both"/>
              <w:rPr>
                <w:lang w:val="fr-FR"/>
              </w:rPr>
            </w:pPr>
            <w:r>
              <w:rPr>
                <w:lang w:val="fr-FR"/>
              </w:rPr>
              <w:fldChar w:fldCharType="begin"/>
            </w:r>
            <w:r w:rsidR="00CC3778">
              <w:rPr>
                <w:lang w:val="fr-FR"/>
              </w:rPr>
              <w:instrText xml:space="preserve"> ADDIN ZOTERO_ITEM CSL_CITATION {"citationID":"X9pfKHLo","properties":{"formattedCitation":"\\super 26\\nosupersub{}","plainCitation":"26","noteIndex":0},"citationItems":[{"id":12302,"uris":["http://zotero.org/users/9849050/items/LBQV9Q9D"],"itemData":{"id":12302,"type":"article-journal","container-title":"NASA EOSDIS Land Processes DAAC","page":"2015","title":"MOD13C2 MODIS/Terra vegetation indices monthly L3 global 0.05 deg CMG V006","volume":"10","author":[{"family":"Didan","given":"Kamel"}],"issued":{"date-parts":[["2015"]]}}}],"schema":"https://github.com/citation-style-language/schema/raw/master/csl-citation.json"} </w:instrText>
            </w:r>
            <w:r>
              <w:rPr>
                <w:lang w:val="fr-FR"/>
              </w:rPr>
              <w:fldChar w:fldCharType="separate"/>
            </w:r>
            <w:r w:rsidR="00CC3778" w:rsidRPr="00CC3778">
              <w:rPr>
                <w:rFonts w:ascii="Calibri" w:hAnsi="Calibri" w:cs="Calibri"/>
                <w:kern w:val="0"/>
                <w:vertAlign w:val="superscript"/>
              </w:rPr>
              <w:t>26</w:t>
            </w:r>
            <w:r>
              <w:rPr>
                <w:lang w:val="fr-FR"/>
              </w:rPr>
              <w:fldChar w:fldCharType="end"/>
            </w:r>
          </w:p>
        </w:tc>
      </w:tr>
      <w:tr w:rsidR="00FA6C7F" w14:paraId="30507D6A" w14:textId="77777777" w:rsidTr="00532D65">
        <w:trPr>
          <w:trHeight w:val="558"/>
        </w:trPr>
        <w:tc>
          <w:tcPr>
            <w:tcW w:w="290" w:type="pct"/>
            <w:vMerge/>
          </w:tcPr>
          <w:p w14:paraId="34AF1352" w14:textId="77777777" w:rsidR="00FA6C7F" w:rsidRPr="00B727BD" w:rsidRDefault="00FA6C7F" w:rsidP="00532D65">
            <w:pPr>
              <w:jc w:val="both"/>
              <w:rPr>
                <w:lang w:val="fr-FR"/>
              </w:rPr>
            </w:pPr>
          </w:p>
        </w:tc>
        <w:tc>
          <w:tcPr>
            <w:tcW w:w="2531" w:type="pct"/>
          </w:tcPr>
          <w:p w14:paraId="3B84EFBB" w14:textId="77777777" w:rsidR="00FA6C7F" w:rsidRDefault="00FA6C7F" w:rsidP="00532D65">
            <w:pPr>
              <w:jc w:val="both"/>
            </w:pPr>
            <w:r>
              <w:t>Dynamic Habitat Indices (DHI)</w:t>
            </w:r>
          </w:p>
        </w:tc>
        <w:tc>
          <w:tcPr>
            <w:tcW w:w="736" w:type="pct"/>
          </w:tcPr>
          <w:p w14:paraId="75EDA296" w14:textId="77777777" w:rsidR="00FA6C7F" w:rsidRDefault="00FA6C7F" w:rsidP="00532D65">
            <w:pPr>
              <w:jc w:val="both"/>
            </w:pPr>
            <w:r>
              <w:t>-</w:t>
            </w:r>
          </w:p>
        </w:tc>
        <w:tc>
          <w:tcPr>
            <w:tcW w:w="783" w:type="pct"/>
          </w:tcPr>
          <w:p w14:paraId="38834389" w14:textId="77777777" w:rsidR="00FA6C7F" w:rsidRDefault="00FA6C7F" w:rsidP="00532D65">
            <w:pPr>
              <w:jc w:val="both"/>
            </w:pPr>
            <w:r>
              <w:rPr>
                <w:rFonts w:hint="eastAsia"/>
                <w:lang w:eastAsia="ko-KR"/>
              </w:rPr>
              <w:t>1 km</w:t>
            </w:r>
          </w:p>
        </w:tc>
        <w:tc>
          <w:tcPr>
            <w:tcW w:w="660" w:type="pct"/>
          </w:tcPr>
          <w:p w14:paraId="1EC2C01B" w14:textId="01D2CA85" w:rsidR="00FA6C7F" w:rsidRDefault="00FA6C7F" w:rsidP="00532D65">
            <w:pPr>
              <w:jc w:val="both"/>
            </w:pPr>
            <w:r>
              <w:fldChar w:fldCharType="begin"/>
            </w:r>
            <w:r w:rsidR="00CC3778">
              <w:instrText xml:space="preserve"> ADDIN ZOTERO_ITEM CSL_CITATION {"citationID":"uRL8QEFj","properties":{"formattedCitation":"\\super 27\\nosupersub{}","plainCitation":"27","noteIndex":0},"citationItems":[{"id":12282,"uris":["http://zotero.org/users/9849050/items/F6XK34LL"],"itemData":{"id":12282,"type":"article-journal","abstract":"Ecological regionalisations delineate areas of similar environmental conditions, ecological processes, and biotic communities, and provide a basis for systematic conservation planning and management. Most regionalisations are made based on subjective criteria, and can not be readily revised, leading to outstanding questions with respect to how to optimally develop and define them. Advances in remote sensing technology, and big data analysis approaches, provide new opportunities for regionalisations, especially in terms of productivity patterns through both photosynthesis and structural surrogates. Here we show that global terrestrial productivity dynamics can be captured by Dynamics Habitat Indices (DHIs) and we conduct a regionalisation based on the DHIs using a two-stage multivariate clustering approach. Encouragingly, the derived clusters are more homogeneous in terms of species richness of three key taxa, and of canopy height, than a conventional regionalisation. We conclude with discussing the benefits of these remotely derived clusters for biodiversity assessments and conservation. The clusters based on the DHIs explained more variance, and greater within-region homogeneity, compared to conventional regionalisations for species richness of both amphibians and mammals, and were comparable in the case of birds. Structure as defined by global tree height was also better defined by productivity driven clusters than conventional regionalisations. These results suggest that ecological regionalisations based on remotely sensed metrics have clear advantages over conventional regionalisations for certain applications, and they are also more easily updated.","container-title":"Scientific Reports","DOI":"10.1038/s41598-018-34162-8","ISSN":"2045-2322","issue":"1","journalAbbreviation":"Sci Rep","language":"en","license":"2018 The Author(s)","note":"number: 1\npublisher: Nature Publishing Group","page":"16261","source":"www.nature.com","title":"Remotely-sensed productivity clusters capture global biodiversity patterns","volume":"8","author":[{"family":"Coops","given":"Nicholas C."},{"family":"Kearney","given":"Sean P."},{"family":"Bolton","given":"Douglas K."},{"family":"Radeloff","given":"Volker C."}],"issued":{"date-parts":[["2018",11,2]]}}}],"schema":"https://github.com/citation-style-language/schema/raw/master/csl-citation.json"} </w:instrText>
            </w:r>
            <w:r>
              <w:fldChar w:fldCharType="separate"/>
            </w:r>
            <w:r w:rsidR="00CC3778" w:rsidRPr="00CC3778">
              <w:rPr>
                <w:rFonts w:ascii="Calibri" w:hAnsi="Calibri" w:cs="Calibri"/>
                <w:kern w:val="0"/>
                <w:vertAlign w:val="superscript"/>
              </w:rPr>
              <w:t>27</w:t>
            </w:r>
            <w:r>
              <w:fldChar w:fldCharType="end"/>
            </w:r>
          </w:p>
        </w:tc>
      </w:tr>
      <w:tr w:rsidR="00FA6C7F" w14:paraId="13010284" w14:textId="77777777" w:rsidTr="00532D65">
        <w:trPr>
          <w:trHeight w:val="558"/>
        </w:trPr>
        <w:tc>
          <w:tcPr>
            <w:tcW w:w="290" w:type="pct"/>
            <w:vMerge/>
          </w:tcPr>
          <w:p w14:paraId="1AE8086D" w14:textId="77777777" w:rsidR="00FA6C7F" w:rsidRDefault="00FA6C7F" w:rsidP="00532D65">
            <w:pPr>
              <w:jc w:val="both"/>
            </w:pPr>
          </w:p>
        </w:tc>
        <w:tc>
          <w:tcPr>
            <w:tcW w:w="2531" w:type="pct"/>
          </w:tcPr>
          <w:p w14:paraId="52980AEC" w14:textId="77777777" w:rsidR="00FA6C7F" w:rsidRDefault="00FA6C7F" w:rsidP="00532D65">
            <w:pPr>
              <w:jc w:val="both"/>
            </w:pPr>
            <w:r>
              <w:t xml:space="preserve">Predicted suitability for </w:t>
            </w:r>
            <w:r w:rsidRPr="00C62A8F">
              <w:rPr>
                <w:i/>
                <w:iCs/>
              </w:rPr>
              <w:t>Ae</w:t>
            </w:r>
            <w:r>
              <w:rPr>
                <w:rFonts w:hint="eastAsia"/>
                <w:i/>
                <w:iCs/>
                <w:lang w:eastAsia="ko-KR"/>
              </w:rPr>
              <w:t>des</w:t>
            </w:r>
            <w:r w:rsidRPr="00C62A8F">
              <w:rPr>
                <w:i/>
                <w:iCs/>
              </w:rPr>
              <w:t xml:space="preserve"> </w:t>
            </w:r>
            <w:r>
              <w:rPr>
                <w:i/>
                <w:iCs/>
              </w:rPr>
              <w:t>a</w:t>
            </w:r>
            <w:r w:rsidRPr="00C62A8F">
              <w:rPr>
                <w:i/>
                <w:iCs/>
              </w:rPr>
              <w:t>egypti</w:t>
            </w:r>
          </w:p>
        </w:tc>
        <w:tc>
          <w:tcPr>
            <w:tcW w:w="736" w:type="pct"/>
          </w:tcPr>
          <w:p w14:paraId="2DE7EAF5" w14:textId="77777777" w:rsidR="00FA6C7F" w:rsidRDefault="00FA6C7F" w:rsidP="00532D65">
            <w:pPr>
              <w:jc w:val="both"/>
            </w:pPr>
            <w:r>
              <w:t>2020</w:t>
            </w:r>
          </w:p>
        </w:tc>
        <w:tc>
          <w:tcPr>
            <w:tcW w:w="783" w:type="pct"/>
          </w:tcPr>
          <w:p w14:paraId="352D9012" w14:textId="77777777" w:rsidR="00FA6C7F" w:rsidRDefault="00FA6C7F" w:rsidP="00532D65">
            <w:pPr>
              <w:jc w:val="both"/>
              <w:rPr>
                <w:lang w:eastAsia="ko-KR"/>
              </w:rPr>
            </w:pPr>
            <w:r>
              <w:rPr>
                <w:rFonts w:hint="eastAsia"/>
                <w:lang w:eastAsia="ko-KR"/>
              </w:rPr>
              <w:t>5 km</w:t>
            </w:r>
          </w:p>
        </w:tc>
        <w:tc>
          <w:tcPr>
            <w:tcW w:w="660" w:type="pct"/>
          </w:tcPr>
          <w:p w14:paraId="2FFCDEED" w14:textId="7A61E09C" w:rsidR="00FA6C7F" w:rsidRDefault="00FA6C7F" w:rsidP="00532D65">
            <w:pPr>
              <w:jc w:val="both"/>
            </w:pPr>
            <w:r>
              <w:fldChar w:fldCharType="begin"/>
            </w:r>
            <w:r w:rsidR="00CC3778">
              <w:instrText xml:space="preserve"> ADDIN ZOTERO_ITEM CSL_CITATION {"citationID":"WK2FDvUC","properties":{"formattedCitation":"\\super 28\\nosupersub{}","plainCitation":"28","noteIndex":0},"citationItems":[{"id":8194,"uris":["http://zotero.org/users/9849050/items/X5Y4DHRE"],"itemData":{"id":8194,"type":"article-journal","abstract":"The global population at risk from mosquito-borne diseases—including dengue, yellow fever, chikungunya and Zika—is expanding in concert with changes in the distribution of two key vectors: Aedes aegypti and Aedes albopictus. The distribution of these species is largely driven by both human movement and the presence of suitable climate. Using statistical mapping techniques, we show that human movement patterns explain the spread of both species in Europe and the United States following their introduction. We find that the spread of Ae. aegypti is characterized by long distance importations, while Ae. albopictus has expanded more along the fringes of its distribution. We describe these processes and predict the future distributions of both species in response to accelerating urbanization, connectivity and climate change. Global surveillance and control efforts that aim to mitigate the spread of chikungunya, dengue, yellow fever and Zika viruses must consider the so far unabated spread of these mosquitos. Our maps and predictions offer an opportunity to strategically target surveillance and control programmes and thereby augment efforts to reduce arbovirus burden in human populations globally.","container-title":"Nature Microbiology","DOI":"10.1038/s41564-019-0376-y","ISSN":"2058-5276","issue":"5","journalAbbreviation":"Nat Microbiol","language":"en","license":"2019 The Author(s)","note":"number: 5\npublisher: Nature Publishing Group","page":"854-863","source":"www.nature.com","title":"Past and future spread of the arbovirus vectors Aedes aegypti and Aedes albopictus","volume":"4","author":[{"family":"Kraemer","given":"Moritz U. G."},{"family":"Reiner","given":"Robert C."},{"family":"Brady","given":"Oliver J."},{"family":"Messina","given":"Jane P."},{"family":"Gilbert","given":"Marius"},{"family":"Pigott","given":"David M."},{"family":"Yi","given":"Dingdong"},{"family":"Johnson","given":"Kimberly"},{"family":"Earl","given":"Lucas"},{"family":"Marczak","given":"Laurie B."},{"family":"Shirude","given":"Shreya"},{"family":"Davis Weaver","given":"Nicole"},{"family":"Bisanzio","given":"Donal"},{"family":"Perkins","given":"T. Alex"},{"family":"Lai","given":"Shengjie"},{"family":"Lu","given":"Xin"},{"family":"Jones","given":"Peter"},{"family":"Coelho","given":"Giovanini E."},{"family":"Carvalho","given":"Roberta G."},{"family":"Van Bortel","given":"Wim"},{"family":"Marsboom","given":"Cedric"},{"family":"Hendrickx","given":"Guy"},{"family":"Schaffner","given":"Francis"},{"family":"Moore","given":"Chester G."},{"family":"Nax","given":"Heinrich H."},{"family":"Bengtsson","given":"Linus"},{"family":"Wetter","given":"Erik"},{"family":"Tatem","given":"Andrew J."},{"family":"Brownstein","given":"John S."},{"family":"Smith","given":"David L."},{"family":"Lambrechts","given":"Louis"},{"family":"Cauchemez","given":"Simon"},{"family":"Linard","given":"Catherine"},{"family":"Faria","given":"Nuno R."},{"family":"Pybus","given":"Oliver G."},{"family":"Scott","given":"Thomas W."},{"family":"Liu","given":"Qiyong"},{"family":"Yu","given":"Hongjie"},{"family":"Wint","given":"G. R. William"},{"family":"Hay","given":"Simon I."},{"family":"Golding","given":"Nick"}],"issued":{"date-parts":[["2019",5]]}}}],"schema":"https://github.com/citation-style-language/schema/raw/master/csl-citation.json"} </w:instrText>
            </w:r>
            <w:r>
              <w:fldChar w:fldCharType="separate"/>
            </w:r>
            <w:r w:rsidR="00CC3778" w:rsidRPr="00CC3778">
              <w:rPr>
                <w:rFonts w:ascii="Calibri" w:hAnsi="Calibri" w:cs="Calibri"/>
                <w:kern w:val="0"/>
                <w:vertAlign w:val="superscript"/>
              </w:rPr>
              <w:t>28</w:t>
            </w:r>
            <w:r>
              <w:fldChar w:fldCharType="end"/>
            </w:r>
          </w:p>
        </w:tc>
      </w:tr>
      <w:tr w:rsidR="00FA6C7F" w14:paraId="718B91A3" w14:textId="77777777" w:rsidTr="00532D65">
        <w:trPr>
          <w:trHeight w:val="558"/>
        </w:trPr>
        <w:tc>
          <w:tcPr>
            <w:tcW w:w="290" w:type="pct"/>
            <w:vMerge/>
          </w:tcPr>
          <w:p w14:paraId="28CA4251" w14:textId="77777777" w:rsidR="00FA6C7F" w:rsidRDefault="00FA6C7F" w:rsidP="00532D65">
            <w:pPr>
              <w:jc w:val="both"/>
            </w:pPr>
          </w:p>
        </w:tc>
        <w:tc>
          <w:tcPr>
            <w:tcW w:w="2531" w:type="pct"/>
          </w:tcPr>
          <w:p w14:paraId="725EF863" w14:textId="77777777" w:rsidR="00FA6C7F" w:rsidRPr="00C62A8F" w:rsidRDefault="00FA6C7F" w:rsidP="00532D65">
            <w:pPr>
              <w:jc w:val="both"/>
            </w:pPr>
            <w:r>
              <w:t xml:space="preserve">Predicted suitability for </w:t>
            </w:r>
            <w:r w:rsidRPr="00C62A8F">
              <w:rPr>
                <w:i/>
                <w:iCs/>
              </w:rPr>
              <w:t>Ae</w:t>
            </w:r>
            <w:r>
              <w:rPr>
                <w:rFonts w:hint="eastAsia"/>
                <w:i/>
                <w:iCs/>
                <w:lang w:eastAsia="ko-KR"/>
              </w:rPr>
              <w:t>des</w:t>
            </w:r>
            <w:r w:rsidRPr="00C62A8F">
              <w:rPr>
                <w:i/>
                <w:iCs/>
              </w:rPr>
              <w:t xml:space="preserve"> </w:t>
            </w:r>
            <w:r>
              <w:rPr>
                <w:i/>
                <w:iCs/>
              </w:rPr>
              <w:t>albopictus*</w:t>
            </w:r>
          </w:p>
        </w:tc>
        <w:tc>
          <w:tcPr>
            <w:tcW w:w="736" w:type="pct"/>
          </w:tcPr>
          <w:p w14:paraId="406BDB6F" w14:textId="77777777" w:rsidR="00FA6C7F" w:rsidRDefault="00FA6C7F" w:rsidP="00532D65">
            <w:pPr>
              <w:jc w:val="both"/>
            </w:pPr>
            <w:r>
              <w:t>2020</w:t>
            </w:r>
          </w:p>
        </w:tc>
        <w:tc>
          <w:tcPr>
            <w:tcW w:w="783" w:type="pct"/>
          </w:tcPr>
          <w:p w14:paraId="04CE19B4" w14:textId="77777777" w:rsidR="00FA6C7F" w:rsidRDefault="00FA6C7F" w:rsidP="00532D65">
            <w:pPr>
              <w:jc w:val="both"/>
              <w:rPr>
                <w:lang w:eastAsia="ko-KR"/>
              </w:rPr>
            </w:pPr>
            <w:r>
              <w:rPr>
                <w:rFonts w:hint="eastAsia"/>
                <w:lang w:eastAsia="ko-KR"/>
              </w:rPr>
              <w:t>5 km</w:t>
            </w:r>
          </w:p>
        </w:tc>
        <w:tc>
          <w:tcPr>
            <w:tcW w:w="660" w:type="pct"/>
          </w:tcPr>
          <w:p w14:paraId="71BCC2D6" w14:textId="3BE7BD52" w:rsidR="00FA6C7F" w:rsidRDefault="00FA6C7F" w:rsidP="00532D65">
            <w:pPr>
              <w:jc w:val="both"/>
            </w:pPr>
            <w:r>
              <w:fldChar w:fldCharType="begin"/>
            </w:r>
            <w:r w:rsidR="00CC3778">
              <w:instrText xml:space="preserve"> ADDIN ZOTERO_ITEM CSL_CITATION {"citationID":"joTvCuFh","properties":{"formattedCitation":"\\super 28\\nosupersub{}","plainCitation":"28","noteIndex":0},"citationItems":[{"id":8194,"uris":["http://zotero.org/users/9849050/items/X5Y4DHRE"],"itemData":{"id":8194,"type":"article-journal","abstract":"The global population at risk from mosquito-borne diseases—including dengue, yellow fever, chikungunya and Zika—is expanding in concert with changes in the distribution of two key vectors: Aedes aegypti and Aedes albopictus. The distribution of these species is largely driven by both human movement and the presence of suitable climate. Using statistical mapping techniques, we show that human movement patterns explain the spread of both species in Europe and the United States following their introduction. We find that the spread of Ae. aegypti is characterized by long distance importations, while Ae. albopictus has expanded more along the fringes of its distribution. We describe these processes and predict the future distributions of both species in response to accelerating urbanization, connectivity and climate change. Global surveillance and control efforts that aim to mitigate the spread of chikungunya, dengue, yellow fever and Zika viruses must consider the so far unabated spread of these mosquitos. Our maps and predictions offer an opportunity to strategically target surveillance and control programmes and thereby augment efforts to reduce arbovirus burden in human populations globally.","container-title":"Nature Microbiology","DOI":"10.1038/s41564-019-0376-y","ISSN":"2058-5276","issue":"5","journalAbbreviation":"Nat Microbiol","language":"en","license":"2019 The Author(s)","note":"number: 5\npublisher: Nature Publishing Group","page":"854-863","source":"www.nature.com","title":"Past and future spread of the arbovirus vectors Aedes aegypti and Aedes albopictus","volume":"4","author":[{"family":"Kraemer","given":"Moritz U. G."},{"family":"Reiner","given":"Robert C."},{"family":"Brady","given":"Oliver J."},{"family":"Messina","given":"Jane P."},{"family":"Gilbert","given":"Marius"},{"family":"Pigott","given":"David M."},{"family":"Yi","given":"Dingdong"},{"family":"Johnson","given":"Kimberly"},{"family":"Earl","given":"Lucas"},{"family":"Marczak","given":"Laurie B."},{"family":"Shirude","given":"Shreya"},{"family":"Davis Weaver","given":"Nicole"},{"family":"Bisanzio","given":"Donal"},{"family":"Perkins","given":"T. Alex"},{"family":"Lai","given":"Shengjie"},{"family":"Lu","given":"Xin"},{"family":"Jones","given":"Peter"},{"family":"Coelho","given":"Giovanini E."},{"family":"Carvalho","given":"Roberta G."},{"family":"Van Bortel","given":"Wim"},{"family":"Marsboom","given":"Cedric"},{"family":"Hendrickx","given":"Guy"},{"family":"Schaffner","given":"Francis"},{"family":"Moore","given":"Chester G."},{"family":"Nax","given":"Heinrich H."},{"family":"Bengtsson","given":"Linus"},{"family":"Wetter","given":"Erik"},{"family":"Tatem","given":"Andrew J."},{"family":"Brownstein","given":"John S."},{"family":"Smith","given":"David L."},{"family":"Lambrechts","given":"Louis"},{"family":"Cauchemez","given":"Simon"},{"family":"Linard","given":"Catherine"},{"family":"Faria","given":"Nuno R."},{"family":"Pybus","given":"Oliver G."},{"family":"Scott","given":"Thomas W."},{"family":"Liu","given":"Qiyong"},{"family":"Yu","given":"Hongjie"},{"family":"Wint","given":"G. R. William"},{"family":"Hay","given":"Simon I."},{"family":"Golding","given":"Nick"}],"issued":{"date-parts":[["2019",5]]}}}],"schema":"https://github.com/citation-style-language/schema/raw/master/csl-citation.json"} </w:instrText>
            </w:r>
            <w:r>
              <w:fldChar w:fldCharType="separate"/>
            </w:r>
            <w:r w:rsidR="00CC3778" w:rsidRPr="00CC3778">
              <w:rPr>
                <w:rFonts w:ascii="Calibri" w:hAnsi="Calibri" w:cs="Calibri"/>
                <w:kern w:val="0"/>
                <w:vertAlign w:val="superscript"/>
              </w:rPr>
              <w:t>28</w:t>
            </w:r>
            <w:r>
              <w:fldChar w:fldCharType="end"/>
            </w:r>
          </w:p>
        </w:tc>
      </w:tr>
      <w:tr w:rsidR="00FA6C7F" w14:paraId="0A1278E5" w14:textId="77777777" w:rsidTr="00532D65">
        <w:trPr>
          <w:trHeight w:val="558"/>
        </w:trPr>
        <w:tc>
          <w:tcPr>
            <w:tcW w:w="290" w:type="pct"/>
            <w:vMerge/>
          </w:tcPr>
          <w:p w14:paraId="125F0AD6" w14:textId="77777777" w:rsidR="00FA6C7F" w:rsidRDefault="00FA6C7F" w:rsidP="00532D65">
            <w:pPr>
              <w:jc w:val="both"/>
            </w:pPr>
          </w:p>
        </w:tc>
        <w:tc>
          <w:tcPr>
            <w:tcW w:w="2531" w:type="pct"/>
          </w:tcPr>
          <w:p w14:paraId="632F6784" w14:textId="77777777" w:rsidR="00FA6C7F" w:rsidRDefault="00FA6C7F" w:rsidP="00532D65">
            <w:pPr>
              <w:jc w:val="both"/>
            </w:pPr>
            <w:r>
              <w:t>Gross Domestic Product (aggregated national level)</w:t>
            </w:r>
          </w:p>
        </w:tc>
        <w:tc>
          <w:tcPr>
            <w:tcW w:w="736" w:type="pct"/>
          </w:tcPr>
          <w:p w14:paraId="2CA32080" w14:textId="77777777" w:rsidR="00FA6C7F" w:rsidRDefault="00FA6C7F" w:rsidP="00532D65">
            <w:pPr>
              <w:jc w:val="both"/>
            </w:pPr>
            <w:r>
              <w:t>2009-2019</w:t>
            </w:r>
          </w:p>
        </w:tc>
        <w:tc>
          <w:tcPr>
            <w:tcW w:w="783" w:type="pct"/>
          </w:tcPr>
          <w:p w14:paraId="09229769" w14:textId="77777777" w:rsidR="00FA6C7F" w:rsidRDefault="00FA6C7F" w:rsidP="00532D65">
            <w:pPr>
              <w:jc w:val="both"/>
              <w:rPr>
                <w:lang w:eastAsia="ko-KR"/>
              </w:rPr>
            </w:pPr>
            <w:r>
              <w:rPr>
                <w:rFonts w:hint="eastAsia"/>
                <w:lang w:eastAsia="ko-KR"/>
              </w:rPr>
              <w:t>National</w:t>
            </w:r>
          </w:p>
        </w:tc>
        <w:tc>
          <w:tcPr>
            <w:tcW w:w="660" w:type="pct"/>
          </w:tcPr>
          <w:p w14:paraId="0F174082" w14:textId="636BE539" w:rsidR="00FA6C7F" w:rsidRDefault="00FA6C7F" w:rsidP="00532D65">
            <w:pPr>
              <w:jc w:val="both"/>
            </w:pPr>
            <w:r>
              <w:fldChar w:fldCharType="begin"/>
            </w:r>
            <w:r w:rsidR="00CC3778">
              <w:instrText xml:space="preserve"> ADDIN ZOTERO_ITEM CSL_CITATION {"citationID":"xb20oOrt","properties":{"formattedCitation":"\\super 16\\nosupersub{}","plainCitation":"16","noteIndex":0},"citationItems":[{"id":12278,"uris":["http://zotero.org/users/9849050/items/9FQPQECD"],"itemData":{"id":12278,"type":"article-journal","abstract":"As fundamental data, gross domestic product (GDP) and electricity consumption can be used to effectively evaluate economic status and living standards of residents. Some scholars have estimated gridded GDP and electricity consumption. However, such gridded data have shortcomings, including overestimating real GDP growth, ignoring the heterogeneity of the spatiotemporal dynamics of the grid, and limited time-span. Simultaneously, the Defense Meteorological Satellite Program’s Operational Linescan System (DMSP/OLS) and National Polar-orbiting Partnership’s Visible Infrared Imaging Radiometer (NPP/VIIRS) nighttime light data, adopted in these studies as a proxy tool, still facing shortcomings, such as imperfect matching results, discontinuity in temporal and spatial changes. In this study, we employed a series of methods, such as a particle swarm optimization-back propagation (PSO-BP) algorithm, to unify the scales of DMSP/OLS and NPP/VIIRS images and obtain continuous 1 km × 1 km gridded nighttime light data during 1992–2019. Subsequently, from a revised real growth perspective, we employed a top-down method to calculate global 1 km × 1 km gridded revised real GDP and electricity consumption during 1992–2019 based on our calibrated nighttime light data.","container-title":"Scientific Data","DOI":"10.1038/s41597-022-01322-5","ISSN":"2052-4463","issue":"1","journalAbbreviation":"Sci Data","language":"en","license":"2022 The Author(s)","note":"number: 1\npublisher: Nature Publishing Group","page":"202","source":"www.nature.com","title":"Global 1 km × 1 km gridded revised real gross domestic product and electricity consumption during 1992–2019 based on calibrated nighttime light data","volume":"9","author":[{"family":"Chen","given":"Jiandong"},{"family":"Gao","given":"Ming"},{"family":"Cheng","given":"Shulei"},{"family":"Hou","given":"Wenxuan"},{"family":"Song","given":"Malin"},{"family":"Liu","given":"Xin"},{"family":"Liu","given":"Yu"}],"issued":{"date-parts":[["2022",5,12]]}}}],"schema":"https://github.com/citation-style-language/schema/raw/master/csl-citation.json"} </w:instrText>
            </w:r>
            <w:r>
              <w:fldChar w:fldCharType="separate"/>
            </w:r>
            <w:r w:rsidR="00CC3778" w:rsidRPr="00CC3778">
              <w:rPr>
                <w:rFonts w:ascii="Calibri" w:hAnsi="Calibri" w:cs="Calibri"/>
                <w:kern w:val="0"/>
                <w:vertAlign w:val="superscript"/>
              </w:rPr>
              <w:t>16</w:t>
            </w:r>
            <w:r>
              <w:fldChar w:fldCharType="end"/>
            </w:r>
          </w:p>
        </w:tc>
      </w:tr>
      <w:tr w:rsidR="00FA6C7F" w14:paraId="28C34814" w14:textId="77777777" w:rsidTr="00532D65">
        <w:trPr>
          <w:trHeight w:val="558"/>
        </w:trPr>
        <w:tc>
          <w:tcPr>
            <w:tcW w:w="290" w:type="pct"/>
            <w:vMerge/>
          </w:tcPr>
          <w:p w14:paraId="01B4AF7A" w14:textId="77777777" w:rsidR="00FA6C7F" w:rsidRDefault="00FA6C7F" w:rsidP="00532D65">
            <w:pPr>
              <w:jc w:val="both"/>
            </w:pPr>
          </w:p>
        </w:tc>
        <w:tc>
          <w:tcPr>
            <w:tcW w:w="2531" w:type="pct"/>
          </w:tcPr>
          <w:p w14:paraId="0BBC9D56" w14:textId="77777777" w:rsidR="00FA6C7F" w:rsidRDefault="00FA6C7F" w:rsidP="00532D65">
            <w:pPr>
              <w:jc w:val="both"/>
            </w:pPr>
            <w:r>
              <w:t xml:space="preserve">Human population density </w:t>
            </w:r>
          </w:p>
        </w:tc>
        <w:tc>
          <w:tcPr>
            <w:tcW w:w="736" w:type="pct"/>
          </w:tcPr>
          <w:p w14:paraId="5DECA0B1" w14:textId="77777777" w:rsidR="00FA6C7F" w:rsidRDefault="00FA6C7F" w:rsidP="00532D65">
            <w:pPr>
              <w:jc w:val="both"/>
              <w:rPr>
                <w:lang w:eastAsia="ko-KR"/>
              </w:rPr>
            </w:pPr>
            <w:r>
              <w:rPr>
                <w:rFonts w:hint="eastAsia"/>
                <w:lang w:eastAsia="ko-KR"/>
              </w:rPr>
              <w:t>2022</w:t>
            </w:r>
          </w:p>
        </w:tc>
        <w:tc>
          <w:tcPr>
            <w:tcW w:w="783" w:type="pct"/>
          </w:tcPr>
          <w:p w14:paraId="59DD9CD4" w14:textId="77777777" w:rsidR="00FA6C7F" w:rsidRDefault="00FA6C7F" w:rsidP="00532D65">
            <w:pPr>
              <w:jc w:val="both"/>
              <w:rPr>
                <w:lang w:eastAsia="ko-KR"/>
              </w:rPr>
            </w:pPr>
            <w:r>
              <w:rPr>
                <w:rFonts w:hint="eastAsia"/>
                <w:lang w:eastAsia="ko-KR"/>
              </w:rPr>
              <w:t>5 km</w:t>
            </w:r>
          </w:p>
        </w:tc>
        <w:tc>
          <w:tcPr>
            <w:tcW w:w="660" w:type="pct"/>
          </w:tcPr>
          <w:p w14:paraId="25D64935" w14:textId="1B198F59" w:rsidR="00FA6C7F" w:rsidRDefault="00FA6C7F" w:rsidP="00532D65">
            <w:pPr>
              <w:jc w:val="both"/>
            </w:pPr>
            <w:r>
              <w:fldChar w:fldCharType="begin"/>
            </w:r>
            <w:r w:rsidR="00CC3778">
              <w:instrText xml:space="preserve"> ADDIN ZOTERO_ITEM CSL_CITATION {"citationID":"a1r299g0g00","properties":{"formattedCitation":"\\super 29\\nosupersub{}","plainCitation":"29","noteIndex":0},"citationItems":[{"id":12899,"uris":["http://zotero.org/users/9849050/items/FJYE4FF3"],"itemData":{"id":12899,"type":"dataset","abstract":"Using an innovative approach that combines Geographic Information Science, remote sensing technology, and machine learning algorithms, ORNL’s LandScan is the community standard for global population distribution. At 30 arc-second (approximately 1 km) resolution, LandScan is the finest resolution global population distribution data available representing an “ambient population” (average over 24 hours). The LandScan algorithm, an R&amp;D 100 Award Winner, uses spatial data, high-resolution imagery exploitation, and a multi-variable dasymetric modeling approach to disaggregate census counts within an administrative boundary. LandScan population data are spatially explicit - unlike tabular Census data. Since no single population distribution model can account for the differences in spatial data availability, quality, scale, and accuracy as well as the differences in cultural settlement practices, LandScan population distribution models are tailored to match the data conditions and geographical nature of each individual country and region. By modeling an ambient population, LandScan Global captures the full potential activity space of people throughout the course of the day and night rather than just a residential location.","DOI":"10.48690/1529167","event-place":"Oak Ridge, TN","note":"section: July 01, 2023","publisher":"Oak Ridge National Laboratory","publisher-place":"Oak Ridge, TN","title":"LandScan Global 2022","URL":"landscan.ornl.gov","version":"2022","author":[{"family":"Sims","given":"Kelly"},{"family":"Reith","given":"Andrew"},{"family":"Bright","given":"Edward"},{"family":"Kaufman","given":"Jason"},{"family":"Pyle","given":"Joe"},{"family":"Epting","given":"Justin"},{"family":"Gonzales","given":"Jack"},{"family":"Adams","given":"Daniel"},{"family":"Powell","given":"Eric"},{"family":"Urban","given":"Marie"},{"family":"Rose","given":"Amy"}],"issued":{"date-parts":[["2023"]]}}}],"schema":"https://github.com/citation-style-language/schema/raw/master/csl-citation.json"} </w:instrText>
            </w:r>
            <w:r>
              <w:fldChar w:fldCharType="separate"/>
            </w:r>
            <w:r w:rsidR="00CC3778" w:rsidRPr="00CC3778">
              <w:rPr>
                <w:rFonts w:ascii="Calibri" w:hAnsi="Calibri" w:cs="Calibri"/>
                <w:kern w:val="0"/>
                <w:vertAlign w:val="superscript"/>
              </w:rPr>
              <w:t>29</w:t>
            </w:r>
            <w:r>
              <w:fldChar w:fldCharType="end"/>
            </w:r>
          </w:p>
        </w:tc>
      </w:tr>
      <w:tr w:rsidR="00FA6C7F" w14:paraId="22C50A11" w14:textId="77777777" w:rsidTr="00532D65">
        <w:trPr>
          <w:trHeight w:val="558"/>
        </w:trPr>
        <w:tc>
          <w:tcPr>
            <w:tcW w:w="290" w:type="pct"/>
            <w:vMerge/>
          </w:tcPr>
          <w:p w14:paraId="66B0E83A" w14:textId="77777777" w:rsidR="00FA6C7F" w:rsidRDefault="00FA6C7F" w:rsidP="00532D65">
            <w:pPr>
              <w:jc w:val="both"/>
            </w:pPr>
          </w:p>
        </w:tc>
        <w:tc>
          <w:tcPr>
            <w:tcW w:w="2531" w:type="pct"/>
          </w:tcPr>
          <w:p w14:paraId="2BC9E56B" w14:textId="77777777" w:rsidR="00FA6C7F" w:rsidRDefault="00FA6C7F" w:rsidP="00532D65">
            <w:pPr>
              <w:jc w:val="both"/>
            </w:pPr>
            <w:r>
              <w:t xml:space="preserve">Predicted suitability for </w:t>
            </w:r>
            <w:proofErr w:type="spellStart"/>
            <w:r w:rsidRPr="00D8296A">
              <w:rPr>
                <w:i/>
                <w:iCs/>
              </w:rPr>
              <w:t>Haemagogus</w:t>
            </w:r>
            <w:proofErr w:type="spellEnd"/>
            <w:r w:rsidRPr="00D8296A">
              <w:rPr>
                <w:i/>
                <w:iCs/>
              </w:rPr>
              <w:t xml:space="preserve"> </w:t>
            </w:r>
            <w:proofErr w:type="spellStart"/>
            <w:r w:rsidRPr="00D8296A">
              <w:rPr>
                <w:i/>
                <w:iCs/>
              </w:rPr>
              <w:t>janthinomys</w:t>
            </w:r>
            <w:proofErr w:type="spellEnd"/>
            <w:r>
              <w:rPr>
                <w:i/>
                <w:iCs/>
              </w:rPr>
              <w:t>**</w:t>
            </w:r>
          </w:p>
        </w:tc>
        <w:tc>
          <w:tcPr>
            <w:tcW w:w="736" w:type="pct"/>
          </w:tcPr>
          <w:p w14:paraId="7B73065F" w14:textId="77777777" w:rsidR="00FA6C7F" w:rsidRDefault="00FA6C7F" w:rsidP="00532D65">
            <w:pPr>
              <w:jc w:val="both"/>
              <w:rPr>
                <w:lang w:eastAsia="ko-KR"/>
              </w:rPr>
            </w:pPr>
            <w:r>
              <w:rPr>
                <w:rFonts w:hint="eastAsia"/>
                <w:lang w:eastAsia="ko-KR"/>
              </w:rPr>
              <w:t>2020</w:t>
            </w:r>
          </w:p>
        </w:tc>
        <w:tc>
          <w:tcPr>
            <w:tcW w:w="783" w:type="pct"/>
          </w:tcPr>
          <w:p w14:paraId="06C855D0" w14:textId="77777777" w:rsidR="00FA6C7F" w:rsidRDefault="00FA6C7F" w:rsidP="00532D65">
            <w:pPr>
              <w:jc w:val="both"/>
              <w:rPr>
                <w:lang w:eastAsia="ko-KR"/>
              </w:rPr>
            </w:pPr>
            <w:r>
              <w:rPr>
                <w:rFonts w:hint="eastAsia"/>
                <w:lang w:eastAsia="ko-KR"/>
              </w:rPr>
              <w:t>1 km</w:t>
            </w:r>
          </w:p>
        </w:tc>
        <w:tc>
          <w:tcPr>
            <w:tcW w:w="660" w:type="pct"/>
          </w:tcPr>
          <w:p w14:paraId="4E90C43C" w14:textId="290BA800" w:rsidR="00FA6C7F" w:rsidRDefault="00FA6C7F" w:rsidP="00532D65">
            <w:pPr>
              <w:jc w:val="both"/>
            </w:pPr>
            <w:r>
              <w:fldChar w:fldCharType="begin"/>
            </w:r>
            <w:r w:rsidR="00CC3778">
              <w:instrText xml:space="preserve"> ADDIN ZOTERO_ITEM CSL_CITATION {"citationID":"YIrUU727","properties":{"formattedCitation":"\\super 30\\nosupersub{}","plainCitation":"30","noteIndex":0},"citationItems":[{"id":12284,"uris":["http://zotero.org/users/9849050/items/Y6BEN4YA"],"itemData":{"id":12284,"type":"article-journal","abstract":"Yellow fever virus (YFV) has a long history of impacting human health in South America. Mayaro virus (MAYV) is an emerging arbovirus of public health concern in the Neotropics and its full impact is yet unknown. Both YFV and MAYV are primarily maintained via a sylvatic transmission cycle but can be opportunistically transmitted to humans by the bites of infected forest dwelling Haemagogus janthinomys Dyar, 1921. To better understand the potential risk of YFV and MAYV transmission to humans, a more detailed understanding of this vector species’ distribution is critical. This study compiled a comprehensive database of 177 unique Hg. janthinomys collection sites retrieved from the published literature, digitized museum specimens and publicly accessible mosquito surveillance data. Covariate analysis was performed to optimize a selection of environmental (topographic and bioclimatic) variables associated with predicting habitat suitability, and species distributions modelled across South America using a maximum entropy (MaxEnt) approach. Our results indicate that suitable habitat for Hg. janthinomys can be found across forested regions of South America including the Atlantic forests and interior Amazon.","container-title":"PLOS Neglected Tropical Diseases","DOI":"10.1371/journal.pntd.0010564","ISSN":"1935-2735","issue":"7","journalAbbreviation":"PLOS Neglected Tropical Diseases","language":"en","note":"publisher: Public Library of Science","page":"e0010564","source":"PLoS Journals","title":"An ecological niche model to predict the geographic distribution of Haemagogus janthinomys, Dyar, 1921 a yellow fever and Mayaro virus vector, in South America","volume":"16","author":[{"family":"Celone","given":"Michael"},{"family":"Pecor","given":"David Brooks"},{"family":"Potter","given":"Alexander"},{"family":"Richardson","given":"Alec"},{"family":"Dunford","given":"James"},{"family":"Pollett","given":"Simon"}],"issued":{"date-parts":[["2022"]],"season":"8"}}}],"schema":"https://github.com/citation-style-language/schema/raw/master/csl-citation.json"} </w:instrText>
            </w:r>
            <w:r>
              <w:fldChar w:fldCharType="separate"/>
            </w:r>
            <w:r w:rsidR="00CC3778" w:rsidRPr="00CC3778">
              <w:rPr>
                <w:rFonts w:ascii="Calibri" w:hAnsi="Calibri" w:cs="Calibri"/>
                <w:kern w:val="0"/>
                <w:vertAlign w:val="superscript"/>
              </w:rPr>
              <w:t>30</w:t>
            </w:r>
            <w:r>
              <w:fldChar w:fldCharType="end"/>
            </w:r>
          </w:p>
        </w:tc>
      </w:tr>
      <w:tr w:rsidR="00FA6C7F" w14:paraId="6FCA21AE" w14:textId="77777777" w:rsidTr="00532D65">
        <w:trPr>
          <w:trHeight w:val="558"/>
        </w:trPr>
        <w:tc>
          <w:tcPr>
            <w:tcW w:w="290" w:type="pct"/>
            <w:vMerge/>
          </w:tcPr>
          <w:p w14:paraId="7C1FE099" w14:textId="77777777" w:rsidR="00FA6C7F" w:rsidRDefault="00FA6C7F" w:rsidP="00532D65">
            <w:pPr>
              <w:jc w:val="both"/>
            </w:pPr>
          </w:p>
        </w:tc>
        <w:tc>
          <w:tcPr>
            <w:tcW w:w="2531" w:type="pct"/>
          </w:tcPr>
          <w:p w14:paraId="6DF85726" w14:textId="77777777" w:rsidR="00FA6C7F" w:rsidRDefault="00FA6C7F" w:rsidP="00532D65">
            <w:pPr>
              <w:jc w:val="both"/>
            </w:pPr>
            <w:r>
              <w:t>Non-human primate distribution**</w:t>
            </w:r>
          </w:p>
        </w:tc>
        <w:tc>
          <w:tcPr>
            <w:tcW w:w="736" w:type="pct"/>
          </w:tcPr>
          <w:p w14:paraId="6B343986" w14:textId="77777777" w:rsidR="00FA6C7F" w:rsidRDefault="00FA6C7F" w:rsidP="00532D65">
            <w:pPr>
              <w:jc w:val="both"/>
              <w:rPr>
                <w:lang w:eastAsia="ko-KR"/>
              </w:rPr>
            </w:pPr>
            <w:r>
              <w:rPr>
                <w:rFonts w:hint="eastAsia"/>
                <w:lang w:eastAsia="ko-KR"/>
              </w:rPr>
              <w:t>2017</w:t>
            </w:r>
          </w:p>
        </w:tc>
        <w:tc>
          <w:tcPr>
            <w:tcW w:w="783" w:type="pct"/>
          </w:tcPr>
          <w:p w14:paraId="4D8FB919" w14:textId="77777777" w:rsidR="00FA6C7F" w:rsidRDefault="00FA6C7F" w:rsidP="00532D65">
            <w:pPr>
              <w:jc w:val="both"/>
              <w:rPr>
                <w:lang w:eastAsia="ko-KR"/>
              </w:rPr>
            </w:pPr>
            <w:r>
              <w:rPr>
                <w:rFonts w:hint="eastAsia"/>
                <w:lang w:eastAsia="ko-KR"/>
              </w:rPr>
              <w:t>5 km</w:t>
            </w:r>
          </w:p>
        </w:tc>
        <w:tc>
          <w:tcPr>
            <w:tcW w:w="660" w:type="pct"/>
          </w:tcPr>
          <w:p w14:paraId="1DBCD1D2" w14:textId="6FEFDBCA" w:rsidR="00FA6C7F" w:rsidRDefault="00FA6C7F" w:rsidP="00532D65">
            <w:pPr>
              <w:jc w:val="both"/>
            </w:pPr>
            <w:r>
              <w:fldChar w:fldCharType="begin"/>
            </w:r>
            <w:r w:rsidR="00CC3778">
              <w:instrText xml:space="preserve"> ADDIN ZOTERO_ITEM CSL_CITATION {"citationID":"tSD14iLK","properties":{"formattedCitation":"\\super 1\\nosupersub{}","plainCitation":"1","noteIndex":0},"citationItems":[{"id":8368,"uris":["http://zotero.org/users/9849050/items/ZN6G976L"],"itemData":{"id":8368,"type":"article-journal","abstract":"Background\nYellow fever cases are under-reported and the exact distribution of the disease is unknown. An effective vaccine is available but more information is needed about which populations within risk zones should be targeted to implement interventions. Substantial outbreaks of yellow fever in Angola, Democratic Republic of the Congo, and Brazil, coupled with the global expansion of the range of its main urban vector, Aedes aegypti, suggest that yellow fever has the propensity to spread further internationally. The aim of this study was to estimate the disease's contemporary distribution and potential for spread into new areas to help inform optimal control and prevention strategies.\nMethods\nWe assembled 1155 geographical records of yellow fever virus infection in people from 1970 to 2016. We used a Poisson point process boosted regression tree model that explicitly incorporated environmental and biological explanatory covariates, vaccination coverage, and spatial variability in disease reporting rates to predict the relative risk of apparent yellow fever virus infection at a 5 × 5 km resolution across all risk zones (47 countries across the Americas and Africa). We also used the fitted model to predict the receptivity of areas outside at-risk zones to the introduction or reintroduction of yellow fever transmission. By use of previously published estimates of annual national case numbers, we used the model to map subnational variation in incidence of yellow fever across at-risk countries and to estimate the number of cases averted by vaccination worldwide.\nFindings\nSubstantial international and subnational spatial variation exists in relative risk and incidence of yellow fever as well as varied success of vaccination in reducing incidence in several high-risk regions, including Brazil, Cameroon, and Togo. Areas with the highest predicted average annual case numbers include large parts of Nigeria, the Democratic Republic of the Congo, and South Sudan, where vaccination coverage in 2016 was estimated to be substantially less than the recommended threshold to prevent outbreaks. Overall, we estimated that vaccination coverage levels achieved by 2016 avert between 94 336 and 118 500 cases of yellow fever annually within risk zones, on the basis of conservative and optimistic vaccination scenarios. The areas outside at-risk regions with predicted high receptivity to yellow fever transmission (eg, parts of Malaysia, Indonesia, and Thailand) were less extensive than the distribution of the main urban vector, A aegypti, with low receptivity to yellow fever transmission in southern China, where A aegypti is known to occur.\nInterpretation\nOur results provide the evidence base for targeting vaccination campaigns within risk zones, as well as emphasising their high effectiveness. Our study highlights areas where public health authorities should be most vigilant for potential spread or importation events.\nFunding\nBill &amp; Melinda Gates Foundation.","container-title":"The Lancet Global Health","DOI":"10.1016/S2214-109X(18)30024-X","ISSN":"2214-109X","issue":"3","journalAbbreviation":"The Lancet Global Health","language":"en","page":"e270-e278","source":"ScienceDirect","title":"Existing and potential infection risk zones of yellow fever worldwide: a modelling analysis","title-short":"Existing and potential infection risk zones of yellow fever worldwide","volume":"6","author":[{"family":"Shearer","given":"Freya M"},{"family":"Longbottom","given":"Joshua"},{"family":"Browne","given":"Annie J"},{"family":"Pigott","given":"David M"},{"family":"Brady","given":"Oliver J"},{"family":"Kraemer","given":"Moritz U G"},{"family":"Marinho","given":"Fatima"},{"family":"Yactayo","given":"Sergio"},{"family":"Araújo","given":"Valdelaine E M","non-dropping-particle":"de"},{"family":"Nóbrega","given":"Aglaêr A","non-dropping-particle":"da"},{"family":"Fullman","given":"Nancy"},{"family":"Ray","given":"Sarah E"},{"family":"Mosser","given":"Jonathan F"},{"family":"Stanaway","given":"Jeffrey D"},{"family":"Lim","given":"Stephen S"},{"family":"Reiner","given":"Robert C"},{"family":"Moyes","given":"Catherine L"},{"family":"Hay","given":"Simon I"},{"family":"Golding","given":"Nick"}],"issued":{"date-parts":[["2018",3,1]]}}}],"schema":"https://github.com/citation-style-language/schema/raw/master/csl-citation.json"} </w:instrText>
            </w:r>
            <w:r>
              <w:fldChar w:fldCharType="separate"/>
            </w:r>
            <w:r w:rsidR="00CC3778" w:rsidRPr="00CC3778">
              <w:rPr>
                <w:rFonts w:ascii="Calibri" w:hAnsi="Calibri" w:cs="Calibri"/>
                <w:kern w:val="0"/>
                <w:vertAlign w:val="superscript"/>
              </w:rPr>
              <w:t>1</w:t>
            </w:r>
            <w:r>
              <w:fldChar w:fldCharType="end"/>
            </w:r>
          </w:p>
        </w:tc>
      </w:tr>
      <w:tr w:rsidR="00FA6C7F" w14:paraId="15C8DD23" w14:textId="77777777" w:rsidTr="00532D65">
        <w:trPr>
          <w:trHeight w:val="558"/>
        </w:trPr>
        <w:tc>
          <w:tcPr>
            <w:tcW w:w="290" w:type="pct"/>
            <w:vMerge/>
          </w:tcPr>
          <w:p w14:paraId="387AF97C" w14:textId="77777777" w:rsidR="00FA6C7F" w:rsidRDefault="00FA6C7F" w:rsidP="00532D65">
            <w:pPr>
              <w:jc w:val="both"/>
            </w:pPr>
          </w:p>
        </w:tc>
        <w:tc>
          <w:tcPr>
            <w:tcW w:w="2531" w:type="pct"/>
          </w:tcPr>
          <w:p w14:paraId="60C1EBD4" w14:textId="77777777" w:rsidR="00FA6C7F" w:rsidRDefault="00FA6C7F" w:rsidP="00532D65">
            <w:pPr>
              <w:jc w:val="both"/>
            </w:pPr>
            <w:r>
              <w:t>Yellow fever vaccination coverage**</w:t>
            </w:r>
          </w:p>
        </w:tc>
        <w:tc>
          <w:tcPr>
            <w:tcW w:w="736" w:type="pct"/>
          </w:tcPr>
          <w:p w14:paraId="0A80FF6F" w14:textId="77777777" w:rsidR="00FA6C7F" w:rsidRDefault="00FA6C7F" w:rsidP="00532D65">
            <w:pPr>
              <w:jc w:val="both"/>
            </w:pPr>
            <w:r>
              <w:t>2020</w:t>
            </w:r>
          </w:p>
        </w:tc>
        <w:tc>
          <w:tcPr>
            <w:tcW w:w="783" w:type="pct"/>
          </w:tcPr>
          <w:p w14:paraId="11D3E985" w14:textId="77777777" w:rsidR="00FA6C7F" w:rsidRDefault="00FA6C7F" w:rsidP="00532D65">
            <w:pPr>
              <w:jc w:val="both"/>
              <w:rPr>
                <w:lang w:eastAsia="ko-KR"/>
              </w:rPr>
            </w:pPr>
            <w:r>
              <w:rPr>
                <w:rFonts w:hint="eastAsia"/>
                <w:lang w:eastAsia="ko-KR"/>
              </w:rPr>
              <w:t>Admin1</w:t>
            </w:r>
          </w:p>
        </w:tc>
        <w:tc>
          <w:tcPr>
            <w:tcW w:w="660" w:type="pct"/>
          </w:tcPr>
          <w:p w14:paraId="09B23C88" w14:textId="2FA56026" w:rsidR="00FA6C7F" w:rsidRDefault="00FA6C7F" w:rsidP="00532D65">
            <w:pPr>
              <w:jc w:val="both"/>
            </w:pPr>
            <w:r>
              <w:fldChar w:fldCharType="begin"/>
            </w:r>
            <w:r w:rsidR="00CC3778">
              <w:instrText xml:space="preserve"> ADDIN ZOTERO_ITEM CSL_CITATION {"citationID":"fNjGHECi","properties":{"formattedCitation":"\\super 31\\nosupersub{}","plainCitation":"31","noteIndex":0},"citationItems":[{"id":12286,"uris":["http://zotero.org/users/9849050/items/GMWDBDQL"],"itemData":{"id":12286,"type":"article-journal","abstract":"Recent yellow fever (YF) outbreaks have highlighted the increasing global risk of urban spread of the disease. In context of recurrent vaccine shortages, preventive vaccination activities require accurate estimates of existing population-level immunity. We present POLICI (POpulation-Level Immunization Coverage – Imperial), an interactive online tool for visualising and extracting YF vaccination coverage estimates in Africa. We calculated single year age-disaggregated sub-national population-level vaccination coverage for 1950–2050 across the African endemic zone by collating vaccination information and inputting it into a demographic model. This was then implemented on an open interactive web platform. POLICI interactively displays age-disaggregated, population-level vaccination coverages at the first subnational administrative level, through numerous downloadable and customisable visualisations. POLICI is available at https://polici.shinyapps.io/yellow_fever_africa/. POLICI offers an accessible platform for relevant stakeholders in global health to access and explore vaccination coverages. These estimates have already been used to inform the WHO strategy to Eliminate Yellow fever Epidemics (EYE).","container-title":"Vaccine","DOI":"10.1016/j.vaccine.2019.01.074","ISSN":"0264-410X","issue":"11","journalAbbreviation":"Vaccine","page":"1384-1388","source":"ScienceDirect","title":"POLICI: A web application for visualising and extracting yellow fever vaccination coverage in Africa","title-short":"POLICI","volume":"37","author":[{"family":"Hamlet","given":"Arran"},{"family":"Jean","given":"Kévin"},{"family":"Yactayo","given":"Sergio"},{"family":"Benzler","given":"Justus"},{"family":"Cibrelus","given":"Laurence"},{"family":"Ferguson","given":"Neil"},{"family":"Garske","given":"Tini"}],"issued":{"date-parts":[["2019",3,7]]}}}],"schema":"https://github.com/citation-style-language/schema/raw/master/csl-citation.json"} </w:instrText>
            </w:r>
            <w:r>
              <w:fldChar w:fldCharType="separate"/>
            </w:r>
            <w:r w:rsidR="00CC3778" w:rsidRPr="00CC3778">
              <w:rPr>
                <w:rFonts w:ascii="Calibri" w:hAnsi="Calibri" w:cs="Calibri"/>
                <w:kern w:val="0"/>
                <w:vertAlign w:val="superscript"/>
              </w:rPr>
              <w:t>31</w:t>
            </w:r>
            <w:r>
              <w:fldChar w:fldCharType="end"/>
            </w:r>
          </w:p>
        </w:tc>
      </w:tr>
    </w:tbl>
    <w:p w14:paraId="55D8563D" w14:textId="174C0D8E" w:rsidR="00FA6C7F" w:rsidRDefault="00234AE0" w:rsidP="00FA6C7F">
      <w:pPr>
        <w:jc w:val="both"/>
      </w:pPr>
      <w:r w:rsidRPr="008F1064">
        <w:t>* included in combined dengue, chikungunya, and Zika model only. ** included in yellow fever model only.</w:t>
      </w:r>
    </w:p>
    <w:p w14:paraId="726F4457" w14:textId="29AE4D20" w:rsidR="005F2BC4" w:rsidRDefault="00C25391" w:rsidP="005F2BC4">
      <w:pPr>
        <w:pStyle w:val="Heading2"/>
        <w:rPr>
          <w:lang w:eastAsia="ko-KR"/>
        </w:rPr>
      </w:pPr>
      <w:bookmarkStart w:id="8" w:name="_Toc168329360"/>
      <w:r>
        <w:rPr>
          <w:rFonts w:hint="eastAsia"/>
          <w:lang w:eastAsia="ko-KR"/>
        </w:rPr>
        <w:lastRenderedPageBreak/>
        <w:t xml:space="preserve">Supplementary </w:t>
      </w:r>
      <w:r w:rsidR="005F2BC4">
        <w:t xml:space="preserve">Table </w:t>
      </w:r>
      <w:r w:rsidR="005F2BC4">
        <w:fldChar w:fldCharType="begin"/>
      </w:r>
      <w:r w:rsidR="005F2BC4">
        <w:instrText xml:space="preserve"> SEQ Table \* ARABIC </w:instrText>
      </w:r>
      <w:r w:rsidR="005F2BC4">
        <w:fldChar w:fldCharType="separate"/>
      </w:r>
      <w:r w:rsidR="00234AE0">
        <w:rPr>
          <w:noProof/>
        </w:rPr>
        <w:t>5</w:t>
      </w:r>
      <w:r w:rsidR="005F2BC4">
        <w:fldChar w:fldCharType="end"/>
      </w:r>
      <w:r w:rsidR="005F2BC4">
        <w:rPr>
          <w:rFonts w:hint="eastAsia"/>
          <w:lang w:eastAsia="ko-KR"/>
        </w:rPr>
        <w:t xml:space="preserve">. </w:t>
      </w:r>
      <w:r w:rsidR="00C136B5" w:rsidRPr="00C136B5">
        <w:rPr>
          <w:lang w:eastAsia="ko-KR"/>
        </w:rPr>
        <w:t xml:space="preserve">Questionnaire for </w:t>
      </w:r>
      <w:r w:rsidR="00C136B5">
        <w:rPr>
          <w:rFonts w:hint="eastAsia"/>
          <w:lang w:eastAsia="ko-KR"/>
        </w:rPr>
        <w:t>i</w:t>
      </w:r>
      <w:r w:rsidR="00C136B5" w:rsidRPr="00C136B5">
        <w:rPr>
          <w:lang w:eastAsia="ko-KR"/>
        </w:rPr>
        <w:t xml:space="preserve">ndependent </w:t>
      </w:r>
      <w:r w:rsidR="00C136B5">
        <w:rPr>
          <w:rFonts w:hint="eastAsia"/>
          <w:lang w:eastAsia="ko-KR"/>
        </w:rPr>
        <w:t>v</w:t>
      </w:r>
      <w:r w:rsidR="00C136B5" w:rsidRPr="00C136B5">
        <w:rPr>
          <w:lang w:eastAsia="ko-KR"/>
        </w:rPr>
        <w:t xml:space="preserve">alidation of </w:t>
      </w:r>
      <w:r w:rsidR="00C136B5">
        <w:rPr>
          <w:rFonts w:hint="eastAsia"/>
          <w:lang w:eastAsia="ko-KR"/>
        </w:rPr>
        <w:t>preliminary results</w:t>
      </w:r>
      <w:r w:rsidR="00C136B5" w:rsidRPr="00C136B5">
        <w:rPr>
          <w:lang w:eastAsia="ko-KR"/>
        </w:rPr>
        <w:t xml:space="preserve"> </w:t>
      </w:r>
      <w:r w:rsidR="00C136B5">
        <w:rPr>
          <w:rFonts w:hint="eastAsia"/>
          <w:lang w:eastAsia="ko-KR"/>
        </w:rPr>
        <w:t>p</w:t>
      </w:r>
      <w:r w:rsidR="00C136B5" w:rsidRPr="00C136B5">
        <w:rPr>
          <w:lang w:eastAsia="ko-KR"/>
        </w:rPr>
        <w:t>resented to the Technical Advisory Group on Arbovirus (TAG-Arbovirus)</w:t>
      </w:r>
      <w:bookmarkEnd w:id="8"/>
    </w:p>
    <w:tbl>
      <w:tblPr>
        <w:tblStyle w:val="TableGrid"/>
        <w:tblW w:w="9640" w:type="dxa"/>
        <w:tblLook w:val="04A0" w:firstRow="1" w:lastRow="0" w:firstColumn="1" w:lastColumn="0" w:noHBand="0" w:noVBand="1"/>
      </w:tblPr>
      <w:tblGrid>
        <w:gridCol w:w="1487"/>
        <w:gridCol w:w="635"/>
        <w:gridCol w:w="7518"/>
      </w:tblGrid>
      <w:tr w:rsidR="000B5431" w:rsidRPr="00C136B5" w14:paraId="0030F423" w14:textId="77777777" w:rsidTr="00F712EE">
        <w:trPr>
          <w:trHeight w:val="250"/>
        </w:trPr>
        <w:tc>
          <w:tcPr>
            <w:tcW w:w="1487" w:type="dxa"/>
          </w:tcPr>
          <w:p w14:paraId="6E912B03" w14:textId="234C9A92" w:rsidR="000B5431" w:rsidRPr="00C136B5" w:rsidRDefault="000B5431" w:rsidP="00493579">
            <w:pPr>
              <w:rPr>
                <w:sz w:val="20"/>
                <w:szCs w:val="20"/>
              </w:rPr>
            </w:pPr>
            <w:r w:rsidRPr="00C136B5">
              <w:rPr>
                <w:sz w:val="20"/>
                <w:szCs w:val="20"/>
              </w:rPr>
              <w:t>Category</w:t>
            </w:r>
          </w:p>
        </w:tc>
        <w:tc>
          <w:tcPr>
            <w:tcW w:w="635" w:type="dxa"/>
          </w:tcPr>
          <w:p w14:paraId="52E4EB3C" w14:textId="2203D2EB" w:rsidR="000B5431" w:rsidRPr="00C136B5" w:rsidRDefault="000B5431" w:rsidP="00493579">
            <w:pPr>
              <w:rPr>
                <w:sz w:val="20"/>
                <w:szCs w:val="20"/>
              </w:rPr>
            </w:pPr>
            <w:r w:rsidRPr="00C136B5">
              <w:rPr>
                <w:sz w:val="20"/>
                <w:szCs w:val="20"/>
              </w:rPr>
              <w:t>#</w:t>
            </w:r>
          </w:p>
        </w:tc>
        <w:tc>
          <w:tcPr>
            <w:tcW w:w="7518" w:type="dxa"/>
          </w:tcPr>
          <w:p w14:paraId="522C1510" w14:textId="6689E361" w:rsidR="000B5431" w:rsidRPr="00C136B5" w:rsidRDefault="000B5431" w:rsidP="00493579">
            <w:pPr>
              <w:rPr>
                <w:sz w:val="20"/>
                <w:szCs w:val="20"/>
              </w:rPr>
            </w:pPr>
            <w:r w:rsidRPr="00C136B5">
              <w:rPr>
                <w:sz w:val="20"/>
                <w:szCs w:val="20"/>
              </w:rPr>
              <w:t>Question</w:t>
            </w:r>
          </w:p>
        </w:tc>
      </w:tr>
      <w:tr w:rsidR="000B5431" w:rsidRPr="00C136B5" w14:paraId="5DCA9A0A" w14:textId="77777777" w:rsidTr="00F712EE">
        <w:trPr>
          <w:trHeight w:val="488"/>
        </w:trPr>
        <w:tc>
          <w:tcPr>
            <w:tcW w:w="1487" w:type="dxa"/>
          </w:tcPr>
          <w:p w14:paraId="711296B6" w14:textId="5E680B4C" w:rsidR="000B5431" w:rsidRPr="00C136B5" w:rsidRDefault="000B5431" w:rsidP="00493579">
            <w:pPr>
              <w:rPr>
                <w:sz w:val="20"/>
                <w:szCs w:val="20"/>
              </w:rPr>
            </w:pPr>
            <w:r w:rsidRPr="00C136B5">
              <w:rPr>
                <w:sz w:val="20"/>
                <w:szCs w:val="20"/>
              </w:rPr>
              <w:t>Data</w:t>
            </w:r>
          </w:p>
        </w:tc>
        <w:tc>
          <w:tcPr>
            <w:tcW w:w="635" w:type="dxa"/>
          </w:tcPr>
          <w:p w14:paraId="1E6D438B" w14:textId="07BF4D5A" w:rsidR="000B5431" w:rsidRPr="00C136B5" w:rsidRDefault="000B5431" w:rsidP="00493579">
            <w:pPr>
              <w:rPr>
                <w:sz w:val="20"/>
                <w:szCs w:val="20"/>
              </w:rPr>
            </w:pPr>
            <w:r w:rsidRPr="00C136B5">
              <w:rPr>
                <w:sz w:val="20"/>
                <w:szCs w:val="20"/>
              </w:rPr>
              <w:t>1</w:t>
            </w:r>
          </w:p>
        </w:tc>
        <w:tc>
          <w:tcPr>
            <w:tcW w:w="7518" w:type="dxa"/>
          </w:tcPr>
          <w:p w14:paraId="712CC691" w14:textId="33214553" w:rsidR="000B5431" w:rsidRPr="00C136B5" w:rsidRDefault="000B5431" w:rsidP="00493579">
            <w:pPr>
              <w:rPr>
                <w:sz w:val="20"/>
                <w:szCs w:val="20"/>
              </w:rPr>
            </w:pPr>
            <w:r w:rsidRPr="00C136B5">
              <w:rPr>
                <w:sz w:val="20"/>
                <w:szCs w:val="20"/>
              </w:rPr>
              <w:t xml:space="preserve">Are you aware of any additional locations where any of these arboviral diseases are present? </w:t>
            </w:r>
          </w:p>
        </w:tc>
      </w:tr>
      <w:tr w:rsidR="000B5431" w:rsidRPr="00C136B5" w14:paraId="1DC5B1BD" w14:textId="77777777" w:rsidTr="00F712EE">
        <w:trPr>
          <w:trHeight w:val="488"/>
        </w:trPr>
        <w:tc>
          <w:tcPr>
            <w:tcW w:w="1487" w:type="dxa"/>
            <w:vMerge w:val="restart"/>
          </w:tcPr>
          <w:p w14:paraId="40846B18" w14:textId="11FCBBBC" w:rsidR="000B5431" w:rsidRPr="00C136B5" w:rsidRDefault="000B5431" w:rsidP="00493579">
            <w:pPr>
              <w:rPr>
                <w:sz w:val="20"/>
                <w:szCs w:val="20"/>
              </w:rPr>
            </w:pPr>
            <w:r w:rsidRPr="00C136B5">
              <w:rPr>
                <w:sz w:val="20"/>
                <w:szCs w:val="20"/>
              </w:rPr>
              <w:t xml:space="preserve">Surveillance </w:t>
            </w:r>
            <w:r w:rsidR="00533748">
              <w:rPr>
                <w:rFonts w:hint="eastAsia"/>
                <w:sz w:val="20"/>
                <w:szCs w:val="20"/>
                <w:lang w:eastAsia="ko-KR"/>
              </w:rPr>
              <w:t>capability</w:t>
            </w:r>
            <w:r w:rsidR="00F712EE">
              <w:rPr>
                <w:rFonts w:hint="eastAsia"/>
                <w:sz w:val="20"/>
                <w:szCs w:val="20"/>
                <w:lang w:eastAsia="ko-KR"/>
              </w:rPr>
              <w:t xml:space="preserve"> </w:t>
            </w:r>
            <w:r w:rsidRPr="00C136B5">
              <w:rPr>
                <w:sz w:val="20"/>
                <w:szCs w:val="20"/>
              </w:rPr>
              <w:t>map</w:t>
            </w:r>
          </w:p>
        </w:tc>
        <w:tc>
          <w:tcPr>
            <w:tcW w:w="635" w:type="dxa"/>
          </w:tcPr>
          <w:p w14:paraId="7B490C86" w14:textId="51073037" w:rsidR="000B5431" w:rsidRPr="00C136B5" w:rsidRDefault="000B5431" w:rsidP="00493579">
            <w:pPr>
              <w:rPr>
                <w:sz w:val="20"/>
                <w:szCs w:val="20"/>
              </w:rPr>
            </w:pPr>
            <w:r w:rsidRPr="00C136B5">
              <w:rPr>
                <w:sz w:val="20"/>
                <w:szCs w:val="20"/>
              </w:rPr>
              <w:t>2</w:t>
            </w:r>
          </w:p>
        </w:tc>
        <w:tc>
          <w:tcPr>
            <w:tcW w:w="7518" w:type="dxa"/>
          </w:tcPr>
          <w:p w14:paraId="330D3C0E" w14:textId="60C4DC6C" w:rsidR="000B5431" w:rsidRPr="00C136B5" w:rsidRDefault="000B5431" w:rsidP="00493579">
            <w:pPr>
              <w:rPr>
                <w:sz w:val="20"/>
                <w:szCs w:val="20"/>
              </w:rPr>
            </w:pPr>
            <w:r w:rsidRPr="00C136B5">
              <w:rPr>
                <w:sz w:val="20"/>
                <w:szCs w:val="20"/>
              </w:rPr>
              <w:t xml:space="preserve">Do our estimates of relative surveillance intensity for viral pathogens within and between countries match your expectations? </w:t>
            </w:r>
          </w:p>
        </w:tc>
      </w:tr>
      <w:tr w:rsidR="000B5431" w:rsidRPr="00C136B5" w14:paraId="1D12FA8B" w14:textId="77777777" w:rsidTr="00F712EE">
        <w:trPr>
          <w:trHeight w:val="488"/>
        </w:trPr>
        <w:tc>
          <w:tcPr>
            <w:tcW w:w="1487" w:type="dxa"/>
            <w:vMerge/>
          </w:tcPr>
          <w:p w14:paraId="44407288" w14:textId="77777777" w:rsidR="000B5431" w:rsidRPr="00C136B5" w:rsidRDefault="000B5431" w:rsidP="00493579">
            <w:pPr>
              <w:rPr>
                <w:sz w:val="20"/>
                <w:szCs w:val="20"/>
              </w:rPr>
            </w:pPr>
          </w:p>
        </w:tc>
        <w:tc>
          <w:tcPr>
            <w:tcW w:w="635" w:type="dxa"/>
          </w:tcPr>
          <w:p w14:paraId="0B5077A6" w14:textId="1BD18281" w:rsidR="000B5431" w:rsidRPr="00C136B5" w:rsidRDefault="000B5431" w:rsidP="00493579">
            <w:pPr>
              <w:rPr>
                <w:sz w:val="20"/>
                <w:szCs w:val="20"/>
              </w:rPr>
            </w:pPr>
            <w:r w:rsidRPr="00C136B5">
              <w:rPr>
                <w:sz w:val="20"/>
                <w:szCs w:val="20"/>
              </w:rPr>
              <w:t>3</w:t>
            </w:r>
          </w:p>
        </w:tc>
        <w:tc>
          <w:tcPr>
            <w:tcW w:w="7518" w:type="dxa"/>
          </w:tcPr>
          <w:p w14:paraId="7776A132" w14:textId="432B6428" w:rsidR="000B5431" w:rsidRPr="00C136B5" w:rsidRDefault="000B5431" w:rsidP="00493579">
            <w:pPr>
              <w:rPr>
                <w:sz w:val="20"/>
                <w:szCs w:val="20"/>
              </w:rPr>
            </w:pPr>
            <w:r w:rsidRPr="00C136B5">
              <w:rPr>
                <w:sz w:val="20"/>
                <w:szCs w:val="20"/>
              </w:rPr>
              <w:t xml:space="preserve">Are there any additional drivers of surveillance </w:t>
            </w:r>
            <w:r w:rsidR="00533748">
              <w:rPr>
                <w:sz w:val="20"/>
                <w:szCs w:val="20"/>
              </w:rPr>
              <w:t>capability</w:t>
            </w:r>
            <w:r w:rsidRPr="00C136B5">
              <w:rPr>
                <w:sz w:val="20"/>
                <w:szCs w:val="20"/>
              </w:rPr>
              <w:t>?</w:t>
            </w:r>
          </w:p>
        </w:tc>
      </w:tr>
      <w:tr w:rsidR="000B5431" w:rsidRPr="00C136B5" w14:paraId="2E20225B" w14:textId="77777777" w:rsidTr="00F712EE">
        <w:trPr>
          <w:trHeight w:val="488"/>
        </w:trPr>
        <w:tc>
          <w:tcPr>
            <w:tcW w:w="1487" w:type="dxa"/>
            <w:vMerge w:val="restart"/>
          </w:tcPr>
          <w:p w14:paraId="7C22783D" w14:textId="4DB795E2" w:rsidR="000B5431" w:rsidRPr="00C136B5" w:rsidRDefault="000B5431" w:rsidP="00493579">
            <w:pPr>
              <w:rPr>
                <w:sz w:val="20"/>
                <w:szCs w:val="20"/>
              </w:rPr>
            </w:pPr>
            <w:r w:rsidRPr="00C136B5">
              <w:rPr>
                <w:sz w:val="20"/>
                <w:szCs w:val="20"/>
              </w:rPr>
              <w:t>Arbovirus maps</w:t>
            </w:r>
          </w:p>
        </w:tc>
        <w:tc>
          <w:tcPr>
            <w:tcW w:w="635" w:type="dxa"/>
          </w:tcPr>
          <w:p w14:paraId="1E4CC499" w14:textId="4F883E24" w:rsidR="000B5431" w:rsidRPr="00C136B5" w:rsidRDefault="000B5431" w:rsidP="00493579">
            <w:pPr>
              <w:rPr>
                <w:sz w:val="20"/>
                <w:szCs w:val="20"/>
              </w:rPr>
            </w:pPr>
            <w:r w:rsidRPr="00C136B5">
              <w:rPr>
                <w:sz w:val="20"/>
                <w:szCs w:val="20"/>
              </w:rPr>
              <w:t>4</w:t>
            </w:r>
          </w:p>
        </w:tc>
        <w:tc>
          <w:tcPr>
            <w:tcW w:w="7518" w:type="dxa"/>
          </w:tcPr>
          <w:p w14:paraId="516BC2E1" w14:textId="290ACC4F" w:rsidR="000B5431" w:rsidRPr="00C136B5" w:rsidRDefault="000B5431" w:rsidP="00493579">
            <w:pPr>
              <w:rPr>
                <w:sz w:val="20"/>
                <w:szCs w:val="20"/>
              </w:rPr>
            </w:pPr>
            <w:r w:rsidRPr="00C136B5">
              <w:rPr>
                <w:sz w:val="20"/>
                <w:szCs w:val="20"/>
              </w:rPr>
              <w:t>Any areas where any of these diseases are present, but where we predict absence?</w:t>
            </w:r>
          </w:p>
        </w:tc>
      </w:tr>
      <w:tr w:rsidR="000B5431" w:rsidRPr="00C136B5" w14:paraId="2B745322" w14:textId="77777777" w:rsidTr="00F712EE">
        <w:trPr>
          <w:trHeight w:val="488"/>
        </w:trPr>
        <w:tc>
          <w:tcPr>
            <w:tcW w:w="1487" w:type="dxa"/>
            <w:vMerge/>
          </w:tcPr>
          <w:p w14:paraId="21D2D720" w14:textId="77777777" w:rsidR="000B5431" w:rsidRPr="00C136B5" w:rsidRDefault="000B5431" w:rsidP="00493579">
            <w:pPr>
              <w:rPr>
                <w:sz w:val="20"/>
                <w:szCs w:val="20"/>
              </w:rPr>
            </w:pPr>
          </w:p>
        </w:tc>
        <w:tc>
          <w:tcPr>
            <w:tcW w:w="635" w:type="dxa"/>
          </w:tcPr>
          <w:p w14:paraId="76F12ED0" w14:textId="38C4DC85" w:rsidR="000B5431" w:rsidRPr="00C136B5" w:rsidRDefault="000B5431" w:rsidP="00493579">
            <w:pPr>
              <w:rPr>
                <w:sz w:val="20"/>
                <w:szCs w:val="20"/>
              </w:rPr>
            </w:pPr>
            <w:r w:rsidRPr="00C136B5">
              <w:rPr>
                <w:sz w:val="20"/>
                <w:szCs w:val="20"/>
              </w:rPr>
              <w:t>5</w:t>
            </w:r>
          </w:p>
        </w:tc>
        <w:tc>
          <w:tcPr>
            <w:tcW w:w="7518" w:type="dxa"/>
          </w:tcPr>
          <w:p w14:paraId="3093A6D7" w14:textId="021EE984" w:rsidR="000B5431" w:rsidRPr="00C136B5" w:rsidRDefault="000B5431" w:rsidP="00493579">
            <w:pPr>
              <w:rPr>
                <w:sz w:val="20"/>
                <w:szCs w:val="20"/>
              </w:rPr>
            </w:pPr>
            <w:r w:rsidRPr="00C136B5">
              <w:rPr>
                <w:sz w:val="20"/>
                <w:szCs w:val="20"/>
              </w:rPr>
              <w:t>Any areas where any of these diseases are absent, but where we predict presence?</w:t>
            </w:r>
          </w:p>
        </w:tc>
      </w:tr>
      <w:tr w:rsidR="000B5431" w:rsidRPr="00C136B5" w14:paraId="52E498A7" w14:textId="77777777" w:rsidTr="00F712EE">
        <w:trPr>
          <w:trHeight w:val="488"/>
        </w:trPr>
        <w:tc>
          <w:tcPr>
            <w:tcW w:w="1487" w:type="dxa"/>
            <w:vMerge/>
          </w:tcPr>
          <w:p w14:paraId="28A60EB4" w14:textId="77777777" w:rsidR="000B5431" w:rsidRPr="00C136B5" w:rsidRDefault="000B5431" w:rsidP="00493579">
            <w:pPr>
              <w:rPr>
                <w:sz w:val="20"/>
                <w:szCs w:val="20"/>
              </w:rPr>
            </w:pPr>
          </w:p>
        </w:tc>
        <w:tc>
          <w:tcPr>
            <w:tcW w:w="635" w:type="dxa"/>
          </w:tcPr>
          <w:p w14:paraId="4AF9BB53" w14:textId="734CB44D" w:rsidR="000B5431" w:rsidRPr="00C136B5" w:rsidRDefault="000B5431" w:rsidP="00493579">
            <w:pPr>
              <w:rPr>
                <w:sz w:val="20"/>
                <w:szCs w:val="20"/>
              </w:rPr>
            </w:pPr>
            <w:r w:rsidRPr="00C136B5">
              <w:rPr>
                <w:sz w:val="20"/>
                <w:szCs w:val="20"/>
              </w:rPr>
              <w:t>6</w:t>
            </w:r>
          </w:p>
        </w:tc>
        <w:tc>
          <w:tcPr>
            <w:tcW w:w="7518" w:type="dxa"/>
          </w:tcPr>
          <w:p w14:paraId="058ED095" w14:textId="1D9DD4CF" w:rsidR="000B5431" w:rsidRPr="00C136B5" w:rsidRDefault="000B5431" w:rsidP="00493579">
            <w:pPr>
              <w:rPr>
                <w:sz w:val="20"/>
                <w:szCs w:val="20"/>
              </w:rPr>
            </w:pPr>
            <w:r w:rsidRPr="00C136B5">
              <w:rPr>
                <w:sz w:val="20"/>
                <w:szCs w:val="20"/>
              </w:rPr>
              <w:t>Additional drivers of arbovirus risk?</w:t>
            </w:r>
          </w:p>
        </w:tc>
      </w:tr>
      <w:tr w:rsidR="000B5431" w:rsidRPr="00C136B5" w14:paraId="7202AC77" w14:textId="77777777" w:rsidTr="00F712EE">
        <w:trPr>
          <w:trHeight w:val="489"/>
        </w:trPr>
        <w:tc>
          <w:tcPr>
            <w:tcW w:w="1487" w:type="dxa"/>
            <w:vMerge/>
          </w:tcPr>
          <w:p w14:paraId="26C1252C" w14:textId="77777777" w:rsidR="000B5431" w:rsidRPr="00C136B5" w:rsidRDefault="000B5431" w:rsidP="00493579">
            <w:pPr>
              <w:rPr>
                <w:sz w:val="20"/>
                <w:szCs w:val="20"/>
              </w:rPr>
            </w:pPr>
          </w:p>
        </w:tc>
        <w:tc>
          <w:tcPr>
            <w:tcW w:w="635" w:type="dxa"/>
          </w:tcPr>
          <w:p w14:paraId="7954F7AC" w14:textId="60ADF3F1" w:rsidR="000B5431" w:rsidRPr="00C136B5" w:rsidRDefault="000B5431" w:rsidP="00493579">
            <w:pPr>
              <w:rPr>
                <w:sz w:val="20"/>
                <w:szCs w:val="20"/>
              </w:rPr>
            </w:pPr>
            <w:r w:rsidRPr="00C136B5">
              <w:rPr>
                <w:sz w:val="20"/>
                <w:szCs w:val="20"/>
              </w:rPr>
              <w:t>7</w:t>
            </w:r>
          </w:p>
        </w:tc>
        <w:tc>
          <w:tcPr>
            <w:tcW w:w="7518" w:type="dxa"/>
          </w:tcPr>
          <w:p w14:paraId="5ABBCF0B" w14:textId="69944CD8" w:rsidR="000B5431" w:rsidRPr="00C136B5" w:rsidRDefault="000B5431" w:rsidP="00493579">
            <w:pPr>
              <w:rPr>
                <w:sz w:val="20"/>
                <w:szCs w:val="20"/>
              </w:rPr>
            </w:pPr>
            <w:r w:rsidRPr="00C136B5">
              <w:rPr>
                <w:sz w:val="20"/>
                <w:szCs w:val="20"/>
              </w:rPr>
              <w:t>Are there any differences in the distribution of these diseases that we have not captured in these risk maps?</w:t>
            </w:r>
          </w:p>
        </w:tc>
      </w:tr>
    </w:tbl>
    <w:p w14:paraId="22412A35" w14:textId="77777777" w:rsidR="00045F65" w:rsidRDefault="00045F65" w:rsidP="00493579"/>
    <w:p w14:paraId="08BDA938" w14:textId="77777777" w:rsidR="00FE2F6D" w:rsidRDefault="00FE2F6D">
      <w:pPr>
        <w:spacing w:after="160" w:line="259" w:lineRule="auto"/>
        <w:rPr>
          <w:rFonts w:ascii="Times New Roman" w:eastAsia="Times New Roman" w:hAnsi="Times New Roman" w:cs="Times New Roman"/>
          <w:kern w:val="0"/>
          <w:lang w:eastAsia="ko-KR"/>
          <w14:ligatures w14:val="none"/>
        </w:rPr>
      </w:pPr>
      <w:r>
        <w:br w:type="page"/>
      </w:r>
    </w:p>
    <w:p w14:paraId="6F1188E1" w14:textId="3957F950" w:rsidR="00FE2F6D" w:rsidRDefault="00FE2F6D" w:rsidP="00FE2F6D">
      <w:pPr>
        <w:pStyle w:val="NormalWeb"/>
        <w:keepNext/>
      </w:pPr>
      <w:r>
        <w:rPr>
          <w:noProof/>
        </w:rPr>
        <w:lastRenderedPageBreak/>
        <w:drawing>
          <wp:inline distT="0" distB="0" distL="0" distR="0" wp14:anchorId="77200C37" wp14:editId="23819072">
            <wp:extent cx="6146799" cy="3073400"/>
            <wp:effectExtent l="0" t="0" r="6985" b="0"/>
            <wp:docPr id="1654665156"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65156" name="Picture 1" descr="A map of the wor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146799" cy="3073400"/>
                    </a:xfrm>
                    <a:prstGeom prst="rect">
                      <a:avLst/>
                    </a:prstGeom>
                    <a:noFill/>
                    <a:ln>
                      <a:noFill/>
                    </a:ln>
                  </pic:spPr>
                </pic:pic>
              </a:graphicData>
            </a:graphic>
          </wp:inline>
        </w:drawing>
      </w:r>
    </w:p>
    <w:p w14:paraId="0EBD2125" w14:textId="15676551" w:rsidR="00FE2F6D" w:rsidRDefault="00982FA2" w:rsidP="00FE2F6D">
      <w:pPr>
        <w:pStyle w:val="Heading2"/>
        <w:rPr>
          <w:lang w:eastAsia="ko-KR"/>
        </w:rPr>
      </w:pPr>
      <w:bookmarkStart w:id="9" w:name="_Toc168329361"/>
      <w:r>
        <w:rPr>
          <w:rFonts w:hint="eastAsia"/>
          <w:lang w:eastAsia="ko-KR"/>
        </w:rPr>
        <w:t xml:space="preserve">Supplementary </w:t>
      </w:r>
      <w:r w:rsidR="00FE2F6D">
        <w:t xml:space="preserve">Figure </w:t>
      </w:r>
      <w:r w:rsidR="00FE2F6D">
        <w:fldChar w:fldCharType="begin"/>
      </w:r>
      <w:r w:rsidR="00FE2F6D">
        <w:instrText xml:space="preserve"> SEQ Figure \* ARABIC </w:instrText>
      </w:r>
      <w:r w:rsidR="00FE2F6D">
        <w:fldChar w:fldCharType="separate"/>
      </w:r>
      <w:r w:rsidR="00622E18">
        <w:rPr>
          <w:noProof/>
        </w:rPr>
        <w:t>1</w:t>
      </w:r>
      <w:r w:rsidR="00FE2F6D">
        <w:fldChar w:fldCharType="end"/>
      </w:r>
      <w:r w:rsidR="00FE2F6D">
        <w:rPr>
          <w:rFonts w:hint="eastAsia"/>
          <w:lang w:eastAsia="ko-KR"/>
        </w:rPr>
        <w:t xml:space="preserve">. </w:t>
      </w:r>
      <w:r w:rsidR="00FE2F6D" w:rsidRPr="00F553B9">
        <w:rPr>
          <w:lang w:eastAsia="ko-KR"/>
        </w:rPr>
        <w:t>Comparing occurrence data</w:t>
      </w:r>
      <w:r w:rsidR="00FE2F6D">
        <w:rPr>
          <w:rFonts w:hint="eastAsia"/>
          <w:lang w:eastAsia="ko-KR"/>
        </w:rPr>
        <w:t xml:space="preserve"> for each disease </w:t>
      </w:r>
      <w:r w:rsidR="00FE2F6D" w:rsidRPr="00F553B9">
        <w:rPr>
          <w:lang w:eastAsia="ko-KR"/>
        </w:rPr>
        <w:t>between published</w:t>
      </w:r>
      <w:r w:rsidR="00FE2F6D">
        <w:rPr>
          <w:rFonts w:hint="eastAsia"/>
          <w:lang w:eastAsia="ko-KR"/>
        </w:rPr>
        <w:t xml:space="preserve"> </w:t>
      </w:r>
      <w:r w:rsidR="00FE2F6D" w:rsidRPr="00F553B9">
        <w:rPr>
          <w:lang w:eastAsia="ko-KR"/>
        </w:rPr>
        <w:t xml:space="preserve">and newly </w:t>
      </w:r>
      <w:r w:rsidR="00FE2F6D">
        <w:rPr>
          <w:rFonts w:hint="eastAsia"/>
          <w:lang w:eastAsia="ko-KR"/>
        </w:rPr>
        <w:t>add</w:t>
      </w:r>
      <w:r w:rsidR="00FE2F6D" w:rsidRPr="00F553B9">
        <w:rPr>
          <w:lang w:eastAsia="ko-KR"/>
        </w:rPr>
        <w:t>ed datasets</w:t>
      </w:r>
      <w:r w:rsidR="00FE2F6D">
        <w:rPr>
          <w:rFonts w:hint="eastAsia"/>
          <w:lang w:eastAsia="ko-KR"/>
        </w:rPr>
        <w:t xml:space="preserve"> for each disease.</w:t>
      </w:r>
      <w:bookmarkEnd w:id="9"/>
      <w:r w:rsidR="00FE2F6D">
        <w:rPr>
          <w:rFonts w:hint="eastAsia"/>
          <w:lang w:eastAsia="ko-KR"/>
        </w:rPr>
        <w:t xml:space="preserve"> </w:t>
      </w:r>
    </w:p>
    <w:p w14:paraId="3508BBD0" w14:textId="5A28A1BB" w:rsidR="00FE2F6D" w:rsidRPr="00CC3778" w:rsidRDefault="00FE2F6D" w:rsidP="00CC3778">
      <w:pPr>
        <w:rPr>
          <w:sz w:val="20"/>
          <w:szCs w:val="20"/>
          <w:lang w:eastAsia="ko-KR"/>
        </w:rPr>
      </w:pPr>
      <w:r w:rsidRPr="00CC3778">
        <w:rPr>
          <w:sz w:val="20"/>
          <w:szCs w:val="20"/>
          <w:lang w:eastAsia="ko-KR"/>
        </w:rPr>
        <w:t>Maps show the unique locations of occurrence data for dengue, chikungunya, Zika, and yellow fever. These data combine existing datasets (blue) with new additions identified through this study (red). The number of newly added unique occurrence locations for each disease is indicated in brackets.</w:t>
      </w:r>
    </w:p>
    <w:p w14:paraId="63D17A4B" w14:textId="77777777" w:rsidR="00FE2F6D" w:rsidRDefault="00FE2F6D">
      <w:pPr>
        <w:spacing w:after="160" w:line="259" w:lineRule="auto"/>
        <w:rPr>
          <w:rFonts w:ascii="Times New Roman" w:eastAsia="Times New Roman" w:hAnsi="Times New Roman" w:cs="Times New Roman"/>
          <w:kern w:val="0"/>
          <w:lang w:eastAsia="ko-KR"/>
          <w14:ligatures w14:val="none"/>
        </w:rPr>
      </w:pPr>
      <w:r>
        <w:br w:type="page"/>
      </w:r>
    </w:p>
    <w:p w14:paraId="2B19F5FB" w14:textId="77777777" w:rsidR="00FE2F6D" w:rsidRDefault="00FE2F6D" w:rsidP="00FE2F6D">
      <w:pPr>
        <w:keepNext/>
      </w:pPr>
      <w:r>
        <w:rPr>
          <w:noProof/>
        </w:rPr>
        <w:lastRenderedPageBreak/>
        <w:drawing>
          <wp:inline distT="0" distB="0" distL="0" distR="0" wp14:anchorId="41B7A4BF" wp14:editId="29F020CA">
            <wp:extent cx="6124470" cy="3062235"/>
            <wp:effectExtent l="0" t="0" r="0" b="5080"/>
            <wp:docPr id="1319982200" name="Picture 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82200" name="Picture 5" descr="A map of the wor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33249" cy="3066624"/>
                    </a:xfrm>
                    <a:prstGeom prst="rect">
                      <a:avLst/>
                    </a:prstGeom>
                  </pic:spPr>
                </pic:pic>
              </a:graphicData>
            </a:graphic>
          </wp:inline>
        </w:drawing>
      </w:r>
    </w:p>
    <w:p w14:paraId="1DFE5961" w14:textId="2585ADCE" w:rsidR="00FE2F6D" w:rsidRDefault="00DC5064" w:rsidP="00FE2F6D">
      <w:pPr>
        <w:pStyle w:val="Heading2"/>
      </w:pPr>
      <w:bookmarkStart w:id="10" w:name="_Ref157166924"/>
      <w:bookmarkStart w:id="11" w:name="_Toc168329362"/>
      <w:r>
        <w:rPr>
          <w:rFonts w:hint="eastAsia"/>
          <w:lang w:eastAsia="ko-KR"/>
        </w:rPr>
        <w:t xml:space="preserve">Supplementary </w:t>
      </w:r>
      <w:r w:rsidR="00FE2F6D" w:rsidRPr="00F33157">
        <w:t xml:space="preserve">Figure </w:t>
      </w:r>
      <w:r w:rsidR="00FE2F6D">
        <w:fldChar w:fldCharType="begin"/>
      </w:r>
      <w:r w:rsidR="00FE2F6D">
        <w:instrText xml:space="preserve"> SEQ Figure \* ARABIC </w:instrText>
      </w:r>
      <w:r w:rsidR="00FE2F6D">
        <w:fldChar w:fldCharType="separate"/>
      </w:r>
      <w:r w:rsidR="00622E18">
        <w:rPr>
          <w:noProof/>
        </w:rPr>
        <w:t>2</w:t>
      </w:r>
      <w:r w:rsidR="00FE2F6D">
        <w:rPr>
          <w:noProof/>
        </w:rPr>
        <w:fldChar w:fldCharType="end"/>
      </w:r>
      <w:bookmarkEnd w:id="10"/>
      <w:r w:rsidR="00FE2F6D" w:rsidRPr="00F33157">
        <w:t>. Occurrence data for all viral diseases which is used in the surveillance model.</w:t>
      </w:r>
      <w:bookmarkEnd w:id="11"/>
    </w:p>
    <w:p w14:paraId="78B5B036" w14:textId="77777777" w:rsidR="00FE2F6D" w:rsidRDefault="00FE2F6D">
      <w:pPr>
        <w:spacing w:after="160" w:line="259" w:lineRule="auto"/>
        <w:rPr>
          <w:rFonts w:asciiTheme="majorHAnsi" w:eastAsiaTheme="majorEastAsia" w:hAnsiTheme="majorHAnsi" w:cstheme="majorBidi"/>
          <w:color w:val="2F5496" w:themeColor="accent1" w:themeShade="BF"/>
          <w:szCs w:val="26"/>
        </w:rPr>
      </w:pPr>
      <w:r>
        <w:br w:type="page"/>
      </w:r>
    </w:p>
    <w:p w14:paraId="6D360711" w14:textId="77777777" w:rsidR="00FE2F6D" w:rsidRDefault="00FE2F6D" w:rsidP="00FE2F6D">
      <w:pPr>
        <w:keepNext/>
      </w:pPr>
      <w:r>
        <w:rPr>
          <w:noProof/>
        </w:rPr>
        <w:lastRenderedPageBreak/>
        <w:drawing>
          <wp:inline distT="0" distB="0" distL="0" distR="0" wp14:anchorId="19F777CC" wp14:editId="3F773E7A">
            <wp:extent cx="6072488" cy="7691817"/>
            <wp:effectExtent l="0" t="0" r="5080" b="4445"/>
            <wp:docPr id="997586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86994"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72488" cy="7691817"/>
                    </a:xfrm>
                    <a:prstGeom prst="rect">
                      <a:avLst/>
                    </a:prstGeom>
                    <a:noFill/>
                    <a:ln>
                      <a:noFill/>
                    </a:ln>
                  </pic:spPr>
                </pic:pic>
              </a:graphicData>
            </a:graphic>
          </wp:inline>
        </w:drawing>
      </w:r>
    </w:p>
    <w:p w14:paraId="4CBA1654" w14:textId="1D67DB84" w:rsidR="00FE2F6D" w:rsidRDefault="00DC5064" w:rsidP="00FE2F6D">
      <w:pPr>
        <w:pStyle w:val="Heading2"/>
      </w:pPr>
      <w:bookmarkStart w:id="12" w:name="_Toc168329363"/>
      <w:r>
        <w:rPr>
          <w:rFonts w:hint="eastAsia"/>
          <w:lang w:eastAsia="ko-KR"/>
        </w:rPr>
        <w:t xml:space="preserve">Supplementary </w:t>
      </w:r>
      <w:r w:rsidR="00FE2F6D">
        <w:t xml:space="preserve">Figure </w:t>
      </w:r>
      <w:r w:rsidR="00FE2F6D">
        <w:fldChar w:fldCharType="begin"/>
      </w:r>
      <w:r w:rsidR="00FE2F6D">
        <w:instrText xml:space="preserve"> SEQ Figure \* ARABIC </w:instrText>
      </w:r>
      <w:r w:rsidR="00FE2F6D">
        <w:fldChar w:fldCharType="separate"/>
      </w:r>
      <w:r w:rsidR="00622E18">
        <w:rPr>
          <w:noProof/>
        </w:rPr>
        <w:t>3</w:t>
      </w:r>
      <w:r w:rsidR="00FE2F6D">
        <w:rPr>
          <w:noProof/>
        </w:rPr>
        <w:fldChar w:fldCharType="end"/>
      </w:r>
      <w:r w:rsidR="00FE2F6D">
        <w:t xml:space="preserve">. </w:t>
      </w:r>
      <w:r w:rsidR="00FE2F6D" w:rsidRPr="00323F9E">
        <w:t xml:space="preserve">Relative contribution of each covariate in explaining the global </w:t>
      </w:r>
      <w:r w:rsidR="00FE2F6D">
        <w:t xml:space="preserve">surveillance </w:t>
      </w:r>
      <w:r w:rsidR="00533748">
        <w:t>capability</w:t>
      </w:r>
      <w:r w:rsidR="00FE2F6D" w:rsidRPr="00323F9E">
        <w:t xml:space="preserve"> </w:t>
      </w:r>
      <w:r w:rsidR="00FE2F6D">
        <w:t>(</w:t>
      </w:r>
      <w:r w:rsidR="00C25391">
        <w:rPr>
          <w:rFonts w:hint="eastAsia"/>
          <w:lang w:eastAsia="ko-KR"/>
        </w:rPr>
        <w:t>a</w:t>
      </w:r>
      <w:r w:rsidR="00FE2F6D">
        <w:t xml:space="preserve">); partial dependence plots </w:t>
      </w:r>
      <w:r w:rsidR="00FE2F6D">
        <w:rPr>
          <w:rStyle w:val="issue-underline"/>
        </w:rPr>
        <w:t>showing the effects of each covariate on the overall response and their 95% confidence intervals (</w:t>
      </w:r>
      <w:r w:rsidR="00C25391">
        <w:rPr>
          <w:rStyle w:val="issue-underline"/>
          <w:rFonts w:hint="eastAsia"/>
          <w:lang w:eastAsia="ko-KR"/>
        </w:rPr>
        <w:t>b</w:t>
      </w:r>
      <w:r w:rsidR="00FE2F6D">
        <w:rPr>
          <w:rStyle w:val="issue-underline"/>
        </w:rPr>
        <w:t>).</w:t>
      </w:r>
      <w:bookmarkEnd w:id="12"/>
      <w:r w:rsidR="00FE2F6D">
        <w:rPr>
          <w:rStyle w:val="issue-underline"/>
        </w:rPr>
        <w:t xml:space="preserve"> </w:t>
      </w:r>
    </w:p>
    <w:p w14:paraId="11370818" w14:textId="63A73DC9" w:rsidR="00641057" w:rsidRDefault="00641057">
      <w:pPr>
        <w:spacing w:after="160" w:line="259" w:lineRule="auto"/>
        <w:rPr>
          <w:rFonts w:asciiTheme="majorHAnsi" w:eastAsiaTheme="majorEastAsia" w:hAnsiTheme="majorHAnsi" w:cstheme="majorBidi"/>
          <w:i/>
          <w:color w:val="2F5496" w:themeColor="accent1" w:themeShade="BF"/>
          <w:szCs w:val="26"/>
        </w:rPr>
      </w:pPr>
      <w:r>
        <w:rPr>
          <w:i/>
        </w:rPr>
        <w:br w:type="page"/>
      </w:r>
    </w:p>
    <w:p w14:paraId="6C3E778D" w14:textId="77777777" w:rsidR="00641057" w:rsidRDefault="00641057" w:rsidP="00641057">
      <w:pPr>
        <w:keepNext/>
      </w:pPr>
      <w:r>
        <w:rPr>
          <w:noProof/>
        </w:rPr>
        <w:lastRenderedPageBreak/>
        <w:drawing>
          <wp:inline distT="0" distB="0" distL="0" distR="0" wp14:anchorId="25963097" wp14:editId="02D10E2F">
            <wp:extent cx="6113080" cy="3056540"/>
            <wp:effectExtent l="0" t="0" r="2540" b="0"/>
            <wp:docPr id="1717514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14392"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13080" cy="3056540"/>
                    </a:xfrm>
                    <a:prstGeom prst="rect">
                      <a:avLst/>
                    </a:prstGeom>
                    <a:noFill/>
                    <a:ln>
                      <a:noFill/>
                    </a:ln>
                  </pic:spPr>
                </pic:pic>
              </a:graphicData>
            </a:graphic>
          </wp:inline>
        </w:drawing>
      </w:r>
    </w:p>
    <w:p w14:paraId="337D54EF" w14:textId="72995648" w:rsidR="00641057" w:rsidRDefault="00C25391" w:rsidP="00641057">
      <w:pPr>
        <w:pStyle w:val="Heading2"/>
      </w:pPr>
      <w:bookmarkStart w:id="13" w:name="_Toc168329364"/>
      <w:r>
        <w:rPr>
          <w:rFonts w:hint="eastAsia"/>
          <w:lang w:eastAsia="ko-KR"/>
        </w:rPr>
        <w:t xml:space="preserve">Supplementary </w:t>
      </w:r>
      <w:r w:rsidR="00641057">
        <w:t xml:space="preserve">Figure </w:t>
      </w:r>
      <w:r w:rsidR="00641057">
        <w:fldChar w:fldCharType="begin"/>
      </w:r>
      <w:r w:rsidR="00641057">
        <w:instrText xml:space="preserve"> SEQ Figure \* ARABIC </w:instrText>
      </w:r>
      <w:r w:rsidR="00641057">
        <w:fldChar w:fldCharType="separate"/>
      </w:r>
      <w:r w:rsidR="00622E18">
        <w:rPr>
          <w:noProof/>
        </w:rPr>
        <w:t>4</w:t>
      </w:r>
      <w:r w:rsidR="00641057">
        <w:fldChar w:fldCharType="end"/>
      </w:r>
      <w:r w:rsidR="00641057">
        <w:t xml:space="preserve">. </w:t>
      </w:r>
      <w:r w:rsidR="00641057" w:rsidRPr="00AE61C4">
        <w:t xml:space="preserve">The degree of uncertainty </w:t>
      </w:r>
      <w:r w:rsidR="00641057">
        <w:t xml:space="preserve">(interquartile range of 100 predictions) </w:t>
      </w:r>
      <w:r w:rsidR="00641057" w:rsidRPr="00AE61C4">
        <w:t xml:space="preserve">around surveillance </w:t>
      </w:r>
      <w:r w:rsidR="00533748">
        <w:t>capability</w:t>
      </w:r>
      <w:r w:rsidR="00641057" w:rsidRPr="00AE61C4">
        <w:t xml:space="preserve"> model predictions</w:t>
      </w:r>
      <w:r w:rsidR="00641057">
        <w:t>.</w:t>
      </w:r>
      <w:bookmarkEnd w:id="13"/>
    </w:p>
    <w:p w14:paraId="6A302046" w14:textId="77777777" w:rsidR="00641057" w:rsidRDefault="00641057" w:rsidP="00641057">
      <w:pPr>
        <w:spacing w:after="160" w:line="259" w:lineRule="auto"/>
        <w:rPr>
          <w:iCs/>
          <w:color w:val="44546A" w:themeColor="text2"/>
          <w:sz w:val="22"/>
          <w:szCs w:val="18"/>
        </w:rPr>
      </w:pPr>
      <w:r>
        <w:br w:type="page"/>
      </w:r>
    </w:p>
    <w:p w14:paraId="53531A42" w14:textId="77777777" w:rsidR="00641057" w:rsidRPr="00E35135" w:rsidRDefault="00641057" w:rsidP="00641057"/>
    <w:p w14:paraId="36234758" w14:textId="77777777" w:rsidR="00641057" w:rsidRDefault="00641057" w:rsidP="00641057">
      <w:pPr>
        <w:keepNext/>
        <w:jc w:val="center"/>
      </w:pPr>
      <w:r>
        <w:rPr>
          <w:noProof/>
        </w:rPr>
        <w:drawing>
          <wp:inline distT="0" distB="0" distL="0" distR="0" wp14:anchorId="6E0151AA" wp14:editId="410C0EE0">
            <wp:extent cx="5253239" cy="5253239"/>
            <wp:effectExtent l="0" t="0" r="5080" b="5080"/>
            <wp:docPr id="136403803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38031" name="Picture 1" descr="A screenshot of a grap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3239" cy="5253239"/>
                    </a:xfrm>
                    <a:prstGeom prst="rect">
                      <a:avLst/>
                    </a:prstGeom>
                  </pic:spPr>
                </pic:pic>
              </a:graphicData>
            </a:graphic>
          </wp:inline>
        </w:drawing>
      </w:r>
    </w:p>
    <w:p w14:paraId="0274CDFE" w14:textId="533BC791" w:rsidR="00641057" w:rsidRDefault="00C25391" w:rsidP="00641057">
      <w:pPr>
        <w:pStyle w:val="Heading2"/>
      </w:pPr>
      <w:bookmarkStart w:id="14" w:name="_Toc168329365"/>
      <w:r>
        <w:rPr>
          <w:rFonts w:hint="eastAsia"/>
          <w:lang w:eastAsia="ko-KR"/>
        </w:rPr>
        <w:t xml:space="preserve">Supplementary </w:t>
      </w:r>
      <w:r w:rsidR="00641057">
        <w:t xml:space="preserve">Figure </w:t>
      </w:r>
      <w:r w:rsidR="00641057">
        <w:fldChar w:fldCharType="begin"/>
      </w:r>
      <w:r w:rsidR="00641057">
        <w:instrText xml:space="preserve"> SEQ Figure \* ARABIC </w:instrText>
      </w:r>
      <w:r w:rsidR="00641057">
        <w:fldChar w:fldCharType="separate"/>
      </w:r>
      <w:r w:rsidR="00622E18">
        <w:rPr>
          <w:noProof/>
        </w:rPr>
        <w:t>5</w:t>
      </w:r>
      <w:r w:rsidR="00641057">
        <w:fldChar w:fldCharType="end"/>
      </w:r>
      <w:r w:rsidR="00641057">
        <w:t xml:space="preserve">. Overall and regionally-stratified model performance metrics for the global surveillance </w:t>
      </w:r>
      <w:r w:rsidR="00533748">
        <w:t>capability</w:t>
      </w:r>
      <w:r w:rsidR="00641057">
        <w:t xml:space="preserve"> model, including the Area Under the Curve (AUC), sensitivity, and specificity.</w:t>
      </w:r>
      <w:bookmarkEnd w:id="14"/>
    </w:p>
    <w:p w14:paraId="560F46A4" w14:textId="77777777" w:rsidR="00641057" w:rsidRDefault="00641057" w:rsidP="00641057">
      <w:pPr>
        <w:spacing w:after="160" w:line="259" w:lineRule="auto"/>
        <w:rPr>
          <w:iCs/>
          <w:color w:val="44546A" w:themeColor="text2"/>
          <w:sz w:val="22"/>
          <w:szCs w:val="18"/>
        </w:rPr>
      </w:pPr>
      <w:r>
        <w:br w:type="page"/>
      </w:r>
    </w:p>
    <w:p w14:paraId="2315D25B" w14:textId="77777777" w:rsidR="00641057" w:rsidRDefault="00641057" w:rsidP="00641057">
      <w:pPr>
        <w:keepNext/>
      </w:pPr>
      <w:r>
        <w:rPr>
          <w:noProof/>
        </w:rPr>
        <w:lastRenderedPageBreak/>
        <w:drawing>
          <wp:inline distT="0" distB="0" distL="0" distR="0" wp14:anchorId="716AE5FA" wp14:editId="06A38377">
            <wp:extent cx="6129494" cy="3064747"/>
            <wp:effectExtent l="0" t="0" r="5080" b="2540"/>
            <wp:docPr id="1935383706"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83706" name="Picture 2" descr="A map of the wor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9494" cy="3064747"/>
                    </a:xfrm>
                    <a:prstGeom prst="rect">
                      <a:avLst/>
                    </a:prstGeom>
                  </pic:spPr>
                </pic:pic>
              </a:graphicData>
            </a:graphic>
          </wp:inline>
        </w:drawing>
      </w:r>
    </w:p>
    <w:p w14:paraId="1733B032" w14:textId="0C7FE845" w:rsidR="00641057" w:rsidRDefault="00C25391" w:rsidP="00641057">
      <w:pPr>
        <w:pStyle w:val="Heading2"/>
      </w:pPr>
      <w:bookmarkStart w:id="15" w:name="_Toc168329366"/>
      <w:r>
        <w:rPr>
          <w:rFonts w:hint="eastAsia"/>
          <w:lang w:eastAsia="ko-KR"/>
        </w:rPr>
        <w:t xml:space="preserve">Supplementary </w:t>
      </w:r>
      <w:r w:rsidR="00641057">
        <w:t xml:space="preserve">Figure </w:t>
      </w:r>
      <w:r w:rsidR="00641057">
        <w:fldChar w:fldCharType="begin"/>
      </w:r>
      <w:r w:rsidR="00641057">
        <w:instrText xml:space="preserve"> SEQ Figure \* ARABIC </w:instrText>
      </w:r>
      <w:r w:rsidR="00641057">
        <w:fldChar w:fldCharType="separate"/>
      </w:r>
      <w:r w:rsidR="00622E18">
        <w:rPr>
          <w:noProof/>
        </w:rPr>
        <w:t>6</w:t>
      </w:r>
      <w:r w:rsidR="00641057">
        <w:fldChar w:fldCharType="end"/>
      </w:r>
      <w:r w:rsidR="00641057">
        <w:t xml:space="preserve">. Spatial map illustrating the model performance of the global surveillance </w:t>
      </w:r>
      <w:r w:rsidR="00533748">
        <w:t>capability</w:t>
      </w:r>
      <w:r w:rsidR="00641057">
        <w:t xml:space="preserve"> model, as measured by the Area Under the Curve (AUC).</w:t>
      </w:r>
      <w:bookmarkEnd w:id="15"/>
    </w:p>
    <w:p w14:paraId="1F28C59E" w14:textId="77777777" w:rsidR="00641057" w:rsidRDefault="00641057">
      <w:pPr>
        <w:spacing w:after="160" w:line="259" w:lineRule="auto"/>
        <w:rPr>
          <w:rFonts w:asciiTheme="majorHAnsi" w:eastAsiaTheme="majorEastAsia" w:hAnsiTheme="majorHAnsi" w:cstheme="majorBidi"/>
          <w:color w:val="2F5496" w:themeColor="accent1" w:themeShade="BF"/>
          <w:szCs w:val="26"/>
        </w:rPr>
      </w:pPr>
      <w:r>
        <w:br w:type="page"/>
      </w:r>
    </w:p>
    <w:p w14:paraId="7A31FCA9" w14:textId="77777777" w:rsidR="00641057" w:rsidRDefault="00641057" w:rsidP="00641057">
      <w:pPr>
        <w:keepNext/>
        <w:jc w:val="center"/>
      </w:pPr>
      <w:r>
        <w:rPr>
          <w:noProof/>
        </w:rPr>
        <w:lastRenderedPageBreak/>
        <w:drawing>
          <wp:inline distT="0" distB="0" distL="0" distR="0" wp14:anchorId="04596628" wp14:editId="6577C96D">
            <wp:extent cx="5570961" cy="8170742"/>
            <wp:effectExtent l="0" t="0" r="0" b="1905"/>
            <wp:docPr id="206254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4016"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570961" cy="8170742"/>
                    </a:xfrm>
                    <a:prstGeom prst="rect">
                      <a:avLst/>
                    </a:prstGeom>
                    <a:noFill/>
                    <a:ln>
                      <a:noFill/>
                    </a:ln>
                  </pic:spPr>
                </pic:pic>
              </a:graphicData>
            </a:graphic>
          </wp:inline>
        </w:drawing>
      </w:r>
    </w:p>
    <w:p w14:paraId="6AB6DD6C" w14:textId="5945FDA9" w:rsidR="00641057" w:rsidRDefault="00C25391" w:rsidP="00641057">
      <w:pPr>
        <w:pStyle w:val="Heading2"/>
      </w:pPr>
      <w:bookmarkStart w:id="16" w:name="_Toc168329367"/>
      <w:r>
        <w:rPr>
          <w:rFonts w:hint="eastAsia"/>
          <w:lang w:eastAsia="ko-KR"/>
        </w:rPr>
        <w:t xml:space="preserve">Supplementary </w:t>
      </w:r>
      <w:r w:rsidR="00641057">
        <w:t xml:space="preserve">Figure </w:t>
      </w:r>
      <w:r w:rsidR="00641057">
        <w:fldChar w:fldCharType="begin"/>
      </w:r>
      <w:r w:rsidR="00641057">
        <w:instrText xml:space="preserve"> SEQ Figure \* ARABIC </w:instrText>
      </w:r>
      <w:r w:rsidR="00641057">
        <w:fldChar w:fldCharType="separate"/>
      </w:r>
      <w:r w:rsidR="00622E18">
        <w:rPr>
          <w:noProof/>
        </w:rPr>
        <w:t>7</w:t>
      </w:r>
      <w:r w:rsidR="00641057">
        <w:rPr>
          <w:noProof/>
        </w:rPr>
        <w:fldChar w:fldCharType="end"/>
      </w:r>
      <w:r w:rsidR="00641057">
        <w:t xml:space="preserve">. </w:t>
      </w:r>
      <w:r w:rsidR="00641057" w:rsidRPr="00323F9E">
        <w:t xml:space="preserve">Relative contribution of each covariate in explaining the global </w:t>
      </w:r>
      <w:r w:rsidR="00641057">
        <w:t>environmental suitability for dengue, chikungunya, and Zika (</w:t>
      </w:r>
      <w:r>
        <w:rPr>
          <w:rFonts w:hint="eastAsia"/>
          <w:lang w:eastAsia="ko-KR"/>
        </w:rPr>
        <w:t>a</w:t>
      </w:r>
      <w:r w:rsidR="00641057">
        <w:t xml:space="preserve">); partial dependence plots </w:t>
      </w:r>
      <w:r w:rsidR="00641057">
        <w:rPr>
          <w:rStyle w:val="issue-underline"/>
        </w:rPr>
        <w:t>showing the effects of each covariate on the overall response and their 95%</w:t>
      </w:r>
      <w:r w:rsidR="00641057">
        <w:rPr>
          <w:rStyle w:val="issue-underline"/>
          <w:rFonts w:hint="eastAsia"/>
          <w:lang w:eastAsia="ko-KR"/>
        </w:rPr>
        <w:t xml:space="preserve"> confidence intervals (</w:t>
      </w:r>
      <w:r>
        <w:rPr>
          <w:rStyle w:val="issue-underline"/>
          <w:rFonts w:hint="eastAsia"/>
          <w:lang w:eastAsia="ko-KR"/>
        </w:rPr>
        <w:t>b</w:t>
      </w:r>
      <w:r w:rsidR="00641057">
        <w:rPr>
          <w:rStyle w:val="issue-underline"/>
          <w:rFonts w:hint="eastAsia"/>
          <w:lang w:eastAsia="ko-KR"/>
        </w:rPr>
        <w:t>).</w:t>
      </w:r>
      <w:bookmarkEnd w:id="16"/>
      <w:r w:rsidR="00641057">
        <w:rPr>
          <w:rStyle w:val="issue-underline"/>
        </w:rPr>
        <w:t xml:space="preserve"> </w:t>
      </w:r>
    </w:p>
    <w:p w14:paraId="3AD4E9B5" w14:textId="77777777" w:rsidR="00641057" w:rsidRDefault="00641057" w:rsidP="00641057">
      <w:pPr>
        <w:keepNext/>
      </w:pPr>
      <w:r>
        <w:rPr>
          <w:noProof/>
        </w:rPr>
        <w:lastRenderedPageBreak/>
        <w:drawing>
          <wp:inline distT="0" distB="0" distL="0" distR="0" wp14:anchorId="1ED4EA25" wp14:editId="18F53B57">
            <wp:extent cx="6052459" cy="6052459"/>
            <wp:effectExtent l="0" t="0" r="5715" b="5715"/>
            <wp:docPr id="16677554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5549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52459" cy="6052459"/>
                    </a:xfrm>
                    <a:prstGeom prst="rect">
                      <a:avLst/>
                    </a:prstGeom>
                  </pic:spPr>
                </pic:pic>
              </a:graphicData>
            </a:graphic>
          </wp:inline>
        </w:drawing>
      </w:r>
    </w:p>
    <w:p w14:paraId="15169814" w14:textId="5ABAE844" w:rsidR="00641057" w:rsidRDefault="00C25391" w:rsidP="00641057">
      <w:pPr>
        <w:pStyle w:val="Heading2"/>
      </w:pPr>
      <w:bookmarkStart w:id="17" w:name="_Toc168329368"/>
      <w:r>
        <w:rPr>
          <w:rFonts w:hint="eastAsia"/>
          <w:lang w:eastAsia="ko-KR"/>
        </w:rPr>
        <w:t xml:space="preserve">Supplementary </w:t>
      </w:r>
      <w:r w:rsidR="00641057">
        <w:t xml:space="preserve">Figure </w:t>
      </w:r>
      <w:r w:rsidR="00641057">
        <w:fldChar w:fldCharType="begin"/>
      </w:r>
      <w:r w:rsidR="00641057">
        <w:instrText xml:space="preserve"> SEQ Figure \* ARABIC </w:instrText>
      </w:r>
      <w:r w:rsidR="00641057">
        <w:fldChar w:fldCharType="separate"/>
      </w:r>
      <w:r w:rsidR="00622E18">
        <w:rPr>
          <w:noProof/>
        </w:rPr>
        <w:t>8</w:t>
      </w:r>
      <w:r w:rsidR="00641057">
        <w:fldChar w:fldCharType="end"/>
      </w:r>
      <w:r w:rsidR="00641057">
        <w:t xml:space="preserve">. Model predicted </w:t>
      </w:r>
      <w:r w:rsidR="00641057">
        <w:rPr>
          <w:rFonts w:hint="eastAsia"/>
          <w:lang w:eastAsia="ko-KR"/>
        </w:rPr>
        <w:t>environmental suitability</w:t>
      </w:r>
      <w:r w:rsidR="00641057">
        <w:t xml:space="preserve"> of dengue (</w:t>
      </w:r>
      <w:r w:rsidR="000660D1">
        <w:rPr>
          <w:rFonts w:hint="eastAsia"/>
          <w:lang w:eastAsia="ko-KR"/>
        </w:rPr>
        <w:t>a</w:t>
      </w:r>
      <w:r w:rsidR="00641057">
        <w:t>), chikungunya (</w:t>
      </w:r>
      <w:r w:rsidR="000660D1">
        <w:rPr>
          <w:rFonts w:hint="eastAsia"/>
          <w:lang w:eastAsia="ko-KR"/>
        </w:rPr>
        <w:t>b</w:t>
      </w:r>
      <w:r w:rsidR="00641057">
        <w:t>), and Zika (</w:t>
      </w:r>
      <w:r w:rsidR="000660D1">
        <w:rPr>
          <w:rFonts w:hint="eastAsia"/>
          <w:lang w:eastAsia="ko-KR"/>
        </w:rPr>
        <w:t>c</w:t>
      </w:r>
      <w:r w:rsidR="00641057">
        <w:t>). Areas without a suitable temperature range for transmission have been set to 0.</w:t>
      </w:r>
      <w:bookmarkEnd w:id="17"/>
      <w:r w:rsidR="00641057">
        <w:t xml:space="preserve">  </w:t>
      </w:r>
    </w:p>
    <w:p w14:paraId="276B32D7" w14:textId="77777777" w:rsidR="00641057" w:rsidRDefault="00641057">
      <w:pPr>
        <w:spacing w:after="160" w:line="259" w:lineRule="auto"/>
        <w:rPr>
          <w:rFonts w:asciiTheme="majorHAnsi" w:eastAsiaTheme="majorEastAsia" w:hAnsiTheme="majorHAnsi" w:cstheme="majorBidi"/>
          <w:color w:val="2F5496" w:themeColor="accent1" w:themeShade="BF"/>
          <w:szCs w:val="26"/>
        </w:rPr>
      </w:pPr>
      <w:r>
        <w:br w:type="page"/>
      </w:r>
    </w:p>
    <w:p w14:paraId="568A3739" w14:textId="77777777" w:rsidR="00641057" w:rsidRDefault="00641057" w:rsidP="00641057">
      <w:pPr>
        <w:keepNext/>
      </w:pPr>
      <w:r>
        <w:rPr>
          <w:noProof/>
        </w:rPr>
        <w:lastRenderedPageBreak/>
        <w:drawing>
          <wp:inline distT="0" distB="0" distL="0" distR="0" wp14:anchorId="7663BA8D" wp14:editId="41FF0279">
            <wp:extent cx="5961468" cy="4471102"/>
            <wp:effectExtent l="0" t="0" r="1270" b="5715"/>
            <wp:docPr id="2054602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02797"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61468" cy="4471102"/>
                    </a:xfrm>
                    <a:prstGeom prst="rect">
                      <a:avLst/>
                    </a:prstGeom>
                    <a:noFill/>
                    <a:ln>
                      <a:noFill/>
                    </a:ln>
                  </pic:spPr>
                </pic:pic>
              </a:graphicData>
            </a:graphic>
          </wp:inline>
        </w:drawing>
      </w:r>
    </w:p>
    <w:p w14:paraId="0F756CBD" w14:textId="7EB0C2EE" w:rsidR="00641057" w:rsidRDefault="2962DED7" w:rsidP="00641057">
      <w:pPr>
        <w:pStyle w:val="Heading2"/>
        <w:rPr>
          <w:lang w:eastAsia="ko-KR"/>
        </w:rPr>
      </w:pPr>
      <w:bookmarkStart w:id="18" w:name="_Toc168329369"/>
      <w:r w:rsidRPr="0165BA34">
        <w:rPr>
          <w:lang w:eastAsia="ko-KR"/>
        </w:rPr>
        <w:t xml:space="preserve">Supplementary </w:t>
      </w:r>
      <w:r>
        <w:t xml:space="preserve">Figure </w:t>
      </w:r>
      <w:r w:rsidR="00C25391">
        <w:fldChar w:fldCharType="begin"/>
      </w:r>
      <w:r w:rsidR="00C25391">
        <w:instrText xml:space="preserve"> SEQ Figure \* ARABIC </w:instrText>
      </w:r>
      <w:r w:rsidR="00C25391">
        <w:fldChar w:fldCharType="separate"/>
      </w:r>
      <w:r w:rsidRPr="0165BA34">
        <w:rPr>
          <w:noProof/>
        </w:rPr>
        <w:t>9</w:t>
      </w:r>
      <w:r w:rsidR="00C25391">
        <w:fldChar w:fldCharType="end"/>
      </w:r>
      <w:r w:rsidRPr="0165BA34">
        <w:rPr>
          <w:lang w:eastAsia="ko-KR"/>
        </w:rPr>
        <w:t>. A comparison of arbovirus model performance with and without disease-specific thermal suitability included as a covariate.</w:t>
      </w:r>
      <w:bookmarkEnd w:id="18"/>
      <w:r w:rsidRPr="0165BA34">
        <w:rPr>
          <w:lang w:eastAsia="ko-KR"/>
        </w:rPr>
        <w:t xml:space="preserve"> </w:t>
      </w:r>
    </w:p>
    <w:p w14:paraId="26D938C6" w14:textId="2A12764C" w:rsidR="00641057" w:rsidRDefault="00641057" w:rsidP="00641057">
      <w:pPr>
        <w:rPr>
          <w:sz w:val="20"/>
          <w:szCs w:val="20"/>
          <w:lang w:eastAsia="ko-KR"/>
        </w:rPr>
      </w:pPr>
      <w:r w:rsidRPr="00845350">
        <w:rPr>
          <w:sz w:val="20"/>
          <w:szCs w:val="20"/>
        </w:rPr>
        <w:t>Heatmap</w:t>
      </w:r>
      <w:r w:rsidRPr="00845350">
        <w:rPr>
          <w:rFonts w:hint="eastAsia"/>
          <w:sz w:val="20"/>
          <w:szCs w:val="20"/>
          <w:lang w:eastAsia="ko-KR"/>
        </w:rPr>
        <w:t>s</w:t>
      </w:r>
      <w:r w:rsidRPr="00845350">
        <w:rPr>
          <w:sz w:val="20"/>
          <w:szCs w:val="20"/>
        </w:rPr>
        <w:t xml:space="preserve"> show the</w:t>
      </w:r>
      <w:r w:rsidRPr="00845350">
        <w:rPr>
          <w:rFonts w:hint="eastAsia"/>
          <w:sz w:val="20"/>
          <w:szCs w:val="20"/>
          <w:lang w:eastAsia="ko-KR"/>
        </w:rPr>
        <w:t xml:space="preserve"> model performance metrics, including Area Under the Curve (AUC), sensitivity and specificity across the world, stratified by disease (</w:t>
      </w:r>
      <w:r w:rsidR="00C25391">
        <w:rPr>
          <w:rFonts w:hint="eastAsia"/>
          <w:sz w:val="20"/>
          <w:szCs w:val="20"/>
          <w:lang w:eastAsia="ko-KR"/>
        </w:rPr>
        <w:t>a</w:t>
      </w:r>
      <w:r w:rsidRPr="00845350">
        <w:rPr>
          <w:rFonts w:hint="eastAsia"/>
          <w:sz w:val="20"/>
          <w:szCs w:val="20"/>
          <w:lang w:eastAsia="ko-KR"/>
        </w:rPr>
        <w:t>) and AUC only stratified by region and disease (</w:t>
      </w:r>
      <w:r w:rsidR="00C25391">
        <w:rPr>
          <w:rFonts w:hint="eastAsia"/>
          <w:sz w:val="20"/>
          <w:szCs w:val="20"/>
          <w:lang w:eastAsia="ko-KR"/>
        </w:rPr>
        <w:t>b</w:t>
      </w:r>
      <w:r w:rsidRPr="00845350">
        <w:rPr>
          <w:rFonts w:hint="eastAsia"/>
          <w:sz w:val="20"/>
          <w:szCs w:val="20"/>
          <w:lang w:eastAsia="ko-KR"/>
        </w:rPr>
        <w:t xml:space="preserve">). </w:t>
      </w:r>
      <w:r w:rsidRPr="00845350">
        <w:rPr>
          <w:sz w:val="20"/>
          <w:szCs w:val="20"/>
          <w:lang w:eastAsia="ko-KR"/>
        </w:rPr>
        <w:t>We assess the performance of the base model</w:t>
      </w:r>
      <w:r>
        <w:rPr>
          <w:rFonts w:hint="eastAsia"/>
          <w:sz w:val="20"/>
          <w:szCs w:val="20"/>
          <w:lang w:eastAsia="ko-KR"/>
        </w:rPr>
        <w:t xml:space="preserve"> (the model presented </w:t>
      </w:r>
      <w:r>
        <w:rPr>
          <w:sz w:val="20"/>
          <w:szCs w:val="20"/>
          <w:lang w:eastAsia="ko-KR"/>
        </w:rPr>
        <w:t>throughout</w:t>
      </w:r>
      <w:r>
        <w:rPr>
          <w:rFonts w:hint="eastAsia"/>
          <w:sz w:val="20"/>
          <w:szCs w:val="20"/>
          <w:lang w:eastAsia="ko-KR"/>
        </w:rPr>
        <w:t xml:space="preserve"> the manuscript)</w:t>
      </w:r>
      <w:r w:rsidRPr="00845350">
        <w:rPr>
          <w:sz w:val="20"/>
          <w:szCs w:val="20"/>
          <w:lang w:eastAsia="ko-KR"/>
        </w:rPr>
        <w:t xml:space="preserve"> against models </w:t>
      </w:r>
      <w:r>
        <w:rPr>
          <w:rFonts w:hint="eastAsia"/>
          <w:sz w:val="20"/>
          <w:szCs w:val="20"/>
          <w:lang w:eastAsia="ko-KR"/>
        </w:rPr>
        <w:t>incorporated</w:t>
      </w:r>
      <w:r w:rsidRPr="00845350">
        <w:rPr>
          <w:sz w:val="20"/>
          <w:szCs w:val="20"/>
          <w:lang w:eastAsia="ko-KR"/>
        </w:rPr>
        <w:t xml:space="preserve"> </w:t>
      </w:r>
      <w:r>
        <w:rPr>
          <w:rFonts w:hint="eastAsia"/>
          <w:sz w:val="20"/>
          <w:szCs w:val="20"/>
          <w:lang w:eastAsia="ko-KR"/>
        </w:rPr>
        <w:t>alternative specifications between temperature and transmission risk</w:t>
      </w:r>
      <w:r>
        <w:rPr>
          <w:sz w:val="20"/>
          <w:szCs w:val="20"/>
          <w:lang w:eastAsia="ko-KR"/>
        </w:rPr>
        <w:fldChar w:fldCharType="begin"/>
      </w:r>
      <w:r w:rsidR="00CC3778">
        <w:rPr>
          <w:sz w:val="20"/>
          <w:szCs w:val="20"/>
          <w:lang w:eastAsia="ko-KR"/>
        </w:rPr>
        <w:instrText xml:space="preserve"> ADDIN ZOTERO_ITEM CSL_CITATION {"citationID":"8R51ibsw","properties":{"formattedCitation":"\\super 32,33\\nosupersub{}","plainCitation":"32,33","noteIndex":0},"citationItems":[{"id":8988,"uris":["http://zotero.org/users/9849050/items/2Y8GFI45"],"itemData":{"id":8988,"type":"article-journal","abstract":"Forecasting the impacts of climate change on Aedes-borne viruses—especially dengue, chikungunya, and Zika—is a key component of public health preparedness. We apply an empirically parameterized model of viral transmission by the vectors Aedes aegypti and Ae. albopictus, as a function of temperature, to predict cumulative monthly global transmission risk in current climates, and compare them with projected risk in 2050 and 2080 based on general circulation models (GCMs). Our results show that if mosquito range shifts track optimal temperature ranges for transmission (21.3–34.0°C for Ae. aegypti; 19.9–29.4°C for Ae. albopictus), we can expect poleward shifts in Aedes-borne virus distributions. However, the differing thermal niches of the two vectors produce different patterns of shifts under climate change. More severe climate change scenarios produce larger population exposures to transmission by Ae. aegypti, but not by Ae. albopictus in the most extreme cases. Climate-driven risk of transmission from both mosquitoes will increase substantially, even in the short term, for most of Europe. In contrast, significant reductions in climate suitability are expected for Ae. albopictus, most noticeably in southeast Asia and west Africa. Within the next century, nearly a billion people are threatened with new exposure to virus transmission by both Aedes spp. in the worst-case scenario. As major net losses in year-round transmission risk are predicted for Ae. albopictus, we project a global shift towards more seasonal risk across regions. Many other complicating factors (like mosquito range limits and viral evolution) exist, but overall our results indicate that while climate change will lead to increased net and new exposures to Aedes-borne viruses, the most extreme increases in Ae. albopictus transmission are predicted to occur at intermediate climate change scenarios.","container-title":"PLOS Neglected Tropical Diseases","DOI":"10.1371/JOURNAL.PNTD.0007213","ISSN":"1935-2735","issue":"3","note":"ISBN: 1111111111\npublisher: Public Library of Science\nPMID: 30921321","page":"e0007213","title":"Global expansion and redistribution of Aedes-borne virus transmission risk with climate change","volume":"13","author":[{"family":"Ryan","given":"Sadie J."},{"family":"Carlson","given":"Colin J."},{"family":"Mordecai","given":"Erin A."},{"family":"Johnson","given":"Leah R."}],"issued":{"date-parts":[["2019",3]]}}},{"id":10955,"uris":["http://zotero.org/users/9849050/items/5U52E7S6"],"itemData":{"id":10955,"type":"article-journal","abstract":"In the aftermath of the 2015 pandemic of Zika virus (ZIKV), concerns over links between climate change and emerging arboviruses have become more pressing. Given the potential that much of the world might remain at risk from the virus, we used a previously established temperature‐dependent transmission model for ZIKV to project climate change impacts on transmission suitability risk by mid‐century (a generation into the future). Based on these model predictions, in the worst‐case scenario, over 1.3 billion new people could face suitable transmission temperatures for ZIKV by 2050. The next generation will face substantially increased ZIKV transmission temperature suitability in North America and Europe, where naïve populations might be particularly vulnerable. Mitigating climate change even to moderate emissions scenarios could significantly reduce global expansion of climates suitable for ZIKV transmission, potentially protecting around 200 million people. Given these suitability risk projections, we suggest an increased priority on research establishing the immune history of vulnerable populations, modeling when and where the next ZIKV outbreak might occur, evaluating the efficacy of conventional and novel intervention measures, and increasing surveillance efforts to prevent further expansion of ZIKV., In the aftermath of the 2015 pandemic of Zika virus (ZIKV), concerns over links between climate change and emerging arboviruses have become more pressing. We examined how global warming could create the conditions for future Zika outbreaks by mid‐century, by which time a new generation will lack the immunity to prevent the virus's resurgence. In our worst‐case scenario, over 1.3 billion new people could be at risk for ZIKV transmission by 2050, especially in North America and Europe, where naïve populations might be particularly vulnerable.","archive":"6793","container-title":"Global Change Biology","DOI":"10.1111/gcb.15384","ISSN":"1354-1013","issue":"1","journalAbbreviation":"Glob Chang Biol","note":"PMID: 33037740\nPMCID: PMC7756632","page":"84-93","source":"PubMed Central","title":"Warming temperatures could expose more than 1.3 billion new people to Zika virus risk by 2050","volume":"27","author":[{"family":"Ryan","given":"Sadie J."},{"family":"Carlson","given":"Colin J."},{"family":"Tesla","given":"Blanka"},{"family":"Bonds","given":"Matthew H."},{"family":"Ngonghala","given":"Calistus N."},{"family":"Mordecai","given":"Erin A."},{"family":"Johnson","given":"Leah R."},{"family":"Murdock","given":"Courtney C."}],"issued":{"date-parts":[["2021",1]]}}}],"schema":"https://github.com/citation-style-language/schema/raw/master/csl-citation.json"} </w:instrText>
      </w:r>
      <w:r>
        <w:rPr>
          <w:sz w:val="20"/>
          <w:szCs w:val="20"/>
          <w:lang w:eastAsia="ko-KR"/>
        </w:rPr>
        <w:fldChar w:fldCharType="separate"/>
      </w:r>
      <w:r w:rsidR="00CC3778" w:rsidRPr="00CC3778">
        <w:rPr>
          <w:rFonts w:ascii="Calibri" w:hAnsi="Calibri" w:cs="Calibri"/>
          <w:kern w:val="0"/>
          <w:sz w:val="20"/>
          <w:vertAlign w:val="superscript"/>
        </w:rPr>
        <w:t>32,33</w:t>
      </w:r>
      <w:r>
        <w:rPr>
          <w:sz w:val="20"/>
          <w:szCs w:val="20"/>
          <w:lang w:eastAsia="ko-KR"/>
        </w:rPr>
        <w:fldChar w:fldCharType="end"/>
      </w:r>
      <w:r>
        <w:rPr>
          <w:rFonts w:hint="eastAsia"/>
          <w:sz w:val="20"/>
          <w:szCs w:val="20"/>
          <w:lang w:eastAsia="ko-KR"/>
        </w:rPr>
        <w:t xml:space="preserve">. </w:t>
      </w:r>
      <w:r w:rsidRPr="00845350">
        <w:rPr>
          <w:sz w:val="20"/>
          <w:szCs w:val="20"/>
          <w:lang w:eastAsia="ko-KR"/>
        </w:rPr>
        <w:t xml:space="preserve">Specifically, we compare the base model with two variants: one </w:t>
      </w:r>
      <w:r>
        <w:rPr>
          <w:rFonts w:hint="eastAsia"/>
          <w:sz w:val="20"/>
          <w:szCs w:val="20"/>
          <w:lang w:eastAsia="ko-KR"/>
        </w:rPr>
        <w:t xml:space="preserve">with the temperature suitability layer in the base model replaced by </w:t>
      </w:r>
      <w:r w:rsidRPr="00845350">
        <w:rPr>
          <w:sz w:val="20"/>
          <w:szCs w:val="20"/>
          <w:lang w:eastAsia="ko-KR"/>
        </w:rPr>
        <w:t xml:space="preserve">thermal suitability for dengue in </w:t>
      </w:r>
      <w:r w:rsidRPr="00845350">
        <w:rPr>
          <w:i/>
          <w:iCs/>
          <w:sz w:val="20"/>
          <w:szCs w:val="20"/>
          <w:lang w:eastAsia="ko-KR"/>
        </w:rPr>
        <w:t>Aedes aegypti</w:t>
      </w:r>
      <w:r>
        <w:rPr>
          <w:sz w:val="20"/>
          <w:szCs w:val="20"/>
          <w:lang w:eastAsia="ko-KR"/>
        </w:rPr>
        <w:fldChar w:fldCharType="begin"/>
      </w:r>
      <w:r w:rsidR="00CC3778">
        <w:rPr>
          <w:sz w:val="20"/>
          <w:szCs w:val="20"/>
          <w:lang w:eastAsia="ko-KR"/>
        </w:rPr>
        <w:instrText xml:space="preserve"> ADDIN ZOTERO_ITEM CSL_CITATION {"citationID":"vY3zgCd0","properties":{"formattedCitation":"\\super 34\\nosupersub{}","plainCitation":"34","noteIndex":0},"citationItems":[{"id":12878,"uris":["http://zotero.org/users/9849050/items/3KHE8XIZ"],"itemData":{"id":12878,"type":"dataset","abstract":"This dataset contains the current global distributed predicted number of months suitable for transmission of dengue by Aedes aegypti mosquitoes per pixel (5 arc minutes - approximately 10km sq at the equator). Please refer to the accompanying publication for details.","DOI":"10.7910/DVN/NSG5UH","language":"en","license":"CC0","publisher":"Harvard Dataverse","source":"Harvard Dataverse","title":"Global current Aedes aegypti suitability for dengue transmission at 97.5% CI (5 arc minutes)","URL":"https://dataverse.harvard.edu/dataset.xhtml?persistentId=doi:10.7910/DVN/NSG5UH","version":"2","author":[{"family":"Ryan","given":"Sadie"}],"accessed":{"date-parts":[["2024",4,10]]},"issued":{"date-parts":[["2019",11,11]]}}}],"schema":"https://github.com/citation-style-language/schema/raw/master/csl-citation.json"} </w:instrText>
      </w:r>
      <w:r>
        <w:rPr>
          <w:sz w:val="20"/>
          <w:szCs w:val="20"/>
          <w:lang w:eastAsia="ko-KR"/>
        </w:rPr>
        <w:fldChar w:fldCharType="separate"/>
      </w:r>
      <w:r w:rsidR="00CC3778" w:rsidRPr="00CC3778">
        <w:rPr>
          <w:rFonts w:ascii="Calibri" w:hAnsi="Calibri" w:cs="Calibri"/>
          <w:kern w:val="0"/>
          <w:sz w:val="20"/>
          <w:vertAlign w:val="superscript"/>
        </w:rPr>
        <w:t>34</w:t>
      </w:r>
      <w:r>
        <w:rPr>
          <w:sz w:val="20"/>
          <w:szCs w:val="20"/>
          <w:lang w:eastAsia="ko-KR"/>
        </w:rPr>
        <w:fldChar w:fldCharType="end"/>
      </w:r>
      <w:r w:rsidRPr="00845350">
        <w:rPr>
          <w:sz w:val="20"/>
          <w:szCs w:val="20"/>
          <w:lang w:eastAsia="ko-KR"/>
        </w:rPr>
        <w:t xml:space="preserve"> ("</w:t>
      </w:r>
      <w:proofErr w:type="spellStart"/>
      <w:r w:rsidRPr="00845350">
        <w:rPr>
          <w:sz w:val="20"/>
          <w:szCs w:val="20"/>
          <w:lang w:eastAsia="ko-KR"/>
        </w:rPr>
        <w:t>DEN_ae</w:t>
      </w:r>
      <w:proofErr w:type="spellEnd"/>
      <w:r w:rsidRPr="00845350">
        <w:rPr>
          <w:sz w:val="20"/>
          <w:szCs w:val="20"/>
          <w:lang w:eastAsia="ko-KR"/>
        </w:rPr>
        <w:t xml:space="preserve">") and </w:t>
      </w:r>
      <w:r>
        <w:rPr>
          <w:rFonts w:hint="eastAsia"/>
          <w:sz w:val="20"/>
          <w:szCs w:val="20"/>
          <w:lang w:eastAsia="ko-KR"/>
        </w:rPr>
        <w:t>another i</w:t>
      </w:r>
      <w:r w:rsidRPr="00845350">
        <w:rPr>
          <w:sz w:val="20"/>
          <w:szCs w:val="20"/>
          <w:lang w:eastAsia="ko-KR"/>
        </w:rPr>
        <w:t>n</w:t>
      </w:r>
      <w:r>
        <w:rPr>
          <w:rFonts w:hint="eastAsia"/>
          <w:sz w:val="20"/>
          <w:szCs w:val="20"/>
          <w:lang w:eastAsia="ko-KR"/>
        </w:rPr>
        <w:t>clud</w:t>
      </w:r>
      <w:r w:rsidRPr="00845350">
        <w:rPr>
          <w:sz w:val="20"/>
          <w:szCs w:val="20"/>
          <w:lang w:eastAsia="ko-KR"/>
        </w:rPr>
        <w:t xml:space="preserve">ing suitability layers for both dengue and Zika in </w:t>
      </w:r>
      <w:r w:rsidRPr="00845350">
        <w:rPr>
          <w:i/>
          <w:iCs/>
          <w:sz w:val="20"/>
          <w:szCs w:val="20"/>
          <w:lang w:eastAsia="ko-KR"/>
        </w:rPr>
        <w:t xml:space="preserve">Ae. </w:t>
      </w:r>
      <w:r w:rsidRPr="00845350">
        <w:rPr>
          <w:rFonts w:hint="eastAsia"/>
          <w:i/>
          <w:iCs/>
          <w:sz w:val="20"/>
          <w:szCs w:val="20"/>
          <w:lang w:eastAsia="ko-KR"/>
        </w:rPr>
        <w:t>a</w:t>
      </w:r>
      <w:r w:rsidRPr="00845350">
        <w:rPr>
          <w:i/>
          <w:iCs/>
          <w:sz w:val="20"/>
          <w:szCs w:val="20"/>
          <w:lang w:eastAsia="ko-KR"/>
        </w:rPr>
        <w:t>egypti</w:t>
      </w:r>
      <w:r w:rsidRPr="00845350">
        <w:rPr>
          <w:sz w:val="20"/>
          <w:szCs w:val="20"/>
          <w:lang w:eastAsia="ko-KR"/>
        </w:rPr>
        <w:t xml:space="preserve"> ("</w:t>
      </w:r>
      <w:proofErr w:type="spellStart"/>
      <w:r w:rsidRPr="00845350">
        <w:rPr>
          <w:sz w:val="20"/>
          <w:szCs w:val="20"/>
          <w:lang w:eastAsia="ko-KR"/>
        </w:rPr>
        <w:t>DEN_ZIK_ae</w:t>
      </w:r>
      <w:proofErr w:type="spellEnd"/>
      <w:r w:rsidRPr="00845350">
        <w:rPr>
          <w:sz w:val="20"/>
          <w:szCs w:val="20"/>
          <w:lang w:eastAsia="ko-KR"/>
        </w:rPr>
        <w:t>")</w:t>
      </w:r>
      <w:r>
        <w:rPr>
          <w:sz w:val="20"/>
          <w:szCs w:val="20"/>
          <w:lang w:eastAsia="ko-KR"/>
        </w:rPr>
        <w:fldChar w:fldCharType="begin"/>
      </w:r>
      <w:r w:rsidR="00CC3778">
        <w:rPr>
          <w:sz w:val="20"/>
          <w:szCs w:val="20"/>
          <w:lang w:eastAsia="ko-KR"/>
        </w:rPr>
        <w:instrText xml:space="preserve"> ADDIN ZOTERO_ITEM CSL_CITATION {"citationID":"SFxln3Ri","properties":{"formattedCitation":"\\super 35\\nosupersub{}","plainCitation":"35","noteIndex":0},"citationItems":[{"id":12874,"uris":["http://zotero.org/users/9849050/items/25KSCNAC"],"itemData":{"id":12874,"type":"dataset","abstract":"This dataset contains the current global distributed predicted number of months suitable for transmission of Zika by Aedes aegypti mosquitoes per pixel (5 arc minutes - approximately 10km sq at the equator). Please refer to the accompanying publication for details.","DOI":"10.7910/DVN/TK041G","language":"en","license":"CC0","publisher":"Harvard Dataverse","source":"Harvard Dataverse","title":"Global current suitability for Aedes aegypti transmitted Zika at 97.5% CI (5 arc minutes)","URL":"https://dataverse.harvard.edu/dataset.xhtml?persistentId=doi:10.7910/DVN/TK041G","author":[{"family":"Ryan","given":"Sadie"}],"accessed":{"date-parts":[["2024",4,10]]},"issued":{"date-parts":[["2020",10,2]]}},"label":"page"}],"schema":"https://github.com/citation-style-language/schema/raw/master/csl-citation.json"} </w:instrText>
      </w:r>
      <w:r>
        <w:rPr>
          <w:sz w:val="20"/>
          <w:szCs w:val="20"/>
          <w:lang w:eastAsia="ko-KR"/>
        </w:rPr>
        <w:fldChar w:fldCharType="separate"/>
      </w:r>
      <w:r w:rsidR="00CC3778" w:rsidRPr="00CC3778">
        <w:rPr>
          <w:rFonts w:ascii="Calibri" w:hAnsi="Calibri" w:cs="Calibri"/>
          <w:kern w:val="0"/>
          <w:sz w:val="20"/>
          <w:vertAlign w:val="superscript"/>
        </w:rPr>
        <w:t>35</w:t>
      </w:r>
      <w:r>
        <w:rPr>
          <w:sz w:val="20"/>
          <w:szCs w:val="20"/>
          <w:lang w:eastAsia="ko-KR"/>
        </w:rPr>
        <w:fldChar w:fldCharType="end"/>
      </w:r>
      <w:r w:rsidRPr="00845350">
        <w:rPr>
          <w:sz w:val="20"/>
          <w:szCs w:val="20"/>
          <w:lang w:eastAsia="ko-KR"/>
        </w:rPr>
        <w:t>.</w:t>
      </w:r>
      <w:r w:rsidRPr="00845350">
        <w:rPr>
          <w:rFonts w:hint="eastAsia"/>
          <w:sz w:val="20"/>
          <w:szCs w:val="20"/>
          <w:lang w:eastAsia="ko-KR"/>
        </w:rPr>
        <w:t xml:space="preserve"> </w:t>
      </w:r>
      <w:r>
        <w:rPr>
          <w:rFonts w:hint="eastAsia"/>
          <w:sz w:val="20"/>
          <w:szCs w:val="20"/>
          <w:lang w:eastAsia="ko-KR"/>
        </w:rPr>
        <w:t>E</w:t>
      </w:r>
      <w:r w:rsidRPr="00EB68D1">
        <w:rPr>
          <w:sz w:val="20"/>
          <w:szCs w:val="20"/>
          <w:lang w:eastAsia="ko-KR"/>
        </w:rPr>
        <w:t xml:space="preserve">ach model </w:t>
      </w:r>
      <w:r>
        <w:rPr>
          <w:rFonts w:hint="eastAsia"/>
          <w:sz w:val="20"/>
          <w:szCs w:val="20"/>
          <w:lang w:eastAsia="ko-KR"/>
        </w:rPr>
        <w:t>was assessed using</w:t>
      </w:r>
      <w:r w:rsidRPr="00EB68D1">
        <w:rPr>
          <w:sz w:val="20"/>
          <w:szCs w:val="20"/>
          <w:lang w:eastAsia="ko-KR"/>
        </w:rPr>
        <w:t xml:space="preserve"> a 50-fold block cross-validation approach</w:t>
      </w:r>
      <w:r>
        <w:rPr>
          <w:rFonts w:hint="eastAsia"/>
          <w:sz w:val="20"/>
          <w:szCs w:val="20"/>
          <w:lang w:eastAsia="ko-KR"/>
        </w:rPr>
        <w:t xml:space="preserve">, </w:t>
      </w:r>
      <w:r w:rsidR="00CF0BBB">
        <w:rPr>
          <w:rFonts w:hint="eastAsia"/>
          <w:sz w:val="20"/>
          <w:szCs w:val="20"/>
          <w:lang w:eastAsia="ko-KR"/>
        </w:rPr>
        <w:t xml:space="preserve">as </w:t>
      </w:r>
      <w:r w:rsidRPr="00974DDE">
        <w:rPr>
          <w:sz w:val="20"/>
          <w:szCs w:val="20"/>
          <w:lang w:eastAsia="ko-KR"/>
        </w:rPr>
        <w:t>detailed in the main text.</w:t>
      </w:r>
    </w:p>
    <w:p w14:paraId="34FB3E6A" w14:textId="77777777" w:rsidR="00641057" w:rsidRDefault="00641057" w:rsidP="00641057">
      <w:pPr>
        <w:spacing w:after="160" w:line="259" w:lineRule="auto"/>
        <w:rPr>
          <w:rFonts w:asciiTheme="majorHAnsi" w:eastAsiaTheme="majorEastAsia" w:hAnsiTheme="majorHAnsi" w:cstheme="majorBidi"/>
          <w:color w:val="2F5496" w:themeColor="accent1" w:themeShade="BF"/>
          <w:szCs w:val="26"/>
        </w:rPr>
      </w:pPr>
      <w:r>
        <w:br w:type="page"/>
      </w:r>
    </w:p>
    <w:p w14:paraId="22B8B565" w14:textId="1A22FC8C" w:rsidR="00AC7597" w:rsidRDefault="00AC7597">
      <w:pPr>
        <w:spacing w:after="160" w:line="259" w:lineRule="auto"/>
        <w:rPr>
          <w:rFonts w:asciiTheme="majorHAnsi" w:eastAsiaTheme="majorEastAsia" w:hAnsiTheme="majorHAnsi" w:cstheme="majorBidi"/>
          <w:color w:val="2F5496" w:themeColor="accent1" w:themeShade="BF"/>
          <w:szCs w:val="26"/>
        </w:rPr>
      </w:pPr>
    </w:p>
    <w:p w14:paraId="2D0DE97F" w14:textId="77777777" w:rsidR="004B4C3F" w:rsidRDefault="008E70CF" w:rsidP="004B4C3F">
      <w:pPr>
        <w:keepNext/>
      </w:pPr>
      <w:r>
        <w:rPr>
          <w:noProof/>
        </w:rPr>
        <w:drawing>
          <wp:inline distT="0" distB="0" distL="0" distR="0" wp14:anchorId="6926196F" wp14:editId="7D574B6B">
            <wp:extent cx="6131259" cy="3065630"/>
            <wp:effectExtent l="0" t="0" r="3175" b="1905"/>
            <wp:docPr id="1072862322" name="Picture 107286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62322" name="Picture 107286232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31259" cy="3065630"/>
                    </a:xfrm>
                    <a:prstGeom prst="rect">
                      <a:avLst/>
                    </a:prstGeom>
                    <a:noFill/>
                    <a:ln>
                      <a:noFill/>
                    </a:ln>
                  </pic:spPr>
                </pic:pic>
              </a:graphicData>
            </a:graphic>
          </wp:inline>
        </w:drawing>
      </w:r>
    </w:p>
    <w:p w14:paraId="3F74B70A" w14:textId="371CACC6" w:rsidR="00AC7597" w:rsidRDefault="00C25391" w:rsidP="002872E0">
      <w:pPr>
        <w:pStyle w:val="Heading2"/>
      </w:pPr>
      <w:bookmarkStart w:id="19" w:name="_Toc168329370"/>
      <w:r>
        <w:rPr>
          <w:rFonts w:hint="eastAsia"/>
          <w:lang w:eastAsia="ko-KR"/>
        </w:rPr>
        <w:t xml:space="preserve">Supplementary </w:t>
      </w:r>
      <w:r w:rsidR="003C4895">
        <w:t xml:space="preserve">Figure </w:t>
      </w:r>
      <w:r w:rsidR="003C4895">
        <w:fldChar w:fldCharType="begin"/>
      </w:r>
      <w:r w:rsidR="003C4895">
        <w:instrText xml:space="preserve"> SEQ Figure \* ARABIC </w:instrText>
      </w:r>
      <w:r w:rsidR="003C4895">
        <w:fldChar w:fldCharType="separate"/>
      </w:r>
      <w:r w:rsidR="00622E18">
        <w:rPr>
          <w:noProof/>
        </w:rPr>
        <w:t>10</w:t>
      </w:r>
      <w:r w:rsidR="003C4895">
        <w:rPr>
          <w:noProof/>
        </w:rPr>
        <w:fldChar w:fldCharType="end"/>
      </w:r>
      <w:r w:rsidR="003C4895">
        <w:t xml:space="preserve">. The degree of uncertainty </w:t>
      </w:r>
      <w:r w:rsidR="00447039">
        <w:t xml:space="preserve">(interquartile range of 100 predictions) </w:t>
      </w:r>
      <w:r w:rsidR="003C4895">
        <w:t>around dengue</w:t>
      </w:r>
      <w:r w:rsidR="001C04EE">
        <w:t xml:space="preserve"> (</w:t>
      </w:r>
      <w:r w:rsidR="000660D1">
        <w:rPr>
          <w:rFonts w:hint="eastAsia"/>
          <w:lang w:eastAsia="ko-KR"/>
        </w:rPr>
        <w:t>a</w:t>
      </w:r>
      <w:r w:rsidR="001C04EE">
        <w:t>)</w:t>
      </w:r>
      <w:r w:rsidR="003C4895">
        <w:t>, chikungunya</w:t>
      </w:r>
      <w:r w:rsidR="001C04EE">
        <w:t xml:space="preserve"> (</w:t>
      </w:r>
      <w:r w:rsidR="000660D1">
        <w:rPr>
          <w:rFonts w:hint="eastAsia"/>
          <w:lang w:eastAsia="ko-KR"/>
        </w:rPr>
        <w:t>b</w:t>
      </w:r>
      <w:r w:rsidR="001C04EE">
        <w:t>)</w:t>
      </w:r>
      <w:r w:rsidR="003C4895">
        <w:t>, Zika</w:t>
      </w:r>
      <w:r w:rsidR="001C04EE">
        <w:t xml:space="preserve"> (</w:t>
      </w:r>
      <w:r w:rsidR="000660D1">
        <w:rPr>
          <w:rFonts w:hint="eastAsia"/>
          <w:lang w:eastAsia="ko-KR"/>
        </w:rPr>
        <w:t>c</w:t>
      </w:r>
      <w:r w:rsidR="001C04EE">
        <w:t>)</w:t>
      </w:r>
      <w:r w:rsidR="003C4895">
        <w:t>, and yellow fever</w:t>
      </w:r>
      <w:r w:rsidR="001C04EE">
        <w:t xml:space="preserve"> (</w:t>
      </w:r>
      <w:r w:rsidR="000660D1">
        <w:rPr>
          <w:rFonts w:hint="eastAsia"/>
          <w:lang w:eastAsia="ko-KR"/>
        </w:rPr>
        <w:t>d</w:t>
      </w:r>
      <w:r w:rsidR="001C04EE">
        <w:t>)</w:t>
      </w:r>
      <w:r w:rsidR="003C4895">
        <w:t xml:space="preserve"> risk predictions, ranging from 0 (very little uncertainty) to 0.05 (the greatest uncertainty).</w:t>
      </w:r>
      <w:bookmarkEnd w:id="19"/>
    </w:p>
    <w:p w14:paraId="56FA147C" w14:textId="77777777" w:rsidR="00AC7597" w:rsidRDefault="00AC7597">
      <w:pPr>
        <w:spacing w:after="160" w:line="259" w:lineRule="auto"/>
        <w:rPr>
          <w:rFonts w:asciiTheme="majorHAnsi" w:eastAsiaTheme="majorEastAsia" w:hAnsiTheme="majorHAnsi" w:cstheme="majorBidi"/>
          <w:color w:val="2F5496" w:themeColor="accent1" w:themeShade="BF"/>
          <w:szCs w:val="26"/>
        </w:rPr>
      </w:pPr>
      <w:r>
        <w:br w:type="page"/>
      </w:r>
    </w:p>
    <w:p w14:paraId="0E9D14DE" w14:textId="77777777" w:rsidR="004F5D3C" w:rsidRDefault="004F5D3C" w:rsidP="004F5D3C">
      <w:pPr>
        <w:keepNext/>
      </w:pPr>
      <w:r>
        <w:rPr>
          <w:noProof/>
        </w:rPr>
        <w:lastRenderedPageBreak/>
        <w:drawing>
          <wp:inline distT="0" distB="0" distL="0" distR="0" wp14:anchorId="66A11533" wp14:editId="7D8D4976">
            <wp:extent cx="6117024" cy="3058512"/>
            <wp:effectExtent l="0" t="0" r="0" b="8890"/>
            <wp:docPr id="4591507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50705"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7024" cy="3058512"/>
                    </a:xfrm>
                    <a:prstGeom prst="rect">
                      <a:avLst/>
                    </a:prstGeom>
                  </pic:spPr>
                </pic:pic>
              </a:graphicData>
            </a:graphic>
          </wp:inline>
        </w:drawing>
      </w:r>
    </w:p>
    <w:p w14:paraId="3B3651EE" w14:textId="12DAABA9" w:rsidR="004F5D3C" w:rsidRPr="003C4895" w:rsidRDefault="00C25391" w:rsidP="002872E0">
      <w:pPr>
        <w:pStyle w:val="Heading2"/>
      </w:pPr>
      <w:bookmarkStart w:id="20" w:name="_Toc168329371"/>
      <w:r>
        <w:rPr>
          <w:rFonts w:hint="eastAsia"/>
          <w:lang w:eastAsia="ko-KR"/>
        </w:rPr>
        <w:t xml:space="preserve">Supplementary </w:t>
      </w:r>
      <w:r w:rsidR="004F5D3C">
        <w:t xml:space="preserve">Figure </w:t>
      </w:r>
      <w:r w:rsidR="004F5D3C">
        <w:fldChar w:fldCharType="begin"/>
      </w:r>
      <w:r w:rsidR="004F5D3C">
        <w:instrText xml:space="preserve"> SEQ Figure \* ARABIC </w:instrText>
      </w:r>
      <w:r w:rsidR="004F5D3C">
        <w:fldChar w:fldCharType="separate"/>
      </w:r>
      <w:r w:rsidR="00622E18">
        <w:rPr>
          <w:noProof/>
        </w:rPr>
        <w:t>11</w:t>
      </w:r>
      <w:r w:rsidR="004F5D3C">
        <w:fldChar w:fldCharType="end"/>
      </w:r>
      <w:r w:rsidR="004F5D3C">
        <w:t>. Overall and regionally-stratified model performance metrics for the arbovirus and yellow fever models, including the Area Under the Curve (AUC), sensitivity, and specificity.</w:t>
      </w:r>
      <w:bookmarkEnd w:id="20"/>
    </w:p>
    <w:p w14:paraId="2DF1E3AA" w14:textId="2A266C47" w:rsidR="002872E0" w:rsidRDefault="002872E0">
      <w:pPr>
        <w:spacing w:after="160" w:line="259" w:lineRule="auto"/>
      </w:pPr>
      <w:r>
        <w:br w:type="page"/>
      </w:r>
    </w:p>
    <w:p w14:paraId="33B7C02F" w14:textId="77777777" w:rsidR="004F5D3C" w:rsidRDefault="004F5D3C" w:rsidP="004F5D3C">
      <w:pPr>
        <w:keepNext/>
      </w:pPr>
      <w:r>
        <w:rPr>
          <w:noProof/>
        </w:rPr>
        <w:lastRenderedPageBreak/>
        <w:drawing>
          <wp:inline distT="0" distB="0" distL="0" distR="0" wp14:anchorId="2A2F5452" wp14:editId="34E6C5DC">
            <wp:extent cx="6112663" cy="3056332"/>
            <wp:effectExtent l="0" t="0" r="2540" b="0"/>
            <wp:docPr id="843261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6128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2663" cy="3056332"/>
                    </a:xfrm>
                    <a:prstGeom prst="rect">
                      <a:avLst/>
                    </a:prstGeom>
                  </pic:spPr>
                </pic:pic>
              </a:graphicData>
            </a:graphic>
          </wp:inline>
        </w:drawing>
      </w:r>
    </w:p>
    <w:p w14:paraId="2B54933B" w14:textId="46F4C6CC" w:rsidR="004F5D3C" w:rsidRDefault="00C25391" w:rsidP="002872E0">
      <w:pPr>
        <w:pStyle w:val="Heading2"/>
      </w:pPr>
      <w:bookmarkStart w:id="21" w:name="_Toc168329372"/>
      <w:r>
        <w:rPr>
          <w:rFonts w:hint="eastAsia"/>
          <w:lang w:eastAsia="ko-KR"/>
        </w:rPr>
        <w:t xml:space="preserve">Supplementary </w:t>
      </w:r>
      <w:r w:rsidR="004F5D3C">
        <w:t xml:space="preserve">Figure </w:t>
      </w:r>
      <w:r w:rsidR="004F5D3C">
        <w:fldChar w:fldCharType="begin"/>
      </w:r>
      <w:r w:rsidR="004F5D3C">
        <w:instrText xml:space="preserve"> SEQ Figure \* ARABIC </w:instrText>
      </w:r>
      <w:r w:rsidR="004F5D3C">
        <w:fldChar w:fldCharType="separate"/>
      </w:r>
      <w:r w:rsidR="00622E18">
        <w:rPr>
          <w:noProof/>
        </w:rPr>
        <w:t>12</w:t>
      </w:r>
      <w:r w:rsidR="004F5D3C">
        <w:fldChar w:fldCharType="end"/>
      </w:r>
      <w:r w:rsidR="004F5D3C">
        <w:t>. Spatial map illustrating the model performance of the arbovirus (</w:t>
      </w:r>
      <w:r>
        <w:rPr>
          <w:rFonts w:hint="eastAsia"/>
          <w:lang w:eastAsia="ko-KR"/>
        </w:rPr>
        <w:t>a</w:t>
      </w:r>
      <w:r w:rsidR="004F5D3C">
        <w:t>-</w:t>
      </w:r>
      <w:r>
        <w:rPr>
          <w:rFonts w:hint="eastAsia"/>
          <w:lang w:eastAsia="ko-KR"/>
        </w:rPr>
        <w:t>c</w:t>
      </w:r>
      <w:r w:rsidR="004F5D3C">
        <w:t>)</w:t>
      </w:r>
      <w:r w:rsidR="00B0714B">
        <w:rPr>
          <w:rFonts w:hint="eastAsia"/>
          <w:lang w:eastAsia="ko-KR"/>
        </w:rPr>
        <w:t xml:space="preserve"> </w:t>
      </w:r>
      <w:r w:rsidR="004F5D3C">
        <w:t>and yellow fever models (</w:t>
      </w:r>
      <w:r>
        <w:rPr>
          <w:rFonts w:hint="eastAsia"/>
          <w:lang w:eastAsia="ko-KR"/>
        </w:rPr>
        <w:t>d</w:t>
      </w:r>
      <w:r w:rsidR="004F5D3C">
        <w:t>), as measured by the Area Under the Curve (AUC).</w:t>
      </w:r>
      <w:bookmarkEnd w:id="21"/>
    </w:p>
    <w:p w14:paraId="5FCB2025" w14:textId="77777777" w:rsidR="004F5D3C" w:rsidRDefault="004F5D3C" w:rsidP="003C4895"/>
    <w:p w14:paraId="5BA64E1E" w14:textId="77777777" w:rsidR="000E643C" w:rsidRPr="000E643C" w:rsidRDefault="000E643C" w:rsidP="000E643C"/>
    <w:p w14:paraId="1784BD0A" w14:textId="0E3477A7" w:rsidR="00AC7597" w:rsidRDefault="00AC7597">
      <w:pPr>
        <w:spacing w:after="160" w:line="259" w:lineRule="auto"/>
      </w:pPr>
      <w:r>
        <w:br w:type="page"/>
      </w:r>
    </w:p>
    <w:p w14:paraId="47154A4C" w14:textId="6F1852EE" w:rsidR="00447039" w:rsidRDefault="00447039" w:rsidP="0027615E">
      <w:pPr>
        <w:keepNext/>
        <w:jc w:val="center"/>
      </w:pPr>
      <w:r>
        <w:rPr>
          <w:noProof/>
        </w:rPr>
        <w:lastRenderedPageBreak/>
        <w:drawing>
          <wp:inline distT="0" distB="0" distL="0" distR="0" wp14:anchorId="1B60F1CB" wp14:editId="1ED17B66">
            <wp:extent cx="5378002" cy="7887736"/>
            <wp:effectExtent l="0" t="0" r="0" b="0"/>
            <wp:docPr id="1289200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00265"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378002" cy="7887736"/>
                    </a:xfrm>
                    <a:prstGeom prst="rect">
                      <a:avLst/>
                    </a:prstGeom>
                    <a:noFill/>
                    <a:ln>
                      <a:noFill/>
                    </a:ln>
                  </pic:spPr>
                </pic:pic>
              </a:graphicData>
            </a:graphic>
          </wp:inline>
        </w:drawing>
      </w:r>
    </w:p>
    <w:p w14:paraId="16D02495" w14:textId="7294F69E" w:rsidR="00B0714B" w:rsidRDefault="00C25391" w:rsidP="002872E0">
      <w:pPr>
        <w:pStyle w:val="Heading2"/>
        <w:rPr>
          <w:rStyle w:val="issue-underline"/>
        </w:rPr>
      </w:pPr>
      <w:bookmarkStart w:id="22" w:name="_Toc168329373"/>
      <w:r>
        <w:rPr>
          <w:rFonts w:hint="eastAsia"/>
          <w:lang w:eastAsia="ko-KR"/>
        </w:rPr>
        <w:t xml:space="preserve">Supplementary </w:t>
      </w:r>
      <w:r w:rsidR="00447039">
        <w:t xml:space="preserve">Figure </w:t>
      </w:r>
      <w:r w:rsidR="00447039">
        <w:fldChar w:fldCharType="begin"/>
      </w:r>
      <w:r w:rsidR="00447039">
        <w:instrText xml:space="preserve"> SEQ Figure \* ARABIC </w:instrText>
      </w:r>
      <w:r w:rsidR="00447039">
        <w:fldChar w:fldCharType="separate"/>
      </w:r>
      <w:r w:rsidR="00622E18">
        <w:rPr>
          <w:noProof/>
        </w:rPr>
        <w:t>13</w:t>
      </w:r>
      <w:r w:rsidR="00447039">
        <w:rPr>
          <w:noProof/>
        </w:rPr>
        <w:fldChar w:fldCharType="end"/>
      </w:r>
      <w:r w:rsidR="00447039">
        <w:t xml:space="preserve">. </w:t>
      </w:r>
      <w:r w:rsidR="00447039" w:rsidRPr="00323F9E">
        <w:t xml:space="preserve">Relative contribution of each covariate in explaining the global </w:t>
      </w:r>
      <w:r w:rsidR="00447039">
        <w:t>environmental suitability for yellow fever (</w:t>
      </w:r>
      <w:r>
        <w:rPr>
          <w:rFonts w:hint="eastAsia"/>
          <w:lang w:eastAsia="ko-KR"/>
        </w:rPr>
        <w:t>a</w:t>
      </w:r>
      <w:r w:rsidR="00447039">
        <w:t xml:space="preserve">); partial dependence plots </w:t>
      </w:r>
      <w:r w:rsidR="00447039">
        <w:rPr>
          <w:rStyle w:val="issue-underline"/>
        </w:rPr>
        <w:t>showing the effects of each covariate on the overall response and their 95% confidence intervals (</w:t>
      </w:r>
      <w:r>
        <w:rPr>
          <w:rStyle w:val="issue-underline"/>
          <w:rFonts w:hint="eastAsia"/>
          <w:lang w:eastAsia="ko-KR"/>
        </w:rPr>
        <w:t>b</w:t>
      </w:r>
      <w:r w:rsidR="00447039">
        <w:rPr>
          <w:rStyle w:val="issue-underline"/>
        </w:rPr>
        <w:t>).</w:t>
      </w:r>
      <w:bookmarkEnd w:id="22"/>
      <w:r w:rsidR="00447039">
        <w:rPr>
          <w:rStyle w:val="issue-underline"/>
        </w:rPr>
        <w:t xml:space="preserve"> </w:t>
      </w:r>
    </w:p>
    <w:p w14:paraId="549CC443" w14:textId="77777777" w:rsidR="00622E18" w:rsidRDefault="00B0714B" w:rsidP="00622E18">
      <w:pPr>
        <w:keepNext/>
        <w:spacing w:after="160" w:line="259" w:lineRule="auto"/>
        <w:rPr>
          <w:rStyle w:val="issue-underline"/>
        </w:rPr>
      </w:pPr>
      <w:r>
        <w:rPr>
          <w:rStyle w:val="issue-underline"/>
        </w:rPr>
        <w:br w:type="page"/>
      </w:r>
      <w:r w:rsidR="008338A8">
        <w:rPr>
          <w:rStyle w:val="issue-underline"/>
          <w:noProof/>
        </w:rPr>
        <w:lastRenderedPageBreak/>
        <w:drawing>
          <wp:inline distT="0" distB="0" distL="0" distR="0" wp14:anchorId="270D93AD" wp14:editId="2497DF83">
            <wp:extent cx="5380689" cy="5380689"/>
            <wp:effectExtent l="0" t="0" r="0" b="0"/>
            <wp:docPr id="1165084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84108"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390916" cy="5390916"/>
                    </a:xfrm>
                    <a:prstGeom prst="rect">
                      <a:avLst/>
                    </a:prstGeom>
                    <a:noFill/>
                    <a:ln>
                      <a:noFill/>
                    </a:ln>
                  </pic:spPr>
                </pic:pic>
              </a:graphicData>
            </a:graphic>
          </wp:inline>
        </w:drawing>
      </w:r>
    </w:p>
    <w:p w14:paraId="16E071C0" w14:textId="54D8D3B3" w:rsidR="00080053" w:rsidRDefault="00622E18" w:rsidP="00080053">
      <w:pPr>
        <w:pStyle w:val="Heading2"/>
        <w:rPr>
          <w:lang w:eastAsia="ko-KR"/>
        </w:rPr>
      </w:pPr>
      <w:bookmarkStart w:id="23" w:name="_Toc168329374"/>
      <w:r>
        <w:rPr>
          <w:rFonts w:hint="eastAsia"/>
          <w:lang w:eastAsia="ko-KR"/>
        </w:rPr>
        <w:t xml:space="preserve">Supplementary </w:t>
      </w:r>
      <w:r>
        <w:rPr>
          <w:lang w:eastAsia="ko-KR"/>
        </w:rPr>
        <w:t xml:space="preserve">Figure </w:t>
      </w:r>
      <w:r>
        <w:rPr>
          <w:lang w:eastAsia="ko-KR"/>
        </w:rPr>
        <w:fldChar w:fldCharType="begin"/>
      </w:r>
      <w:r>
        <w:rPr>
          <w:lang w:eastAsia="ko-KR"/>
        </w:rPr>
        <w:instrText xml:space="preserve"> SEQ Figure \* ARABIC </w:instrText>
      </w:r>
      <w:r>
        <w:rPr>
          <w:lang w:eastAsia="ko-KR"/>
        </w:rPr>
        <w:fldChar w:fldCharType="separate"/>
      </w:r>
      <w:r>
        <w:rPr>
          <w:lang w:eastAsia="ko-KR"/>
        </w:rPr>
        <w:t>14</w:t>
      </w:r>
      <w:r>
        <w:rPr>
          <w:lang w:eastAsia="ko-KR"/>
        </w:rPr>
        <w:fldChar w:fldCharType="end"/>
      </w:r>
      <w:r>
        <w:rPr>
          <w:rFonts w:hint="eastAsia"/>
          <w:lang w:eastAsia="ko-KR"/>
        </w:rPr>
        <w:t xml:space="preserve">. </w:t>
      </w:r>
      <w:r w:rsidR="00080053" w:rsidRPr="00D91EB3">
        <w:rPr>
          <w:lang w:eastAsia="ko-KR"/>
        </w:rPr>
        <w:t xml:space="preserve">A comparison of </w:t>
      </w:r>
      <w:r w:rsidR="00080053">
        <w:rPr>
          <w:rFonts w:hint="eastAsia"/>
          <w:lang w:eastAsia="ko-KR"/>
        </w:rPr>
        <w:t xml:space="preserve">yellow fever </w:t>
      </w:r>
      <w:r w:rsidR="00080053" w:rsidRPr="00D91EB3">
        <w:rPr>
          <w:lang w:eastAsia="ko-KR"/>
        </w:rPr>
        <w:t xml:space="preserve">model performance with and without </w:t>
      </w:r>
      <w:r w:rsidR="00080053" w:rsidRPr="00080053">
        <w:rPr>
          <w:rFonts w:hint="eastAsia"/>
          <w:i/>
          <w:iCs/>
          <w:lang w:eastAsia="ko-KR"/>
        </w:rPr>
        <w:t>Aedes aegypti</w:t>
      </w:r>
      <w:r w:rsidR="00080053" w:rsidRPr="00D91EB3">
        <w:rPr>
          <w:lang w:eastAsia="ko-KR"/>
        </w:rPr>
        <w:t xml:space="preserve"> included as a covariate</w:t>
      </w:r>
      <w:r w:rsidR="00080053">
        <w:rPr>
          <w:rFonts w:hint="eastAsia"/>
          <w:lang w:eastAsia="ko-KR"/>
        </w:rPr>
        <w:t>.</w:t>
      </w:r>
      <w:bookmarkEnd w:id="23"/>
      <w:r w:rsidR="00080053">
        <w:rPr>
          <w:rFonts w:hint="eastAsia"/>
          <w:lang w:eastAsia="ko-KR"/>
        </w:rPr>
        <w:t xml:space="preserve"> </w:t>
      </w:r>
    </w:p>
    <w:p w14:paraId="3B78930A" w14:textId="66DD4AD6" w:rsidR="00080053" w:rsidRDefault="00080053" w:rsidP="00080053">
      <w:pPr>
        <w:rPr>
          <w:sz w:val="20"/>
          <w:szCs w:val="20"/>
          <w:lang w:eastAsia="ko-KR"/>
        </w:rPr>
      </w:pPr>
      <w:r>
        <w:rPr>
          <w:rFonts w:hint="eastAsia"/>
          <w:sz w:val="20"/>
          <w:szCs w:val="20"/>
          <w:lang w:eastAsia="ko-KR"/>
        </w:rPr>
        <w:t>Predicted environmental suitability of yellow fever after e</w:t>
      </w:r>
      <w:r w:rsidRPr="00080053">
        <w:rPr>
          <w:sz w:val="20"/>
          <w:szCs w:val="20"/>
          <w:lang w:eastAsia="ko-KR"/>
        </w:rPr>
        <w:t xml:space="preserve">xcluding the </w:t>
      </w:r>
      <w:r w:rsidRPr="00080053">
        <w:rPr>
          <w:i/>
          <w:iCs/>
          <w:sz w:val="20"/>
          <w:szCs w:val="20"/>
          <w:lang w:eastAsia="ko-KR"/>
        </w:rPr>
        <w:t>Ae</w:t>
      </w:r>
      <w:r w:rsidRPr="00080053">
        <w:rPr>
          <w:rFonts w:hint="eastAsia"/>
          <w:i/>
          <w:iCs/>
          <w:sz w:val="20"/>
          <w:szCs w:val="20"/>
          <w:lang w:eastAsia="ko-KR"/>
        </w:rPr>
        <w:t>des</w:t>
      </w:r>
      <w:r w:rsidRPr="00080053">
        <w:rPr>
          <w:i/>
          <w:iCs/>
          <w:sz w:val="20"/>
          <w:szCs w:val="20"/>
          <w:lang w:eastAsia="ko-KR"/>
        </w:rPr>
        <w:t xml:space="preserve"> aegypti</w:t>
      </w:r>
      <w:r w:rsidRPr="00080053">
        <w:rPr>
          <w:sz w:val="20"/>
          <w:szCs w:val="20"/>
          <w:lang w:eastAsia="ko-KR"/>
        </w:rPr>
        <w:t xml:space="preserve"> covariate from the yellow fever model</w:t>
      </w:r>
      <w:r>
        <w:rPr>
          <w:rFonts w:hint="eastAsia"/>
          <w:sz w:val="20"/>
          <w:szCs w:val="20"/>
          <w:lang w:eastAsia="ko-KR"/>
        </w:rPr>
        <w:t xml:space="preserve"> (a). </w:t>
      </w:r>
      <w:r w:rsidRPr="00845350">
        <w:rPr>
          <w:sz w:val="20"/>
          <w:szCs w:val="20"/>
        </w:rPr>
        <w:t>Heatmap</w:t>
      </w:r>
      <w:r w:rsidRPr="00845350">
        <w:rPr>
          <w:rFonts w:hint="eastAsia"/>
          <w:sz w:val="20"/>
          <w:szCs w:val="20"/>
          <w:lang w:eastAsia="ko-KR"/>
        </w:rPr>
        <w:t>s</w:t>
      </w:r>
      <w:r w:rsidRPr="00845350">
        <w:rPr>
          <w:sz w:val="20"/>
          <w:szCs w:val="20"/>
        </w:rPr>
        <w:t xml:space="preserve"> show the</w:t>
      </w:r>
      <w:r w:rsidRPr="00845350">
        <w:rPr>
          <w:rFonts w:hint="eastAsia"/>
          <w:sz w:val="20"/>
          <w:szCs w:val="20"/>
          <w:lang w:eastAsia="ko-KR"/>
        </w:rPr>
        <w:t xml:space="preserve"> model performance metrics, including Area Under the Curve (AUC), sensitivity and specificity stratified by </w:t>
      </w:r>
      <w:r>
        <w:rPr>
          <w:rFonts w:hint="eastAsia"/>
          <w:sz w:val="20"/>
          <w:szCs w:val="20"/>
          <w:lang w:eastAsia="ko-KR"/>
        </w:rPr>
        <w:t>region</w:t>
      </w:r>
      <w:r w:rsidRPr="00845350">
        <w:rPr>
          <w:rFonts w:hint="eastAsia"/>
          <w:sz w:val="20"/>
          <w:szCs w:val="20"/>
          <w:lang w:eastAsia="ko-KR"/>
        </w:rPr>
        <w:t xml:space="preserve"> (</w:t>
      </w:r>
      <w:r>
        <w:rPr>
          <w:rFonts w:hint="eastAsia"/>
          <w:sz w:val="20"/>
          <w:szCs w:val="20"/>
          <w:lang w:eastAsia="ko-KR"/>
        </w:rPr>
        <w:t>b</w:t>
      </w:r>
      <w:r w:rsidRPr="00845350">
        <w:rPr>
          <w:rFonts w:hint="eastAsia"/>
          <w:sz w:val="20"/>
          <w:szCs w:val="20"/>
          <w:lang w:eastAsia="ko-KR"/>
        </w:rPr>
        <w:t xml:space="preserve">). </w:t>
      </w:r>
      <w:r w:rsidRPr="00845350">
        <w:rPr>
          <w:sz w:val="20"/>
          <w:szCs w:val="20"/>
          <w:lang w:eastAsia="ko-KR"/>
        </w:rPr>
        <w:t xml:space="preserve">We </w:t>
      </w:r>
      <w:r>
        <w:rPr>
          <w:rFonts w:hint="eastAsia"/>
          <w:sz w:val="20"/>
          <w:szCs w:val="20"/>
          <w:lang w:eastAsia="ko-KR"/>
        </w:rPr>
        <w:t>compare</w:t>
      </w:r>
      <w:r w:rsidRPr="00845350">
        <w:rPr>
          <w:sz w:val="20"/>
          <w:szCs w:val="20"/>
          <w:lang w:eastAsia="ko-KR"/>
        </w:rPr>
        <w:t xml:space="preserve"> the performance of the base model</w:t>
      </w:r>
      <w:r>
        <w:rPr>
          <w:rFonts w:hint="eastAsia"/>
          <w:sz w:val="20"/>
          <w:szCs w:val="20"/>
          <w:lang w:eastAsia="ko-KR"/>
        </w:rPr>
        <w:t xml:space="preserve"> (as presented in the section </w:t>
      </w:r>
      <w:r>
        <w:rPr>
          <w:sz w:val="20"/>
          <w:szCs w:val="20"/>
          <w:lang w:eastAsia="ko-KR"/>
        </w:rPr>
        <w:t>“</w:t>
      </w:r>
      <w:r>
        <w:rPr>
          <w:rFonts w:hint="eastAsia"/>
          <w:sz w:val="20"/>
          <w:szCs w:val="20"/>
          <w:lang w:eastAsia="ko-KR"/>
        </w:rPr>
        <w:t>Environmental niche model</w:t>
      </w:r>
      <w:r>
        <w:rPr>
          <w:sz w:val="20"/>
          <w:szCs w:val="20"/>
          <w:lang w:eastAsia="ko-KR"/>
        </w:rPr>
        <w:t>”</w:t>
      </w:r>
      <w:r>
        <w:rPr>
          <w:rFonts w:hint="eastAsia"/>
          <w:sz w:val="20"/>
          <w:szCs w:val="20"/>
          <w:lang w:eastAsia="ko-KR"/>
        </w:rPr>
        <w:t>)</w:t>
      </w:r>
      <w:r w:rsidRPr="00845350">
        <w:rPr>
          <w:sz w:val="20"/>
          <w:szCs w:val="20"/>
          <w:lang w:eastAsia="ko-KR"/>
        </w:rPr>
        <w:t xml:space="preserve"> </w:t>
      </w:r>
      <w:r>
        <w:rPr>
          <w:rFonts w:hint="eastAsia"/>
          <w:sz w:val="20"/>
          <w:szCs w:val="20"/>
          <w:lang w:eastAsia="ko-KR"/>
        </w:rPr>
        <w:t xml:space="preserve">with an alternative version of model without </w:t>
      </w:r>
      <w:r w:rsidRPr="00080053">
        <w:rPr>
          <w:rFonts w:hint="eastAsia"/>
          <w:i/>
          <w:iCs/>
          <w:sz w:val="20"/>
          <w:szCs w:val="20"/>
          <w:lang w:eastAsia="ko-KR"/>
        </w:rPr>
        <w:t>Ae. aegypti</w:t>
      </w:r>
      <w:r>
        <w:rPr>
          <w:rFonts w:hint="eastAsia"/>
          <w:sz w:val="20"/>
          <w:szCs w:val="20"/>
          <w:lang w:eastAsia="ko-KR"/>
        </w:rPr>
        <w:t xml:space="preserve"> covariate (</w:t>
      </w:r>
      <w:r>
        <w:rPr>
          <w:sz w:val="20"/>
          <w:szCs w:val="20"/>
          <w:lang w:eastAsia="ko-KR"/>
        </w:rPr>
        <w:t>“</w:t>
      </w:r>
      <w:proofErr w:type="spellStart"/>
      <w:r>
        <w:rPr>
          <w:rFonts w:hint="eastAsia"/>
          <w:sz w:val="20"/>
          <w:szCs w:val="20"/>
          <w:lang w:eastAsia="ko-KR"/>
        </w:rPr>
        <w:t>wo_aegypti</w:t>
      </w:r>
      <w:proofErr w:type="spellEnd"/>
      <w:r>
        <w:rPr>
          <w:sz w:val="20"/>
          <w:szCs w:val="20"/>
          <w:lang w:eastAsia="ko-KR"/>
        </w:rPr>
        <w:t>”</w:t>
      </w:r>
      <w:r>
        <w:rPr>
          <w:rFonts w:hint="eastAsia"/>
          <w:sz w:val="20"/>
          <w:szCs w:val="20"/>
          <w:lang w:eastAsia="ko-KR"/>
        </w:rPr>
        <w:t>). E</w:t>
      </w:r>
      <w:r w:rsidRPr="00EB68D1">
        <w:rPr>
          <w:sz w:val="20"/>
          <w:szCs w:val="20"/>
          <w:lang w:eastAsia="ko-KR"/>
        </w:rPr>
        <w:t xml:space="preserve">ach model </w:t>
      </w:r>
      <w:r>
        <w:rPr>
          <w:rFonts w:hint="eastAsia"/>
          <w:sz w:val="20"/>
          <w:szCs w:val="20"/>
          <w:lang w:eastAsia="ko-KR"/>
        </w:rPr>
        <w:t>was assessed using</w:t>
      </w:r>
      <w:r w:rsidRPr="00EB68D1">
        <w:rPr>
          <w:sz w:val="20"/>
          <w:szCs w:val="20"/>
          <w:lang w:eastAsia="ko-KR"/>
        </w:rPr>
        <w:t xml:space="preserve"> a </w:t>
      </w:r>
      <w:r>
        <w:rPr>
          <w:rFonts w:hint="eastAsia"/>
          <w:sz w:val="20"/>
          <w:szCs w:val="20"/>
          <w:lang w:eastAsia="ko-KR"/>
        </w:rPr>
        <w:t>5</w:t>
      </w:r>
      <w:r w:rsidRPr="00EB68D1">
        <w:rPr>
          <w:sz w:val="20"/>
          <w:szCs w:val="20"/>
          <w:lang w:eastAsia="ko-KR"/>
        </w:rPr>
        <w:t>0-fold block cross-validation approach</w:t>
      </w:r>
      <w:r>
        <w:rPr>
          <w:rFonts w:hint="eastAsia"/>
          <w:sz w:val="20"/>
          <w:szCs w:val="20"/>
          <w:lang w:eastAsia="ko-KR"/>
        </w:rPr>
        <w:t xml:space="preserve">, as </w:t>
      </w:r>
      <w:r w:rsidRPr="00974DDE">
        <w:rPr>
          <w:sz w:val="20"/>
          <w:szCs w:val="20"/>
          <w:lang w:eastAsia="ko-KR"/>
        </w:rPr>
        <w:t>detailed in the main text.</w:t>
      </w:r>
    </w:p>
    <w:p w14:paraId="44189DB8" w14:textId="77777777" w:rsidR="00B0714B" w:rsidRDefault="00B0714B">
      <w:pPr>
        <w:spacing w:after="160" w:line="259" w:lineRule="auto"/>
        <w:rPr>
          <w:rStyle w:val="issue-underline"/>
          <w:rFonts w:asciiTheme="majorHAnsi" w:eastAsiaTheme="majorEastAsia" w:hAnsiTheme="majorHAnsi" w:cstheme="majorBidi"/>
          <w:color w:val="2F5496" w:themeColor="accent1" w:themeShade="BF"/>
          <w:szCs w:val="26"/>
        </w:rPr>
      </w:pPr>
    </w:p>
    <w:p w14:paraId="4B3F4AD2" w14:textId="77777777" w:rsidR="005E229E" w:rsidRDefault="005E229E" w:rsidP="005E229E">
      <w:pPr>
        <w:pStyle w:val="NormalWeb"/>
        <w:keepNext/>
      </w:pPr>
    </w:p>
    <w:p w14:paraId="56262A76" w14:textId="77777777" w:rsidR="005E229E" w:rsidRDefault="005E229E" w:rsidP="005E229E">
      <w:pPr>
        <w:keepNext/>
        <w:spacing w:after="160" w:line="259" w:lineRule="auto"/>
      </w:pPr>
      <w:r>
        <w:rPr>
          <w:noProof/>
        </w:rPr>
        <w:drawing>
          <wp:inline distT="0" distB="0" distL="0" distR="0" wp14:anchorId="00E8BCA1" wp14:editId="0CDFE36B">
            <wp:extent cx="6127750" cy="7353301"/>
            <wp:effectExtent l="0" t="0" r="6350" b="0"/>
            <wp:docPr id="301389940"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89940" name="Picture 1" descr="A map of the worl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128217" cy="7353861"/>
                    </a:xfrm>
                    <a:prstGeom prst="rect">
                      <a:avLst/>
                    </a:prstGeom>
                    <a:noFill/>
                    <a:ln>
                      <a:noFill/>
                    </a:ln>
                  </pic:spPr>
                </pic:pic>
              </a:graphicData>
            </a:graphic>
          </wp:inline>
        </w:drawing>
      </w:r>
    </w:p>
    <w:p w14:paraId="1137D859" w14:textId="32B786EE" w:rsidR="005E229E" w:rsidRDefault="00C25391" w:rsidP="005E229E">
      <w:pPr>
        <w:pStyle w:val="Heading2"/>
      </w:pPr>
      <w:bookmarkStart w:id="24" w:name="_Toc168329375"/>
      <w:r>
        <w:rPr>
          <w:rFonts w:hint="eastAsia"/>
          <w:lang w:eastAsia="ko-KR"/>
        </w:rPr>
        <w:t xml:space="preserve">Supplementary </w:t>
      </w:r>
      <w:r w:rsidR="005E229E">
        <w:t xml:space="preserve">Figure </w:t>
      </w:r>
      <w:r w:rsidR="005E229E">
        <w:fldChar w:fldCharType="begin"/>
      </w:r>
      <w:r w:rsidR="005E229E">
        <w:instrText xml:space="preserve"> SEQ Figure \* ARABIC </w:instrText>
      </w:r>
      <w:r w:rsidR="005E229E">
        <w:fldChar w:fldCharType="separate"/>
      </w:r>
      <w:r w:rsidR="00622E18">
        <w:rPr>
          <w:noProof/>
        </w:rPr>
        <w:t>15</w:t>
      </w:r>
      <w:r w:rsidR="005E229E">
        <w:fldChar w:fldCharType="end"/>
      </w:r>
      <w:r w:rsidR="005E229E" w:rsidRPr="002275C7">
        <w:t xml:space="preserve">. Covariates included in the surveillance </w:t>
      </w:r>
      <w:r w:rsidR="00533748">
        <w:t>capability</w:t>
      </w:r>
      <w:r w:rsidR="005E229E" w:rsidRPr="002275C7">
        <w:t xml:space="preserve"> model.</w:t>
      </w:r>
      <w:bookmarkEnd w:id="24"/>
    </w:p>
    <w:p w14:paraId="26737BE4" w14:textId="77777777" w:rsidR="005E229E" w:rsidRDefault="005E229E" w:rsidP="005E229E">
      <w:pPr>
        <w:spacing w:after="160" w:line="259" w:lineRule="auto"/>
      </w:pPr>
      <w:r>
        <w:br w:type="page"/>
      </w:r>
    </w:p>
    <w:p w14:paraId="37649E17" w14:textId="77777777" w:rsidR="005E229E" w:rsidRDefault="005E229E" w:rsidP="005E229E">
      <w:pPr>
        <w:keepNext/>
        <w:spacing w:after="160" w:line="259" w:lineRule="auto"/>
      </w:pPr>
      <w:r>
        <w:rPr>
          <w:noProof/>
        </w:rPr>
        <w:lastRenderedPageBreak/>
        <w:drawing>
          <wp:inline distT="0" distB="0" distL="0" distR="0" wp14:anchorId="3BC28009" wp14:editId="042442A3">
            <wp:extent cx="6069205" cy="7283047"/>
            <wp:effectExtent l="0" t="0" r="8255" b="0"/>
            <wp:docPr id="1008440043"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40043" name="Picture 2" descr="A map of the worl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075543" cy="7290652"/>
                    </a:xfrm>
                    <a:prstGeom prst="rect">
                      <a:avLst/>
                    </a:prstGeom>
                    <a:noFill/>
                    <a:ln>
                      <a:noFill/>
                    </a:ln>
                  </pic:spPr>
                </pic:pic>
              </a:graphicData>
            </a:graphic>
          </wp:inline>
        </w:drawing>
      </w:r>
    </w:p>
    <w:p w14:paraId="2A119E0A" w14:textId="7F10E828" w:rsidR="005E229E" w:rsidRDefault="00C25391" w:rsidP="005E229E">
      <w:pPr>
        <w:pStyle w:val="Heading2"/>
      </w:pPr>
      <w:bookmarkStart w:id="25" w:name="_Toc168329376"/>
      <w:r>
        <w:rPr>
          <w:rFonts w:hint="eastAsia"/>
          <w:lang w:eastAsia="ko-KR"/>
        </w:rPr>
        <w:t xml:space="preserve">Supplementary </w:t>
      </w:r>
      <w:r w:rsidR="005E229E">
        <w:t xml:space="preserve">Figure </w:t>
      </w:r>
      <w:r w:rsidR="005E229E">
        <w:fldChar w:fldCharType="begin"/>
      </w:r>
      <w:r w:rsidR="005E229E">
        <w:instrText xml:space="preserve"> SEQ Figure \* ARABIC </w:instrText>
      </w:r>
      <w:r w:rsidR="005E229E">
        <w:fldChar w:fldCharType="separate"/>
      </w:r>
      <w:r w:rsidR="00622E18">
        <w:rPr>
          <w:noProof/>
        </w:rPr>
        <w:t>16</w:t>
      </w:r>
      <w:r w:rsidR="005E229E">
        <w:fldChar w:fldCharType="end"/>
      </w:r>
      <w:r w:rsidR="005E229E" w:rsidRPr="00B43443">
        <w:t>. Covariates included in the arbovirus and yellow fever models.</w:t>
      </w:r>
      <w:bookmarkEnd w:id="25"/>
    </w:p>
    <w:p w14:paraId="2525C7C5" w14:textId="77777777" w:rsidR="003E7C43" w:rsidRDefault="003E7C43">
      <w:pPr>
        <w:spacing w:after="160" w:line="259" w:lineRule="auto"/>
        <w:rPr>
          <w:sz w:val="20"/>
          <w:szCs w:val="20"/>
          <w:lang w:eastAsia="ko-KR"/>
        </w:rPr>
      </w:pPr>
      <w:r>
        <w:rPr>
          <w:sz w:val="20"/>
          <w:szCs w:val="20"/>
          <w:lang w:eastAsia="ko-KR"/>
        </w:rPr>
        <w:br w:type="page"/>
      </w:r>
    </w:p>
    <w:p w14:paraId="713EE240" w14:textId="668F508D" w:rsidR="00E572AD" w:rsidRPr="00E572AD" w:rsidRDefault="00E572AD" w:rsidP="00E572AD">
      <w:pPr>
        <w:pStyle w:val="Heading2"/>
      </w:pPr>
      <w:bookmarkStart w:id="26" w:name="_Toc168329377"/>
      <w:r w:rsidRPr="00E572AD">
        <w:rPr>
          <w:rFonts w:hint="eastAsia"/>
        </w:rPr>
        <w:lastRenderedPageBreak/>
        <w:t>References</w:t>
      </w:r>
      <w:bookmarkEnd w:id="26"/>
    </w:p>
    <w:p w14:paraId="609B4691" w14:textId="77777777" w:rsidR="00CC3778" w:rsidRPr="00CC3778" w:rsidRDefault="00E572AD" w:rsidP="00CC3778">
      <w:pPr>
        <w:pStyle w:val="Bibliography"/>
        <w:rPr>
          <w:rFonts w:ascii="Calibri" w:hAnsi="Calibri" w:cs="Calibri"/>
          <w:sz w:val="20"/>
        </w:rPr>
      </w:pPr>
      <w:r>
        <w:rPr>
          <w:sz w:val="20"/>
          <w:szCs w:val="20"/>
          <w:lang w:eastAsia="ko-KR"/>
        </w:rPr>
        <w:fldChar w:fldCharType="begin"/>
      </w:r>
      <w:r w:rsidR="00CC3778">
        <w:rPr>
          <w:sz w:val="20"/>
          <w:szCs w:val="20"/>
          <w:lang w:eastAsia="ko-KR"/>
        </w:rPr>
        <w:instrText xml:space="preserve"> ADDIN ZOTERO_BIBL {"uncited":[],"omitted":[],"custom":[]} CSL_BIBLIOGRAPHY </w:instrText>
      </w:r>
      <w:r>
        <w:rPr>
          <w:sz w:val="20"/>
          <w:szCs w:val="20"/>
          <w:lang w:eastAsia="ko-KR"/>
        </w:rPr>
        <w:fldChar w:fldCharType="separate"/>
      </w:r>
      <w:r w:rsidR="00CC3778" w:rsidRPr="00CC3778">
        <w:rPr>
          <w:rFonts w:ascii="Calibri" w:hAnsi="Calibri" w:cs="Calibri"/>
          <w:sz w:val="20"/>
        </w:rPr>
        <w:t>1.</w:t>
      </w:r>
      <w:r w:rsidR="00CC3778" w:rsidRPr="00CC3778">
        <w:rPr>
          <w:rFonts w:ascii="Calibri" w:hAnsi="Calibri" w:cs="Calibri"/>
          <w:sz w:val="20"/>
        </w:rPr>
        <w:tab/>
        <w:t xml:space="preserve">Shearer, F. M. </w:t>
      </w:r>
      <w:r w:rsidR="00CC3778" w:rsidRPr="00CC3778">
        <w:rPr>
          <w:rFonts w:ascii="Calibri" w:hAnsi="Calibri" w:cs="Calibri"/>
          <w:i/>
          <w:iCs/>
          <w:sz w:val="20"/>
        </w:rPr>
        <w:t>et al.</w:t>
      </w:r>
      <w:r w:rsidR="00CC3778" w:rsidRPr="00CC3778">
        <w:rPr>
          <w:rFonts w:ascii="Calibri" w:hAnsi="Calibri" w:cs="Calibri"/>
          <w:sz w:val="20"/>
        </w:rPr>
        <w:t xml:space="preserve"> Existing and potential infection risk zones of yellow fever worldwide: a modelling analysis. </w:t>
      </w:r>
      <w:r w:rsidR="00CC3778" w:rsidRPr="00CC3778">
        <w:rPr>
          <w:rFonts w:ascii="Calibri" w:hAnsi="Calibri" w:cs="Calibri"/>
          <w:i/>
          <w:iCs/>
          <w:sz w:val="20"/>
        </w:rPr>
        <w:t>The Lancet Global Health</w:t>
      </w:r>
      <w:r w:rsidR="00CC3778" w:rsidRPr="00CC3778">
        <w:rPr>
          <w:rFonts w:ascii="Calibri" w:hAnsi="Calibri" w:cs="Calibri"/>
          <w:sz w:val="20"/>
        </w:rPr>
        <w:t xml:space="preserve"> </w:t>
      </w:r>
      <w:r w:rsidR="00CC3778" w:rsidRPr="00CC3778">
        <w:rPr>
          <w:rFonts w:ascii="Calibri" w:hAnsi="Calibri" w:cs="Calibri"/>
          <w:b/>
          <w:bCs/>
          <w:sz w:val="20"/>
        </w:rPr>
        <w:t>6</w:t>
      </w:r>
      <w:r w:rsidR="00CC3778" w:rsidRPr="00CC3778">
        <w:rPr>
          <w:rFonts w:ascii="Calibri" w:hAnsi="Calibri" w:cs="Calibri"/>
          <w:sz w:val="20"/>
        </w:rPr>
        <w:t>, e270–e278 (2018).</w:t>
      </w:r>
    </w:p>
    <w:p w14:paraId="3FEEFFE5"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2.</w:t>
      </w:r>
      <w:r w:rsidRPr="00CC3778">
        <w:rPr>
          <w:rFonts w:ascii="Calibri" w:hAnsi="Calibri" w:cs="Calibri"/>
          <w:sz w:val="20"/>
        </w:rPr>
        <w:tab/>
        <w:t xml:space="preserve">Messina, J. P. </w:t>
      </w:r>
      <w:r w:rsidRPr="00CC3778">
        <w:rPr>
          <w:rFonts w:ascii="Calibri" w:hAnsi="Calibri" w:cs="Calibri"/>
          <w:i/>
          <w:iCs/>
          <w:sz w:val="20"/>
        </w:rPr>
        <w:t>et al.</w:t>
      </w:r>
      <w:r w:rsidRPr="00CC3778">
        <w:rPr>
          <w:rFonts w:ascii="Calibri" w:hAnsi="Calibri" w:cs="Calibri"/>
          <w:sz w:val="20"/>
        </w:rPr>
        <w:t xml:space="preserve"> The current and future global distribution and population at risk of dengue. </w:t>
      </w:r>
      <w:r w:rsidRPr="00CC3778">
        <w:rPr>
          <w:rFonts w:ascii="Calibri" w:hAnsi="Calibri" w:cs="Calibri"/>
          <w:i/>
          <w:iCs/>
          <w:sz w:val="20"/>
        </w:rPr>
        <w:t>Nat Microbiol</w:t>
      </w:r>
      <w:r w:rsidRPr="00CC3778">
        <w:rPr>
          <w:rFonts w:ascii="Calibri" w:hAnsi="Calibri" w:cs="Calibri"/>
          <w:sz w:val="20"/>
        </w:rPr>
        <w:t xml:space="preserve"> </w:t>
      </w:r>
      <w:r w:rsidRPr="00CC3778">
        <w:rPr>
          <w:rFonts w:ascii="Calibri" w:hAnsi="Calibri" w:cs="Calibri"/>
          <w:b/>
          <w:bCs/>
          <w:sz w:val="20"/>
        </w:rPr>
        <w:t>4</w:t>
      </w:r>
      <w:r w:rsidRPr="00CC3778">
        <w:rPr>
          <w:rFonts w:ascii="Calibri" w:hAnsi="Calibri" w:cs="Calibri"/>
          <w:sz w:val="20"/>
        </w:rPr>
        <w:t>, 1508–1515 (2019).</w:t>
      </w:r>
    </w:p>
    <w:p w14:paraId="4EDBB827"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3.</w:t>
      </w:r>
      <w:r w:rsidRPr="00CC3778">
        <w:rPr>
          <w:rFonts w:ascii="Calibri" w:hAnsi="Calibri" w:cs="Calibri"/>
          <w:sz w:val="20"/>
        </w:rPr>
        <w:tab/>
        <w:t>ECDC. Autochthonous vectorial transmission of dengue virus in mainland EU/EEA, 2010-present. https://www.ecdc.europa.eu/en/all-topics-z/dengue/surveillance-and-disease-data/autochthonous-transmission-dengue-virus-eueea (2023).</w:t>
      </w:r>
    </w:p>
    <w:p w14:paraId="5E348057"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4.</w:t>
      </w:r>
      <w:r w:rsidRPr="00CC3778">
        <w:rPr>
          <w:rFonts w:ascii="Calibri" w:hAnsi="Calibri" w:cs="Calibri"/>
          <w:sz w:val="20"/>
        </w:rPr>
        <w:tab/>
        <w:t>Disease Outbreak News. https://www.who.int/emergencies/disease-outbreak-news.</w:t>
      </w:r>
    </w:p>
    <w:p w14:paraId="1F2C7115"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5.</w:t>
      </w:r>
      <w:r w:rsidRPr="00CC3778">
        <w:rPr>
          <w:rFonts w:ascii="Calibri" w:hAnsi="Calibri" w:cs="Calibri"/>
          <w:sz w:val="20"/>
        </w:rPr>
        <w:tab/>
        <w:t>Frequent Import and Multiple Sources of Dengue Fever have Changed the Epidemic Situation of the Disease in Fujian Province, China. https://www.besjournal.com/en/article/doi/10.3967/bes2020.016.</w:t>
      </w:r>
    </w:p>
    <w:p w14:paraId="06FB068D"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6.</w:t>
      </w:r>
      <w:r w:rsidRPr="00CC3778">
        <w:rPr>
          <w:rFonts w:ascii="Calibri" w:hAnsi="Calibri" w:cs="Calibri"/>
          <w:sz w:val="20"/>
        </w:rPr>
        <w:tab/>
        <w:t xml:space="preserve">Ren, J. </w:t>
      </w:r>
      <w:r w:rsidRPr="00CC3778">
        <w:rPr>
          <w:rFonts w:ascii="Calibri" w:hAnsi="Calibri" w:cs="Calibri"/>
          <w:i/>
          <w:iCs/>
          <w:sz w:val="20"/>
        </w:rPr>
        <w:t>et al.</w:t>
      </w:r>
      <w:r w:rsidRPr="00CC3778">
        <w:rPr>
          <w:rFonts w:ascii="Calibri" w:hAnsi="Calibri" w:cs="Calibri"/>
          <w:sz w:val="20"/>
        </w:rPr>
        <w:t xml:space="preserve"> Epidemiology of Indigenous Dengue Cases in Zhejiang Province, Southeast China. </w:t>
      </w:r>
      <w:r w:rsidRPr="00CC3778">
        <w:rPr>
          <w:rFonts w:ascii="Calibri" w:hAnsi="Calibri" w:cs="Calibri"/>
          <w:i/>
          <w:iCs/>
          <w:sz w:val="20"/>
        </w:rPr>
        <w:t>Front Public Health</w:t>
      </w:r>
      <w:r w:rsidRPr="00CC3778">
        <w:rPr>
          <w:rFonts w:ascii="Calibri" w:hAnsi="Calibri" w:cs="Calibri"/>
          <w:sz w:val="20"/>
        </w:rPr>
        <w:t xml:space="preserve"> </w:t>
      </w:r>
      <w:r w:rsidRPr="00CC3778">
        <w:rPr>
          <w:rFonts w:ascii="Calibri" w:hAnsi="Calibri" w:cs="Calibri"/>
          <w:b/>
          <w:bCs/>
          <w:sz w:val="20"/>
        </w:rPr>
        <w:t>10</w:t>
      </w:r>
      <w:r w:rsidRPr="00CC3778">
        <w:rPr>
          <w:rFonts w:ascii="Calibri" w:hAnsi="Calibri" w:cs="Calibri"/>
          <w:sz w:val="20"/>
        </w:rPr>
        <w:t>, 857911 (2022).</w:t>
      </w:r>
    </w:p>
    <w:p w14:paraId="6737137B"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7.</w:t>
      </w:r>
      <w:r w:rsidRPr="00CC3778">
        <w:rPr>
          <w:rFonts w:ascii="Calibri" w:hAnsi="Calibri" w:cs="Calibri"/>
          <w:sz w:val="20"/>
        </w:rPr>
        <w:tab/>
        <w:t xml:space="preserve">Yu, Y., Liu, Y., Ling, F., Sun, J. &amp; Jiang, J. Epidemiological Characteristics and Economic Burden of Dengue in Zhejiang Province, China. </w:t>
      </w:r>
      <w:r w:rsidRPr="00CC3778">
        <w:rPr>
          <w:rFonts w:ascii="Calibri" w:hAnsi="Calibri" w:cs="Calibri"/>
          <w:i/>
          <w:iCs/>
          <w:sz w:val="20"/>
        </w:rPr>
        <w:t>Viruses</w:t>
      </w:r>
      <w:r w:rsidRPr="00CC3778">
        <w:rPr>
          <w:rFonts w:ascii="Calibri" w:hAnsi="Calibri" w:cs="Calibri"/>
          <w:sz w:val="20"/>
        </w:rPr>
        <w:t xml:space="preserve"> </w:t>
      </w:r>
      <w:r w:rsidRPr="00CC3778">
        <w:rPr>
          <w:rFonts w:ascii="Calibri" w:hAnsi="Calibri" w:cs="Calibri"/>
          <w:b/>
          <w:bCs/>
          <w:sz w:val="20"/>
        </w:rPr>
        <w:t>15</w:t>
      </w:r>
      <w:r w:rsidRPr="00CC3778">
        <w:rPr>
          <w:rFonts w:ascii="Calibri" w:hAnsi="Calibri" w:cs="Calibri"/>
          <w:sz w:val="20"/>
        </w:rPr>
        <w:t>, 1731 (2023).</w:t>
      </w:r>
    </w:p>
    <w:p w14:paraId="46F341BB"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8.</w:t>
      </w:r>
      <w:r w:rsidRPr="00CC3778">
        <w:rPr>
          <w:rFonts w:ascii="Calibri" w:hAnsi="Calibri" w:cs="Calibri"/>
          <w:sz w:val="20"/>
        </w:rPr>
        <w:tab/>
        <w:t xml:space="preserve">Sang, S., Yue, Y., Wang, Y. &amp; Zhang, X. The epidemiology and evolutionary dynamics of massive dengue outbreak in China, 2019. </w:t>
      </w:r>
      <w:r w:rsidRPr="00CC3778">
        <w:rPr>
          <w:rFonts w:ascii="Calibri" w:hAnsi="Calibri" w:cs="Calibri"/>
          <w:i/>
          <w:iCs/>
          <w:sz w:val="20"/>
        </w:rPr>
        <w:t>Front. Microbiol.</w:t>
      </w:r>
      <w:r w:rsidRPr="00CC3778">
        <w:rPr>
          <w:rFonts w:ascii="Calibri" w:hAnsi="Calibri" w:cs="Calibri"/>
          <w:sz w:val="20"/>
        </w:rPr>
        <w:t xml:space="preserve"> </w:t>
      </w:r>
      <w:r w:rsidRPr="00CC3778">
        <w:rPr>
          <w:rFonts w:ascii="Calibri" w:hAnsi="Calibri" w:cs="Calibri"/>
          <w:b/>
          <w:bCs/>
          <w:sz w:val="20"/>
        </w:rPr>
        <w:t>14</w:t>
      </w:r>
      <w:r w:rsidRPr="00CC3778">
        <w:rPr>
          <w:rFonts w:ascii="Calibri" w:hAnsi="Calibri" w:cs="Calibri"/>
          <w:sz w:val="20"/>
        </w:rPr>
        <w:t>, (2023).</w:t>
      </w:r>
    </w:p>
    <w:p w14:paraId="7D2D79EC"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9.</w:t>
      </w:r>
      <w:r w:rsidRPr="00CC3778">
        <w:rPr>
          <w:rFonts w:ascii="Calibri" w:hAnsi="Calibri" w:cs="Calibri"/>
          <w:sz w:val="20"/>
        </w:rPr>
        <w:tab/>
        <w:t xml:space="preserve">Nsoesie, E. O. </w:t>
      </w:r>
      <w:r w:rsidRPr="00CC3778">
        <w:rPr>
          <w:rFonts w:ascii="Calibri" w:hAnsi="Calibri" w:cs="Calibri"/>
          <w:i/>
          <w:iCs/>
          <w:sz w:val="20"/>
        </w:rPr>
        <w:t>et al.</w:t>
      </w:r>
      <w:r w:rsidRPr="00CC3778">
        <w:rPr>
          <w:rFonts w:ascii="Calibri" w:hAnsi="Calibri" w:cs="Calibri"/>
          <w:sz w:val="20"/>
        </w:rPr>
        <w:t xml:space="preserve"> Global distribution and environmental suitability for chikungunya virus, 1952 to 2015. </w:t>
      </w:r>
      <w:r w:rsidRPr="00CC3778">
        <w:rPr>
          <w:rFonts w:ascii="Calibri" w:hAnsi="Calibri" w:cs="Calibri"/>
          <w:i/>
          <w:iCs/>
          <w:sz w:val="20"/>
        </w:rPr>
        <w:t>Eurosurveillance</w:t>
      </w:r>
      <w:r w:rsidRPr="00CC3778">
        <w:rPr>
          <w:rFonts w:ascii="Calibri" w:hAnsi="Calibri" w:cs="Calibri"/>
          <w:sz w:val="20"/>
        </w:rPr>
        <w:t xml:space="preserve"> </w:t>
      </w:r>
      <w:r w:rsidRPr="00CC3778">
        <w:rPr>
          <w:rFonts w:ascii="Calibri" w:hAnsi="Calibri" w:cs="Calibri"/>
          <w:b/>
          <w:bCs/>
          <w:sz w:val="20"/>
        </w:rPr>
        <w:t>21</w:t>
      </w:r>
      <w:r w:rsidRPr="00CC3778">
        <w:rPr>
          <w:rFonts w:ascii="Calibri" w:hAnsi="Calibri" w:cs="Calibri"/>
          <w:sz w:val="20"/>
        </w:rPr>
        <w:t>, 30234 (2016).</w:t>
      </w:r>
    </w:p>
    <w:p w14:paraId="54AB4E84"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10.</w:t>
      </w:r>
      <w:r w:rsidRPr="00CC3778">
        <w:rPr>
          <w:rFonts w:ascii="Calibri" w:hAnsi="Calibri" w:cs="Calibri"/>
          <w:sz w:val="20"/>
        </w:rPr>
        <w:tab/>
        <w:t>ECDC. Chikungunya worldwide overview. https://www.ecdc.europa.eu/en/chikungunya-monthly (2023).</w:t>
      </w:r>
    </w:p>
    <w:p w14:paraId="4AEFFA7D"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11.</w:t>
      </w:r>
      <w:r w:rsidRPr="00CC3778">
        <w:rPr>
          <w:rFonts w:ascii="Calibri" w:hAnsi="Calibri" w:cs="Calibri"/>
          <w:sz w:val="20"/>
        </w:rPr>
        <w:tab/>
        <w:t>ECDC. Autochthonous transmission of chikungunya virus in mainland EU/EEA, 2007–present. https://www.ecdc.europa.eu/en/infectious-disease-topics/z-disease-list/chikungunya-virus-disease/surveillance-threats-and (2019).</w:t>
      </w:r>
    </w:p>
    <w:p w14:paraId="736973C2"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12.</w:t>
      </w:r>
      <w:r w:rsidRPr="00CC3778">
        <w:rPr>
          <w:rFonts w:ascii="Calibri" w:hAnsi="Calibri" w:cs="Calibri"/>
          <w:sz w:val="20"/>
        </w:rPr>
        <w:tab/>
        <w:t xml:space="preserve">Wu, D. </w:t>
      </w:r>
      <w:r w:rsidRPr="00CC3778">
        <w:rPr>
          <w:rFonts w:ascii="Calibri" w:hAnsi="Calibri" w:cs="Calibri"/>
          <w:i/>
          <w:iCs/>
          <w:sz w:val="20"/>
        </w:rPr>
        <w:t>et al.</w:t>
      </w:r>
      <w:r w:rsidRPr="00CC3778">
        <w:rPr>
          <w:rFonts w:ascii="Calibri" w:hAnsi="Calibri" w:cs="Calibri"/>
          <w:sz w:val="20"/>
        </w:rPr>
        <w:t xml:space="preserve"> Chikungunya Outbreak in Guangdong Province, China, 2010. </w:t>
      </w:r>
      <w:r w:rsidRPr="00CC3778">
        <w:rPr>
          <w:rFonts w:ascii="Calibri" w:hAnsi="Calibri" w:cs="Calibri"/>
          <w:i/>
          <w:iCs/>
          <w:sz w:val="20"/>
        </w:rPr>
        <w:t>Emerg Infect Dis</w:t>
      </w:r>
      <w:r w:rsidRPr="00CC3778">
        <w:rPr>
          <w:rFonts w:ascii="Calibri" w:hAnsi="Calibri" w:cs="Calibri"/>
          <w:sz w:val="20"/>
        </w:rPr>
        <w:t xml:space="preserve"> </w:t>
      </w:r>
      <w:r w:rsidRPr="00CC3778">
        <w:rPr>
          <w:rFonts w:ascii="Calibri" w:hAnsi="Calibri" w:cs="Calibri"/>
          <w:b/>
          <w:bCs/>
          <w:sz w:val="20"/>
        </w:rPr>
        <w:t>18</w:t>
      </w:r>
      <w:r w:rsidRPr="00CC3778">
        <w:rPr>
          <w:rFonts w:ascii="Calibri" w:hAnsi="Calibri" w:cs="Calibri"/>
          <w:sz w:val="20"/>
        </w:rPr>
        <w:t>, 493–495 (2012).</w:t>
      </w:r>
    </w:p>
    <w:p w14:paraId="2F8ADE53" w14:textId="77777777" w:rsidR="00CC3778" w:rsidRPr="00CC3778" w:rsidRDefault="00CC3778" w:rsidP="00CC3778">
      <w:pPr>
        <w:pStyle w:val="Bibliography"/>
        <w:rPr>
          <w:rFonts w:ascii="Calibri" w:hAnsi="Calibri" w:cs="Calibri"/>
          <w:sz w:val="20"/>
          <w:lang w:val="it-IT"/>
        </w:rPr>
      </w:pPr>
      <w:r w:rsidRPr="00CC3778">
        <w:rPr>
          <w:rFonts w:ascii="Calibri" w:hAnsi="Calibri" w:cs="Calibri"/>
          <w:sz w:val="20"/>
        </w:rPr>
        <w:t>13.</w:t>
      </w:r>
      <w:r w:rsidRPr="00CC3778">
        <w:rPr>
          <w:rFonts w:ascii="Calibri" w:hAnsi="Calibri" w:cs="Calibri"/>
          <w:sz w:val="20"/>
        </w:rPr>
        <w:tab/>
        <w:t xml:space="preserve">Souza, W. M. de </w:t>
      </w:r>
      <w:r w:rsidRPr="00CC3778">
        <w:rPr>
          <w:rFonts w:ascii="Calibri" w:hAnsi="Calibri" w:cs="Calibri"/>
          <w:i/>
          <w:iCs/>
          <w:sz w:val="20"/>
        </w:rPr>
        <w:t>et al.</w:t>
      </w:r>
      <w:r w:rsidRPr="00CC3778">
        <w:rPr>
          <w:rFonts w:ascii="Calibri" w:hAnsi="Calibri" w:cs="Calibri"/>
          <w:sz w:val="20"/>
        </w:rPr>
        <w:t xml:space="preserve"> Spatiotemporal dynamics and recurrence of chikungunya virus in Brazil: an epidemiological study. </w:t>
      </w:r>
      <w:r w:rsidRPr="00CC3778">
        <w:rPr>
          <w:rFonts w:ascii="Calibri" w:hAnsi="Calibri" w:cs="Calibri"/>
          <w:i/>
          <w:iCs/>
          <w:sz w:val="20"/>
          <w:lang w:val="it-IT"/>
        </w:rPr>
        <w:t>The Lancet Microbe</w:t>
      </w:r>
      <w:r w:rsidRPr="00CC3778">
        <w:rPr>
          <w:rFonts w:ascii="Calibri" w:hAnsi="Calibri" w:cs="Calibri"/>
          <w:sz w:val="20"/>
          <w:lang w:val="it-IT"/>
        </w:rPr>
        <w:t xml:space="preserve"> </w:t>
      </w:r>
      <w:r w:rsidRPr="00CC3778">
        <w:rPr>
          <w:rFonts w:ascii="Calibri" w:hAnsi="Calibri" w:cs="Calibri"/>
          <w:b/>
          <w:bCs/>
          <w:sz w:val="20"/>
          <w:lang w:val="it-IT"/>
        </w:rPr>
        <w:t>4</w:t>
      </w:r>
      <w:r w:rsidRPr="00CC3778">
        <w:rPr>
          <w:rFonts w:ascii="Calibri" w:hAnsi="Calibri" w:cs="Calibri"/>
          <w:sz w:val="20"/>
          <w:lang w:val="it-IT"/>
        </w:rPr>
        <w:t>, e319–e329 (2023).</w:t>
      </w:r>
    </w:p>
    <w:p w14:paraId="7D7FF1F0" w14:textId="77777777" w:rsidR="00CC3778" w:rsidRPr="00CC3778" w:rsidRDefault="00CC3778" w:rsidP="00CC3778">
      <w:pPr>
        <w:pStyle w:val="Bibliography"/>
        <w:rPr>
          <w:rFonts w:ascii="Calibri" w:hAnsi="Calibri" w:cs="Calibri"/>
          <w:sz w:val="20"/>
        </w:rPr>
      </w:pPr>
      <w:r w:rsidRPr="00CC3778">
        <w:rPr>
          <w:rFonts w:ascii="Calibri" w:hAnsi="Calibri" w:cs="Calibri"/>
          <w:sz w:val="20"/>
          <w:lang w:val="it-IT"/>
        </w:rPr>
        <w:t>14.</w:t>
      </w:r>
      <w:r w:rsidRPr="00CC3778">
        <w:rPr>
          <w:rFonts w:ascii="Calibri" w:hAnsi="Calibri" w:cs="Calibri"/>
          <w:sz w:val="20"/>
          <w:lang w:val="it-IT"/>
        </w:rPr>
        <w:tab/>
        <w:t xml:space="preserve">Messina, J. P. </w:t>
      </w:r>
      <w:r w:rsidRPr="00CC3778">
        <w:rPr>
          <w:rFonts w:ascii="Calibri" w:hAnsi="Calibri" w:cs="Calibri"/>
          <w:i/>
          <w:iCs/>
          <w:sz w:val="20"/>
          <w:lang w:val="it-IT"/>
        </w:rPr>
        <w:t>et al.</w:t>
      </w:r>
      <w:r w:rsidRPr="00CC3778">
        <w:rPr>
          <w:rFonts w:ascii="Calibri" w:hAnsi="Calibri" w:cs="Calibri"/>
          <w:sz w:val="20"/>
          <w:lang w:val="it-IT"/>
        </w:rPr>
        <w:t xml:space="preserve"> </w:t>
      </w:r>
      <w:r w:rsidRPr="00CC3778">
        <w:rPr>
          <w:rFonts w:ascii="Calibri" w:hAnsi="Calibri" w:cs="Calibri"/>
          <w:sz w:val="20"/>
        </w:rPr>
        <w:t xml:space="preserve">Mapping global environmental suitability for Zika virus. </w:t>
      </w:r>
      <w:r w:rsidRPr="00CC3778">
        <w:rPr>
          <w:rFonts w:ascii="Calibri" w:hAnsi="Calibri" w:cs="Calibri"/>
          <w:i/>
          <w:iCs/>
          <w:sz w:val="20"/>
        </w:rPr>
        <w:t>eLife</w:t>
      </w:r>
      <w:r w:rsidRPr="00CC3778">
        <w:rPr>
          <w:rFonts w:ascii="Calibri" w:hAnsi="Calibri" w:cs="Calibri"/>
          <w:sz w:val="20"/>
        </w:rPr>
        <w:t xml:space="preserve"> </w:t>
      </w:r>
      <w:r w:rsidRPr="00CC3778">
        <w:rPr>
          <w:rFonts w:ascii="Calibri" w:hAnsi="Calibri" w:cs="Calibri"/>
          <w:b/>
          <w:bCs/>
          <w:sz w:val="20"/>
        </w:rPr>
        <w:t>5</w:t>
      </w:r>
      <w:r w:rsidRPr="00CC3778">
        <w:rPr>
          <w:rFonts w:ascii="Calibri" w:hAnsi="Calibri" w:cs="Calibri"/>
          <w:sz w:val="20"/>
        </w:rPr>
        <w:t>, e15272 (2016).</w:t>
      </w:r>
    </w:p>
    <w:p w14:paraId="30717196"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lastRenderedPageBreak/>
        <w:t>15.</w:t>
      </w:r>
      <w:r w:rsidRPr="00CC3778">
        <w:rPr>
          <w:rFonts w:ascii="Calibri" w:hAnsi="Calibri" w:cs="Calibri"/>
          <w:sz w:val="20"/>
        </w:rPr>
        <w:tab/>
        <w:t>Pan American Health Organization / World Health Organization (PAHO/WHO). Epidemiological Update - Yellow fever in the Region of the Americas - 25 April 2023. https://www.paho.org/en/documents/epidemiological-update-yellow-fever-region-americas-25-april-2023 (2023).</w:t>
      </w:r>
    </w:p>
    <w:p w14:paraId="0B1F4277"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16.</w:t>
      </w:r>
      <w:r w:rsidRPr="00CC3778">
        <w:rPr>
          <w:rFonts w:ascii="Calibri" w:hAnsi="Calibri" w:cs="Calibri"/>
          <w:sz w:val="20"/>
        </w:rPr>
        <w:tab/>
        <w:t xml:space="preserve">Chen, J. </w:t>
      </w:r>
      <w:r w:rsidRPr="00CC3778">
        <w:rPr>
          <w:rFonts w:ascii="Calibri" w:hAnsi="Calibri" w:cs="Calibri"/>
          <w:i/>
          <w:iCs/>
          <w:sz w:val="20"/>
        </w:rPr>
        <w:t>et al.</w:t>
      </w:r>
      <w:r w:rsidRPr="00CC3778">
        <w:rPr>
          <w:rFonts w:ascii="Calibri" w:hAnsi="Calibri" w:cs="Calibri"/>
          <w:sz w:val="20"/>
        </w:rPr>
        <w:t xml:space="preserve"> Global 1 km × 1 km gridded revised real gross domestic product and electricity consumption during 1992–2019 based on calibrated nighttime light data. </w:t>
      </w:r>
      <w:r w:rsidRPr="00CC3778">
        <w:rPr>
          <w:rFonts w:ascii="Calibri" w:hAnsi="Calibri" w:cs="Calibri"/>
          <w:i/>
          <w:iCs/>
          <w:sz w:val="20"/>
        </w:rPr>
        <w:t>Sci Data</w:t>
      </w:r>
      <w:r w:rsidRPr="00CC3778">
        <w:rPr>
          <w:rFonts w:ascii="Calibri" w:hAnsi="Calibri" w:cs="Calibri"/>
          <w:sz w:val="20"/>
        </w:rPr>
        <w:t xml:space="preserve"> </w:t>
      </w:r>
      <w:r w:rsidRPr="00CC3778">
        <w:rPr>
          <w:rFonts w:ascii="Calibri" w:hAnsi="Calibri" w:cs="Calibri"/>
          <w:b/>
          <w:bCs/>
          <w:sz w:val="20"/>
        </w:rPr>
        <w:t>9</w:t>
      </w:r>
      <w:r w:rsidRPr="00CC3778">
        <w:rPr>
          <w:rFonts w:ascii="Calibri" w:hAnsi="Calibri" w:cs="Calibri"/>
          <w:sz w:val="20"/>
        </w:rPr>
        <w:t>, 202 (2022).</w:t>
      </w:r>
    </w:p>
    <w:p w14:paraId="494580D5"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17.</w:t>
      </w:r>
      <w:r w:rsidRPr="00CC3778">
        <w:rPr>
          <w:rFonts w:ascii="Calibri" w:hAnsi="Calibri" w:cs="Calibri"/>
          <w:sz w:val="20"/>
        </w:rPr>
        <w:tab/>
        <w:t xml:space="preserve">Gao, J. &amp; O’Neill, B. C. Mapping global urban land for the 21st century with data-driven simulations and Shared Socioeconomic Pathways. </w:t>
      </w:r>
      <w:r w:rsidRPr="00CC3778">
        <w:rPr>
          <w:rFonts w:ascii="Calibri" w:hAnsi="Calibri" w:cs="Calibri"/>
          <w:i/>
          <w:iCs/>
          <w:sz w:val="20"/>
        </w:rPr>
        <w:t>Nat Commun</w:t>
      </w:r>
      <w:r w:rsidRPr="00CC3778">
        <w:rPr>
          <w:rFonts w:ascii="Calibri" w:hAnsi="Calibri" w:cs="Calibri"/>
          <w:sz w:val="20"/>
        </w:rPr>
        <w:t xml:space="preserve"> </w:t>
      </w:r>
      <w:r w:rsidRPr="00CC3778">
        <w:rPr>
          <w:rFonts w:ascii="Calibri" w:hAnsi="Calibri" w:cs="Calibri"/>
          <w:b/>
          <w:bCs/>
          <w:sz w:val="20"/>
        </w:rPr>
        <w:t>11</w:t>
      </w:r>
      <w:r w:rsidRPr="00CC3778">
        <w:rPr>
          <w:rFonts w:ascii="Calibri" w:hAnsi="Calibri" w:cs="Calibri"/>
          <w:sz w:val="20"/>
        </w:rPr>
        <w:t>, 2302 (2020).</w:t>
      </w:r>
    </w:p>
    <w:p w14:paraId="0A6C4EAA"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18.</w:t>
      </w:r>
      <w:r w:rsidRPr="00CC3778">
        <w:rPr>
          <w:rFonts w:ascii="Calibri" w:hAnsi="Calibri" w:cs="Calibri"/>
          <w:sz w:val="20"/>
        </w:rPr>
        <w:tab/>
        <w:t xml:space="preserve">Weiss, D. J. </w:t>
      </w:r>
      <w:r w:rsidRPr="00CC3778">
        <w:rPr>
          <w:rFonts w:ascii="Calibri" w:hAnsi="Calibri" w:cs="Calibri"/>
          <w:i/>
          <w:iCs/>
          <w:sz w:val="20"/>
        </w:rPr>
        <w:t>et al.</w:t>
      </w:r>
      <w:r w:rsidRPr="00CC3778">
        <w:rPr>
          <w:rFonts w:ascii="Calibri" w:hAnsi="Calibri" w:cs="Calibri"/>
          <w:sz w:val="20"/>
        </w:rPr>
        <w:t xml:space="preserve"> Global maps of travel time to healthcare facilities. </w:t>
      </w:r>
      <w:r w:rsidRPr="00CC3778">
        <w:rPr>
          <w:rFonts w:ascii="Calibri" w:hAnsi="Calibri" w:cs="Calibri"/>
          <w:i/>
          <w:iCs/>
          <w:sz w:val="20"/>
        </w:rPr>
        <w:t>Nature Medicine 2020 26:12</w:t>
      </w:r>
      <w:r w:rsidRPr="00CC3778">
        <w:rPr>
          <w:rFonts w:ascii="Calibri" w:hAnsi="Calibri" w:cs="Calibri"/>
          <w:sz w:val="20"/>
        </w:rPr>
        <w:t xml:space="preserve"> </w:t>
      </w:r>
      <w:r w:rsidRPr="00CC3778">
        <w:rPr>
          <w:rFonts w:ascii="Calibri" w:hAnsi="Calibri" w:cs="Calibri"/>
          <w:b/>
          <w:bCs/>
          <w:sz w:val="20"/>
        </w:rPr>
        <w:t>26</w:t>
      </w:r>
      <w:r w:rsidRPr="00CC3778">
        <w:rPr>
          <w:rFonts w:ascii="Calibri" w:hAnsi="Calibri" w:cs="Calibri"/>
          <w:sz w:val="20"/>
        </w:rPr>
        <w:t>, 1835–1838 (2020).</w:t>
      </w:r>
    </w:p>
    <w:p w14:paraId="781276B8"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19.</w:t>
      </w:r>
      <w:r w:rsidRPr="00CC3778">
        <w:rPr>
          <w:rFonts w:ascii="Calibri" w:hAnsi="Calibri" w:cs="Calibri"/>
          <w:sz w:val="20"/>
        </w:rPr>
        <w:tab/>
        <w:t xml:space="preserve">Nguyen, M. </w:t>
      </w:r>
      <w:r w:rsidRPr="00CC3778">
        <w:rPr>
          <w:rFonts w:ascii="Calibri" w:hAnsi="Calibri" w:cs="Calibri"/>
          <w:i/>
          <w:iCs/>
          <w:sz w:val="20"/>
        </w:rPr>
        <w:t>et al.</w:t>
      </w:r>
      <w:r w:rsidRPr="00CC3778">
        <w:rPr>
          <w:rFonts w:ascii="Calibri" w:hAnsi="Calibri" w:cs="Calibri"/>
          <w:sz w:val="20"/>
        </w:rPr>
        <w:t xml:space="preserve"> Trends in treatment-seeking for fever in children under five years old in 151 countries from 1990 to 2020. </w:t>
      </w:r>
      <w:r w:rsidRPr="00CC3778">
        <w:rPr>
          <w:rFonts w:ascii="Calibri" w:hAnsi="Calibri" w:cs="Calibri"/>
          <w:i/>
          <w:iCs/>
          <w:sz w:val="20"/>
        </w:rPr>
        <w:t>PLOS Global Public Health</w:t>
      </w:r>
      <w:r w:rsidRPr="00CC3778">
        <w:rPr>
          <w:rFonts w:ascii="Calibri" w:hAnsi="Calibri" w:cs="Calibri"/>
          <w:sz w:val="20"/>
        </w:rPr>
        <w:t xml:space="preserve"> </w:t>
      </w:r>
      <w:r w:rsidRPr="00CC3778">
        <w:rPr>
          <w:rFonts w:ascii="Calibri" w:hAnsi="Calibri" w:cs="Calibri"/>
          <w:b/>
          <w:bCs/>
          <w:sz w:val="20"/>
        </w:rPr>
        <w:t>3</w:t>
      </w:r>
      <w:r w:rsidRPr="00CC3778">
        <w:rPr>
          <w:rFonts w:ascii="Calibri" w:hAnsi="Calibri" w:cs="Calibri"/>
          <w:sz w:val="20"/>
        </w:rPr>
        <w:t>, e0002134 (2023).</w:t>
      </w:r>
    </w:p>
    <w:p w14:paraId="77615C10"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20.</w:t>
      </w:r>
      <w:r w:rsidRPr="00CC3778">
        <w:rPr>
          <w:rFonts w:ascii="Calibri" w:hAnsi="Calibri" w:cs="Calibri"/>
          <w:sz w:val="20"/>
        </w:rPr>
        <w:tab/>
        <w:t xml:space="preserve">United Nations Inter-agency Group for Child Mortality Estimation (UN IGME). </w:t>
      </w:r>
      <w:r w:rsidRPr="00CC3778">
        <w:rPr>
          <w:rFonts w:ascii="Calibri" w:hAnsi="Calibri" w:cs="Calibri"/>
          <w:i/>
          <w:iCs/>
          <w:sz w:val="20"/>
        </w:rPr>
        <w:t>Levels and Trends in Child Mortality: Report 2022</w:t>
      </w:r>
      <w:r w:rsidRPr="00CC3778">
        <w:rPr>
          <w:rFonts w:ascii="Calibri" w:hAnsi="Calibri" w:cs="Calibri"/>
          <w:sz w:val="20"/>
        </w:rPr>
        <w:t>. https://childmortality.org/wp-content/uploads/2023/01/UN-IGME-Child-Mortality-Report-2022.pdf.</w:t>
      </w:r>
    </w:p>
    <w:p w14:paraId="6D15CF51"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21.</w:t>
      </w:r>
      <w:r w:rsidRPr="00CC3778">
        <w:rPr>
          <w:rFonts w:ascii="Calibri" w:hAnsi="Calibri" w:cs="Calibri"/>
          <w:sz w:val="20"/>
        </w:rPr>
        <w:tab/>
        <w:t>INFORM Risk - Results and data.</w:t>
      </w:r>
    </w:p>
    <w:p w14:paraId="78BF39DA"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22.</w:t>
      </w:r>
      <w:r w:rsidRPr="00CC3778">
        <w:rPr>
          <w:rFonts w:ascii="Calibri" w:hAnsi="Calibri" w:cs="Calibri"/>
          <w:sz w:val="20"/>
        </w:rPr>
        <w:tab/>
        <w:t>Kaufmann, D. &amp; Kraay, A. Worldwide Governance Indicators.</w:t>
      </w:r>
    </w:p>
    <w:p w14:paraId="5B1B61E5"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23.</w:t>
      </w:r>
      <w:r w:rsidRPr="00CC3778">
        <w:rPr>
          <w:rFonts w:ascii="Calibri" w:hAnsi="Calibri" w:cs="Calibri"/>
          <w:sz w:val="20"/>
        </w:rPr>
        <w:tab/>
        <w:t>World Bank. Physicians (per 1,000 people).</w:t>
      </w:r>
    </w:p>
    <w:p w14:paraId="44877837" w14:textId="77777777" w:rsidR="00CC3778" w:rsidRPr="00CC3778" w:rsidRDefault="00CC3778" w:rsidP="00CC3778">
      <w:pPr>
        <w:pStyle w:val="Bibliography"/>
        <w:rPr>
          <w:rFonts w:ascii="Calibri" w:hAnsi="Calibri" w:cs="Calibri"/>
          <w:sz w:val="20"/>
        </w:rPr>
      </w:pPr>
      <w:r w:rsidRPr="00CC3778">
        <w:rPr>
          <w:rFonts w:ascii="Calibri" w:hAnsi="Calibri" w:cs="Calibri"/>
          <w:sz w:val="20"/>
          <w:lang w:val="fr-FR"/>
        </w:rPr>
        <w:t>24.</w:t>
      </w:r>
      <w:r w:rsidRPr="00CC3778">
        <w:rPr>
          <w:rFonts w:ascii="Calibri" w:hAnsi="Calibri" w:cs="Calibri"/>
          <w:sz w:val="20"/>
          <w:lang w:val="fr-FR"/>
        </w:rPr>
        <w:tab/>
        <w:t xml:space="preserve">Brady, O. J. </w:t>
      </w:r>
      <w:r w:rsidRPr="00CC3778">
        <w:rPr>
          <w:rFonts w:ascii="Calibri" w:hAnsi="Calibri" w:cs="Calibri"/>
          <w:i/>
          <w:iCs/>
          <w:sz w:val="20"/>
          <w:lang w:val="fr-FR"/>
        </w:rPr>
        <w:t>et al.</w:t>
      </w:r>
      <w:r w:rsidRPr="00CC3778">
        <w:rPr>
          <w:rFonts w:ascii="Calibri" w:hAnsi="Calibri" w:cs="Calibri"/>
          <w:sz w:val="20"/>
          <w:lang w:val="fr-FR"/>
        </w:rPr>
        <w:t xml:space="preserve"> </w:t>
      </w:r>
      <w:r w:rsidRPr="00CC3778">
        <w:rPr>
          <w:rFonts w:ascii="Calibri" w:hAnsi="Calibri" w:cs="Calibri"/>
          <w:sz w:val="20"/>
        </w:rPr>
        <w:t xml:space="preserve">Global temperature constraints on Aedes aegypti and Ae. albopictus persistence and competence for dengue virus transmission. </w:t>
      </w:r>
      <w:r w:rsidRPr="00CC3778">
        <w:rPr>
          <w:rFonts w:ascii="Calibri" w:hAnsi="Calibri" w:cs="Calibri"/>
          <w:i/>
          <w:iCs/>
          <w:sz w:val="20"/>
        </w:rPr>
        <w:t>Parasites &amp; Vectors</w:t>
      </w:r>
      <w:r w:rsidRPr="00CC3778">
        <w:rPr>
          <w:rFonts w:ascii="Calibri" w:hAnsi="Calibri" w:cs="Calibri"/>
          <w:sz w:val="20"/>
        </w:rPr>
        <w:t xml:space="preserve"> </w:t>
      </w:r>
      <w:r w:rsidRPr="00CC3778">
        <w:rPr>
          <w:rFonts w:ascii="Calibri" w:hAnsi="Calibri" w:cs="Calibri"/>
          <w:b/>
          <w:bCs/>
          <w:sz w:val="20"/>
        </w:rPr>
        <w:t>7</w:t>
      </w:r>
      <w:r w:rsidRPr="00CC3778">
        <w:rPr>
          <w:rFonts w:ascii="Calibri" w:hAnsi="Calibri" w:cs="Calibri"/>
          <w:sz w:val="20"/>
        </w:rPr>
        <w:t>, 338 (2014).</w:t>
      </w:r>
    </w:p>
    <w:p w14:paraId="1C1BB0A5"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25.</w:t>
      </w:r>
      <w:r w:rsidRPr="00CC3778">
        <w:rPr>
          <w:rFonts w:ascii="Calibri" w:hAnsi="Calibri" w:cs="Calibri"/>
          <w:sz w:val="20"/>
        </w:rPr>
        <w:tab/>
        <w:t xml:space="preserve">Abatzoglou, J. T., Dobrowski, S. Z., Parks, S. A. &amp; Hegewisch, K. C. TerraClimate, a high-resolution global dataset of monthly climate and climatic water balance from 1958–2015. </w:t>
      </w:r>
      <w:r w:rsidRPr="00CC3778">
        <w:rPr>
          <w:rFonts w:ascii="Calibri" w:hAnsi="Calibri" w:cs="Calibri"/>
          <w:i/>
          <w:iCs/>
          <w:sz w:val="20"/>
        </w:rPr>
        <w:t>Sci Data</w:t>
      </w:r>
      <w:r w:rsidRPr="00CC3778">
        <w:rPr>
          <w:rFonts w:ascii="Calibri" w:hAnsi="Calibri" w:cs="Calibri"/>
          <w:sz w:val="20"/>
        </w:rPr>
        <w:t xml:space="preserve"> </w:t>
      </w:r>
      <w:r w:rsidRPr="00CC3778">
        <w:rPr>
          <w:rFonts w:ascii="Calibri" w:hAnsi="Calibri" w:cs="Calibri"/>
          <w:b/>
          <w:bCs/>
          <w:sz w:val="20"/>
        </w:rPr>
        <w:t>5</w:t>
      </w:r>
      <w:r w:rsidRPr="00CC3778">
        <w:rPr>
          <w:rFonts w:ascii="Calibri" w:hAnsi="Calibri" w:cs="Calibri"/>
          <w:sz w:val="20"/>
        </w:rPr>
        <w:t>, 170191 (2018).</w:t>
      </w:r>
    </w:p>
    <w:p w14:paraId="6D547B89"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26.</w:t>
      </w:r>
      <w:r w:rsidRPr="00CC3778">
        <w:rPr>
          <w:rFonts w:ascii="Calibri" w:hAnsi="Calibri" w:cs="Calibri"/>
          <w:sz w:val="20"/>
        </w:rPr>
        <w:tab/>
        <w:t xml:space="preserve">Didan, K. MOD13C2 MODIS/Terra vegetation indices monthly L3 global 0.05 deg CMG V006. </w:t>
      </w:r>
      <w:r w:rsidRPr="00CC3778">
        <w:rPr>
          <w:rFonts w:ascii="Calibri" w:hAnsi="Calibri" w:cs="Calibri"/>
          <w:i/>
          <w:iCs/>
          <w:sz w:val="20"/>
        </w:rPr>
        <w:t>NASA EOSDIS Land Processes DAAC</w:t>
      </w:r>
      <w:r w:rsidRPr="00CC3778">
        <w:rPr>
          <w:rFonts w:ascii="Calibri" w:hAnsi="Calibri" w:cs="Calibri"/>
          <w:sz w:val="20"/>
        </w:rPr>
        <w:t xml:space="preserve"> </w:t>
      </w:r>
      <w:r w:rsidRPr="00CC3778">
        <w:rPr>
          <w:rFonts w:ascii="Calibri" w:hAnsi="Calibri" w:cs="Calibri"/>
          <w:b/>
          <w:bCs/>
          <w:sz w:val="20"/>
        </w:rPr>
        <w:t>10</w:t>
      </w:r>
      <w:r w:rsidRPr="00CC3778">
        <w:rPr>
          <w:rFonts w:ascii="Calibri" w:hAnsi="Calibri" w:cs="Calibri"/>
          <w:sz w:val="20"/>
        </w:rPr>
        <w:t>, 2015 (2015).</w:t>
      </w:r>
    </w:p>
    <w:p w14:paraId="5D142F8D"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27.</w:t>
      </w:r>
      <w:r w:rsidRPr="00CC3778">
        <w:rPr>
          <w:rFonts w:ascii="Calibri" w:hAnsi="Calibri" w:cs="Calibri"/>
          <w:sz w:val="20"/>
        </w:rPr>
        <w:tab/>
        <w:t xml:space="preserve">Coops, N. C., Kearney, S. P., Bolton, D. K. &amp; Radeloff, V. C. Remotely-sensed productivity clusters capture global biodiversity patterns. </w:t>
      </w:r>
      <w:r w:rsidRPr="00CC3778">
        <w:rPr>
          <w:rFonts w:ascii="Calibri" w:hAnsi="Calibri" w:cs="Calibri"/>
          <w:i/>
          <w:iCs/>
          <w:sz w:val="20"/>
        </w:rPr>
        <w:t>Sci Rep</w:t>
      </w:r>
      <w:r w:rsidRPr="00CC3778">
        <w:rPr>
          <w:rFonts w:ascii="Calibri" w:hAnsi="Calibri" w:cs="Calibri"/>
          <w:sz w:val="20"/>
        </w:rPr>
        <w:t xml:space="preserve"> </w:t>
      </w:r>
      <w:r w:rsidRPr="00CC3778">
        <w:rPr>
          <w:rFonts w:ascii="Calibri" w:hAnsi="Calibri" w:cs="Calibri"/>
          <w:b/>
          <w:bCs/>
          <w:sz w:val="20"/>
        </w:rPr>
        <w:t>8</w:t>
      </w:r>
      <w:r w:rsidRPr="00CC3778">
        <w:rPr>
          <w:rFonts w:ascii="Calibri" w:hAnsi="Calibri" w:cs="Calibri"/>
          <w:sz w:val="20"/>
        </w:rPr>
        <w:t>, 16261 (2018).</w:t>
      </w:r>
    </w:p>
    <w:p w14:paraId="6A712CEE"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28.</w:t>
      </w:r>
      <w:r w:rsidRPr="00CC3778">
        <w:rPr>
          <w:rFonts w:ascii="Calibri" w:hAnsi="Calibri" w:cs="Calibri"/>
          <w:sz w:val="20"/>
        </w:rPr>
        <w:tab/>
        <w:t xml:space="preserve">Kraemer, M. U. G. </w:t>
      </w:r>
      <w:r w:rsidRPr="00CC3778">
        <w:rPr>
          <w:rFonts w:ascii="Calibri" w:hAnsi="Calibri" w:cs="Calibri"/>
          <w:i/>
          <w:iCs/>
          <w:sz w:val="20"/>
        </w:rPr>
        <w:t>et al.</w:t>
      </w:r>
      <w:r w:rsidRPr="00CC3778">
        <w:rPr>
          <w:rFonts w:ascii="Calibri" w:hAnsi="Calibri" w:cs="Calibri"/>
          <w:sz w:val="20"/>
        </w:rPr>
        <w:t xml:space="preserve"> Past and future spread of the arbovirus vectors Aedes aegypti and Aedes albopictus. </w:t>
      </w:r>
      <w:r w:rsidRPr="00CC3778">
        <w:rPr>
          <w:rFonts w:ascii="Calibri" w:hAnsi="Calibri" w:cs="Calibri"/>
          <w:i/>
          <w:iCs/>
          <w:sz w:val="20"/>
        </w:rPr>
        <w:t>Nat Microbiol</w:t>
      </w:r>
      <w:r w:rsidRPr="00CC3778">
        <w:rPr>
          <w:rFonts w:ascii="Calibri" w:hAnsi="Calibri" w:cs="Calibri"/>
          <w:sz w:val="20"/>
        </w:rPr>
        <w:t xml:space="preserve"> </w:t>
      </w:r>
      <w:r w:rsidRPr="00CC3778">
        <w:rPr>
          <w:rFonts w:ascii="Calibri" w:hAnsi="Calibri" w:cs="Calibri"/>
          <w:b/>
          <w:bCs/>
          <w:sz w:val="20"/>
        </w:rPr>
        <w:t>4</w:t>
      </w:r>
      <w:r w:rsidRPr="00CC3778">
        <w:rPr>
          <w:rFonts w:ascii="Calibri" w:hAnsi="Calibri" w:cs="Calibri"/>
          <w:sz w:val="20"/>
        </w:rPr>
        <w:t>, 854–863 (2019).</w:t>
      </w:r>
    </w:p>
    <w:p w14:paraId="12D59835"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29.</w:t>
      </w:r>
      <w:r w:rsidRPr="00CC3778">
        <w:rPr>
          <w:rFonts w:ascii="Calibri" w:hAnsi="Calibri" w:cs="Calibri"/>
          <w:sz w:val="20"/>
        </w:rPr>
        <w:tab/>
        <w:t xml:space="preserve">Sims, K. </w:t>
      </w:r>
      <w:r w:rsidRPr="00CC3778">
        <w:rPr>
          <w:rFonts w:ascii="Calibri" w:hAnsi="Calibri" w:cs="Calibri"/>
          <w:i/>
          <w:iCs/>
          <w:sz w:val="20"/>
        </w:rPr>
        <w:t>et al.</w:t>
      </w:r>
      <w:r w:rsidRPr="00CC3778">
        <w:rPr>
          <w:rFonts w:ascii="Calibri" w:hAnsi="Calibri" w:cs="Calibri"/>
          <w:sz w:val="20"/>
        </w:rPr>
        <w:t xml:space="preserve"> LandScan Global 2022. Oak Ridge National Laboratory https://doi.org/10.48690/1529167 (2023).</w:t>
      </w:r>
    </w:p>
    <w:p w14:paraId="273CD264"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lastRenderedPageBreak/>
        <w:t>30.</w:t>
      </w:r>
      <w:r w:rsidRPr="00CC3778">
        <w:rPr>
          <w:rFonts w:ascii="Calibri" w:hAnsi="Calibri" w:cs="Calibri"/>
          <w:sz w:val="20"/>
        </w:rPr>
        <w:tab/>
        <w:t xml:space="preserve">Celone, M. </w:t>
      </w:r>
      <w:r w:rsidRPr="00CC3778">
        <w:rPr>
          <w:rFonts w:ascii="Calibri" w:hAnsi="Calibri" w:cs="Calibri"/>
          <w:i/>
          <w:iCs/>
          <w:sz w:val="20"/>
        </w:rPr>
        <w:t>et al.</w:t>
      </w:r>
      <w:r w:rsidRPr="00CC3778">
        <w:rPr>
          <w:rFonts w:ascii="Calibri" w:hAnsi="Calibri" w:cs="Calibri"/>
          <w:sz w:val="20"/>
        </w:rPr>
        <w:t xml:space="preserve"> An ecological niche model to predict the geographic distribution of Haemagogus janthinomys, Dyar, 1921 a yellow fever and Mayaro virus vector, in South America. </w:t>
      </w:r>
      <w:r w:rsidRPr="00CC3778">
        <w:rPr>
          <w:rFonts w:ascii="Calibri" w:hAnsi="Calibri" w:cs="Calibri"/>
          <w:i/>
          <w:iCs/>
          <w:sz w:val="20"/>
        </w:rPr>
        <w:t>PLOS Neglected Tropical Diseases</w:t>
      </w:r>
      <w:r w:rsidRPr="00CC3778">
        <w:rPr>
          <w:rFonts w:ascii="Calibri" w:hAnsi="Calibri" w:cs="Calibri"/>
          <w:sz w:val="20"/>
        </w:rPr>
        <w:t xml:space="preserve"> </w:t>
      </w:r>
      <w:r w:rsidRPr="00CC3778">
        <w:rPr>
          <w:rFonts w:ascii="Calibri" w:hAnsi="Calibri" w:cs="Calibri"/>
          <w:b/>
          <w:bCs/>
          <w:sz w:val="20"/>
        </w:rPr>
        <w:t>16</w:t>
      </w:r>
      <w:r w:rsidRPr="00CC3778">
        <w:rPr>
          <w:rFonts w:ascii="Calibri" w:hAnsi="Calibri" w:cs="Calibri"/>
          <w:sz w:val="20"/>
        </w:rPr>
        <w:t>, e0010564 (2022).</w:t>
      </w:r>
    </w:p>
    <w:p w14:paraId="63601573"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31.</w:t>
      </w:r>
      <w:r w:rsidRPr="00CC3778">
        <w:rPr>
          <w:rFonts w:ascii="Calibri" w:hAnsi="Calibri" w:cs="Calibri"/>
          <w:sz w:val="20"/>
        </w:rPr>
        <w:tab/>
        <w:t xml:space="preserve">Hamlet, A. </w:t>
      </w:r>
      <w:r w:rsidRPr="00CC3778">
        <w:rPr>
          <w:rFonts w:ascii="Calibri" w:hAnsi="Calibri" w:cs="Calibri"/>
          <w:i/>
          <w:iCs/>
          <w:sz w:val="20"/>
        </w:rPr>
        <w:t>et al.</w:t>
      </w:r>
      <w:r w:rsidRPr="00CC3778">
        <w:rPr>
          <w:rFonts w:ascii="Calibri" w:hAnsi="Calibri" w:cs="Calibri"/>
          <w:sz w:val="20"/>
        </w:rPr>
        <w:t xml:space="preserve"> POLICI: A web application for visualising and extracting yellow fever vaccination coverage in Africa. </w:t>
      </w:r>
      <w:r w:rsidRPr="00CC3778">
        <w:rPr>
          <w:rFonts w:ascii="Calibri" w:hAnsi="Calibri" w:cs="Calibri"/>
          <w:i/>
          <w:iCs/>
          <w:sz w:val="20"/>
        </w:rPr>
        <w:t>Vaccine</w:t>
      </w:r>
      <w:r w:rsidRPr="00CC3778">
        <w:rPr>
          <w:rFonts w:ascii="Calibri" w:hAnsi="Calibri" w:cs="Calibri"/>
          <w:sz w:val="20"/>
        </w:rPr>
        <w:t xml:space="preserve"> </w:t>
      </w:r>
      <w:r w:rsidRPr="00CC3778">
        <w:rPr>
          <w:rFonts w:ascii="Calibri" w:hAnsi="Calibri" w:cs="Calibri"/>
          <w:b/>
          <w:bCs/>
          <w:sz w:val="20"/>
        </w:rPr>
        <w:t>37</w:t>
      </w:r>
      <w:r w:rsidRPr="00CC3778">
        <w:rPr>
          <w:rFonts w:ascii="Calibri" w:hAnsi="Calibri" w:cs="Calibri"/>
          <w:sz w:val="20"/>
        </w:rPr>
        <w:t>, 1384–1388 (2019).</w:t>
      </w:r>
    </w:p>
    <w:p w14:paraId="7823D5C9"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32.</w:t>
      </w:r>
      <w:r w:rsidRPr="00CC3778">
        <w:rPr>
          <w:rFonts w:ascii="Calibri" w:hAnsi="Calibri" w:cs="Calibri"/>
          <w:sz w:val="20"/>
        </w:rPr>
        <w:tab/>
        <w:t xml:space="preserve">Ryan, S. J., Carlson, C. J., Mordecai, E. A. &amp; Johnson, L. R. Global expansion and redistribution of Aedes-borne virus transmission risk with climate change. </w:t>
      </w:r>
      <w:r w:rsidRPr="00CC3778">
        <w:rPr>
          <w:rFonts w:ascii="Calibri" w:hAnsi="Calibri" w:cs="Calibri"/>
          <w:i/>
          <w:iCs/>
          <w:sz w:val="20"/>
        </w:rPr>
        <w:t>PLOS Neglected Tropical Diseases</w:t>
      </w:r>
      <w:r w:rsidRPr="00CC3778">
        <w:rPr>
          <w:rFonts w:ascii="Calibri" w:hAnsi="Calibri" w:cs="Calibri"/>
          <w:sz w:val="20"/>
        </w:rPr>
        <w:t xml:space="preserve"> </w:t>
      </w:r>
      <w:r w:rsidRPr="00CC3778">
        <w:rPr>
          <w:rFonts w:ascii="Calibri" w:hAnsi="Calibri" w:cs="Calibri"/>
          <w:b/>
          <w:bCs/>
          <w:sz w:val="20"/>
        </w:rPr>
        <w:t>13</w:t>
      </w:r>
      <w:r w:rsidRPr="00CC3778">
        <w:rPr>
          <w:rFonts w:ascii="Calibri" w:hAnsi="Calibri" w:cs="Calibri"/>
          <w:sz w:val="20"/>
        </w:rPr>
        <w:t>, e0007213 (2019).</w:t>
      </w:r>
    </w:p>
    <w:p w14:paraId="11CD6746"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33.</w:t>
      </w:r>
      <w:r w:rsidRPr="00CC3778">
        <w:rPr>
          <w:rFonts w:ascii="Calibri" w:hAnsi="Calibri" w:cs="Calibri"/>
          <w:sz w:val="20"/>
        </w:rPr>
        <w:tab/>
        <w:t xml:space="preserve">Ryan, S. J. </w:t>
      </w:r>
      <w:r w:rsidRPr="00CC3778">
        <w:rPr>
          <w:rFonts w:ascii="Calibri" w:hAnsi="Calibri" w:cs="Calibri"/>
          <w:i/>
          <w:iCs/>
          <w:sz w:val="20"/>
        </w:rPr>
        <w:t>et al.</w:t>
      </w:r>
      <w:r w:rsidRPr="00CC3778">
        <w:rPr>
          <w:rFonts w:ascii="Calibri" w:hAnsi="Calibri" w:cs="Calibri"/>
          <w:sz w:val="20"/>
        </w:rPr>
        <w:t xml:space="preserve"> Warming temperatures could expose more than 1.3 billion new people to Zika virus risk by 2050. </w:t>
      </w:r>
      <w:r w:rsidRPr="00CC3778">
        <w:rPr>
          <w:rFonts w:ascii="Calibri" w:hAnsi="Calibri" w:cs="Calibri"/>
          <w:i/>
          <w:iCs/>
          <w:sz w:val="20"/>
        </w:rPr>
        <w:t>Glob Chang Biol</w:t>
      </w:r>
      <w:r w:rsidRPr="00CC3778">
        <w:rPr>
          <w:rFonts w:ascii="Calibri" w:hAnsi="Calibri" w:cs="Calibri"/>
          <w:sz w:val="20"/>
        </w:rPr>
        <w:t xml:space="preserve"> </w:t>
      </w:r>
      <w:r w:rsidRPr="00CC3778">
        <w:rPr>
          <w:rFonts w:ascii="Calibri" w:hAnsi="Calibri" w:cs="Calibri"/>
          <w:b/>
          <w:bCs/>
          <w:sz w:val="20"/>
        </w:rPr>
        <w:t>27</w:t>
      </w:r>
      <w:r w:rsidRPr="00CC3778">
        <w:rPr>
          <w:rFonts w:ascii="Calibri" w:hAnsi="Calibri" w:cs="Calibri"/>
          <w:sz w:val="20"/>
        </w:rPr>
        <w:t>, 84–93 (2021).</w:t>
      </w:r>
    </w:p>
    <w:p w14:paraId="0FFFA799"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34.</w:t>
      </w:r>
      <w:r w:rsidRPr="00CC3778">
        <w:rPr>
          <w:rFonts w:ascii="Calibri" w:hAnsi="Calibri" w:cs="Calibri"/>
          <w:sz w:val="20"/>
        </w:rPr>
        <w:tab/>
        <w:t>Ryan, S. Global current Aedes aegypti suitability for dengue transmission at 97.5% CI (5 arc minutes). Harvard Dataverse https://doi.org/10.7910/DVN/NSG5UH (2019).</w:t>
      </w:r>
    </w:p>
    <w:p w14:paraId="5DCD50C7" w14:textId="77777777" w:rsidR="00CC3778" w:rsidRPr="00CC3778" w:rsidRDefault="00CC3778" w:rsidP="00CC3778">
      <w:pPr>
        <w:pStyle w:val="Bibliography"/>
        <w:rPr>
          <w:rFonts w:ascii="Calibri" w:hAnsi="Calibri" w:cs="Calibri"/>
          <w:sz w:val="20"/>
        </w:rPr>
      </w:pPr>
      <w:r w:rsidRPr="00CC3778">
        <w:rPr>
          <w:rFonts w:ascii="Calibri" w:hAnsi="Calibri" w:cs="Calibri"/>
          <w:sz w:val="20"/>
        </w:rPr>
        <w:t>35.</w:t>
      </w:r>
      <w:r w:rsidRPr="00CC3778">
        <w:rPr>
          <w:rFonts w:ascii="Calibri" w:hAnsi="Calibri" w:cs="Calibri"/>
          <w:sz w:val="20"/>
        </w:rPr>
        <w:tab/>
        <w:t>Ryan, S. Global current suitability for Aedes aegypti transmitted Zika at 97.5% CI (5 arc minutes). Harvard Dataverse https://doi.org/10.7910/DVN/TK041G (2020).</w:t>
      </w:r>
    </w:p>
    <w:p w14:paraId="5C03A30D" w14:textId="3AB166C3" w:rsidR="00702E8E" w:rsidRPr="00845350" w:rsidRDefault="00E572AD" w:rsidP="00702E8E">
      <w:pPr>
        <w:rPr>
          <w:sz w:val="20"/>
          <w:szCs w:val="20"/>
          <w:lang w:eastAsia="ko-KR"/>
        </w:rPr>
      </w:pPr>
      <w:r>
        <w:rPr>
          <w:sz w:val="20"/>
          <w:szCs w:val="20"/>
          <w:lang w:eastAsia="ko-KR"/>
        </w:rPr>
        <w:fldChar w:fldCharType="end"/>
      </w:r>
    </w:p>
    <w:p w14:paraId="66A7E688" w14:textId="77777777" w:rsidR="00702E8E" w:rsidRDefault="00702E8E" w:rsidP="00702E8E">
      <w:pPr>
        <w:rPr>
          <w:lang w:eastAsia="ko-KR"/>
        </w:rPr>
      </w:pPr>
    </w:p>
    <w:p w14:paraId="5243CAE5" w14:textId="77777777" w:rsidR="00702E8E" w:rsidRDefault="00702E8E" w:rsidP="00702E8E">
      <w:pPr>
        <w:rPr>
          <w:lang w:eastAsia="ko-KR"/>
        </w:rPr>
      </w:pPr>
    </w:p>
    <w:p w14:paraId="0DCB84B7" w14:textId="77777777" w:rsidR="00702E8E" w:rsidRDefault="00702E8E" w:rsidP="00702E8E">
      <w:pPr>
        <w:rPr>
          <w:lang w:eastAsia="ko-KR"/>
        </w:rPr>
      </w:pPr>
    </w:p>
    <w:p w14:paraId="53AF2BEF" w14:textId="77777777" w:rsidR="00702E8E" w:rsidRDefault="00702E8E" w:rsidP="00702E8E">
      <w:pPr>
        <w:rPr>
          <w:lang w:eastAsia="ko-KR"/>
        </w:rPr>
      </w:pPr>
    </w:p>
    <w:p w14:paraId="3AC85BEC" w14:textId="0235464C" w:rsidR="00D91EB3" w:rsidRPr="00D91EB3" w:rsidRDefault="00D91EB3" w:rsidP="00D91EB3">
      <w:pPr>
        <w:rPr>
          <w:lang w:eastAsia="ko-KR"/>
        </w:rPr>
      </w:pPr>
    </w:p>
    <w:sectPr w:rsidR="00D91EB3" w:rsidRPr="00D91EB3" w:rsidSect="000B415D">
      <w:footerReference w:type="default" r:id="rId23"/>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DD553" w14:textId="77777777" w:rsidR="00CF5435" w:rsidRDefault="00CF5435" w:rsidP="005B49FE">
      <w:r>
        <w:separator/>
      </w:r>
    </w:p>
  </w:endnote>
  <w:endnote w:type="continuationSeparator" w:id="0">
    <w:p w14:paraId="0996141A" w14:textId="77777777" w:rsidR="00CF5435" w:rsidRDefault="00CF5435" w:rsidP="005B4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7235051"/>
      <w:docPartObj>
        <w:docPartGallery w:val="Page Numbers (Bottom of Page)"/>
        <w:docPartUnique/>
      </w:docPartObj>
    </w:sdtPr>
    <w:sdtEndPr>
      <w:rPr>
        <w:noProof/>
      </w:rPr>
    </w:sdtEndPr>
    <w:sdtContent>
      <w:p w14:paraId="4DFA862B" w14:textId="76A4B862" w:rsidR="002872E0" w:rsidRDefault="002872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2E985F" w14:textId="77777777" w:rsidR="002872E0" w:rsidRDefault="002872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E21876" w14:textId="77777777" w:rsidR="00CF5435" w:rsidRDefault="00CF5435" w:rsidP="005B49FE">
      <w:r>
        <w:separator/>
      </w:r>
    </w:p>
  </w:footnote>
  <w:footnote w:type="continuationSeparator" w:id="0">
    <w:p w14:paraId="0A756860" w14:textId="77777777" w:rsidR="00CF5435" w:rsidRDefault="00CF5435" w:rsidP="005B49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0CF"/>
    <w:rsid w:val="00011915"/>
    <w:rsid w:val="000272BD"/>
    <w:rsid w:val="00033C55"/>
    <w:rsid w:val="00045F65"/>
    <w:rsid w:val="00053089"/>
    <w:rsid w:val="000603F0"/>
    <w:rsid w:val="000660D1"/>
    <w:rsid w:val="00080053"/>
    <w:rsid w:val="00082194"/>
    <w:rsid w:val="000B415D"/>
    <w:rsid w:val="000B5431"/>
    <w:rsid w:val="000E643C"/>
    <w:rsid w:val="00127063"/>
    <w:rsid w:val="00160758"/>
    <w:rsid w:val="001B13EA"/>
    <w:rsid w:val="001C04EE"/>
    <w:rsid w:val="001E4A19"/>
    <w:rsid w:val="001F292C"/>
    <w:rsid w:val="00234AE0"/>
    <w:rsid w:val="002414ED"/>
    <w:rsid w:val="002443D2"/>
    <w:rsid w:val="00245D7F"/>
    <w:rsid w:val="00265B7B"/>
    <w:rsid w:val="0027615E"/>
    <w:rsid w:val="0027633B"/>
    <w:rsid w:val="002772CF"/>
    <w:rsid w:val="002872E0"/>
    <w:rsid w:val="003014B4"/>
    <w:rsid w:val="0032177B"/>
    <w:rsid w:val="00321D86"/>
    <w:rsid w:val="0033311E"/>
    <w:rsid w:val="00360E51"/>
    <w:rsid w:val="00373558"/>
    <w:rsid w:val="003C4895"/>
    <w:rsid w:val="003E7C43"/>
    <w:rsid w:val="003F0CC9"/>
    <w:rsid w:val="0042165C"/>
    <w:rsid w:val="00446A05"/>
    <w:rsid w:val="00447039"/>
    <w:rsid w:val="00464B9B"/>
    <w:rsid w:val="00474DFF"/>
    <w:rsid w:val="00493579"/>
    <w:rsid w:val="004B4C3F"/>
    <w:rsid w:val="004C1AA4"/>
    <w:rsid w:val="004F5D3C"/>
    <w:rsid w:val="00507373"/>
    <w:rsid w:val="00514C3E"/>
    <w:rsid w:val="00533748"/>
    <w:rsid w:val="00567192"/>
    <w:rsid w:val="005734A3"/>
    <w:rsid w:val="005B3BE4"/>
    <w:rsid w:val="005B49FE"/>
    <w:rsid w:val="005B7040"/>
    <w:rsid w:val="005D0074"/>
    <w:rsid w:val="005E229E"/>
    <w:rsid w:val="005E4FF1"/>
    <w:rsid w:val="005F2BC4"/>
    <w:rsid w:val="0060698E"/>
    <w:rsid w:val="00622E18"/>
    <w:rsid w:val="00641057"/>
    <w:rsid w:val="00642F80"/>
    <w:rsid w:val="006605D4"/>
    <w:rsid w:val="006774B3"/>
    <w:rsid w:val="00697C8B"/>
    <w:rsid w:val="006F1468"/>
    <w:rsid w:val="00702E8E"/>
    <w:rsid w:val="007338C7"/>
    <w:rsid w:val="00751533"/>
    <w:rsid w:val="00785D9E"/>
    <w:rsid w:val="00792F04"/>
    <w:rsid w:val="007A11F3"/>
    <w:rsid w:val="007A4395"/>
    <w:rsid w:val="007B03FA"/>
    <w:rsid w:val="007D2805"/>
    <w:rsid w:val="007D4D02"/>
    <w:rsid w:val="007E2FB0"/>
    <w:rsid w:val="0080537A"/>
    <w:rsid w:val="008338A8"/>
    <w:rsid w:val="0084371C"/>
    <w:rsid w:val="00845350"/>
    <w:rsid w:val="00861FB0"/>
    <w:rsid w:val="008A0308"/>
    <w:rsid w:val="008A67AF"/>
    <w:rsid w:val="008C1641"/>
    <w:rsid w:val="008E70CF"/>
    <w:rsid w:val="008F5200"/>
    <w:rsid w:val="00913A30"/>
    <w:rsid w:val="009313BD"/>
    <w:rsid w:val="00965962"/>
    <w:rsid w:val="00974DDE"/>
    <w:rsid w:val="00982FA2"/>
    <w:rsid w:val="009B4331"/>
    <w:rsid w:val="009C07F8"/>
    <w:rsid w:val="009C7FCF"/>
    <w:rsid w:val="009D2BA2"/>
    <w:rsid w:val="009D56A9"/>
    <w:rsid w:val="009E6A83"/>
    <w:rsid w:val="009F5AA6"/>
    <w:rsid w:val="00A04388"/>
    <w:rsid w:val="00A50F04"/>
    <w:rsid w:val="00A57C59"/>
    <w:rsid w:val="00A65B1A"/>
    <w:rsid w:val="00AC4AEE"/>
    <w:rsid w:val="00AC7597"/>
    <w:rsid w:val="00AE61C4"/>
    <w:rsid w:val="00B0714B"/>
    <w:rsid w:val="00B52FF9"/>
    <w:rsid w:val="00B70002"/>
    <w:rsid w:val="00B72909"/>
    <w:rsid w:val="00B834CC"/>
    <w:rsid w:val="00B914A2"/>
    <w:rsid w:val="00BE256F"/>
    <w:rsid w:val="00BF604F"/>
    <w:rsid w:val="00C136B5"/>
    <w:rsid w:val="00C25391"/>
    <w:rsid w:val="00CA1D7F"/>
    <w:rsid w:val="00CC3778"/>
    <w:rsid w:val="00CF0BBB"/>
    <w:rsid w:val="00CF5435"/>
    <w:rsid w:val="00D05514"/>
    <w:rsid w:val="00D301EF"/>
    <w:rsid w:val="00D30F47"/>
    <w:rsid w:val="00D50777"/>
    <w:rsid w:val="00D91EB3"/>
    <w:rsid w:val="00DB54EF"/>
    <w:rsid w:val="00DB5D39"/>
    <w:rsid w:val="00DB7804"/>
    <w:rsid w:val="00DC5064"/>
    <w:rsid w:val="00DE4F78"/>
    <w:rsid w:val="00DF454B"/>
    <w:rsid w:val="00E0054C"/>
    <w:rsid w:val="00E00CC3"/>
    <w:rsid w:val="00E12CE1"/>
    <w:rsid w:val="00E15A7F"/>
    <w:rsid w:val="00E26496"/>
    <w:rsid w:val="00E35135"/>
    <w:rsid w:val="00E445E8"/>
    <w:rsid w:val="00E572AD"/>
    <w:rsid w:val="00E7406E"/>
    <w:rsid w:val="00E7580C"/>
    <w:rsid w:val="00EA6980"/>
    <w:rsid w:val="00EA7BF5"/>
    <w:rsid w:val="00EB68D1"/>
    <w:rsid w:val="00F553B9"/>
    <w:rsid w:val="00F65D4D"/>
    <w:rsid w:val="00F712EE"/>
    <w:rsid w:val="00F751AA"/>
    <w:rsid w:val="00FA6C7F"/>
    <w:rsid w:val="00FE2F6D"/>
    <w:rsid w:val="00FE7F76"/>
    <w:rsid w:val="0165BA34"/>
    <w:rsid w:val="2754842B"/>
    <w:rsid w:val="2962DED7"/>
    <w:rsid w:val="6105B23D"/>
    <w:rsid w:val="6677930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5F395"/>
  <w15:chartTrackingRefBased/>
  <w15:docId w15:val="{53AB4C8E-FCE0-4C26-83E7-C4EE1E84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0CF"/>
    <w:pPr>
      <w:spacing w:after="0" w:line="240" w:lineRule="auto"/>
    </w:pPr>
    <w:rPr>
      <w:rFonts w:eastAsia="Batang"/>
      <w:sz w:val="24"/>
      <w:szCs w:val="24"/>
      <w:lang w:eastAsia="en-US"/>
    </w:rPr>
  </w:style>
  <w:style w:type="paragraph" w:styleId="Heading1">
    <w:name w:val="heading 1"/>
    <w:basedOn w:val="Normal"/>
    <w:next w:val="Normal"/>
    <w:link w:val="Heading1Char"/>
    <w:uiPriority w:val="9"/>
    <w:qFormat/>
    <w:rsid w:val="002872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872E0"/>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unhideWhenUsed/>
    <w:qFormat/>
    <w:rsid w:val="002872E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872E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872E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872E0"/>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9FE"/>
    <w:pPr>
      <w:tabs>
        <w:tab w:val="center" w:pos="4513"/>
        <w:tab w:val="right" w:pos="9026"/>
      </w:tabs>
    </w:pPr>
  </w:style>
  <w:style w:type="character" w:customStyle="1" w:styleId="HeaderChar">
    <w:name w:val="Header Char"/>
    <w:basedOn w:val="DefaultParagraphFont"/>
    <w:link w:val="Header"/>
    <w:uiPriority w:val="99"/>
    <w:rsid w:val="005B49FE"/>
    <w:rPr>
      <w:rFonts w:eastAsia="Batang"/>
      <w:sz w:val="24"/>
      <w:szCs w:val="24"/>
      <w:lang w:eastAsia="en-US"/>
    </w:rPr>
  </w:style>
  <w:style w:type="paragraph" w:styleId="Footer">
    <w:name w:val="footer"/>
    <w:basedOn w:val="Normal"/>
    <w:link w:val="FooterChar"/>
    <w:uiPriority w:val="99"/>
    <w:unhideWhenUsed/>
    <w:rsid w:val="005B49FE"/>
    <w:pPr>
      <w:tabs>
        <w:tab w:val="center" w:pos="4513"/>
        <w:tab w:val="right" w:pos="9026"/>
      </w:tabs>
    </w:pPr>
  </w:style>
  <w:style w:type="character" w:customStyle="1" w:styleId="FooterChar">
    <w:name w:val="Footer Char"/>
    <w:basedOn w:val="DefaultParagraphFont"/>
    <w:link w:val="Footer"/>
    <w:uiPriority w:val="99"/>
    <w:rsid w:val="005B49FE"/>
    <w:rPr>
      <w:rFonts w:eastAsia="Batang"/>
      <w:sz w:val="24"/>
      <w:szCs w:val="24"/>
      <w:lang w:eastAsia="en-US"/>
    </w:rPr>
  </w:style>
  <w:style w:type="character" w:customStyle="1" w:styleId="issue-underline">
    <w:name w:val="issue-underline"/>
    <w:basedOn w:val="DefaultParagraphFont"/>
    <w:rsid w:val="005B49FE"/>
  </w:style>
  <w:style w:type="table" w:styleId="TableGrid">
    <w:name w:val="Table Grid"/>
    <w:basedOn w:val="TableNormal"/>
    <w:uiPriority w:val="39"/>
    <w:rsid w:val="00360E51"/>
    <w:pPr>
      <w:spacing w:after="0" w:line="240" w:lineRule="auto"/>
    </w:pPr>
    <w:rPr>
      <w:rFonts w:eastAsia="Batang"/>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2872E0"/>
    <w:pPr>
      <w:spacing w:after="200"/>
    </w:pPr>
    <w:rPr>
      <w:iCs/>
      <w:color w:val="44546A" w:themeColor="text2"/>
      <w:sz w:val="22"/>
      <w:szCs w:val="18"/>
    </w:rPr>
  </w:style>
  <w:style w:type="character" w:customStyle="1" w:styleId="Heading1Char">
    <w:name w:val="Heading 1 Char"/>
    <w:basedOn w:val="DefaultParagraphFont"/>
    <w:link w:val="Heading1"/>
    <w:uiPriority w:val="9"/>
    <w:rsid w:val="002872E0"/>
    <w:rPr>
      <w:rFonts w:asciiTheme="majorHAnsi" w:eastAsiaTheme="majorEastAsia" w:hAnsiTheme="majorHAnsi" w:cstheme="majorBidi"/>
      <w:color w:val="2F5496" w:themeColor="accent1" w:themeShade="BF"/>
      <w:sz w:val="32"/>
      <w:szCs w:val="32"/>
      <w:lang w:eastAsia="en-US"/>
    </w:rPr>
  </w:style>
  <w:style w:type="paragraph" w:styleId="TOCHeading">
    <w:name w:val="TOC Heading"/>
    <w:basedOn w:val="Heading1"/>
    <w:next w:val="Normal"/>
    <w:uiPriority w:val="39"/>
    <w:unhideWhenUsed/>
    <w:qFormat/>
    <w:rsid w:val="002872E0"/>
    <w:pPr>
      <w:spacing w:line="259" w:lineRule="auto"/>
      <w:outlineLvl w:val="9"/>
    </w:pPr>
    <w:rPr>
      <w:kern w:val="0"/>
      <w:lang w:val="en-US"/>
      <w14:ligatures w14:val="none"/>
    </w:rPr>
  </w:style>
  <w:style w:type="character" w:customStyle="1" w:styleId="Heading2Char">
    <w:name w:val="Heading 2 Char"/>
    <w:basedOn w:val="DefaultParagraphFont"/>
    <w:link w:val="Heading2"/>
    <w:uiPriority w:val="9"/>
    <w:rsid w:val="002872E0"/>
    <w:rPr>
      <w:rFonts w:asciiTheme="majorHAnsi" w:eastAsiaTheme="majorEastAsia" w:hAnsiTheme="majorHAnsi" w:cstheme="majorBidi"/>
      <w:color w:val="2F5496" w:themeColor="accent1" w:themeShade="BF"/>
      <w:sz w:val="24"/>
      <w:szCs w:val="26"/>
      <w:lang w:eastAsia="en-US"/>
    </w:rPr>
  </w:style>
  <w:style w:type="character" w:customStyle="1" w:styleId="Heading3Char">
    <w:name w:val="Heading 3 Char"/>
    <w:basedOn w:val="DefaultParagraphFont"/>
    <w:link w:val="Heading3"/>
    <w:uiPriority w:val="9"/>
    <w:rsid w:val="002872E0"/>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rsid w:val="002872E0"/>
    <w:rPr>
      <w:rFonts w:asciiTheme="majorHAnsi" w:eastAsiaTheme="majorEastAsia" w:hAnsiTheme="majorHAnsi" w:cstheme="majorBidi"/>
      <w:i/>
      <w:iCs/>
      <w:color w:val="2F5496" w:themeColor="accent1" w:themeShade="BF"/>
      <w:sz w:val="24"/>
      <w:szCs w:val="24"/>
      <w:lang w:eastAsia="en-US"/>
    </w:rPr>
  </w:style>
  <w:style w:type="character" w:customStyle="1" w:styleId="Heading5Char">
    <w:name w:val="Heading 5 Char"/>
    <w:basedOn w:val="DefaultParagraphFont"/>
    <w:link w:val="Heading5"/>
    <w:uiPriority w:val="9"/>
    <w:rsid w:val="002872E0"/>
    <w:rPr>
      <w:rFonts w:asciiTheme="majorHAnsi" w:eastAsiaTheme="majorEastAsia" w:hAnsiTheme="majorHAnsi" w:cstheme="majorBidi"/>
      <w:color w:val="2F5496" w:themeColor="accent1" w:themeShade="BF"/>
      <w:sz w:val="24"/>
      <w:szCs w:val="24"/>
      <w:lang w:eastAsia="en-US"/>
    </w:rPr>
  </w:style>
  <w:style w:type="character" w:customStyle="1" w:styleId="Heading6Char">
    <w:name w:val="Heading 6 Char"/>
    <w:basedOn w:val="DefaultParagraphFont"/>
    <w:link w:val="Heading6"/>
    <w:uiPriority w:val="9"/>
    <w:rsid w:val="002872E0"/>
    <w:rPr>
      <w:rFonts w:asciiTheme="majorHAnsi" w:eastAsiaTheme="majorEastAsia" w:hAnsiTheme="majorHAnsi" w:cstheme="majorBidi"/>
      <w:color w:val="1F3763" w:themeColor="accent1" w:themeShade="7F"/>
      <w:sz w:val="24"/>
      <w:szCs w:val="24"/>
      <w:lang w:eastAsia="en-US"/>
    </w:rPr>
  </w:style>
  <w:style w:type="paragraph" w:styleId="TOC2">
    <w:name w:val="toc 2"/>
    <w:basedOn w:val="Normal"/>
    <w:next w:val="Normal"/>
    <w:autoRedefine/>
    <w:uiPriority w:val="39"/>
    <w:unhideWhenUsed/>
    <w:rsid w:val="002872E0"/>
    <w:pPr>
      <w:spacing w:after="100"/>
      <w:ind w:left="240"/>
    </w:pPr>
  </w:style>
  <w:style w:type="character" w:styleId="Hyperlink">
    <w:name w:val="Hyperlink"/>
    <w:basedOn w:val="DefaultParagraphFont"/>
    <w:uiPriority w:val="99"/>
    <w:unhideWhenUsed/>
    <w:rsid w:val="002872E0"/>
    <w:rPr>
      <w:color w:val="0563C1" w:themeColor="hyperlink"/>
      <w:u w:val="single"/>
    </w:rPr>
  </w:style>
  <w:style w:type="paragraph" w:styleId="Bibliography">
    <w:name w:val="Bibliography"/>
    <w:basedOn w:val="Normal"/>
    <w:next w:val="Normal"/>
    <w:uiPriority w:val="37"/>
    <w:unhideWhenUsed/>
    <w:rsid w:val="00E572AD"/>
    <w:pPr>
      <w:tabs>
        <w:tab w:val="left" w:pos="384"/>
      </w:tabs>
      <w:spacing w:line="480" w:lineRule="auto"/>
      <w:ind w:left="384" w:hanging="384"/>
    </w:pPr>
  </w:style>
  <w:style w:type="paragraph" w:styleId="NormalWeb">
    <w:name w:val="Normal (Web)"/>
    <w:basedOn w:val="Normal"/>
    <w:uiPriority w:val="99"/>
    <w:unhideWhenUsed/>
    <w:rsid w:val="00E26496"/>
    <w:pPr>
      <w:spacing w:before="100" w:beforeAutospacing="1" w:after="100" w:afterAutospacing="1"/>
    </w:pPr>
    <w:rPr>
      <w:rFonts w:ascii="Times New Roman" w:eastAsia="Times New Roman" w:hAnsi="Times New Roman" w:cs="Times New Roman"/>
      <w:kern w:val="0"/>
      <w:lang w:eastAsia="ko-KR"/>
      <w14:ligatures w14:val="none"/>
    </w:rPr>
  </w:style>
  <w:style w:type="character" w:styleId="CommentReference">
    <w:name w:val="annotation reference"/>
    <w:basedOn w:val="DefaultParagraphFont"/>
    <w:uiPriority w:val="99"/>
    <w:semiHidden/>
    <w:unhideWhenUsed/>
    <w:rsid w:val="00FE2F6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Batang"/>
      <w:sz w:val="20"/>
      <w:szCs w:val="20"/>
      <w:lang w:eastAsia="en-US"/>
    </w:rPr>
  </w:style>
  <w:style w:type="paragraph" w:styleId="Revision">
    <w:name w:val="Revision"/>
    <w:hidden/>
    <w:uiPriority w:val="99"/>
    <w:semiHidden/>
    <w:rsid w:val="00CF0BBB"/>
    <w:pPr>
      <w:spacing w:after="0" w:line="240" w:lineRule="auto"/>
    </w:pPr>
    <w:rPr>
      <w:rFonts w:eastAsia="Batang"/>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676067">
      <w:bodyDiv w:val="1"/>
      <w:marLeft w:val="0"/>
      <w:marRight w:val="0"/>
      <w:marTop w:val="0"/>
      <w:marBottom w:val="0"/>
      <w:divBdr>
        <w:top w:val="none" w:sz="0" w:space="0" w:color="auto"/>
        <w:left w:val="none" w:sz="0" w:space="0" w:color="auto"/>
        <w:bottom w:val="none" w:sz="0" w:space="0" w:color="auto"/>
        <w:right w:val="none" w:sz="0" w:space="0" w:color="auto"/>
      </w:divBdr>
    </w:div>
    <w:div w:id="670450289">
      <w:bodyDiv w:val="1"/>
      <w:marLeft w:val="0"/>
      <w:marRight w:val="0"/>
      <w:marTop w:val="0"/>
      <w:marBottom w:val="0"/>
      <w:divBdr>
        <w:top w:val="none" w:sz="0" w:space="0" w:color="auto"/>
        <w:left w:val="none" w:sz="0" w:space="0" w:color="auto"/>
        <w:bottom w:val="none" w:sz="0" w:space="0" w:color="auto"/>
        <w:right w:val="none" w:sz="0" w:space="0" w:color="auto"/>
      </w:divBdr>
    </w:div>
    <w:div w:id="844319399">
      <w:bodyDiv w:val="1"/>
      <w:marLeft w:val="0"/>
      <w:marRight w:val="0"/>
      <w:marTop w:val="0"/>
      <w:marBottom w:val="0"/>
      <w:divBdr>
        <w:top w:val="none" w:sz="0" w:space="0" w:color="auto"/>
        <w:left w:val="none" w:sz="0" w:space="0" w:color="auto"/>
        <w:bottom w:val="none" w:sz="0" w:space="0" w:color="auto"/>
        <w:right w:val="none" w:sz="0" w:space="0" w:color="auto"/>
      </w:divBdr>
    </w:div>
    <w:div w:id="895893679">
      <w:bodyDiv w:val="1"/>
      <w:marLeft w:val="0"/>
      <w:marRight w:val="0"/>
      <w:marTop w:val="0"/>
      <w:marBottom w:val="0"/>
      <w:divBdr>
        <w:top w:val="none" w:sz="0" w:space="0" w:color="auto"/>
        <w:left w:val="none" w:sz="0" w:space="0" w:color="auto"/>
        <w:bottom w:val="none" w:sz="0" w:space="0" w:color="auto"/>
        <w:right w:val="none" w:sz="0" w:space="0" w:color="auto"/>
      </w:divBdr>
    </w:div>
    <w:div w:id="1002005812">
      <w:bodyDiv w:val="1"/>
      <w:marLeft w:val="0"/>
      <w:marRight w:val="0"/>
      <w:marTop w:val="0"/>
      <w:marBottom w:val="0"/>
      <w:divBdr>
        <w:top w:val="none" w:sz="0" w:space="0" w:color="auto"/>
        <w:left w:val="none" w:sz="0" w:space="0" w:color="auto"/>
        <w:bottom w:val="none" w:sz="0" w:space="0" w:color="auto"/>
        <w:right w:val="none" w:sz="0" w:space="0" w:color="auto"/>
      </w:divBdr>
    </w:div>
    <w:div w:id="152594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F495C-1249-4FEB-B1B1-689BB4172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16256</Words>
  <Characters>92664</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Ahyoung  Lim</dc:creator>
  <cp:keywords/>
  <dc:description/>
  <cp:lastModifiedBy>Ahyoung  Lim</cp:lastModifiedBy>
  <cp:revision>16</cp:revision>
  <dcterms:created xsi:type="dcterms:W3CDTF">2024-05-15T13:48:00Z</dcterms:created>
  <dcterms:modified xsi:type="dcterms:W3CDTF">2024-06-04T08:55:00Z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id="qk0N30gj"/&gt;&lt;style id="http://www.zotero.org/styles/nature" hasBibliography="1" bibliographyStyleHasBeenSet="1"/&gt;&lt;prefs&gt;&lt;pref name="fieldType" value="Field"/&gt;&lt;/prefs&gt;&lt;/data&gt;</vt:lpwstr>
  </property>
</Properties>
</file>