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9293F" w14:textId="77777777" w:rsidR="00EB78EE" w:rsidRPr="00737F81" w:rsidRDefault="00EB78EE" w:rsidP="00EB78EE">
      <w:pPr>
        <w:spacing w:line="480" w:lineRule="auto"/>
        <w:jc w:val="both"/>
        <w:rPr>
          <w:rFonts w:ascii="Times New Roman" w:hAnsi="Times New Roman" w:cs="Times New Roman"/>
          <w:b/>
          <w:bCs/>
          <w:sz w:val="28"/>
          <w:szCs w:val="28"/>
        </w:rPr>
      </w:pPr>
      <w:r w:rsidRPr="00737F81">
        <w:rPr>
          <w:rFonts w:ascii="Times New Roman" w:hAnsi="Times New Roman" w:cs="Times New Roman"/>
          <w:b/>
          <w:bCs/>
          <w:sz w:val="28"/>
          <w:szCs w:val="28"/>
        </w:rPr>
        <w:t>Supplementary Figures</w:t>
      </w:r>
    </w:p>
    <w:p w14:paraId="1FC05245" w14:textId="77777777" w:rsidR="00EB78EE" w:rsidRPr="00737F81" w:rsidRDefault="00EB78EE" w:rsidP="00EB78EE">
      <w:pPr>
        <w:spacing w:line="480" w:lineRule="auto"/>
        <w:jc w:val="both"/>
        <w:rPr>
          <w:rFonts w:ascii="Times New Roman" w:hAnsi="Times New Roman" w:cs="Times New Roman"/>
          <w:b/>
          <w:bCs/>
          <w:sz w:val="20"/>
          <w:szCs w:val="20"/>
        </w:rPr>
      </w:pPr>
    </w:p>
    <w:p w14:paraId="3020E8A0" w14:textId="77777777" w:rsidR="00EB78EE" w:rsidRPr="00737F81" w:rsidRDefault="00EB78EE" w:rsidP="00EB78EE">
      <w:pPr>
        <w:keepNext/>
        <w:spacing w:after="0" w:line="480" w:lineRule="auto"/>
        <w:rPr>
          <w:rFonts w:ascii="Times New Roman" w:hAnsi="Times New Roman" w:cs="Times New Roman"/>
        </w:rPr>
      </w:pPr>
      <w:r w:rsidRPr="00737F81">
        <w:rPr>
          <w:rFonts w:ascii="Times New Roman" w:hAnsi="Times New Roman" w:cs="Times New Roman"/>
          <w:noProof/>
        </w:rPr>
        <w:drawing>
          <wp:inline distT="0" distB="0" distL="0" distR="0" wp14:anchorId="2284D18B" wp14:editId="5C677EDC">
            <wp:extent cx="5709501" cy="6106602"/>
            <wp:effectExtent l="0" t="0" r="571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309" cy="6153456"/>
                    </a:xfrm>
                    <a:prstGeom prst="rect">
                      <a:avLst/>
                    </a:prstGeom>
                    <a:noFill/>
                    <a:ln>
                      <a:noFill/>
                    </a:ln>
                  </pic:spPr>
                </pic:pic>
              </a:graphicData>
            </a:graphic>
          </wp:inline>
        </w:drawing>
      </w:r>
    </w:p>
    <w:p w14:paraId="79890781" w14:textId="77777777" w:rsidR="00EB78EE" w:rsidRPr="00737F81" w:rsidRDefault="00EB78EE" w:rsidP="00EB78EE">
      <w:pPr>
        <w:keepNext/>
        <w:spacing w:after="0" w:line="480" w:lineRule="auto"/>
        <w:rPr>
          <w:rFonts w:ascii="Times New Roman" w:hAnsi="Times New Roman" w:cs="Times New Roman"/>
        </w:rPr>
      </w:pPr>
    </w:p>
    <w:p w14:paraId="18F1E7B6" w14:textId="77777777" w:rsidR="00EB78EE" w:rsidRPr="00AD3E55" w:rsidRDefault="00EB78EE" w:rsidP="00EB78EE">
      <w:pPr>
        <w:pStyle w:val="Caption"/>
        <w:spacing w:line="480" w:lineRule="auto"/>
        <w:rPr>
          <w:rFonts w:ascii="Times New Roman" w:eastAsia="Times New Roman" w:hAnsi="Times New Roman" w:cs="Times New Roman"/>
          <w:color w:val="auto"/>
          <w:sz w:val="24"/>
          <w:szCs w:val="24"/>
        </w:rPr>
      </w:pPr>
      <w:bookmarkStart w:id="0" w:name="_Ref168481274"/>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1</w:t>
      </w:r>
      <w:r w:rsidRPr="00AD3E55">
        <w:rPr>
          <w:rFonts w:ascii="Times New Roman" w:hAnsi="Times New Roman" w:cs="Times New Roman"/>
          <w:color w:val="auto"/>
        </w:rPr>
        <w:fldChar w:fldCharType="end"/>
      </w:r>
      <w:bookmarkEnd w:id="0"/>
      <w:r w:rsidRPr="00AD3E55">
        <w:rPr>
          <w:rFonts w:ascii="Times New Roman" w:hAnsi="Times New Roman" w:cs="Times New Roman"/>
          <w:color w:val="auto"/>
        </w:rPr>
        <w:t>. Schematic overview of the Python pipeline for LD-based chromosome and position prediction with input in yellow boxes, calculation steps in red boxes, and output files in blue boxes.</w:t>
      </w:r>
    </w:p>
    <w:p w14:paraId="1352F0BC" w14:textId="77777777" w:rsidR="00EB78EE" w:rsidRPr="00AD3E55" w:rsidRDefault="00EB78EE" w:rsidP="00EB78EE">
      <w:pPr>
        <w:keepNext/>
        <w:spacing w:line="480" w:lineRule="auto"/>
        <w:jc w:val="both"/>
        <w:rPr>
          <w:rFonts w:ascii="Times New Roman" w:hAnsi="Times New Roman" w:cs="Times New Roman"/>
        </w:rPr>
      </w:pPr>
      <w:r w:rsidRPr="00AD3E55">
        <w:rPr>
          <w:rFonts w:ascii="Times New Roman" w:hAnsi="Times New Roman" w:cs="Times New Roman"/>
          <w:noProof/>
          <w:sz w:val="20"/>
          <w:szCs w:val="20"/>
        </w:rPr>
        <w:lastRenderedPageBreak/>
        <w:drawing>
          <wp:inline distT="0" distB="0" distL="0" distR="0" wp14:anchorId="097AB510" wp14:editId="6E61DF93">
            <wp:extent cx="6029647" cy="29813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40350" cy="2986617"/>
                    </a:xfrm>
                    <a:prstGeom prst="rect">
                      <a:avLst/>
                    </a:prstGeom>
                  </pic:spPr>
                </pic:pic>
              </a:graphicData>
            </a:graphic>
          </wp:inline>
        </w:drawing>
      </w:r>
    </w:p>
    <w:p w14:paraId="6FEA17F0" w14:textId="77777777" w:rsidR="00EB78EE" w:rsidRDefault="00EB78EE" w:rsidP="00EB78EE">
      <w:pPr>
        <w:pStyle w:val="Caption"/>
        <w:spacing w:line="480" w:lineRule="auto"/>
        <w:jc w:val="both"/>
        <w:rPr>
          <w:rFonts w:ascii="Times New Roman" w:hAnsi="Times New Roman" w:cs="Times New Roman"/>
          <w:color w:val="auto"/>
          <w:sz w:val="16"/>
          <w:szCs w:val="16"/>
        </w:rPr>
      </w:pPr>
      <w:bookmarkStart w:id="1" w:name="_Ref170211370"/>
      <w:r w:rsidRPr="00AD3E55">
        <w:rPr>
          <w:rFonts w:ascii="Times New Roman" w:hAnsi="Times New Roman" w:cs="Times New Roman"/>
          <w:color w:val="auto"/>
          <w:sz w:val="16"/>
          <w:szCs w:val="16"/>
        </w:rPr>
        <w:t xml:space="preserve">Figure S </w:t>
      </w:r>
      <w:r w:rsidRPr="00AD3E55">
        <w:rPr>
          <w:rFonts w:ascii="Times New Roman" w:hAnsi="Times New Roman" w:cs="Times New Roman"/>
          <w:color w:val="auto"/>
          <w:sz w:val="16"/>
          <w:szCs w:val="16"/>
        </w:rPr>
        <w:fldChar w:fldCharType="begin"/>
      </w:r>
      <w:r w:rsidRPr="00AD3E55">
        <w:rPr>
          <w:rFonts w:ascii="Times New Roman" w:hAnsi="Times New Roman" w:cs="Times New Roman"/>
          <w:color w:val="auto"/>
          <w:sz w:val="16"/>
          <w:szCs w:val="16"/>
        </w:rPr>
        <w:instrText xml:space="preserve"> SEQ Figure_S \* ARABIC </w:instrText>
      </w:r>
      <w:r w:rsidRPr="00AD3E55">
        <w:rPr>
          <w:rFonts w:ascii="Times New Roman" w:hAnsi="Times New Roman" w:cs="Times New Roman"/>
          <w:color w:val="auto"/>
          <w:sz w:val="16"/>
          <w:szCs w:val="16"/>
        </w:rPr>
        <w:fldChar w:fldCharType="separate"/>
      </w:r>
      <w:r w:rsidRPr="00AD3E55">
        <w:rPr>
          <w:rFonts w:ascii="Times New Roman" w:hAnsi="Times New Roman" w:cs="Times New Roman"/>
          <w:noProof/>
          <w:color w:val="auto"/>
          <w:sz w:val="16"/>
          <w:szCs w:val="16"/>
        </w:rPr>
        <w:t>2</w:t>
      </w:r>
      <w:r w:rsidRPr="00AD3E55">
        <w:rPr>
          <w:rFonts w:ascii="Times New Roman" w:hAnsi="Times New Roman" w:cs="Times New Roman"/>
          <w:color w:val="auto"/>
          <w:sz w:val="16"/>
          <w:szCs w:val="16"/>
        </w:rPr>
        <w:fldChar w:fldCharType="end"/>
      </w:r>
      <w:bookmarkEnd w:id="1"/>
      <w:r w:rsidRPr="00AD3E55">
        <w:rPr>
          <w:rFonts w:ascii="Times New Roman" w:hAnsi="Times New Roman" w:cs="Times New Roman"/>
          <w:color w:val="auto"/>
          <w:sz w:val="16"/>
          <w:szCs w:val="16"/>
        </w:rPr>
        <w:t>. Histograms of the number of SNPs that are heterozygous in at least Holiday (P1) or Korona (P2) and that have more than 40 heterozygous calls plotted against the total number of heterozygous calls (A) or their Average Allele Balance (B).</w:t>
      </w:r>
    </w:p>
    <w:p w14:paraId="4CE31DAC" w14:textId="77777777" w:rsidR="00EB78EE" w:rsidRPr="00EB78EE" w:rsidRDefault="00EB78EE" w:rsidP="00EB78EE"/>
    <w:p w14:paraId="02A54282" w14:textId="77777777" w:rsidR="00EB78EE" w:rsidRPr="00AD3E55" w:rsidRDefault="00EB78EE" w:rsidP="00EB78EE">
      <w:pPr>
        <w:spacing w:line="480" w:lineRule="auto"/>
        <w:jc w:val="both"/>
        <w:rPr>
          <w:rFonts w:ascii="Times New Roman" w:hAnsi="Times New Roman" w:cs="Times New Roman"/>
          <w:sz w:val="20"/>
          <w:szCs w:val="20"/>
        </w:rPr>
      </w:pPr>
      <w:r w:rsidRPr="00AD3E55">
        <w:rPr>
          <w:rFonts w:ascii="Times New Roman" w:hAnsi="Times New Roman" w:cs="Times New Roman"/>
          <w:noProof/>
        </w:rPr>
        <w:lastRenderedPageBreak/>
        <w:drawing>
          <wp:inline distT="0" distB="0" distL="0" distR="0" wp14:anchorId="4029673B" wp14:editId="0F6A09B2">
            <wp:extent cx="5851562" cy="438116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61779" cy="4388819"/>
                    </a:xfrm>
                    <a:prstGeom prst="rect">
                      <a:avLst/>
                    </a:prstGeom>
                  </pic:spPr>
                </pic:pic>
              </a:graphicData>
            </a:graphic>
          </wp:inline>
        </w:drawing>
      </w:r>
    </w:p>
    <w:p w14:paraId="62627DE6" w14:textId="77777777" w:rsidR="00EB78EE" w:rsidRDefault="00EB78EE" w:rsidP="00EB78EE">
      <w:pPr>
        <w:pStyle w:val="Caption"/>
        <w:spacing w:line="480" w:lineRule="auto"/>
        <w:jc w:val="both"/>
        <w:rPr>
          <w:rFonts w:ascii="Times New Roman" w:hAnsi="Times New Roman" w:cs="Times New Roman"/>
          <w:color w:val="auto"/>
        </w:rPr>
      </w:pPr>
      <w:bookmarkStart w:id="2" w:name="_Ref164696400"/>
      <w:bookmarkStart w:id="3" w:name="_Ref164696396"/>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3</w:t>
      </w:r>
      <w:r w:rsidRPr="00AD3E55">
        <w:rPr>
          <w:rFonts w:ascii="Times New Roman" w:hAnsi="Times New Roman" w:cs="Times New Roman"/>
          <w:color w:val="auto"/>
        </w:rPr>
        <w:fldChar w:fldCharType="end"/>
      </w:r>
      <w:bookmarkEnd w:id="2"/>
      <w:r w:rsidRPr="00AD3E55">
        <w:rPr>
          <w:rFonts w:ascii="Times New Roman" w:hAnsi="Times New Roman" w:cs="Times New Roman"/>
          <w:color w:val="auto"/>
        </w:rPr>
        <w:t>. Distribution of randomly selected SNPs for the anchor set, per chromosome</w:t>
      </w:r>
    </w:p>
    <w:p w14:paraId="18F5337F" w14:textId="3FF62E7E" w:rsidR="00EB78EE" w:rsidRPr="00AD3E55" w:rsidRDefault="00EB78EE" w:rsidP="00EB78EE">
      <w:pPr>
        <w:pStyle w:val="Caption"/>
        <w:spacing w:line="480" w:lineRule="auto"/>
        <w:jc w:val="both"/>
        <w:rPr>
          <w:rFonts w:ascii="Times New Roman" w:hAnsi="Times New Roman" w:cs="Times New Roman"/>
          <w:color w:val="auto"/>
        </w:rPr>
      </w:pPr>
      <w:r w:rsidRPr="00AD3E55">
        <w:rPr>
          <w:rFonts w:ascii="Times New Roman" w:hAnsi="Times New Roman" w:cs="Times New Roman"/>
          <w:color w:val="auto"/>
        </w:rPr>
        <w:t>.</w:t>
      </w:r>
      <w:bookmarkEnd w:id="3"/>
    </w:p>
    <w:p w14:paraId="11C54072" w14:textId="77777777" w:rsidR="00EB78EE" w:rsidRPr="00AD3E55" w:rsidRDefault="00EB78EE" w:rsidP="00EB78EE">
      <w:pPr>
        <w:keepNext/>
        <w:spacing w:line="480" w:lineRule="auto"/>
        <w:jc w:val="both"/>
        <w:rPr>
          <w:rFonts w:ascii="Times New Roman" w:hAnsi="Times New Roman" w:cs="Times New Roman"/>
        </w:rPr>
      </w:pPr>
      <w:r w:rsidRPr="00AD3E55">
        <w:rPr>
          <w:rFonts w:ascii="Times New Roman" w:hAnsi="Times New Roman" w:cs="Times New Roman"/>
          <w:noProof/>
        </w:rPr>
        <w:lastRenderedPageBreak/>
        <w:drawing>
          <wp:inline distT="0" distB="0" distL="0" distR="0" wp14:anchorId="72029B2C" wp14:editId="140DC0FA">
            <wp:extent cx="5391150" cy="427991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15767" cy="4299456"/>
                    </a:xfrm>
                    <a:prstGeom prst="rect">
                      <a:avLst/>
                    </a:prstGeom>
                  </pic:spPr>
                </pic:pic>
              </a:graphicData>
            </a:graphic>
          </wp:inline>
        </w:drawing>
      </w:r>
    </w:p>
    <w:p w14:paraId="57460D76" w14:textId="77777777" w:rsidR="00EB78EE" w:rsidRDefault="00EB78EE" w:rsidP="00EB78EE">
      <w:pPr>
        <w:pStyle w:val="Caption"/>
        <w:spacing w:line="480" w:lineRule="auto"/>
        <w:jc w:val="both"/>
        <w:rPr>
          <w:rFonts w:ascii="Times New Roman" w:hAnsi="Times New Roman" w:cs="Times New Roman"/>
          <w:color w:val="auto"/>
        </w:rPr>
      </w:pPr>
      <w:bookmarkStart w:id="4" w:name="_Ref164697806"/>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4</w:t>
      </w:r>
      <w:r w:rsidRPr="00AD3E55">
        <w:rPr>
          <w:rFonts w:ascii="Times New Roman" w:hAnsi="Times New Roman" w:cs="Times New Roman"/>
          <w:color w:val="auto"/>
        </w:rPr>
        <w:fldChar w:fldCharType="end"/>
      </w:r>
      <w:bookmarkEnd w:id="4"/>
      <w:r w:rsidRPr="00AD3E55">
        <w:rPr>
          <w:rFonts w:ascii="Times New Roman" w:hAnsi="Times New Roman" w:cs="Times New Roman"/>
          <w:color w:val="auto"/>
        </w:rPr>
        <w:t>. The first two axes of a Principal Components Analysis on 146 genotypes with 140,000 SNPs from the anchor set. The genotypes for which SER was computed are marked in red.</w:t>
      </w:r>
    </w:p>
    <w:p w14:paraId="3D3F8036" w14:textId="77777777" w:rsidR="00EB78EE" w:rsidRDefault="00EB78EE" w:rsidP="00EB78EE"/>
    <w:p w14:paraId="07961343" w14:textId="77777777" w:rsidR="00EB78EE" w:rsidRDefault="00EB78EE" w:rsidP="00EB78EE"/>
    <w:p w14:paraId="42E81A1D" w14:textId="77777777" w:rsidR="00EB78EE" w:rsidRDefault="00EB78EE" w:rsidP="00EB78EE"/>
    <w:p w14:paraId="444F29EA" w14:textId="77777777" w:rsidR="00EB78EE" w:rsidRDefault="00EB78EE" w:rsidP="00EB78EE"/>
    <w:p w14:paraId="41089D29" w14:textId="77777777" w:rsidR="00EB78EE" w:rsidRDefault="00EB78EE" w:rsidP="00EB78EE"/>
    <w:p w14:paraId="53413404" w14:textId="77777777" w:rsidR="00EB78EE" w:rsidRPr="00EB78EE" w:rsidRDefault="00EB78EE" w:rsidP="00EB78EE"/>
    <w:p w14:paraId="357F3C9D" w14:textId="77777777" w:rsidR="00EB78EE" w:rsidRPr="00AD3E55" w:rsidRDefault="00EB78EE" w:rsidP="00EB78EE">
      <w:pPr>
        <w:spacing w:line="480" w:lineRule="auto"/>
        <w:rPr>
          <w:rFonts w:ascii="Times New Roman" w:hAnsi="Times New Roman" w:cs="Times New Roman"/>
        </w:rPr>
      </w:pPr>
    </w:p>
    <w:p w14:paraId="6D451738" w14:textId="77777777" w:rsidR="00EB78EE" w:rsidRPr="00AD3E55" w:rsidRDefault="00EB78EE" w:rsidP="00EB78EE">
      <w:pPr>
        <w:spacing w:line="480" w:lineRule="auto"/>
        <w:rPr>
          <w:rFonts w:ascii="Times New Roman" w:hAnsi="Times New Roman" w:cs="Times New Roman"/>
        </w:rPr>
      </w:pPr>
    </w:p>
    <w:p w14:paraId="0E98A46D" w14:textId="77777777" w:rsidR="00EB78EE" w:rsidRPr="00AD3E55" w:rsidRDefault="00EB78EE" w:rsidP="00EB78EE">
      <w:pPr>
        <w:keepNext/>
        <w:spacing w:line="480" w:lineRule="auto"/>
        <w:rPr>
          <w:rFonts w:ascii="Times New Roman" w:hAnsi="Times New Roman" w:cs="Times New Roman"/>
        </w:rPr>
      </w:pPr>
      <w:r w:rsidRPr="00AD3E55">
        <w:rPr>
          <w:rFonts w:ascii="Times New Roman" w:hAnsi="Times New Roman" w:cs="Times New Roman"/>
          <w:noProof/>
        </w:rPr>
        <w:lastRenderedPageBreak/>
        <w:drawing>
          <wp:inline distT="0" distB="0" distL="0" distR="0" wp14:anchorId="6D1AC6C1" wp14:editId="3747CA35">
            <wp:extent cx="6622407" cy="1876584"/>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52674" cy="1885161"/>
                    </a:xfrm>
                    <a:prstGeom prst="rect">
                      <a:avLst/>
                    </a:prstGeom>
                  </pic:spPr>
                </pic:pic>
              </a:graphicData>
            </a:graphic>
          </wp:inline>
        </w:drawing>
      </w:r>
    </w:p>
    <w:p w14:paraId="10E89E6D" w14:textId="28540542" w:rsidR="00EB78EE" w:rsidRDefault="00EB78EE" w:rsidP="00EB78EE">
      <w:pPr>
        <w:pStyle w:val="Caption"/>
        <w:spacing w:line="480" w:lineRule="auto"/>
        <w:rPr>
          <w:rFonts w:ascii="Times New Roman" w:hAnsi="Times New Roman" w:cs="Times New Roman"/>
          <w:noProof/>
          <w:color w:val="auto"/>
        </w:rPr>
      </w:pPr>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5</w:t>
      </w:r>
      <w:r w:rsidRPr="00AD3E55">
        <w:rPr>
          <w:rFonts w:ascii="Times New Roman" w:hAnsi="Times New Roman" w:cs="Times New Roman"/>
          <w:color w:val="auto"/>
        </w:rPr>
        <w:fldChar w:fldCharType="end"/>
      </w:r>
      <w:r w:rsidRPr="00AD3E55">
        <w:rPr>
          <w:rFonts w:ascii="Times New Roman" w:hAnsi="Times New Roman" w:cs="Times New Roman"/>
          <w:color w:val="auto"/>
        </w:rPr>
        <w:t>. The ratio of SSLD (y-axis) per single variant versus its physical position (x-axis) on chromosome 1A.</w:t>
      </w:r>
      <w:r w:rsidRPr="00AD3E55">
        <w:rPr>
          <w:rFonts w:ascii="Times New Roman" w:hAnsi="Times New Roman" w:cs="Times New Roman"/>
          <w:noProof/>
          <w:color w:val="auto"/>
        </w:rPr>
        <w:t xml:space="preserve"> The distributions of both axes are also plotted as histograms.</w:t>
      </w:r>
    </w:p>
    <w:p w14:paraId="3A5A8154" w14:textId="77777777" w:rsidR="00EB78EE" w:rsidRDefault="00EB78EE">
      <w:pPr>
        <w:rPr>
          <w:rFonts w:ascii="Times New Roman" w:hAnsi="Times New Roman" w:cs="Times New Roman"/>
          <w:i/>
          <w:iCs/>
          <w:noProof/>
          <w:sz w:val="18"/>
          <w:szCs w:val="18"/>
        </w:rPr>
      </w:pPr>
      <w:r>
        <w:rPr>
          <w:rFonts w:ascii="Times New Roman" w:hAnsi="Times New Roman" w:cs="Times New Roman"/>
          <w:noProof/>
        </w:rPr>
        <w:br w:type="page"/>
      </w:r>
    </w:p>
    <w:p w14:paraId="298F59D3" w14:textId="77777777" w:rsidR="00EB78EE" w:rsidRPr="00AD3E55" w:rsidRDefault="00EB78EE" w:rsidP="00EB78EE">
      <w:pPr>
        <w:keepNext/>
        <w:spacing w:line="480" w:lineRule="auto"/>
        <w:jc w:val="both"/>
        <w:rPr>
          <w:rFonts w:ascii="Times New Roman" w:hAnsi="Times New Roman" w:cs="Times New Roman"/>
        </w:rPr>
      </w:pPr>
      <w:r w:rsidRPr="00AD3E55">
        <w:rPr>
          <w:rFonts w:ascii="Times New Roman" w:hAnsi="Times New Roman" w:cs="Times New Roman"/>
          <w:noProof/>
        </w:rPr>
        <w:lastRenderedPageBreak/>
        <w:drawing>
          <wp:inline distT="0" distB="0" distL="0" distR="0" wp14:anchorId="582522E7" wp14:editId="23B8D4FB">
            <wp:extent cx="6714963" cy="2565779"/>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18203" cy="2567017"/>
                    </a:xfrm>
                    <a:prstGeom prst="rect">
                      <a:avLst/>
                    </a:prstGeom>
                  </pic:spPr>
                </pic:pic>
              </a:graphicData>
            </a:graphic>
          </wp:inline>
        </w:drawing>
      </w:r>
    </w:p>
    <w:p w14:paraId="7B75C89E" w14:textId="77777777" w:rsidR="00EB78EE" w:rsidRDefault="00EB78EE" w:rsidP="00EB78EE">
      <w:pPr>
        <w:pStyle w:val="Caption"/>
        <w:spacing w:line="480" w:lineRule="auto"/>
        <w:jc w:val="both"/>
        <w:rPr>
          <w:rFonts w:ascii="Times New Roman" w:hAnsi="Times New Roman" w:cs="Times New Roman"/>
          <w:color w:val="auto"/>
        </w:rPr>
      </w:pPr>
      <w:bookmarkStart w:id="5" w:name="_Ref164781027"/>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6</w:t>
      </w:r>
      <w:r w:rsidRPr="00AD3E55">
        <w:rPr>
          <w:rFonts w:ascii="Times New Roman" w:hAnsi="Times New Roman" w:cs="Times New Roman"/>
          <w:color w:val="auto"/>
        </w:rPr>
        <w:fldChar w:fldCharType="end"/>
      </w:r>
      <w:bookmarkEnd w:id="5"/>
      <w:r w:rsidRPr="00AD3E55">
        <w:rPr>
          <w:rFonts w:ascii="Times New Roman" w:hAnsi="Times New Roman" w:cs="Times New Roman"/>
          <w:color w:val="auto"/>
        </w:rPr>
        <w:t>. Number of remaining SNPs per chromosome after using four different filtering methods.</w:t>
      </w:r>
    </w:p>
    <w:p w14:paraId="65418FE8" w14:textId="1F3A9D56" w:rsidR="00EB78EE" w:rsidRDefault="00EB78EE">
      <w:r>
        <w:br w:type="page"/>
      </w:r>
    </w:p>
    <w:p w14:paraId="709E54D9" w14:textId="77777777" w:rsidR="00EB78EE" w:rsidRPr="00AD3E55" w:rsidRDefault="00EB78EE" w:rsidP="00EB78EE">
      <w:pPr>
        <w:spacing w:line="480" w:lineRule="auto"/>
        <w:rPr>
          <w:rFonts w:ascii="Times New Roman" w:hAnsi="Times New Roman" w:cs="Times New Roman"/>
        </w:rPr>
      </w:pPr>
      <w:r w:rsidRPr="00AD3E55">
        <w:rPr>
          <w:rFonts w:ascii="Times New Roman" w:hAnsi="Times New Roman" w:cs="Times New Roman"/>
          <w:noProof/>
        </w:rPr>
        <w:lastRenderedPageBreak/>
        <mc:AlternateContent>
          <mc:Choice Requires="cx1">
            <w:drawing>
              <wp:inline distT="0" distB="0" distL="0" distR="0" wp14:anchorId="04CF6B97" wp14:editId="69F1A22D">
                <wp:extent cx="4657725" cy="2171700"/>
                <wp:effectExtent l="0" t="0" r="9525" b="0"/>
                <wp:docPr id="10" name="Chart 10">
                  <a:extLst xmlns:a="http://schemas.openxmlformats.org/drawingml/2006/main">
                    <a:ext uri="{FF2B5EF4-FFF2-40B4-BE49-F238E27FC236}">
                      <a16:creationId xmlns:a16="http://schemas.microsoft.com/office/drawing/2014/main" id="{7A422593-D74C-36CF-9373-DBFBE8B08CC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0"/>
                  </a:graphicData>
                </a:graphic>
              </wp:inline>
            </w:drawing>
          </mc:Choice>
          <mc:Fallback>
            <w:drawing>
              <wp:inline distT="0" distB="0" distL="0" distR="0" wp14:anchorId="04CF6B97" wp14:editId="69F1A22D">
                <wp:extent cx="4657725" cy="2171700"/>
                <wp:effectExtent l="0" t="0" r="9525" b="0"/>
                <wp:docPr id="10" name="Chart 10">
                  <a:extLst xmlns:a="http://schemas.openxmlformats.org/drawingml/2006/main">
                    <a:ext uri="{FF2B5EF4-FFF2-40B4-BE49-F238E27FC236}">
                      <a16:creationId xmlns:a16="http://schemas.microsoft.com/office/drawing/2014/main" id="{7A422593-D74C-36CF-9373-DBFBE8B08CC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0" name="Chart 10">
                          <a:extLst>
                            <a:ext uri="{FF2B5EF4-FFF2-40B4-BE49-F238E27FC236}">
                              <a16:creationId xmlns:a16="http://schemas.microsoft.com/office/drawing/2014/main" id="{7A422593-D74C-36CF-9373-DBFBE8B08CC8}"/>
                            </a:ext>
                          </a:extLst>
                        </pic:cNvPr>
                        <pic:cNvPicPr>
                          <a:picLocks noGrp="1" noRot="1" noChangeAspect="1" noMove="1" noResize="1" noEditPoints="1" noAdjustHandles="1" noChangeArrowheads="1" noChangeShapeType="1"/>
                        </pic:cNvPicPr>
                      </pic:nvPicPr>
                      <pic:blipFill>
                        <a:blip r:embed="rId11"/>
                        <a:stretch>
                          <a:fillRect/>
                        </a:stretch>
                      </pic:blipFill>
                      <pic:spPr>
                        <a:xfrm>
                          <a:off x="0" y="0"/>
                          <a:ext cx="4657725" cy="2171700"/>
                        </a:xfrm>
                        <a:prstGeom prst="rect">
                          <a:avLst/>
                        </a:prstGeom>
                      </pic:spPr>
                    </pic:pic>
                  </a:graphicData>
                </a:graphic>
              </wp:inline>
            </w:drawing>
          </mc:Fallback>
        </mc:AlternateContent>
      </w:r>
    </w:p>
    <w:p w14:paraId="052A07FD" w14:textId="77777777" w:rsidR="00EB78EE" w:rsidRPr="00AD3E55" w:rsidRDefault="00EB78EE" w:rsidP="00EB78EE">
      <w:pPr>
        <w:pStyle w:val="Caption"/>
        <w:spacing w:line="480" w:lineRule="auto"/>
        <w:jc w:val="both"/>
        <w:rPr>
          <w:rFonts w:ascii="Times New Roman" w:hAnsi="Times New Roman" w:cs="Times New Roman"/>
          <w:color w:val="auto"/>
        </w:rPr>
      </w:pPr>
      <w:r w:rsidRPr="00AD3E55">
        <w:rPr>
          <w:rFonts w:ascii="Times New Roman" w:hAnsi="Times New Roman" w:cs="Times New Roman"/>
          <w:color w:val="auto"/>
        </w:rPr>
        <w:t xml:space="preserve">Figure S </w:t>
      </w:r>
      <w:r w:rsidRPr="00AD3E55">
        <w:rPr>
          <w:rFonts w:ascii="Times New Roman" w:hAnsi="Times New Roman" w:cs="Times New Roman"/>
          <w:color w:val="auto"/>
        </w:rPr>
        <w:fldChar w:fldCharType="begin"/>
      </w:r>
      <w:r w:rsidRPr="00AD3E55">
        <w:rPr>
          <w:rFonts w:ascii="Times New Roman" w:hAnsi="Times New Roman" w:cs="Times New Roman"/>
          <w:color w:val="auto"/>
        </w:rPr>
        <w:instrText xml:space="preserve"> SEQ Figure_S \* ARABIC </w:instrText>
      </w:r>
      <w:r w:rsidRPr="00AD3E55">
        <w:rPr>
          <w:rFonts w:ascii="Times New Roman" w:hAnsi="Times New Roman" w:cs="Times New Roman"/>
          <w:color w:val="auto"/>
        </w:rPr>
        <w:fldChar w:fldCharType="separate"/>
      </w:r>
      <w:r w:rsidRPr="00AD3E55">
        <w:rPr>
          <w:rFonts w:ascii="Times New Roman" w:hAnsi="Times New Roman" w:cs="Times New Roman"/>
          <w:noProof/>
          <w:color w:val="auto"/>
        </w:rPr>
        <w:t>7</w:t>
      </w:r>
      <w:r w:rsidRPr="00AD3E55">
        <w:rPr>
          <w:rFonts w:ascii="Times New Roman" w:hAnsi="Times New Roman" w:cs="Times New Roman"/>
          <w:color w:val="auto"/>
        </w:rPr>
        <w:fldChar w:fldCharType="end"/>
      </w:r>
      <w:r w:rsidRPr="00AD3E55">
        <w:rPr>
          <w:rFonts w:ascii="Times New Roman" w:hAnsi="Times New Roman" w:cs="Times New Roman"/>
          <w:color w:val="auto"/>
        </w:rPr>
        <w:t>. Average sequencing depth per offspring from the Holiday × Korona population.</w:t>
      </w:r>
    </w:p>
    <w:p w14:paraId="388131D4" w14:textId="77777777" w:rsidR="00EB78EE" w:rsidRPr="00AD3E55" w:rsidRDefault="00EB78EE" w:rsidP="00EB78EE">
      <w:pPr>
        <w:spacing w:line="480" w:lineRule="auto"/>
        <w:jc w:val="both"/>
        <w:rPr>
          <w:rFonts w:ascii="Times New Roman" w:hAnsi="Times New Roman" w:cs="Times New Roman"/>
          <w:sz w:val="20"/>
          <w:szCs w:val="20"/>
        </w:rPr>
      </w:pPr>
    </w:p>
    <w:p w14:paraId="4F615F57" w14:textId="77777777" w:rsidR="00EB78EE" w:rsidRPr="00AD3E55" w:rsidRDefault="00EB78EE" w:rsidP="00EB78EE">
      <w:pPr>
        <w:spacing w:line="480" w:lineRule="auto"/>
        <w:jc w:val="both"/>
        <w:rPr>
          <w:rFonts w:ascii="Times New Roman" w:hAnsi="Times New Roman" w:cs="Times New Roman"/>
          <w:sz w:val="20"/>
          <w:szCs w:val="20"/>
        </w:rPr>
      </w:pPr>
    </w:p>
    <w:p w14:paraId="659377D3" w14:textId="77777777" w:rsidR="00EB78EE" w:rsidRPr="00AD3E55" w:rsidRDefault="00EB78EE" w:rsidP="00EB78EE">
      <w:pPr>
        <w:spacing w:line="480" w:lineRule="auto"/>
        <w:jc w:val="both"/>
        <w:rPr>
          <w:rFonts w:ascii="Times New Roman" w:hAnsi="Times New Roman" w:cs="Times New Roman"/>
          <w:sz w:val="20"/>
          <w:szCs w:val="20"/>
        </w:rPr>
      </w:pPr>
    </w:p>
    <w:p w14:paraId="6568D715" w14:textId="77777777" w:rsidR="00EB78EE" w:rsidRPr="00AD3E55" w:rsidRDefault="00EB78EE" w:rsidP="00EB78EE">
      <w:pPr>
        <w:spacing w:line="480" w:lineRule="auto"/>
        <w:jc w:val="both"/>
        <w:rPr>
          <w:rFonts w:ascii="Times New Roman" w:hAnsi="Times New Roman" w:cs="Times New Roman"/>
          <w:sz w:val="20"/>
          <w:szCs w:val="20"/>
        </w:rPr>
      </w:pPr>
    </w:p>
    <w:p w14:paraId="6F76A27A" w14:textId="533247E1" w:rsidR="00751FEA" w:rsidRPr="00EB78EE" w:rsidRDefault="00751FEA" w:rsidP="00EB78EE">
      <w:pPr>
        <w:spacing w:line="480" w:lineRule="auto"/>
        <w:rPr>
          <w:rFonts w:ascii="Times New Roman" w:hAnsi="Times New Roman" w:cs="Times New Roman"/>
          <w:sz w:val="20"/>
          <w:szCs w:val="20"/>
        </w:rPr>
      </w:pPr>
    </w:p>
    <w:sectPr w:rsidR="00751FEA" w:rsidRPr="00EB78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8EE"/>
    <w:rsid w:val="00170544"/>
    <w:rsid w:val="00444DD5"/>
    <w:rsid w:val="00751FEA"/>
    <w:rsid w:val="007B4500"/>
    <w:rsid w:val="00EB7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D0A84"/>
  <w15:chartTrackingRefBased/>
  <w15:docId w15:val="{B4F47704-C79E-4B92-885B-0046FC58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78E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B78EE"/>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0" Type="http://schemas.microsoft.com/office/2014/relationships/chartEx" Target="charts/chartEx1.xml"/><Relationship Id="rId4" Type="http://schemas.openxmlformats.org/officeDocument/2006/relationships/image" Target="media/image1.png"/><Relationship Id="rId9" Type="http://schemas.openxmlformats.org/officeDocument/2006/relationships/image" Target="media/image6.pn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FreshFTimKoorevaar\AppData\Local\Microsoft\Windows\INetCache\Content.Outlook\16AENPY2\depth_summary.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Sheet1!$E$4:$E$49</cx:f>
        <cx:lvl ptCount="46" formatCode="Standaard">
          <cx:pt idx="0">55.920000000000002</cx:pt>
          <cx:pt idx="1">53.920000000000002</cx:pt>
          <cx:pt idx="2">45.920000000000002</cx:pt>
          <cx:pt idx="3">56.079999999999998</cx:pt>
          <cx:pt idx="4">50.439999999999998</cx:pt>
          <cx:pt idx="5">15.720000000000001</cx:pt>
          <cx:pt idx="6">62.909999999999997</cx:pt>
          <cx:pt idx="7">46.270000000000003</cx:pt>
          <cx:pt idx="8">21.559999999999999</cx:pt>
          <cx:pt idx="9">58.340000000000003</cx:pt>
          <cx:pt idx="10">51.890000000000001</cx:pt>
          <cx:pt idx="11">40.899999999999999</cx:pt>
          <cx:pt idx="12">40.990000000000002</cx:pt>
          <cx:pt idx="13">24.309999999999999</cx:pt>
          <cx:pt idx="14">59.759999999999998</cx:pt>
          <cx:pt idx="15">40.439999999999998</cx:pt>
          <cx:pt idx="16">27.690000000000001</cx:pt>
          <cx:pt idx="17">30.280000000000001</cx:pt>
          <cx:pt idx="18">8.6199999999999992</cx:pt>
          <cx:pt idx="19">18.440000000000001</cx:pt>
          <cx:pt idx="20">25.82</cx:pt>
          <cx:pt idx="21">16.43</cx:pt>
          <cx:pt idx="22">27.609999999999999</cx:pt>
          <cx:pt idx="23">62.799999999999997</cx:pt>
          <cx:pt idx="24">19.949999999999999</cx:pt>
          <cx:pt idx="25">13.789999999999999</cx:pt>
          <cx:pt idx="26">52.829999999999998</cx:pt>
          <cx:pt idx="27">15.390000000000001</cx:pt>
          <cx:pt idx="28">10.59</cx:pt>
          <cx:pt idx="29">13.050000000000001</cx:pt>
          <cx:pt idx="30">13.210000000000001</cx:pt>
          <cx:pt idx="31">13.91</cx:pt>
          <cx:pt idx="32">12.92</cx:pt>
          <cx:pt idx="33">9.8100000000000005</cx:pt>
          <cx:pt idx="34">12.07</cx:pt>
          <cx:pt idx="35">12</cx:pt>
          <cx:pt idx="36">13.34</cx:pt>
          <cx:pt idx="37">11.33</cx:pt>
          <cx:pt idx="38">10.779999999999999</cx:pt>
          <cx:pt idx="39">14.41</cx:pt>
          <cx:pt idx="40">14.890000000000001</cx:pt>
          <cx:pt idx="41">15</cx:pt>
          <cx:pt idx="42">12.59</cx:pt>
          <cx:pt idx="43">11.1</cx:pt>
          <cx:pt idx="44">11.460000000000001</cx:pt>
          <cx:pt idx="45">13.859999999999999</cx:pt>
        </cx:lvl>
      </cx:numDim>
    </cx:data>
  </cx:chartData>
  <cx:chart>
    <cx:plotArea>
      <cx:plotAreaRegion>
        <cx:series layoutId="clusteredColumn" uniqueId="{FEFECA19-9B53-45DB-A042-D8FA72C1542F}">
          <cx:dataId val="0"/>
          <cx:layoutPr>
            <cx:binning intervalClosed="r">
              <cx:binCount val="25"/>
            </cx:binning>
          </cx:layoutPr>
        </cx:series>
      </cx:plotAreaRegion>
      <cx:axis id="0">
        <cx:catScaling gapWidth="0"/>
        <cx:tickLabels/>
        <cx:numFmt formatCode="#,##0" sourceLinked="0"/>
      </cx:axis>
      <cx:axis id="1">
        <cx:valScaling/>
        <cx:majorGridlines/>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182</Words>
  <Characters>917</Characters>
  <Application>Microsoft Office Word</Application>
  <DocSecurity>0</DocSecurity>
  <Lines>37</Lines>
  <Paragraphs>9</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Koorevaar, Tim</dc:creator>
  <cp:keywords/>
  <dc:description/>
  <cp:lastModifiedBy>Koorevaar, Tim</cp:lastModifiedBy>
  <cp:revision>1</cp:revision>
  <dcterms:created xsi:type="dcterms:W3CDTF">2024-07-04T11:47:00Z</dcterms:created>
  <dcterms:modified xsi:type="dcterms:W3CDTF">2024-07-04T11:50:00Z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b7464ac0-c7c6-4680-96d3-966df5fd18f1</vt:lpwstr>
  </property>
</Properties>
</file>