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530" w:hanging="2530" w:hangingChars="700"/>
        <w:rPr>
          <w:b/>
          <w:iCs/>
          <w:sz w:val="36"/>
          <w:szCs w:val="36"/>
        </w:rPr>
      </w:pPr>
      <w:bookmarkStart w:id="0" w:name="OLE_LINK1"/>
      <w:r>
        <w:rPr>
          <w:rFonts w:hint="eastAsia"/>
          <w:b/>
          <w:iCs/>
          <w:sz w:val="36"/>
          <w:szCs w:val="36"/>
        </w:rPr>
        <w:t>Supplementary materials</w:t>
      </w:r>
    </w:p>
    <w:p>
      <w:pPr>
        <w:ind w:left="1405" w:hanging="1405" w:hangingChars="700"/>
        <w:rPr>
          <w:b/>
        </w:rPr>
      </w:pPr>
      <w:r>
        <w:rPr>
          <w:b/>
          <w:i/>
        </w:rPr>
        <w:t>Roseateles cavernae</w:t>
      </w:r>
      <w:r>
        <w:rPr>
          <w:b/>
        </w:rPr>
        <w:t xml:space="preserve"> sp. nov.，a bacterium isolated from freshwater of the Old Huanglong Cave in Yunnan province, south-west China</w:t>
      </w:r>
    </w:p>
    <w:p>
      <w:pPr>
        <w:rPr>
          <w:b/>
        </w:rPr>
      </w:pPr>
      <w:r>
        <w:rPr>
          <w:b/>
        </w:rPr>
        <w:t>Yu-Man Zhang</w:t>
      </w:r>
      <w:r>
        <w:rPr>
          <w:b/>
          <w:vertAlign w:val="superscript"/>
        </w:rPr>
        <w:t>1,</w:t>
      </w:r>
      <w:r>
        <w:rPr>
          <w:rFonts w:hint="eastAsia"/>
          <w:b/>
          <w:vertAlign w:val="superscript"/>
        </w:rPr>
        <w:t xml:space="preserve"> </w:t>
      </w:r>
      <w:r>
        <w:rPr>
          <w:b/>
          <w:vertAlign w:val="superscript"/>
        </w:rPr>
        <w:t>2</w:t>
      </w:r>
      <w:r>
        <w:rPr>
          <w:b/>
        </w:rPr>
        <w:t>·</w:t>
      </w:r>
      <w:r>
        <w:rPr>
          <w:rFonts w:hint="eastAsia"/>
          <w:b/>
        </w:rPr>
        <w:t xml:space="preserve"> </w:t>
      </w:r>
      <w:r>
        <w:rPr>
          <w:b/>
        </w:rPr>
        <w:t>Qian Jiang</w:t>
      </w:r>
      <w:r>
        <w:rPr>
          <w:b/>
          <w:vertAlign w:val="superscript"/>
        </w:rPr>
        <w:t>1</w:t>
      </w:r>
      <w:r>
        <w:rPr>
          <w:b/>
        </w:rPr>
        <w:t>· Mu-Yao Li</w:t>
      </w:r>
      <w:r>
        <w:rPr>
          <w:b/>
          <w:vertAlign w:val="superscript"/>
        </w:rPr>
        <w:t>3</w:t>
      </w:r>
      <w:r>
        <w:rPr>
          <w:b/>
        </w:rPr>
        <w:t>· Qing-Yu Miao</w:t>
      </w:r>
      <w:r>
        <w:rPr>
          <w:b/>
          <w:vertAlign w:val="superscript"/>
        </w:rPr>
        <w:t>1</w:t>
      </w:r>
      <w:r>
        <w:rPr>
          <w:b/>
        </w:rPr>
        <w:t xml:space="preserve">· </w:t>
      </w:r>
      <w:r>
        <w:rPr>
          <w:rFonts w:hint="eastAsia"/>
          <w:b/>
        </w:rPr>
        <w:t>Yi-Qing Li</w:t>
      </w:r>
      <w:r>
        <w:rPr>
          <w:b/>
          <w:vertAlign w:val="superscript"/>
        </w:rPr>
        <w:t>1</w:t>
      </w:r>
      <w:r>
        <w:rPr>
          <w:b/>
        </w:rPr>
        <w:t>· Min Yin</w:t>
      </w:r>
      <w:r>
        <w:rPr>
          <w:b/>
          <w:vertAlign w:val="superscript"/>
        </w:rPr>
        <w:t>4</w:t>
      </w:r>
      <w:r>
        <w:rPr>
          <w:b/>
        </w:rPr>
        <w:t>· Cui-Ping Miao</w:t>
      </w:r>
      <w:r>
        <w:rPr>
          <w:b/>
          <w:vertAlign w:val="superscript"/>
        </w:rPr>
        <w:t>1</w:t>
      </w:r>
      <w:r>
        <w:rPr>
          <w:b/>
        </w:rPr>
        <w:t>· Shu-Kun Tang</w:t>
      </w:r>
      <w:r>
        <w:rPr>
          <w:b/>
          <w:vertAlign w:val="superscript"/>
        </w:rPr>
        <w:t>1,</w:t>
      </w:r>
      <w:r>
        <w:rPr>
          <w:rFonts w:hint="eastAsia"/>
          <w:b/>
          <w:vertAlign w:val="superscript"/>
        </w:rPr>
        <w:t xml:space="preserve"> 5</w:t>
      </w:r>
    </w:p>
    <w:p>
      <w:pPr>
        <w:rPr>
          <w:b/>
        </w:rPr>
      </w:pPr>
      <w:r>
        <w:rPr>
          <w:b/>
          <w:vertAlign w:val="superscript"/>
        </w:rPr>
        <w:t xml:space="preserve">1 </w:t>
      </w:r>
      <w:r>
        <w:rPr>
          <w:b/>
        </w:rPr>
        <w:t>The Key Laboratory for Microbial Resources of Ministry of Education, Yunnan Institute of Microbiology, Yunnan University, Kunming, Yunnan 650091, PR China</w:t>
      </w:r>
    </w:p>
    <w:p>
      <w:pPr>
        <w:rPr>
          <w:b/>
        </w:rPr>
      </w:pPr>
      <w:r>
        <w:rPr>
          <w:b/>
          <w:vertAlign w:val="superscript"/>
        </w:rPr>
        <w:t>2</w:t>
      </w:r>
      <w:r>
        <w:rPr>
          <w:b/>
        </w:rPr>
        <w:t xml:space="preserve"> Zhejiang Provincial People´s Hospital Bijie Hospital, Bijie 551700, PR China</w:t>
      </w:r>
    </w:p>
    <w:p>
      <w:pPr>
        <w:rPr>
          <w:b/>
        </w:rPr>
      </w:pPr>
      <w:r>
        <w:rPr>
          <w:b/>
          <w:vertAlign w:val="superscript"/>
        </w:rPr>
        <w:t xml:space="preserve">3 </w:t>
      </w:r>
      <w:r>
        <w:rPr>
          <w:b/>
        </w:rPr>
        <w:t>Faculty of Innovation Engineering-School of Computer Science and Engineering, Macau University of Science and Technology, Macau 999078, PR China</w:t>
      </w:r>
    </w:p>
    <w:p>
      <w:pPr>
        <w:rPr>
          <w:b/>
        </w:rPr>
      </w:pPr>
      <w:r>
        <w:rPr>
          <w:b/>
          <w:vertAlign w:val="superscript"/>
        </w:rPr>
        <w:t>4</w:t>
      </w:r>
      <w:r>
        <w:rPr>
          <w:b/>
        </w:rPr>
        <w:t xml:space="preserve"> School of Medicine, Yunnan University, Kunming 650091, PR China</w:t>
      </w:r>
    </w:p>
    <w:p>
      <w:pPr>
        <w:rPr>
          <w:rFonts w:eastAsia="微软雅黑"/>
          <w:b/>
        </w:rPr>
      </w:pPr>
      <w:r>
        <w:rPr>
          <w:rFonts w:hint="eastAsia"/>
          <w:b/>
          <w:vertAlign w:val="superscript"/>
        </w:rPr>
        <w:t xml:space="preserve">5 </w:t>
      </w:r>
      <w:r>
        <w:rPr>
          <w:rFonts w:eastAsia="微软雅黑"/>
          <w:b/>
        </w:rPr>
        <w:t>Yunnan Key Laboratory of Fermented Vegetables, Honghe, 661100, People's Republic of China</w:t>
      </w:r>
    </w:p>
    <w:p>
      <w:pPr>
        <w:rPr>
          <w:b/>
        </w:rPr>
      </w:pPr>
    </w:p>
    <w:p>
      <w:pPr>
        <w:rPr>
          <w:b/>
        </w:rPr>
      </w:pPr>
      <w:r>
        <w:rPr>
          <w:b/>
        </w:rPr>
        <w:t>Correspondence:     Cui-Ping Miao</w:t>
      </w:r>
    </w:p>
    <w:p>
      <w:pPr>
        <w:ind w:firstLine="2008" w:firstLineChars="1000"/>
        <w:rPr>
          <w:b/>
        </w:rPr>
      </w:pPr>
      <w:r>
        <w:rPr>
          <w:b/>
        </w:rPr>
        <w:t>cpmiao@ynu.edu.cn</w:t>
      </w:r>
    </w:p>
    <w:p>
      <w:pPr>
        <w:ind w:firstLine="2008" w:firstLineChars="1000"/>
        <w:rPr>
          <w:b/>
        </w:rPr>
      </w:pPr>
      <w:r>
        <w:rPr>
          <w:b/>
        </w:rPr>
        <w:t>Shu-Kun Tang</w:t>
      </w:r>
    </w:p>
    <w:p>
      <w:pPr>
        <w:ind w:firstLine="2000" w:firstLineChars="1000"/>
        <w:rPr>
          <w:b/>
          <w:u w:val="single"/>
        </w:rPr>
      </w:pPr>
      <w:r>
        <w:fldChar w:fldCharType="begin"/>
      </w:r>
      <w:r>
        <w:instrText xml:space="preserve"> HYPERLINK "mailto:tangshunkun@ynu.edu.cn" </w:instrText>
      </w:r>
      <w:r>
        <w:fldChar w:fldCharType="separate"/>
      </w:r>
      <w:r>
        <w:rPr>
          <w:rStyle w:val="10"/>
          <w:b/>
        </w:rPr>
        <w:t>tangshunkun@ynu.edu.cn</w:t>
      </w:r>
      <w:r>
        <w:rPr>
          <w:rStyle w:val="10"/>
          <w:b/>
        </w:rPr>
        <w:fldChar w:fldCharType="end"/>
      </w:r>
    </w:p>
    <w:p>
      <w:pPr>
        <w:rPr>
          <w:b/>
        </w:rPr>
      </w:pPr>
      <w:r>
        <w:rPr>
          <w:b/>
        </w:rPr>
        <w:t>Yu-Man Zhang and Qian Jiang have contributed equally to this work.</w:t>
      </w:r>
    </w:p>
    <w:p>
      <w:pPr>
        <w:rPr>
          <w:b/>
        </w:rPr>
      </w:pPr>
      <w:r>
        <w:rPr>
          <w:b/>
        </w:rPr>
        <w:t xml:space="preserve">Keywords: </w:t>
      </w:r>
      <w:r>
        <w:rPr>
          <w:b/>
          <w:i/>
        </w:rPr>
        <w:t>Roseateles cavernae</w:t>
      </w:r>
      <w:r>
        <w:rPr>
          <w:b/>
        </w:rPr>
        <w:t xml:space="preserve"> sp.nov. · Novel species · Polyphasic taxonomy · </w:t>
      </w:r>
      <w:r>
        <w:rPr>
          <w:rFonts w:ascii="Times New Roman" w:hAnsi="Times New Roman" w:cs="Times New Roman"/>
          <w:b/>
          <w:sz w:val="20"/>
          <w:szCs w:val="20"/>
        </w:rPr>
        <w:t>Freshwater bacteria</w:t>
      </w:r>
      <w:r>
        <w:rPr>
          <w:b/>
        </w:rPr>
        <w:t xml:space="preserve"> </w:t>
      </w:r>
    </w:p>
    <w:p>
      <w:pPr>
        <w:rPr>
          <w:b/>
        </w:rPr>
      </w:pPr>
      <w:r>
        <w:rPr>
          <w:b/>
        </w:rPr>
        <w:t>The 16S rRNA gene and the draft genome sequences have been deposited at DDBJ/ENA/GenBank under accession numbers PP813686 and JBDPLH000000000.</w:t>
      </w:r>
    </w:p>
    <w:p>
      <w:pPr>
        <w:rPr>
          <w:b/>
        </w:rPr>
      </w:pPr>
      <w:r>
        <w:rPr>
          <w:rFonts w:hint="eastAsia"/>
          <w:b/>
        </w:rPr>
        <w:t>Eight</w:t>
      </w:r>
      <w:r>
        <w:rPr>
          <w:b/>
        </w:rPr>
        <w:t xml:space="preserve"> supplementary figures and four supplementary tables are available with the online version of this article.</w:t>
      </w:r>
    </w:p>
    <w:p>
      <w:pPr>
        <w:pStyle w:val="11"/>
        <w:ind w:firstLine="400"/>
        <w:rPr>
          <w:rFonts w:hint="default"/>
        </w:rPr>
      </w:pPr>
    </w:p>
    <w:p>
      <w:bookmarkStart w:id="18" w:name="_GoBack"/>
      <w:bookmarkEnd w:id="18"/>
    </w:p>
    <w:p/>
    <w:p/>
    <w:p/>
    <w:p/>
    <w:p>
      <w:r>
        <w:rPr>
          <w:b/>
          <w:bCs w:val="0"/>
        </w:rPr>
        <w:t>Fig.</w:t>
      </w:r>
      <w:r>
        <w:rPr>
          <w:rFonts w:hint="eastAsia"/>
          <w:b/>
          <w:bCs w:val="0"/>
        </w:rPr>
        <w:t xml:space="preserve"> S</w:t>
      </w:r>
      <w:r>
        <w:rPr>
          <w:b/>
          <w:bCs w:val="0"/>
        </w:rPr>
        <w:t>1</w:t>
      </w:r>
      <w:r>
        <w:t xml:space="preserve"> Neighbour-joining tree based on 16S rRNA gene sequences, showing the phylogenetic placements of strains YIM B04394</w:t>
      </w:r>
      <w:r>
        <w:rPr>
          <w:vertAlign w:val="superscript"/>
        </w:rPr>
        <w:t>T</w:t>
      </w:r>
      <w:r>
        <w:t xml:space="preserve"> and the related species of </w:t>
      </w:r>
      <w:r>
        <w:rPr>
          <w:rFonts w:hint="eastAsia"/>
        </w:rPr>
        <w:t xml:space="preserve">the </w:t>
      </w:r>
      <w:r>
        <w:t xml:space="preserve">genus </w:t>
      </w:r>
      <w:r>
        <w:rPr>
          <w:i/>
        </w:rPr>
        <w:t>Roseateles</w:t>
      </w:r>
      <w:r>
        <w:t xml:space="preserve">. </w:t>
      </w:r>
      <w:bookmarkStart w:id="1" w:name="_Hlk170823914"/>
      <w:r>
        <w:rPr>
          <w:i/>
        </w:rPr>
        <w:t>I</w:t>
      </w:r>
      <w:r>
        <w:rPr>
          <w:rFonts w:hint="eastAsia"/>
          <w:i/>
        </w:rPr>
        <w:t>deonella</w:t>
      </w:r>
      <w:r>
        <w:rPr>
          <w:i/>
        </w:rPr>
        <w:t xml:space="preserve"> </w:t>
      </w:r>
      <w:r>
        <w:rPr>
          <w:rFonts w:hint="eastAsia"/>
          <w:i/>
        </w:rPr>
        <w:t>dechloratans</w:t>
      </w:r>
      <w:r>
        <w:rPr>
          <w:i/>
        </w:rPr>
        <w:t xml:space="preserve"> </w:t>
      </w:r>
      <w:r>
        <w:t>CCUG 30977</w:t>
      </w:r>
      <w:r>
        <w:rPr>
          <w:vertAlign w:val="superscript"/>
        </w:rPr>
        <w:t>T</w:t>
      </w:r>
      <w:r>
        <w:t xml:space="preserve"> and </w:t>
      </w:r>
      <w:r>
        <w:rPr>
          <w:i/>
        </w:rPr>
        <w:t>I</w:t>
      </w:r>
      <w:r>
        <w:rPr>
          <w:rFonts w:hint="eastAsia"/>
          <w:i/>
        </w:rPr>
        <w:t>deonella</w:t>
      </w:r>
      <w:r>
        <w:rPr>
          <w:i/>
        </w:rPr>
        <w:t xml:space="preserve"> paludus</w:t>
      </w:r>
      <w:r>
        <w:t xml:space="preserve"> KCTC 32238</w:t>
      </w:r>
      <w:r>
        <w:rPr>
          <w:vertAlign w:val="superscript"/>
        </w:rPr>
        <w:t>T</w:t>
      </w:r>
      <w:bookmarkEnd w:id="1"/>
      <w:r>
        <w:rPr>
          <w:i/>
        </w:rPr>
        <w:t xml:space="preserve"> </w:t>
      </w:r>
      <w:r>
        <w:t>were used as an outgroup. Only bootstrap values (based on 1000 replicates) higher than 50</w:t>
      </w:r>
      <w:r>
        <w:rPr>
          <w:rFonts w:hint="eastAsia"/>
        </w:rPr>
        <w:t xml:space="preserve"> </w:t>
      </w:r>
      <w:r>
        <w:t>% are shown at the branch points. Bar, 0.005 substitutions per nucleotide position.</w:t>
      </w:r>
    </w:p>
    <w:p>
      <w:pPr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5027295" cy="4253865"/>
            <wp:effectExtent l="0" t="0" r="190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7295" cy="425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>
      <w:r>
        <w:rPr>
          <w:b/>
          <w:bCs w:val="0"/>
        </w:rPr>
        <w:t>Fig.</w:t>
      </w:r>
      <w:r>
        <w:rPr>
          <w:rFonts w:hint="eastAsia"/>
          <w:b/>
          <w:bCs w:val="0"/>
        </w:rPr>
        <w:t xml:space="preserve"> S2</w:t>
      </w:r>
      <w:bookmarkEnd w:id="0"/>
      <w:r>
        <w:t xml:space="preserve"> Maximum-likelihood phylogenetic tree showing the relationships between strain </w:t>
      </w:r>
      <w:bookmarkStart w:id="2" w:name="OLE_LINK20"/>
      <w:r>
        <w:t>YIM B0</w:t>
      </w:r>
      <w:r>
        <w:rPr>
          <w:rFonts w:hint="eastAsia"/>
        </w:rPr>
        <w:t>4394</w:t>
      </w:r>
      <w:r>
        <w:rPr>
          <w:vertAlign w:val="superscript"/>
        </w:rPr>
        <w:t>T</w:t>
      </w:r>
      <w:bookmarkEnd w:id="2"/>
      <w:r>
        <w:t xml:space="preserve"> and the related species</w:t>
      </w:r>
      <w:r>
        <w:rPr>
          <w:rFonts w:hint="eastAsia"/>
        </w:rPr>
        <w:t xml:space="preserve"> in</w:t>
      </w:r>
      <w:r>
        <w:t xml:space="preserve"> </w:t>
      </w:r>
      <w:r>
        <w:rPr>
          <w:rFonts w:hint="eastAsia"/>
        </w:rPr>
        <w:t xml:space="preserve">the genus </w:t>
      </w:r>
      <w:r>
        <w:rPr>
          <w:i/>
          <w:iCs/>
        </w:rPr>
        <w:t>Roseateles</w:t>
      </w:r>
      <w:r>
        <w:t xml:space="preserve">. </w:t>
      </w:r>
      <w:r>
        <w:rPr>
          <w:i/>
        </w:rPr>
        <w:t>I</w:t>
      </w:r>
      <w:r>
        <w:rPr>
          <w:rFonts w:hint="eastAsia"/>
          <w:i/>
        </w:rPr>
        <w:t>deonella</w:t>
      </w:r>
      <w:r>
        <w:rPr>
          <w:i/>
        </w:rPr>
        <w:t xml:space="preserve"> </w:t>
      </w:r>
      <w:r>
        <w:rPr>
          <w:rFonts w:hint="eastAsia"/>
          <w:i/>
        </w:rPr>
        <w:t>dechloratans</w:t>
      </w:r>
      <w:r>
        <w:rPr>
          <w:i/>
        </w:rPr>
        <w:t xml:space="preserve"> </w:t>
      </w:r>
      <w:r>
        <w:t>CCUG 30977</w:t>
      </w:r>
      <w:r>
        <w:rPr>
          <w:vertAlign w:val="superscript"/>
        </w:rPr>
        <w:t>T</w:t>
      </w:r>
      <w:r>
        <w:t xml:space="preserve"> and </w:t>
      </w:r>
      <w:r>
        <w:rPr>
          <w:i/>
        </w:rPr>
        <w:t>I</w:t>
      </w:r>
      <w:r>
        <w:rPr>
          <w:rFonts w:hint="eastAsia"/>
          <w:i/>
        </w:rPr>
        <w:t>deonella</w:t>
      </w:r>
      <w:r>
        <w:rPr>
          <w:i/>
        </w:rPr>
        <w:t xml:space="preserve"> paludus</w:t>
      </w:r>
      <w:r>
        <w:t xml:space="preserve"> KCTC 32238</w:t>
      </w:r>
      <w:r>
        <w:rPr>
          <w:vertAlign w:val="superscript"/>
        </w:rPr>
        <w:t>T</w:t>
      </w:r>
      <w:r>
        <w:rPr>
          <w:rFonts w:hint="eastAsia"/>
        </w:rPr>
        <w:t xml:space="preserve"> </w:t>
      </w:r>
      <w:r>
        <w:t>were used as an outgroup. Only bootstrap values (based on 1000 replicates) higher than 50% are shown at the branch points.</w:t>
      </w:r>
      <w:r>
        <w:rPr>
          <w:rFonts w:hint="eastAsia"/>
        </w:rPr>
        <w:t xml:space="preserve"> </w:t>
      </w:r>
      <w:r>
        <w:t>Bar, 0.01 substitutions per nucleotide position.</w:t>
      </w:r>
    </w:p>
    <w:p/>
    <w:p>
      <w:pPr>
        <w:jc w:val="center"/>
      </w:pPr>
      <w:r>
        <w:drawing>
          <wp:inline distT="0" distB="0" distL="0" distR="0">
            <wp:extent cx="5274310" cy="4107815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07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/>
    <w:p>
      <w:pPr>
        <w:ind w:left="200" w:leftChars="100"/>
      </w:pPr>
      <w:r>
        <w:rPr>
          <w:b/>
          <w:bCs w:val="0"/>
        </w:rPr>
        <w:t>Fig. S3</w:t>
      </w:r>
      <w:r>
        <w:rPr>
          <w:rFonts w:hint="eastAsia"/>
        </w:rPr>
        <w:t xml:space="preserve"> </w:t>
      </w:r>
      <w:r>
        <w:t xml:space="preserve">Maximum-parsimony phylogenetic tree showing the relationships between strain </w:t>
      </w:r>
      <w:r>
        <w:rPr>
          <w:rFonts w:eastAsia="宋体"/>
          <w:spacing w:val="12"/>
        </w:rPr>
        <w:t>YIM B04394</w:t>
      </w:r>
      <w:r>
        <w:rPr>
          <w:rFonts w:eastAsia="宋体"/>
          <w:spacing w:val="12"/>
          <w:vertAlign w:val="superscript"/>
        </w:rPr>
        <w:t>T</w:t>
      </w:r>
      <w:r>
        <w:t xml:space="preserve"> and the related species of the genus </w:t>
      </w:r>
      <w:r>
        <w:rPr>
          <w:rFonts w:eastAsia="宋体"/>
          <w:i/>
          <w:iCs/>
          <w:spacing w:val="12"/>
        </w:rPr>
        <w:t>Roseateles</w:t>
      </w:r>
      <w:r>
        <w:rPr>
          <w:rFonts w:eastAsia="宋体"/>
          <w:spacing w:val="12"/>
        </w:rPr>
        <w:t xml:space="preserve">. </w:t>
      </w:r>
      <w:r>
        <w:rPr>
          <w:i/>
        </w:rPr>
        <w:t>I</w:t>
      </w:r>
      <w:r>
        <w:rPr>
          <w:rFonts w:hint="eastAsia"/>
          <w:i/>
        </w:rPr>
        <w:t>deonella</w:t>
      </w:r>
      <w:r>
        <w:rPr>
          <w:i/>
        </w:rPr>
        <w:t xml:space="preserve"> </w:t>
      </w:r>
      <w:r>
        <w:rPr>
          <w:rFonts w:hint="eastAsia"/>
          <w:i/>
        </w:rPr>
        <w:t>dechloratans</w:t>
      </w:r>
      <w:r>
        <w:rPr>
          <w:i/>
        </w:rPr>
        <w:t xml:space="preserve"> </w:t>
      </w:r>
      <w:r>
        <w:t>CCUG 30977</w:t>
      </w:r>
      <w:r>
        <w:rPr>
          <w:vertAlign w:val="superscript"/>
        </w:rPr>
        <w:t>T</w:t>
      </w:r>
      <w:r>
        <w:t xml:space="preserve"> and </w:t>
      </w:r>
      <w:r>
        <w:rPr>
          <w:i/>
        </w:rPr>
        <w:t>I</w:t>
      </w:r>
      <w:r>
        <w:rPr>
          <w:rFonts w:hint="eastAsia"/>
          <w:i/>
        </w:rPr>
        <w:t>deonella</w:t>
      </w:r>
      <w:r>
        <w:rPr>
          <w:i/>
        </w:rPr>
        <w:t xml:space="preserve"> paludus</w:t>
      </w:r>
      <w:r>
        <w:t xml:space="preserve"> KCTC 32238</w:t>
      </w:r>
      <w:r>
        <w:rPr>
          <w:vertAlign w:val="superscript"/>
        </w:rPr>
        <w:t>T</w:t>
      </w:r>
      <w:r>
        <w:rPr>
          <w:rFonts w:eastAsia="宋体"/>
          <w:spacing w:val="12"/>
        </w:rPr>
        <w:t xml:space="preserve"> were used as an outgroup.</w:t>
      </w:r>
      <w:r>
        <w:rPr>
          <w:rFonts w:hint="eastAsia" w:eastAsia="宋体"/>
          <w:spacing w:val="12"/>
        </w:rPr>
        <w:t xml:space="preserve"> Numbers at nodes indicate percentages of 1000 bootstrap resamplings; only values above 50% are shown.</w:t>
      </w:r>
      <w:r>
        <w:rPr>
          <w:rFonts w:hint="eastAsia"/>
        </w:rPr>
        <w:t xml:space="preserve"> </w:t>
      </w:r>
      <w:r>
        <w:t>Bar, 5.</w:t>
      </w:r>
    </w:p>
    <w:p>
      <w:pPr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5274310" cy="3401695"/>
            <wp:effectExtent l="0" t="0" r="254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0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/>
    <w:p/>
    <w:p/>
    <w:p/>
    <w:p>
      <w:r>
        <w:rPr>
          <w:b/>
          <w:bCs w:val="0"/>
        </w:rPr>
        <w:t xml:space="preserve">Fig. </w:t>
      </w:r>
      <w:r>
        <w:rPr>
          <w:rFonts w:hint="eastAsia"/>
          <w:b/>
          <w:bCs w:val="0"/>
        </w:rPr>
        <w:t>S4</w:t>
      </w:r>
      <w:r>
        <w:rPr>
          <w:b/>
          <w:bCs w:val="0"/>
        </w:rPr>
        <w:t xml:space="preserve"> </w:t>
      </w:r>
      <w:bookmarkStart w:id="3" w:name="OLE_LINK6"/>
      <w:r>
        <w:t>Circular genome maps of YIM B04394</w:t>
      </w:r>
      <w:r>
        <w:rPr>
          <w:vertAlign w:val="superscript"/>
        </w:rPr>
        <w:t>T</w:t>
      </w:r>
      <w:r>
        <w:t xml:space="preserve"> (from outer to inner): 1, Genome size; 2</w:t>
      </w:r>
      <w:r>
        <w:rPr>
          <w:rFonts w:hint="eastAsia"/>
        </w:rPr>
        <w:t>-</w:t>
      </w:r>
      <w:r>
        <w:t>3, CDS on positive and negative strands, and different colors indicate the functional classification of different COGs of CDS; 4, rRNA and tRNA; 5, GC content; 6, GC-Skew value.</w:t>
      </w:r>
      <w:bookmarkEnd w:id="3"/>
    </w:p>
    <w:p/>
    <w:p/>
    <w:p/>
    <w:p>
      <w:r>
        <w:drawing>
          <wp:inline distT="0" distB="0" distL="114300" distR="114300">
            <wp:extent cx="5274310" cy="3515995"/>
            <wp:effectExtent l="0" t="0" r="2540" b="8255"/>
            <wp:docPr id="7" name="图片 7" descr="circ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ircos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/>
    <w:p/>
    <w:p>
      <w:pPr>
        <w:rPr>
          <w:vertAlign w:val="superscript"/>
        </w:rPr>
      </w:pPr>
      <w:r>
        <w:rPr>
          <w:b/>
          <w:bCs w:val="0"/>
        </w:rPr>
        <w:t>Fig.</w:t>
      </w:r>
      <w:r>
        <w:rPr>
          <w:rFonts w:hint="eastAsia"/>
          <w:b/>
          <w:bCs w:val="0"/>
        </w:rPr>
        <w:t xml:space="preserve"> S5 </w:t>
      </w:r>
      <w:r>
        <w:t xml:space="preserve">The distribution of genes associated with general COG functional </w:t>
      </w:r>
      <w:r>
        <w:rPr>
          <w:rFonts w:hint="eastAsia"/>
        </w:rPr>
        <w:t>classification</w:t>
      </w:r>
      <w:r>
        <w:t xml:space="preserve"> in strain YIM B0</w:t>
      </w:r>
      <w:r>
        <w:rPr>
          <w:rFonts w:hint="eastAsia"/>
        </w:rPr>
        <w:t>4394</w:t>
      </w:r>
      <w:r>
        <w:rPr>
          <w:vertAlign w:val="superscript"/>
        </w:rPr>
        <w:t>T</w:t>
      </w:r>
    </w:p>
    <w:p>
      <w:pPr>
        <w:rPr>
          <w:vertAlign w:val="superscript"/>
        </w:rPr>
      </w:pPr>
    </w:p>
    <w:p/>
    <w:p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-262890</wp:posOffset>
            </wp:positionH>
            <wp:positionV relativeFrom="paragraph">
              <wp:posOffset>81915</wp:posOffset>
            </wp:positionV>
            <wp:extent cx="6403975" cy="2442210"/>
            <wp:effectExtent l="0" t="0" r="12065" b="11430"/>
            <wp:wrapSquare wrapText="bothSides"/>
            <wp:docPr id="8" name="图片 8" descr="COG分类统计柱状图_AnnoCOG_Origin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OG分类统计柱状图_AnnoCOG_Origin 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03975" cy="2442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rPr>
          <w:b/>
          <w:bCs w:val="0"/>
        </w:rPr>
        <w:t>Fig. S</w:t>
      </w:r>
      <w:r>
        <w:rPr>
          <w:rFonts w:hint="eastAsia"/>
          <w:b/>
          <w:bCs w:val="0"/>
        </w:rPr>
        <w:t>6</w:t>
      </w:r>
      <w:r>
        <w:rPr>
          <w:b/>
          <w:bCs w:val="0"/>
        </w:rPr>
        <w:t xml:space="preserve"> </w:t>
      </w:r>
      <w:r>
        <w:t xml:space="preserve">Number of genes associated with </w:t>
      </w:r>
      <w:r>
        <w:rPr>
          <w:rFonts w:hint="eastAsia"/>
        </w:rPr>
        <w:t>c</w:t>
      </w:r>
      <w:r>
        <w:t>arbohydrate-</w:t>
      </w:r>
      <w:r>
        <w:rPr>
          <w:rFonts w:hint="eastAsia"/>
        </w:rPr>
        <w:t>a</w:t>
      </w:r>
      <w:r>
        <w:t>ctive en</w:t>
      </w:r>
      <w:r>
        <w:rPr>
          <w:rFonts w:hint="eastAsia"/>
        </w:rPr>
        <w:t>zy</w:t>
      </w:r>
      <w:r>
        <w:t xml:space="preserve">mes </w:t>
      </w:r>
      <w:r>
        <w:rPr>
          <w:rFonts w:hint="eastAsia"/>
        </w:rPr>
        <w:t>of</w:t>
      </w:r>
      <w:r>
        <w:t xml:space="preserve"> strain YIM B0</w:t>
      </w:r>
      <w:r>
        <w:rPr>
          <w:rFonts w:hint="eastAsia"/>
        </w:rPr>
        <w:t>4394</w:t>
      </w:r>
      <w:r>
        <w:rPr>
          <w:vertAlign w:val="superscript"/>
        </w:rPr>
        <w:t>T</w:t>
      </w:r>
      <w:r>
        <w:t>.</w:t>
      </w:r>
      <w:r>
        <w:rPr>
          <w:rFonts w:hint="eastAsia"/>
        </w:rPr>
        <w:t xml:space="preserve"> CE: carbohydrate esterases, GT: glycosyl transferases, GH: glycoside hydrolases, AA: auxiliary activities, PL: polysaccharide lyases, CBM: carbohydrate-binding modules.</w:t>
      </w:r>
    </w:p>
    <w:p>
      <w:r>
        <w:rPr>
          <w:rFonts w:hint="eastAsia"/>
        </w:rPr>
        <w:drawing>
          <wp:inline distT="0" distB="0" distL="114300" distR="114300">
            <wp:extent cx="4545330" cy="3786505"/>
            <wp:effectExtent l="0" t="0" r="7620" b="4445"/>
            <wp:docPr id="11" name="图片 11" descr="碳水化合物活性酶注释统计图-柱形图_AnnoCAZy_Origin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碳水化合物活性酶注释统计图-柱形图_AnnoCAZy_Origin (1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50388" cy="3790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b/>
          <w:bCs w:val="0"/>
        </w:rPr>
        <w:t>Fig. S</w:t>
      </w:r>
      <w:r>
        <w:rPr>
          <w:rFonts w:hint="eastAsia"/>
          <w:b/>
          <w:bCs w:val="0"/>
        </w:rPr>
        <w:t xml:space="preserve">7 </w:t>
      </w:r>
      <w:r>
        <w:t xml:space="preserve">Number of genes associated with </w:t>
      </w:r>
      <w:r>
        <w:rPr>
          <w:snapToGrid w:val="0"/>
          <w:kern w:val="0"/>
          <w:lang w:bidi="th-TH"/>
        </w:rPr>
        <w:t>KEGG-based functional classification</w:t>
      </w:r>
      <w:r>
        <w:t xml:space="preserve"> in strains YIM B04394</w:t>
      </w:r>
      <w:r>
        <w:rPr>
          <w:vertAlign w:val="superscript"/>
        </w:rPr>
        <w:t>T</w:t>
      </w:r>
      <w:bookmarkStart w:id="4" w:name="_Hlk130321099"/>
      <w:r>
        <w:t>. T</w:t>
      </w:r>
      <w:bookmarkEnd w:id="4"/>
      <w:r>
        <w:t xml:space="preserve">he vertical coordinate indicates the level 2 hierarchical classification of the KEGG pathway, and the horizontal coordinate indicates the number of genes under the annotated classification. The different bar colors represent the </w:t>
      </w:r>
      <w:bookmarkStart w:id="5" w:name="_Hlk128820608"/>
      <w:r>
        <w:t>level 1 classification</w:t>
      </w:r>
      <w:bookmarkEnd w:id="5"/>
      <w:r>
        <w:t xml:space="preserve"> of the KEGG pathway. The rightmost bar indicates the number of genes under different level 1 categories.</w:t>
      </w:r>
    </w:p>
    <w:p/>
    <w:p>
      <w:r>
        <w:rPr>
          <w:rFonts w:hint="eastAsia"/>
        </w:rPr>
        <w:drawing>
          <wp:inline distT="0" distB="0" distL="114300" distR="114300">
            <wp:extent cx="5351145" cy="4650740"/>
            <wp:effectExtent l="0" t="0" r="1905" b="0"/>
            <wp:docPr id="12" name="图片 12" descr="Pathway分类统计柱状图_AnnoKEGG_Orig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Pathway分类统计柱状图_AnnoKEGG_Origin"/>
                    <pic:cNvPicPr>
                      <a:picLocks noChangeAspect="1"/>
                    </pic:cNvPicPr>
                  </pic:nvPicPr>
                  <pic:blipFill>
                    <a:blip r:embed="rId12"/>
                    <a:srcRect l="1393" t="1574" r="2966" b="1399"/>
                    <a:stretch>
                      <a:fillRect/>
                    </a:stretch>
                  </pic:blipFill>
                  <pic:spPr>
                    <a:xfrm>
                      <a:off x="0" y="0"/>
                      <a:ext cx="5358697" cy="4657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p/>
    <w:p/>
    <w:p>
      <w:r>
        <w:rPr>
          <w:b/>
          <w:bCs w:val="0"/>
        </w:rPr>
        <w:t>Fig</w:t>
      </w:r>
      <w:r>
        <w:rPr>
          <w:rFonts w:hint="eastAsia"/>
          <w:b/>
          <w:bCs w:val="0"/>
        </w:rPr>
        <w:t>. S8</w:t>
      </w:r>
      <w:r>
        <w:rPr>
          <w:rFonts w:hint="eastAsia"/>
        </w:rPr>
        <w:t xml:space="preserve"> </w:t>
      </w:r>
      <w:r>
        <w:t>Polar lipid profile of strain YIM B04394</w:t>
      </w:r>
      <w:r>
        <w:rPr>
          <w:vertAlign w:val="superscript"/>
        </w:rPr>
        <w:t>T</w:t>
      </w:r>
      <w:r>
        <w:t xml:space="preserve"> </w:t>
      </w:r>
      <w:r>
        <w:rPr>
          <w:snapToGrid w:val="0"/>
          <w:lang w:bidi="th-TH"/>
        </w:rPr>
        <w:t xml:space="preserve">separated by </w:t>
      </w:r>
      <w:r>
        <w:rPr>
          <w:rFonts w:hint="eastAsia"/>
          <w:snapToGrid w:val="0"/>
          <w:lang w:bidi="th-TH"/>
        </w:rPr>
        <w:t>t</w:t>
      </w:r>
      <w:r>
        <w:rPr>
          <w:snapToGrid w:val="0"/>
          <w:lang w:bidi="th-TH"/>
        </w:rPr>
        <w:t xml:space="preserve">wo-dimensional TLC and detected with </w:t>
      </w:r>
      <w:r>
        <w:rPr>
          <w:rFonts w:hint="eastAsia"/>
          <w:b/>
          <w:snapToGrid w:val="0"/>
          <w:lang w:bidi="th-TH"/>
        </w:rPr>
        <w:t>A</w:t>
      </w:r>
      <w:r>
        <w:rPr>
          <w:snapToGrid w:val="0"/>
          <w:lang w:bidi="th-TH"/>
        </w:rPr>
        <w:t>:</w:t>
      </w:r>
      <w:r>
        <w:rPr>
          <w:rFonts w:hint="eastAsia"/>
          <w:snapToGrid w:val="0"/>
          <w:lang w:bidi="th-TH"/>
        </w:rPr>
        <w:t xml:space="preserve"> </w:t>
      </w:r>
      <w:r>
        <w:rPr>
          <w:rFonts w:eastAsia="宋体"/>
          <w:color w:val="000000"/>
          <w:spacing w:val="12"/>
        </w:rPr>
        <w:t>molybdophosphoric acid</w:t>
      </w:r>
      <w:r>
        <w:rPr>
          <w:snapToGrid w:val="0"/>
          <w:lang w:bidi="th-TH"/>
        </w:rPr>
        <w:t xml:space="preserve">, </w:t>
      </w:r>
      <w:r>
        <w:rPr>
          <w:b/>
          <w:snapToGrid w:val="0"/>
          <w:lang w:bidi="th-TH"/>
        </w:rPr>
        <w:t>B</w:t>
      </w:r>
      <w:r>
        <w:rPr>
          <w:snapToGrid w:val="0"/>
          <w:lang w:bidi="th-TH"/>
        </w:rPr>
        <w:t>:</w:t>
      </w:r>
      <w:r>
        <w:rPr>
          <w:rFonts w:eastAsia="宋体"/>
          <w:color w:val="000000"/>
          <w:spacing w:val="12"/>
        </w:rPr>
        <w:t xml:space="preserve"> molybdenum blue spray reagent</w:t>
      </w:r>
      <w:r>
        <w:rPr>
          <w:snapToGrid w:val="0"/>
          <w:lang w:bidi="th-TH"/>
        </w:rPr>
        <w:t xml:space="preserve">, </w:t>
      </w:r>
      <w:r>
        <w:rPr>
          <w:b/>
          <w:snapToGrid w:val="0"/>
          <w:lang w:bidi="th-TH"/>
        </w:rPr>
        <w:t>C</w:t>
      </w:r>
      <w:r>
        <w:rPr>
          <w:snapToGrid w:val="0"/>
          <w:lang w:bidi="th-TH"/>
        </w:rPr>
        <w:t xml:space="preserve">: ninhydrin reagent, </w:t>
      </w:r>
      <w:r>
        <w:rPr>
          <w:b/>
          <w:snapToGrid w:val="0"/>
          <w:lang w:bidi="th-TH"/>
        </w:rPr>
        <w:t>D</w:t>
      </w:r>
      <w:r>
        <w:rPr>
          <w:snapToGrid w:val="0"/>
          <w:lang w:bidi="th-TH"/>
        </w:rPr>
        <w:t>: α-naphthol</w:t>
      </w:r>
      <w:r>
        <w:rPr>
          <w:rFonts w:hint="eastAsia"/>
          <w:snapToGrid w:val="0"/>
          <w:lang w:bidi="th-TH"/>
        </w:rPr>
        <w:t>.</w:t>
      </w:r>
      <w:r>
        <w:rPr>
          <w:rFonts w:hint="eastAsia"/>
        </w:rPr>
        <w:t xml:space="preserve"> </w:t>
      </w:r>
      <w:r>
        <w:t xml:space="preserve">DPG, diphosphatidylglycerol; PE, phosphatidylethanolamine; PL, unidentified phospholipid; </w:t>
      </w:r>
    </w:p>
    <w:p>
      <w:r>
        <w:rPr>
          <w:rFonts w:hint="eastAsia"/>
        </w:rPr>
        <w:t xml:space="preserve">         </w:t>
      </w:r>
      <w:r>
        <w:drawing>
          <wp:inline distT="0" distB="0" distL="0" distR="0">
            <wp:extent cx="2082165" cy="219583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86355" cy="2200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0" distR="0">
            <wp:extent cx="2048510" cy="2212340"/>
            <wp:effectExtent l="0" t="0" r="8890" b="0"/>
            <wp:docPr id="5" name="图片 5" descr="C:\Users\512\Documents\WeChat Files\wxid_wtmdf63a718b22\FileStorage\Temp\e1ad486380a704aa569b1cda6bc42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512\Documents\WeChat Files\wxid_wtmdf63a718b22\FileStorage\Temp\e1ad486380a704aa569b1cda6bc4266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67585" cy="2233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    </w:t>
      </w:r>
      <w:r>
        <w:t xml:space="preserve"> </w:t>
      </w:r>
      <w:r>
        <w:rPr>
          <w:rFonts w:hint="eastAsia"/>
        </w:rPr>
        <w:t xml:space="preserve">   </w:t>
      </w:r>
      <w:r>
        <w:drawing>
          <wp:inline distT="0" distB="0" distL="0" distR="0">
            <wp:extent cx="2072640" cy="2308225"/>
            <wp:effectExtent l="0" t="0" r="0" b="825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86299" cy="230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80260" cy="2313305"/>
            <wp:effectExtent l="0" t="0" r="7620" b="3175"/>
            <wp:docPr id="10" name="图片 10" descr="f7d847170edc437fcaa37fab89e2e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7d847170edc437fcaa37fab89e2eb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80260" cy="231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 xml:space="preserve">         </w:t>
      </w:r>
    </w:p>
    <w:p/>
    <w:p>
      <w:pPr>
        <w:rPr>
          <w:rFonts w:hint="eastAsia" w:eastAsiaTheme="minorEastAsia"/>
          <w:lang w:eastAsia="zh-CN"/>
        </w:rPr>
      </w:pPr>
    </w:p>
    <w:p/>
    <w:p/>
    <w:p/>
    <w:p/>
    <w:p/>
    <w:p/>
    <w:p>
      <w:pPr>
        <w:rPr>
          <w:b/>
          <w:bCs w:val="0"/>
        </w:rPr>
      </w:pPr>
    </w:p>
    <w:p>
      <w:pPr>
        <w:rPr>
          <w:lang w:bidi="ar"/>
        </w:rPr>
      </w:pPr>
      <w:r>
        <w:rPr>
          <w:rFonts w:hint="eastAsia"/>
          <w:b/>
          <w:bCs w:val="0"/>
        </w:rPr>
        <w:t xml:space="preserve">Table S1 </w:t>
      </w:r>
      <w:r>
        <w:rPr>
          <w:lang w:bidi="ar"/>
        </w:rPr>
        <w:t>The analysed AntiSMASH results of the genome of strain YIM B04394</w:t>
      </w:r>
      <w:r>
        <w:rPr>
          <w:vertAlign w:val="superscript"/>
          <w:lang w:bidi="ar"/>
        </w:rPr>
        <w:t>T</w:t>
      </w:r>
      <w:r>
        <w:rPr>
          <w:rFonts w:hint="eastAsia"/>
          <w:lang w:bidi="ar"/>
        </w:rPr>
        <w:t xml:space="preserve"> and</w:t>
      </w:r>
      <w:r>
        <w:rPr>
          <w:lang w:bidi="ar"/>
        </w:rPr>
        <w:t xml:space="preserve"> other reference strai</w:t>
      </w:r>
      <w:r>
        <w:rPr>
          <w:rFonts w:hint="eastAsia"/>
          <w:lang w:bidi="ar"/>
        </w:rPr>
        <w:t>ns.</w:t>
      </w:r>
      <w:r>
        <w:rPr>
          <w:lang w:bidi="ar"/>
        </w:rPr>
        <w:t xml:space="preserve"> Strains:</w:t>
      </w:r>
      <w:r>
        <w:rPr>
          <w:rFonts w:hint="eastAsia"/>
          <w:lang w:bidi="ar"/>
        </w:rPr>
        <w:t xml:space="preserve"> </w:t>
      </w:r>
      <w:r>
        <w:rPr>
          <w:lang w:bidi="ar"/>
        </w:rPr>
        <w:t>1,</w:t>
      </w:r>
      <w:r>
        <w:rPr>
          <w:rFonts w:hint="eastAsia"/>
          <w:lang w:bidi="ar"/>
        </w:rPr>
        <w:t xml:space="preserve"> Strain YIMB04394</w:t>
      </w:r>
      <w:r>
        <w:rPr>
          <w:rFonts w:hint="eastAsia"/>
          <w:vertAlign w:val="superscript"/>
          <w:lang w:bidi="ar"/>
        </w:rPr>
        <w:t>T</w:t>
      </w:r>
      <w:r>
        <w:rPr>
          <w:rFonts w:hint="eastAsia"/>
          <w:lang w:bidi="ar"/>
        </w:rPr>
        <w:t xml:space="preserve">; </w:t>
      </w:r>
      <w:r>
        <w:rPr>
          <w:lang w:bidi="ar"/>
        </w:rPr>
        <w:t xml:space="preserve">2, </w:t>
      </w:r>
      <w:r>
        <w:rPr>
          <w:i/>
          <w:iCs/>
          <w:lang w:bidi="ar"/>
        </w:rPr>
        <w:t>R. toxinivorans</w:t>
      </w:r>
      <w:r>
        <w:rPr>
          <w:lang w:bidi="ar"/>
        </w:rPr>
        <w:t xml:space="preserve"> </w:t>
      </w:r>
      <w:r>
        <w:rPr>
          <w:rFonts w:hint="eastAsia"/>
          <w:lang w:bidi="ar"/>
        </w:rPr>
        <w:t>DSM 16998</w:t>
      </w:r>
      <w:r>
        <w:rPr>
          <w:vertAlign w:val="superscript"/>
          <w:lang w:bidi="ar"/>
        </w:rPr>
        <w:t>T</w:t>
      </w:r>
      <w:r>
        <w:rPr>
          <w:lang w:bidi="ar"/>
        </w:rPr>
        <w:t>; 3</w:t>
      </w:r>
      <w:r>
        <w:rPr>
          <w:rFonts w:hint="eastAsia"/>
          <w:lang w:bidi="ar"/>
        </w:rPr>
        <w:t xml:space="preserve">, </w:t>
      </w:r>
      <w:bookmarkStart w:id="6" w:name="OLE_LINK11"/>
      <w:r>
        <w:rPr>
          <w:i/>
        </w:rPr>
        <w:t>Roseateles asaccharophilus</w:t>
      </w:r>
      <w:bookmarkEnd w:id="6"/>
      <w:r>
        <w:t xml:space="preserve"> </w:t>
      </w:r>
      <w:bookmarkStart w:id="7" w:name="OLE_LINK12"/>
      <w:r>
        <w:rPr>
          <w:rFonts w:hint="eastAsia"/>
        </w:rPr>
        <w:t>DSM 25082</w:t>
      </w:r>
      <w:bookmarkEnd w:id="7"/>
      <w:r>
        <w:rPr>
          <w:vertAlign w:val="superscript"/>
        </w:rPr>
        <w:t>T</w:t>
      </w:r>
    </w:p>
    <w:tbl>
      <w:tblPr>
        <w:tblStyle w:val="7"/>
        <w:tblpPr w:leftFromText="180" w:rightFromText="180" w:vertAnchor="text" w:horzAnchor="page" w:tblpXSpec="center" w:tblpY="510"/>
        <w:tblOverlap w:val="never"/>
        <w:tblW w:w="541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4"/>
        <w:gridCol w:w="1210"/>
        <w:gridCol w:w="1100"/>
        <w:gridCol w:w="99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114" w:type="dxa"/>
            <w:tcBorders>
              <w:top w:val="single" w:color="000000" w:sz="6" w:space="0"/>
              <w:left w:val="nil"/>
              <w:bottom w:val="single" w:color="000000" w:sz="6" w:space="0"/>
            </w:tcBorders>
            <w:vAlign w:val="center"/>
          </w:tcPr>
          <w:p>
            <w:pPr>
              <w:rPr>
                <w:highlight w:val="yellow"/>
              </w:rPr>
            </w:pPr>
            <w:r>
              <w:rPr>
                <w:b/>
                <w:bCs w:val="0"/>
              </w:rPr>
              <w:t>Analysis class</w:t>
            </w:r>
          </w:p>
        </w:tc>
        <w:tc>
          <w:tcPr>
            <w:tcW w:w="121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0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1" w:type="dxa"/>
            <w:tcBorders>
              <w:top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114" w:type="dxa"/>
            <w:tcBorders>
              <w:top w:val="single" w:color="000000" w:sz="6" w:space="0"/>
              <w:left w:val="nil"/>
              <w:tl2br w:val="nil"/>
              <w:tr2bl w:val="nil"/>
            </w:tcBorders>
          </w:tcPr>
          <w:p>
            <w:pPr>
              <w:rPr>
                <w:b/>
                <w:highlight w:val="yellow"/>
              </w:rPr>
            </w:pPr>
            <w:r>
              <w:rPr>
                <w:lang w:bidi="ar"/>
              </w:rPr>
              <w:t>Gene</w:t>
            </w:r>
            <w:r>
              <w:rPr>
                <w:rFonts w:hint="eastAsia"/>
                <w:lang w:bidi="ar"/>
              </w:rPr>
              <w:t xml:space="preserve"> </w:t>
            </w:r>
            <w:r>
              <w:rPr>
                <w:lang w:bidi="ar"/>
              </w:rPr>
              <w:t>cluster</w:t>
            </w:r>
          </w:p>
        </w:tc>
        <w:tc>
          <w:tcPr>
            <w:tcW w:w="1210" w:type="dxa"/>
            <w:tcBorders>
              <w:top w:val="single" w:color="000000" w:sz="6" w:space="0"/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100" w:type="dxa"/>
            <w:tcBorders>
              <w:top w:val="single" w:color="000000" w:sz="6" w:space="0"/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991" w:type="dxa"/>
            <w:tcBorders>
              <w:top w:val="single" w:color="000000" w:sz="6" w:space="0"/>
              <w:right w:val="nil"/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114" w:type="dxa"/>
            <w:tcBorders>
              <w:left w:val="nil"/>
              <w:tl2br w:val="nil"/>
              <w:tr2bl w:val="nil"/>
            </w:tcBorders>
          </w:tcPr>
          <w:p>
            <w:pPr>
              <w:rPr>
                <w:lang w:bidi="ar"/>
              </w:rPr>
            </w:pPr>
            <w:r>
              <w:rPr>
                <w:rFonts w:hint="eastAsia"/>
                <w:b/>
                <w:bCs w:val="0"/>
                <w:lang w:bidi="ar"/>
              </w:rPr>
              <w:t>Type：</w:t>
            </w:r>
          </w:p>
        </w:tc>
        <w:tc>
          <w:tcPr>
            <w:tcW w:w="1210" w:type="dxa"/>
            <w:tcBorders>
              <w:tl2br w:val="nil"/>
              <w:tr2bl w:val="nil"/>
            </w:tcBorders>
          </w:tcPr>
          <w:p>
            <w:pPr>
              <w:jc w:val="center"/>
            </w:pPr>
          </w:p>
        </w:tc>
        <w:tc>
          <w:tcPr>
            <w:tcW w:w="1100" w:type="dxa"/>
            <w:tcBorders>
              <w:tl2br w:val="nil"/>
              <w:tr2bl w:val="nil"/>
            </w:tcBorders>
          </w:tcPr>
          <w:p>
            <w:pPr>
              <w:jc w:val="center"/>
            </w:pPr>
          </w:p>
        </w:tc>
        <w:tc>
          <w:tcPr>
            <w:tcW w:w="991" w:type="dxa"/>
            <w:tcBorders>
              <w:right w:val="nil"/>
              <w:tl2br w:val="nil"/>
              <w:tr2bl w:val="nil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114" w:type="dxa"/>
            <w:tcBorders>
              <w:left w:val="nil"/>
              <w:tl2br w:val="nil"/>
              <w:tr2bl w:val="nil"/>
            </w:tcBorders>
          </w:tcPr>
          <w:p>
            <w:pPr>
              <w:ind w:firstLine="200" w:firstLineChars="100"/>
              <w:rPr>
                <w:b/>
                <w:highlight w:val="yellow"/>
              </w:rPr>
            </w:pPr>
            <w:r>
              <w:rPr>
                <w:rFonts w:hint="eastAsia"/>
                <w:lang w:bidi="ar"/>
              </w:rPr>
              <w:t>T</w:t>
            </w:r>
            <w:r>
              <w:rPr>
                <w:lang w:bidi="ar"/>
              </w:rPr>
              <w:t>erpene</w:t>
            </w:r>
          </w:p>
        </w:tc>
        <w:tc>
          <w:tcPr>
            <w:tcW w:w="1210" w:type="dxa"/>
            <w:tcBorders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00" w:type="dxa"/>
            <w:tcBorders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1" w:type="dxa"/>
            <w:tcBorders>
              <w:right w:val="nil"/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114" w:type="dxa"/>
            <w:tcBorders>
              <w:left w:val="nil"/>
              <w:tl2br w:val="nil"/>
              <w:tr2bl w:val="nil"/>
            </w:tcBorders>
          </w:tcPr>
          <w:p>
            <w:pPr>
              <w:ind w:firstLine="200" w:firstLineChars="100"/>
              <w:rPr>
                <w:b/>
                <w:highlight w:val="yellow"/>
              </w:rPr>
            </w:pPr>
            <w:bookmarkStart w:id="8" w:name="OLE_LINK3"/>
            <w:bookmarkStart w:id="9" w:name="OLE_LINK2" w:colFirst="0" w:colLast="5"/>
            <w:r>
              <w:rPr>
                <w:rFonts w:hint="eastAsia"/>
                <w:lang w:bidi="ar"/>
              </w:rPr>
              <w:t>N-</w:t>
            </w:r>
            <w:r>
              <w:rPr>
                <w:lang w:bidi="ar"/>
              </w:rPr>
              <w:t>acyl amino acid</w:t>
            </w:r>
            <w:bookmarkEnd w:id="8"/>
          </w:p>
        </w:tc>
        <w:tc>
          <w:tcPr>
            <w:tcW w:w="1210" w:type="dxa"/>
            <w:tcBorders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100" w:type="dxa"/>
            <w:tcBorders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1" w:type="dxa"/>
            <w:tcBorders>
              <w:right w:val="nil"/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bookmarkEnd w:id="9"/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114" w:type="dxa"/>
            <w:tcBorders>
              <w:left w:val="nil"/>
              <w:tl2br w:val="nil"/>
              <w:tr2bl w:val="nil"/>
            </w:tcBorders>
          </w:tcPr>
          <w:p>
            <w:pPr>
              <w:ind w:firstLine="200" w:firstLineChars="100"/>
              <w:rPr>
                <w:b/>
                <w:highlight w:val="yellow"/>
              </w:rPr>
            </w:pPr>
            <w:r>
              <w:rPr>
                <w:rFonts w:hint="eastAsia"/>
                <w:lang w:bidi="ar"/>
              </w:rPr>
              <w:t>H</w:t>
            </w:r>
            <w:r>
              <w:rPr>
                <w:lang w:bidi="ar"/>
              </w:rPr>
              <w:t>ydrogen cyanide</w:t>
            </w:r>
          </w:p>
        </w:tc>
        <w:tc>
          <w:tcPr>
            <w:tcW w:w="1210" w:type="dxa"/>
            <w:tcBorders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00" w:type="dxa"/>
            <w:tcBorders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91" w:type="dxa"/>
            <w:tcBorders>
              <w:right w:val="nil"/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114" w:type="dxa"/>
            <w:tcBorders>
              <w:left w:val="nil"/>
              <w:tl2br w:val="nil"/>
              <w:tr2bl w:val="nil"/>
            </w:tcBorders>
          </w:tcPr>
          <w:p>
            <w:pPr>
              <w:ind w:firstLine="200" w:firstLineChars="100"/>
              <w:rPr>
                <w:b/>
                <w:highlight w:val="yellow"/>
              </w:rPr>
            </w:pPr>
            <w:r>
              <w:rPr>
                <w:rFonts w:hint="eastAsia"/>
                <w:lang w:bidi="ar"/>
              </w:rPr>
              <w:t>NRPS</w:t>
            </w:r>
          </w:p>
        </w:tc>
        <w:tc>
          <w:tcPr>
            <w:tcW w:w="1210" w:type="dxa"/>
            <w:tcBorders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100" w:type="dxa"/>
            <w:tcBorders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91" w:type="dxa"/>
            <w:tcBorders>
              <w:right w:val="nil"/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114" w:type="dxa"/>
            <w:tcBorders>
              <w:left w:val="nil"/>
              <w:tl2br w:val="nil"/>
              <w:tr2bl w:val="nil"/>
            </w:tcBorders>
          </w:tcPr>
          <w:p>
            <w:pPr>
              <w:ind w:firstLine="200" w:firstLineChars="100"/>
              <w:rPr>
                <w:b/>
                <w:highlight w:val="yellow"/>
              </w:rPr>
            </w:pPr>
            <w:r>
              <w:rPr>
                <w:rFonts w:hint="eastAsia"/>
                <w:lang w:bidi="ar"/>
              </w:rPr>
              <w:t>Ripp-like</w:t>
            </w:r>
          </w:p>
        </w:tc>
        <w:tc>
          <w:tcPr>
            <w:tcW w:w="1210" w:type="dxa"/>
            <w:tcBorders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00" w:type="dxa"/>
            <w:tcBorders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91" w:type="dxa"/>
            <w:tcBorders>
              <w:right w:val="nil"/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2114" w:type="dxa"/>
            <w:tcBorders>
              <w:left w:val="nil"/>
              <w:tl2br w:val="nil"/>
              <w:tr2bl w:val="nil"/>
            </w:tcBorders>
          </w:tcPr>
          <w:p>
            <w:pPr>
              <w:ind w:firstLine="200" w:firstLineChars="100"/>
              <w:rPr>
                <w:b/>
                <w:highlight w:val="yellow"/>
              </w:rPr>
            </w:pPr>
            <w:r>
              <w:rPr>
                <w:rFonts w:hint="eastAsia"/>
                <w:lang w:bidi="ar"/>
              </w:rPr>
              <w:t>PRE-containing</w:t>
            </w:r>
          </w:p>
        </w:tc>
        <w:tc>
          <w:tcPr>
            <w:tcW w:w="1210" w:type="dxa"/>
            <w:tcBorders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100" w:type="dxa"/>
            <w:tcBorders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91" w:type="dxa"/>
            <w:tcBorders>
              <w:right w:val="nil"/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2114" w:type="dxa"/>
            <w:tcBorders>
              <w:left w:val="nil"/>
              <w:tl2br w:val="nil"/>
              <w:tr2bl w:val="nil"/>
            </w:tcBorders>
          </w:tcPr>
          <w:p>
            <w:pPr>
              <w:ind w:firstLine="200" w:firstLineChars="100"/>
              <w:rPr>
                <w:lang w:bidi="ar"/>
              </w:rPr>
            </w:pPr>
            <w:r>
              <w:rPr>
                <w:rFonts w:hint="eastAsia"/>
                <w:lang w:bidi="ar"/>
              </w:rPr>
              <w:t>Hserlactone</w:t>
            </w:r>
          </w:p>
        </w:tc>
        <w:tc>
          <w:tcPr>
            <w:tcW w:w="1210" w:type="dxa"/>
            <w:tcBorders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100" w:type="dxa"/>
            <w:tcBorders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91" w:type="dxa"/>
            <w:tcBorders>
              <w:right w:val="nil"/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2114" w:type="dxa"/>
            <w:tcBorders>
              <w:left w:val="nil"/>
              <w:tl2br w:val="nil"/>
              <w:tr2bl w:val="nil"/>
            </w:tcBorders>
          </w:tcPr>
          <w:p>
            <w:pPr>
              <w:ind w:firstLine="200" w:firstLineChars="100"/>
              <w:rPr>
                <w:lang w:bidi="ar"/>
              </w:rPr>
            </w:pPr>
            <w:r>
              <w:rPr>
                <w:rFonts w:hint="eastAsia"/>
                <w:lang w:bidi="ar"/>
              </w:rPr>
              <w:t>Betalactone</w:t>
            </w:r>
          </w:p>
        </w:tc>
        <w:tc>
          <w:tcPr>
            <w:tcW w:w="1210" w:type="dxa"/>
            <w:tcBorders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100" w:type="dxa"/>
            <w:tcBorders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91" w:type="dxa"/>
            <w:tcBorders>
              <w:right w:val="nil"/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2114" w:type="dxa"/>
            <w:tcBorders>
              <w:left w:val="nil"/>
              <w:bottom w:val="single" w:color="000000" w:sz="6" w:space="0"/>
              <w:tl2br w:val="nil"/>
              <w:tr2bl w:val="nil"/>
            </w:tcBorders>
          </w:tcPr>
          <w:p>
            <w:pPr>
              <w:ind w:firstLine="200" w:firstLineChars="100"/>
              <w:rPr>
                <w:lang w:bidi="ar"/>
              </w:rPr>
            </w:pPr>
            <w:r>
              <w:rPr>
                <w:rFonts w:hint="eastAsia"/>
                <w:lang w:bidi="ar"/>
              </w:rPr>
              <w:t>NAPAA</w:t>
            </w:r>
          </w:p>
        </w:tc>
        <w:tc>
          <w:tcPr>
            <w:tcW w:w="1210" w:type="dxa"/>
            <w:tcBorders>
              <w:bottom w:val="single" w:color="000000" w:sz="6" w:space="0"/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100" w:type="dxa"/>
            <w:tcBorders>
              <w:bottom w:val="single" w:color="000000" w:sz="6" w:space="0"/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91" w:type="dxa"/>
            <w:tcBorders>
              <w:bottom w:val="single" w:color="000000" w:sz="6" w:space="0"/>
              <w:right w:val="nil"/>
              <w:tl2br w:val="nil"/>
              <w:tr2bl w:val="nil"/>
            </w:tcBorders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lang w:bidi="ar"/>
        </w:rPr>
      </w:pPr>
      <w:bookmarkStart w:id="10" w:name="OLE_LINK4"/>
      <w:r>
        <w:rPr>
          <w:rFonts w:hint="eastAsia"/>
          <w:b/>
          <w:bCs w:val="0"/>
        </w:rPr>
        <w:t>Table</w:t>
      </w:r>
      <w:bookmarkEnd w:id="10"/>
      <w:r>
        <w:rPr>
          <w:rFonts w:hint="eastAsia"/>
          <w:b/>
          <w:bCs w:val="0"/>
        </w:rPr>
        <w:t xml:space="preserve"> S2</w:t>
      </w:r>
      <w:r>
        <w:rPr>
          <w:rFonts w:hint="eastAsia"/>
          <w:b/>
        </w:rPr>
        <w:t xml:space="preserve"> </w:t>
      </w:r>
      <w:r>
        <w:rPr>
          <w:rFonts w:hint="eastAsia"/>
        </w:rPr>
        <w:t xml:space="preserve">The </w:t>
      </w:r>
      <w:r>
        <w:rPr>
          <w:lang w:bidi="ar"/>
        </w:rPr>
        <w:t>Biolog GEN III MicroPlate tests</w:t>
      </w:r>
      <w:r>
        <w:rPr>
          <w:rFonts w:hint="eastAsia"/>
          <w:lang w:bidi="ar"/>
        </w:rPr>
        <w:t xml:space="preserve"> of</w:t>
      </w:r>
      <w:bookmarkStart w:id="11" w:name="OLE_LINK7"/>
      <w:r>
        <w:rPr>
          <w:rFonts w:hint="eastAsia"/>
          <w:lang w:bidi="ar"/>
        </w:rPr>
        <w:t xml:space="preserve"> strain YIM B04394</w:t>
      </w:r>
      <w:r>
        <w:rPr>
          <w:rFonts w:hint="eastAsia"/>
          <w:vertAlign w:val="superscript"/>
          <w:lang w:bidi="ar"/>
        </w:rPr>
        <w:t>T</w:t>
      </w:r>
      <w:bookmarkEnd w:id="11"/>
    </w:p>
    <w:p>
      <w:r>
        <w:t>All data were from this study</w:t>
      </w:r>
      <w:r>
        <w:rPr>
          <w:rFonts w:hint="eastAsia" w:eastAsia="宋体"/>
          <w:color w:val="000000"/>
          <w:spacing w:val="12"/>
          <w:lang w:bidi="ar"/>
        </w:rPr>
        <w:t>.</w:t>
      </w:r>
      <w:r>
        <w:t xml:space="preserve"> +, Positive; -</w:t>
      </w:r>
      <w:r>
        <w:rPr>
          <w:rFonts w:hint="eastAsia"/>
        </w:rPr>
        <w:t>,</w:t>
      </w:r>
      <w:r>
        <w:t xml:space="preserve"> Negative.</w:t>
      </w:r>
    </w:p>
    <w:tbl>
      <w:tblPr>
        <w:tblStyle w:val="7"/>
        <w:tblpPr w:leftFromText="180" w:rightFromText="180" w:vertAnchor="text" w:horzAnchor="page" w:tblpX="1904" w:tblpY="189"/>
        <w:tblOverlap w:val="never"/>
        <w:tblW w:w="8330" w:type="dxa"/>
        <w:tblInd w:w="0" w:type="dxa"/>
        <w:tblBorders>
          <w:top w:val="single" w:color="auto" w:sz="4" w:space="0"/>
          <w:left w:val="single" w:color="auto" w:sz="4" w:space="0"/>
          <w:bottom w:val="none" w:color="auto" w:sz="0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9"/>
        <w:gridCol w:w="2084"/>
        <w:gridCol w:w="2268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419" w:type="dxa"/>
            <w:tcBorders>
              <w:top w:val="single" w:color="auto" w:sz="8" w:space="0"/>
              <w:left w:val="nil"/>
              <w:bottom w:val="single" w:color="auto" w:sz="4" w:space="0"/>
            </w:tcBorders>
          </w:tcPr>
          <w:p>
            <w:pPr>
              <w:jc w:val="center"/>
              <w:rPr>
                <w:rFonts w:eastAsia="宋体"/>
                <w:color w:val="000000"/>
                <w:spacing w:val="12"/>
                <w:lang w:bidi="ar"/>
              </w:rPr>
            </w:pPr>
            <w:r>
              <w:t>Characteristic</w:t>
            </w:r>
          </w:p>
        </w:tc>
        <w:tc>
          <w:tcPr>
            <w:tcW w:w="2084" w:type="dxa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 w:eastAsia="宋体"/>
                <w:color w:val="000000"/>
                <w:spacing w:val="12"/>
                <w:lang w:bidi="ar"/>
              </w:rPr>
              <w:t>YIM B04394</w:t>
            </w:r>
            <w:r>
              <w:rPr>
                <w:rFonts w:hint="eastAsia" w:eastAsia="宋体"/>
                <w:color w:val="000000"/>
                <w:spacing w:val="12"/>
                <w:vertAlign w:val="superscript"/>
                <w:lang w:bidi="ar"/>
              </w:rPr>
              <w:t>T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</w:tcBorders>
          </w:tcPr>
          <w:p>
            <w:pPr>
              <w:jc w:val="center"/>
              <w:rPr>
                <w:rFonts w:eastAsia="宋体"/>
                <w:color w:val="000000"/>
                <w:spacing w:val="12"/>
                <w:lang w:bidi="ar"/>
              </w:rPr>
            </w:pPr>
            <w:r>
              <w:t>Characteristic</w:t>
            </w:r>
          </w:p>
        </w:tc>
        <w:tc>
          <w:tcPr>
            <w:tcW w:w="1559" w:type="dxa"/>
            <w:tcBorders>
              <w:top w:val="single" w:color="auto" w:sz="8" w:space="0"/>
              <w:bottom w:val="single" w:color="auto" w:sz="4" w:space="0"/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 w:eastAsia="宋体"/>
                <w:color w:val="000000"/>
                <w:spacing w:val="12"/>
                <w:lang w:bidi="ar"/>
              </w:rPr>
              <w:t>YIM B04394</w:t>
            </w:r>
            <w:r>
              <w:rPr>
                <w:rFonts w:hint="eastAsia" w:eastAsia="宋体"/>
                <w:color w:val="000000"/>
                <w:spacing w:val="12"/>
                <w:vertAlign w:val="superscript"/>
                <w:lang w:bidi="ar"/>
              </w:rPr>
              <w:t>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tcBorders>
              <w:top w:val="single" w:color="auto" w:sz="4" w:space="0"/>
              <w:left w:val="nil"/>
            </w:tcBorders>
          </w:tcPr>
          <w:p>
            <w:pPr>
              <w:jc w:val="center"/>
              <w:rPr>
                <w:lang w:bidi="ar"/>
              </w:rPr>
            </w:pPr>
            <w:bookmarkStart w:id="12" w:name="OLE_LINK8" w:colFirst="3" w:colLast="3"/>
            <w:r>
              <w:rPr>
                <w:lang w:bidi="ar"/>
              </w:rPr>
              <w:t>Negative Control</w:t>
            </w:r>
          </w:p>
        </w:tc>
        <w:tc>
          <w:tcPr>
            <w:tcW w:w="2084" w:type="dxa"/>
            <w:tcBorders>
              <w:top w:val="single" w:color="auto" w:sz="4" w:space="0"/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L-Arginine</w:t>
            </w:r>
          </w:p>
        </w:tc>
        <w:tc>
          <w:tcPr>
            <w:tcW w:w="1559" w:type="dxa"/>
            <w:tcBorders>
              <w:top w:val="single" w:color="auto" w:sz="4" w:space="0"/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Dextrin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L-AsparticAcid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bookmarkEnd w:id="12"/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D-Maltose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L-GlutamicAcid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D-Trehalose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L-Histidine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Gentiobiose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L-Pyroglutamic 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Sucrose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L-Serine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D-Turanose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Pectin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Stachyose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D-Galacturonic 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D-Raffinose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L-Galactonic 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α-D-Lactose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D-GlLuaccotnoince 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D-Melibiose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D-Glucuronic 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β-Methyl-D Glucoside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Glucuronamide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D-Salicin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Mucic 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N-Acetyl-D</w:t>
            </w:r>
            <w:r>
              <w:rPr>
                <w:rFonts w:hint="eastAsia"/>
                <w:lang w:bidi="ar"/>
              </w:rPr>
              <w:t xml:space="preserve"> </w:t>
            </w:r>
            <w:r>
              <w:rPr>
                <w:lang w:bidi="ar"/>
              </w:rPr>
              <w:t>Glucosamine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Quinic 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N-Acetyl-Dgalactosamine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D-Saccharic 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N-Acetyl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p-Hydroxy-Phenylacetic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α-D-Glucose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MethylAcPidyruvate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D-Mannose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D-LacticAcid Methyl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D-Fructose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L-LaEcstitcer 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D-Galactose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Citric 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bookmarkStart w:id="13" w:name="OLE_LINK9" w:colFirst="5" w:colLast="5"/>
            <w:r>
              <w:rPr>
                <w:lang w:bidi="ar"/>
              </w:rPr>
              <w:t>3-Methyl Glucose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α-Keto-Glutaric 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bookmarkEnd w:id="13"/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D-Fucose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D-Malic 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L-Rhamnose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L-Malic 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D-Sorbitol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Bromo-Succinic 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  <w:bottom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D-Mannitol</w:t>
            </w:r>
          </w:p>
        </w:tc>
        <w:tc>
          <w:tcPr>
            <w:tcW w:w="2084" w:type="dxa"/>
            <w:tcBorders>
              <w:bottom w:val="nil"/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  <w:bottom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Tween 40</w:t>
            </w:r>
          </w:p>
        </w:tc>
        <w:tc>
          <w:tcPr>
            <w:tcW w:w="1559" w:type="dxa"/>
            <w:tcBorders>
              <w:bottom w:val="nil"/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D-Arabitol</w:t>
            </w:r>
          </w:p>
        </w:tc>
        <w:tc>
          <w:tcPr>
            <w:tcW w:w="208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γ-Amino-Butryric Acid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top w:val="single" w:color="auto" w:sz="4" w:space="0"/>
              <w:left w:val="nil"/>
            </w:tcBorders>
          </w:tcPr>
          <w:p>
            <w:pPr>
              <w:jc w:val="center"/>
              <w:rPr>
                <w:rFonts w:eastAsia="宋体"/>
                <w:color w:val="000000"/>
                <w:spacing w:val="12"/>
                <w:lang w:bidi="ar"/>
              </w:rPr>
            </w:pPr>
            <w:r>
              <w:t>Characteristic</w:t>
            </w:r>
          </w:p>
        </w:tc>
        <w:tc>
          <w:tcPr>
            <w:tcW w:w="2084" w:type="dxa"/>
            <w:tcBorders>
              <w:top w:val="single" w:color="auto" w:sz="4" w:space="0"/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 w:eastAsia="宋体"/>
                <w:color w:val="000000"/>
                <w:spacing w:val="12"/>
                <w:lang w:bidi="ar"/>
              </w:rPr>
              <w:t>YIM B04394</w:t>
            </w:r>
            <w:r>
              <w:rPr>
                <w:rFonts w:hint="eastAsia" w:eastAsia="宋体"/>
                <w:color w:val="000000"/>
                <w:spacing w:val="12"/>
                <w:vertAlign w:val="superscript"/>
                <w:lang w:bidi="ar"/>
              </w:rPr>
              <w:t>T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8" w:space="0"/>
            </w:tcBorders>
          </w:tcPr>
          <w:p>
            <w:pPr>
              <w:jc w:val="center"/>
              <w:rPr>
                <w:rFonts w:eastAsia="宋体"/>
                <w:color w:val="000000"/>
                <w:spacing w:val="12"/>
                <w:lang w:bidi="ar"/>
              </w:rPr>
            </w:pPr>
            <w:r>
              <w:t>Characteristic</w:t>
            </w:r>
          </w:p>
        </w:tc>
        <w:tc>
          <w:tcPr>
            <w:tcW w:w="1559" w:type="dxa"/>
            <w:tcBorders>
              <w:top w:val="single" w:color="auto" w:sz="4" w:space="0"/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 w:eastAsia="宋体"/>
                <w:color w:val="000000"/>
                <w:spacing w:val="12"/>
                <w:lang w:bidi="ar"/>
              </w:rPr>
              <w:t>YIM B04394</w:t>
            </w:r>
            <w:r>
              <w:rPr>
                <w:rFonts w:hint="eastAsia" w:eastAsia="宋体"/>
                <w:color w:val="000000"/>
                <w:spacing w:val="12"/>
                <w:vertAlign w:val="superscript"/>
                <w:lang w:bidi="ar"/>
              </w:rPr>
              <w:t>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top w:val="single" w:color="auto" w:sz="4" w:space="0"/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myo-Inositol</w:t>
            </w:r>
          </w:p>
        </w:tc>
        <w:tc>
          <w:tcPr>
            <w:tcW w:w="2084" w:type="dxa"/>
            <w:tcBorders>
              <w:top w:val="single" w:color="auto" w:sz="4" w:space="0"/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α-Hydroxy-Butyric Acid</w:t>
            </w:r>
          </w:p>
        </w:tc>
        <w:tc>
          <w:tcPr>
            <w:tcW w:w="1559" w:type="dxa"/>
            <w:tcBorders>
              <w:top w:val="single" w:color="auto" w:sz="4" w:space="0"/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Glycerol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β-Hydroxy-D,Lbutyric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D-Glucose-6-PO4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α-Keto-Butyric 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D-Fructose-6-PO4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Acetoacetic 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szCs w:val="21"/>
                <w:lang w:bidi="ar"/>
              </w:rPr>
            </w:pPr>
            <w:r>
              <w:rPr>
                <w:lang w:bidi="ar"/>
              </w:rPr>
              <w:t>D-Aspartic Acid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Propionic 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D-Serine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Acetic 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Positive Control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Formic Acid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pH6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Lincomycin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pH5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Guanidine HCl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rFonts w:eastAsia="宋体"/>
                <w:color w:val="000000"/>
                <w:spacing w:val="12"/>
                <w:sz w:val="18"/>
                <w:szCs w:val="18"/>
                <w:lang w:bidi="ar"/>
              </w:rPr>
            </w:pPr>
            <w:r>
              <w:rPr>
                <w:rFonts w:hint="eastAsia"/>
              </w:rPr>
              <w:t>1%NaCl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Niaproof 4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rFonts w:eastAsia="宋体"/>
                <w:color w:val="000000"/>
                <w:spacing w:val="12"/>
                <w:sz w:val="18"/>
                <w:szCs w:val="18"/>
                <w:lang w:bidi="ar"/>
              </w:rPr>
            </w:pPr>
            <w:r>
              <w:rPr>
                <w:rFonts w:hint="eastAsia"/>
              </w:rPr>
              <w:t>4%NaCl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Vancomycin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rFonts w:eastAsia="宋体"/>
                <w:color w:val="000000"/>
                <w:spacing w:val="12"/>
                <w:sz w:val="18"/>
                <w:szCs w:val="18"/>
                <w:lang w:bidi="ar"/>
              </w:rPr>
            </w:pPr>
            <w:r>
              <w:rPr>
                <w:rFonts w:hint="eastAsia"/>
              </w:rPr>
              <w:t>8%NaCl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Tetrazolium Violet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1%Sodium Lactate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Tetrazolium Blue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  <w:bottom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Fusidic Acid</w:t>
            </w:r>
          </w:p>
        </w:tc>
        <w:tc>
          <w:tcPr>
            <w:tcW w:w="2084" w:type="dxa"/>
            <w:tcBorders>
              <w:bottom w:val="nil"/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  <w:bottom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Nalidixic Acid</w:t>
            </w:r>
          </w:p>
        </w:tc>
        <w:tc>
          <w:tcPr>
            <w:tcW w:w="1559" w:type="dxa"/>
            <w:tcBorders>
              <w:bottom w:val="nil"/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top w:val="nil"/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Rifamycin SV</w:t>
            </w:r>
          </w:p>
        </w:tc>
        <w:tc>
          <w:tcPr>
            <w:tcW w:w="2084" w:type="dxa"/>
            <w:tcBorders>
              <w:top w:val="nil"/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  <w:tc>
          <w:tcPr>
            <w:tcW w:w="2268" w:type="dxa"/>
            <w:tcBorders>
              <w:top w:val="nil"/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Lithium Chloride</w:t>
            </w:r>
          </w:p>
        </w:tc>
        <w:tc>
          <w:tcPr>
            <w:tcW w:w="1559" w:type="dxa"/>
            <w:tcBorders>
              <w:top w:val="nil"/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Troleandomycin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Potassium Tellurite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Minocycline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Aztreonam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Gelatin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Sodium Butyrate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Glycyl-L-Proline</w:t>
            </w:r>
          </w:p>
        </w:tc>
        <w:tc>
          <w:tcPr>
            <w:tcW w:w="2084" w:type="dxa"/>
            <w:tcBorders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  <w:tc>
          <w:tcPr>
            <w:tcW w:w="2268" w:type="dxa"/>
            <w:tcBorders>
              <w:lef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Sodium Bromate</w:t>
            </w:r>
          </w:p>
        </w:tc>
        <w:tc>
          <w:tcPr>
            <w:tcW w:w="1559" w:type="dxa"/>
            <w:tcBorders>
              <w:right w:val="nil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tcBorders>
              <w:left w:val="nil"/>
              <w:bottom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L-Alanine</w:t>
            </w:r>
          </w:p>
        </w:tc>
        <w:tc>
          <w:tcPr>
            <w:tcW w:w="2084" w:type="dxa"/>
            <w:tcBorders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  <w:r>
              <w:rPr>
                <w:rFonts w:hint="eastAsia"/>
                <w:lang w:bidi="ar"/>
              </w:rPr>
              <w:t>+</w:t>
            </w:r>
          </w:p>
        </w:tc>
        <w:tc>
          <w:tcPr>
            <w:tcW w:w="2268" w:type="dxa"/>
            <w:tcBorders>
              <w:left w:val="single" w:color="auto" w:sz="8" w:space="0"/>
              <w:bottom w:val="single" w:color="auto" w:sz="8" w:space="0"/>
            </w:tcBorders>
          </w:tcPr>
          <w:p>
            <w:pPr>
              <w:jc w:val="center"/>
              <w:rPr>
                <w:lang w:bidi="ar"/>
              </w:rPr>
            </w:pPr>
          </w:p>
        </w:tc>
        <w:tc>
          <w:tcPr>
            <w:tcW w:w="1559" w:type="dxa"/>
            <w:tcBorders>
              <w:bottom w:val="single" w:color="auto" w:sz="8" w:space="0"/>
              <w:right w:val="nil"/>
            </w:tcBorders>
          </w:tcPr>
          <w:p>
            <w:pPr>
              <w:jc w:val="center"/>
              <w:rPr>
                <w:lang w:bidi="ar"/>
              </w:rPr>
            </w:pPr>
          </w:p>
        </w:tc>
      </w:tr>
    </w:tbl>
    <w:p>
      <w:pPr>
        <w:rPr>
          <w:lang w:bidi="ar"/>
        </w:rPr>
      </w:pPr>
    </w:p>
    <w:p/>
    <w:p/>
    <w:p/>
    <w:p/>
    <w:p/>
    <w:p/>
    <w:p/>
    <w:p>
      <w:r>
        <w:rPr>
          <w:rFonts w:hint="eastAsia"/>
          <w:b/>
          <w:bCs w:val="0"/>
        </w:rPr>
        <w:t>Table S3</w:t>
      </w:r>
      <w:r>
        <w:rPr>
          <w:rFonts w:hint="eastAsia"/>
        </w:rPr>
        <w:t xml:space="preserve"> </w:t>
      </w:r>
      <w:r>
        <w:rPr>
          <w:snapToGrid w:val="0"/>
        </w:rPr>
        <w:t xml:space="preserve">The antibiotic susceptibility results of </w:t>
      </w:r>
      <w:r>
        <w:t>strains YIM B0</w:t>
      </w:r>
      <w:r>
        <w:rPr>
          <w:rFonts w:hint="eastAsia"/>
        </w:rPr>
        <w:t>4394</w:t>
      </w:r>
      <w:r>
        <w:rPr>
          <w:vertAlign w:val="superscript"/>
        </w:rPr>
        <w:t>T</w:t>
      </w:r>
      <w:r>
        <w:rPr>
          <w:rFonts w:hint="eastAsia"/>
        </w:rPr>
        <w:t>.</w:t>
      </w:r>
    </w:p>
    <w:p>
      <w:r>
        <w:t>All data were from this study .</w:t>
      </w:r>
      <w:r>
        <w:rPr>
          <w:rFonts w:hint="eastAsia"/>
        </w:rPr>
        <w:t>1,</w:t>
      </w:r>
      <w:r>
        <w:rPr>
          <w:rFonts w:hint="eastAsia" w:eastAsia="宋体"/>
          <w:color w:val="000000"/>
          <w:spacing w:val="12"/>
          <w:lang w:bidi="ar"/>
        </w:rPr>
        <w:t xml:space="preserve"> strain YIM B04394</w:t>
      </w:r>
      <w:r>
        <w:rPr>
          <w:rFonts w:hint="eastAsia" w:eastAsia="宋体"/>
          <w:color w:val="000000"/>
          <w:spacing w:val="12"/>
          <w:vertAlign w:val="superscript"/>
          <w:lang w:bidi="ar"/>
        </w:rPr>
        <w:t>T</w:t>
      </w:r>
      <w:r>
        <w:rPr>
          <w:rFonts w:hint="eastAsia" w:eastAsia="宋体"/>
          <w:color w:val="000000"/>
          <w:spacing w:val="12"/>
          <w:lang w:bidi="ar"/>
        </w:rPr>
        <w:t>.</w:t>
      </w:r>
      <w:r>
        <w:t xml:space="preserve"> </w:t>
      </w:r>
      <w:r>
        <w:rPr>
          <w:szCs w:val="21"/>
        </w:rPr>
        <w:t>+, sensitive; -, unsensitive.</w:t>
      </w:r>
    </w:p>
    <w:tbl>
      <w:tblPr>
        <w:tblStyle w:val="7"/>
        <w:tblW w:w="0" w:type="auto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2537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021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t>antibiotic (content)</w:t>
            </w:r>
          </w:p>
        </w:tc>
        <w:tc>
          <w:tcPr>
            <w:tcW w:w="2537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t>YIM B0</w:t>
            </w:r>
            <w:r>
              <w:rPr>
                <w:rFonts w:hint="eastAsia"/>
              </w:rPr>
              <w:t>4394</w:t>
            </w:r>
            <w:r>
              <w:rPr>
                <w:vertAlign w:val="superscript"/>
              </w:rPr>
              <w:t>T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lang w:val="it-IT"/>
              </w:rPr>
              <w:t>penicillin G</w:t>
            </w:r>
            <w:r>
              <w:rPr>
                <w:rFonts w:hint="eastAsia"/>
              </w:rPr>
              <w:t xml:space="preserve"> </w:t>
            </w:r>
            <w:r>
              <w:t>(</w:t>
            </w:r>
            <w:r>
              <w:rPr>
                <w:rFonts w:hint="eastAsia"/>
              </w:rPr>
              <w:t>1</w:t>
            </w:r>
            <w:r>
              <w:t>0 μg)</w:t>
            </w:r>
          </w:p>
        </w:tc>
        <w:tc>
          <w:tcPr>
            <w:tcW w:w="2537" w:type="dxa"/>
            <w:tcBorders>
              <w:top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  <w:r>
              <w:t>+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</w:tcPr>
          <w:p>
            <w:pPr>
              <w:jc w:val="center"/>
              <w:rPr>
                <w:szCs w:val="21"/>
              </w:rPr>
            </w:pPr>
            <w:r>
              <w:t>gentamicin sulfate (10 μg)</w:t>
            </w:r>
          </w:p>
        </w:tc>
        <w:tc>
          <w:tcPr>
            <w:tcW w:w="2537" w:type="dxa"/>
          </w:tcPr>
          <w:p>
            <w:pPr>
              <w:jc w:val="center"/>
              <w:rPr>
                <w:szCs w:val="21"/>
              </w:rPr>
            </w:pPr>
            <w:r>
              <w:t>+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</w:tcPr>
          <w:p>
            <w:pPr>
              <w:jc w:val="center"/>
              <w:rPr>
                <w:szCs w:val="21"/>
              </w:rPr>
            </w:pPr>
            <w:r>
              <w:t>erythromycin (</w:t>
            </w:r>
            <w:r>
              <w:rPr>
                <w:rFonts w:hint="eastAsia"/>
              </w:rPr>
              <w:t>15</w:t>
            </w:r>
            <w:r>
              <w:t xml:space="preserve"> μg)</w:t>
            </w:r>
          </w:p>
        </w:tc>
        <w:tc>
          <w:tcPr>
            <w:tcW w:w="2537" w:type="dxa"/>
          </w:tcPr>
          <w:p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p</w:t>
            </w:r>
            <w:r>
              <w:rPr>
                <w:lang w:val="it-IT"/>
              </w:rPr>
              <w:t>enicillin</w:t>
            </w:r>
            <w:r>
              <w:rPr>
                <w:rFonts w:hint="eastAsia"/>
              </w:rPr>
              <w:t xml:space="preserve"> </w:t>
            </w:r>
            <w:bookmarkStart w:id="14" w:name="OLE_LINK10"/>
            <w:r>
              <w:t>(</w:t>
            </w:r>
            <w:r>
              <w:rPr>
                <w:rFonts w:hint="eastAsia"/>
              </w:rPr>
              <w:t>10</w:t>
            </w:r>
            <w:r>
              <w:t xml:space="preserve"> μg)</w:t>
            </w:r>
            <w:bookmarkEnd w:id="14"/>
          </w:p>
        </w:tc>
        <w:tc>
          <w:tcPr>
            <w:tcW w:w="2537" w:type="dxa"/>
          </w:tcPr>
          <w:p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s</w:t>
            </w:r>
            <w:r>
              <w:t>treptomycin</w:t>
            </w:r>
            <w:r>
              <w:rPr>
                <w:rFonts w:hint="eastAsia"/>
              </w:rPr>
              <w:t xml:space="preserve"> </w:t>
            </w:r>
            <w:r>
              <w:t>(</w:t>
            </w:r>
            <w:r>
              <w:rPr>
                <w:rFonts w:hint="eastAsia"/>
              </w:rPr>
              <w:t>10</w:t>
            </w:r>
            <w:r>
              <w:t xml:space="preserve"> μg)</w:t>
            </w:r>
          </w:p>
        </w:tc>
        <w:tc>
          <w:tcPr>
            <w:tcW w:w="2537" w:type="dxa"/>
          </w:tcPr>
          <w:p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c</w:t>
            </w:r>
            <w:r>
              <w:t>iprofloxaci</w:t>
            </w:r>
            <w:r>
              <w:rPr>
                <w:rFonts w:hint="eastAsia"/>
              </w:rPr>
              <w:t xml:space="preserve"> </w:t>
            </w:r>
            <w:r>
              <w:t>(</w:t>
            </w:r>
            <w:r>
              <w:rPr>
                <w:rFonts w:hint="eastAsia"/>
              </w:rPr>
              <w:t>10</w:t>
            </w:r>
            <w:r>
              <w:t xml:space="preserve"> μg)</w:t>
            </w:r>
          </w:p>
        </w:tc>
        <w:tc>
          <w:tcPr>
            <w:tcW w:w="2537" w:type="dxa"/>
          </w:tcPr>
          <w:p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t</w:t>
            </w:r>
            <w:r>
              <w:t>etracycline</w:t>
            </w:r>
            <w:r>
              <w:rPr>
                <w:rFonts w:hint="eastAsia"/>
              </w:rPr>
              <w:t xml:space="preserve"> </w:t>
            </w:r>
            <w:r>
              <w:t>(30 μg)</w:t>
            </w:r>
          </w:p>
        </w:tc>
        <w:tc>
          <w:tcPr>
            <w:tcW w:w="2537" w:type="dxa"/>
          </w:tcPr>
          <w:p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v</w:t>
            </w:r>
            <w:r>
              <w:t>ancomycin</w:t>
            </w:r>
            <w:r>
              <w:rPr>
                <w:rFonts w:hint="eastAsia"/>
              </w:rPr>
              <w:t xml:space="preserve"> </w:t>
            </w:r>
            <w:r>
              <w:t>(</w:t>
            </w:r>
            <w:r>
              <w:rPr>
                <w:rFonts w:hint="eastAsia"/>
              </w:rPr>
              <w:t>10</w:t>
            </w:r>
            <w:r>
              <w:t xml:space="preserve"> μg)</w:t>
            </w:r>
          </w:p>
        </w:tc>
        <w:tc>
          <w:tcPr>
            <w:tcW w:w="2537" w:type="dxa"/>
          </w:tcPr>
          <w:p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n</w:t>
            </w:r>
            <w:r>
              <w:rPr>
                <w:lang w:val="it-IT"/>
              </w:rPr>
              <w:t>ovobiocin</w:t>
            </w:r>
            <w:r>
              <w:rPr>
                <w:rFonts w:hint="eastAsia"/>
              </w:rPr>
              <w:t xml:space="preserve"> </w:t>
            </w:r>
            <w:r>
              <w:t>(30 μg)</w:t>
            </w:r>
          </w:p>
        </w:tc>
        <w:tc>
          <w:tcPr>
            <w:tcW w:w="2537" w:type="dxa"/>
          </w:tcPr>
          <w:p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</w:tcPr>
          <w:p>
            <w:pPr>
              <w:jc w:val="center"/>
            </w:pPr>
            <w:r>
              <w:rPr>
                <w:rFonts w:hint="eastAsia"/>
              </w:rPr>
              <w:t xml:space="preserve">tobramycin </w:t>
            </w:r>
            <w:r>
              <w:t>(</w:t>
            </w:r>
            <w:r>
              <w:rPr>
                <w:rFonts w:hint="eastAsia"/>
              </w:rPr>
              <w:t>10</w:t>
            </w:r>
            <w:r>
              <w:t xml:space="preserve"> μg)</w:t>
            </w:r>
          </w:p>
        </w:tc>
        <w:tc>
          <w:tcPr>
            <w:tcW w:w="2537" w:type="dxa"/>
          </w:tcPr>
          <w:p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</w:tcPr>
          <w:p>
            <w:pPr>
              <w:jc w:val="center"/>
            </w:pPr>
            <w:r>
              <w:rPr>
                <w:rFonts w:hint="eastAsia"/>
              </w:rPr>
              <w:t xml:space="preserve">bacitracin </w:t>
            </w:r>
            <w:r>
              <w:t>(30 μg)</w:t>
            </w:r>
          </w:p>
        </w:tc>
        <w:tc>
          <w:tcPr>
            <w:tcW w:w="2537" w:type="dxa"/>
          </w:tcPr>
          <w:p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</w:tcPr>
          <w:p>
            <w:pPr>
              <w:jc w:val="center"/>
            </w:pPr>
            <w:r>
              <w:rPr>
                <w:rFonts w:hint="eastAsia"/>
              </w:rPr>
              <w:t xml:space="preserve">cefoxitin </w:t>
            </w:r>
            <w:r>
              <w:t>(</w:t>
            </w:r>
            <w:r>
              <w:rPr>
                <w:rFonts w:hint="eastAsia"/>
              </w:rPr>
              <w:t xml:space="preserve">15 </w:t>
            </w:r>
            <w:r>
              <w:t>μg)</w:t>
            </w:r>
          </w:p>
        </w:tc>
        <w:tc>
          <w:tcPr>
            <w:tcW w:w="2537" w:type="dxa"/>
          </w:tcPr>
          <w:p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</w:tcPr>
          <w:p>
            <w:pPr>
              <w:jc w:val="center"/>
            </w:pPr>
            <w:r>
              <w:rPr>
                <w:rFonts w:hint="eastAsia"/>
              </w:rPr>
              <w:t xml:space="preserve">clindamycin </w:t>
            </w:r>
            <w:r>
              <w:t>(</w:t>
            </w:r>
            <w:r>
              <w:rPr>
                <w:rFonts w:hint="eastAsia"/>
              </w:rPr>
              <w:t>10</w:t>
            </w:r>
            <w:r>
              <w:t xml:space="preserve"> μg)</w:t>
            </w:r>
          </w:p>
        </w:tc>
        <w:tc>
          <w:tcPr>
            <w:tcW w:w="2537" w:type="dxa"/>
          </w:tcPr>
          <w:p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k</w:t>
            </w:r>
            <w:r>
              <w:t>anamycin</w:t>
            </w:r>
            <w:r>
              <w:rPr>
                <w:rFonts w:hint="eastAsia"/>
              </w:rPr>
              <w:t xml:space="preserve"> </w:t>
            </w:r>
            <w:r>
              <w:t>(</w:t>
            </w:r>
            <w:r>
              <w:rPr>
                <w:rFonts w:hint="eastAsia"/>
              </w:rPr>
              <w:t xml:space="preserve">15 </w:t>
            </w:r>
            <w:r>
              <w:t>μg)</w:t>
            </w:r>
          </w:p>
        </w:tc>
        <w:tc>
          <w:tcPr>
            <w:tcW w:w="2537" w:type="dxa"/>
          </w:tcPr>
          <w:p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</w:tbl>
    <w:p>
      <w:pPr>
        <w:rPr>
          <w:lang w:bidi="ar"/>
        </w:rPr>
      </w:pPr>
    </w:p>
    <w:p>
      <w:pPr>
        <w:rPr>
          <w:lang w:bidi="ar"/>
        </w:rPr>
      </w:pPr>
    </w:p>
    <w:p>
      <w:pPr>
        <w:rPr>
          <w:lang w:bidi="ar"/>
        </w:rPr>
      </w:pPr>
    </w:p>
    <w:p>
      <w:pPr>
        <w:rPr>
          <w:lang w:bidi="ar"/>
        </w:rPr>
      </w:pPr>
    </w:p>
    <w:p>
      <w:pPr>
        <w:rPr>
          <w:lang w:bidi="ar"/>
        </w:rPr>
      </w:pPr>
    </w:p>
    <w:p>
      <w:pPr>
        <w:rPr>
          <w:lang w:bidi="ar"/>
        </w:rPr>
      </w:pPr>
    </w:p>
    <w:p>
      <w:pPr>
        <w:rPr>
          <w:lang w:bidi="ar"/>
        </w:rPr>
      </w:pPr>
    </w:p>
    <w:p>
      <w:pPr>
        <w:rPr>
          <w:lang w:bidi="ar"/>
        </w:rPr>
      </w:pPr>
    </w:p>
    <w:p>
      <w:pPr>
        <w:rPr>
          <w:lang w:bidi="ar"/>
        </w:rPr>
      </w:pPr>
    </w:p>
    <w:p/>
    <w:p/>
    <w:p/>
    <w:p>
      <w:r>
        <w:rPr>
          <w:rFonts w:hint="eastAsia"/>
          <w:b/>
        </w:rPr>
        <w:t xml:space="preserve">Table S4 </w:t>
      </w:r>
      <w:r>
        <w:rPr>
          <w:rFonts w:hint="eastAsia"/>
        </w:rPr>
        <w:t>Cellular fatty acid profiles of the strain</w:t>
      </w:r>
      <w:r>
        <w:rPr>
          <w:rFonts w:hint="eastAsia"/>
          <w:b/>
        </w:rPr>
        <w:t xml:space="preserve"> </w:t>
      </w:r>
      <w:r>
        <w:rPr>
          <w:rFonts w:hint="eastAsia"/>
        </w:rPr>
        <w:t>YIM B04394</w:t>
      </w:r>
      <w:r>
        <w:rPr>
          <w:rFonts w:hint="eastAsia"/>
          <w:vertAlign w:val="superscript"/>
        </w:rPr>
        <w:t>T</w:t>
      </w:r>
      <w:r>
        <w:rPr>
          <w:rFonts w:hint="eastAsia"/>
        </w:rPr>
        <w:t xml:space="preserve"> and closely associated species.</w:t>
      </w:r>
    </w:p>
    <w:p>
      <w:pPr>
        <w:rPr>
          <w:rFonts w:eastAsia="宋体"/>
          <w:lang w:bidi="ar"/>
        </w:rPr>
      </w:pPr>
      <w:r>
        <w:rPr>
          <w:rFonts w:eastAsia="宋体"/>
          <w:lang w:bidi="ar"/>
        </w:rPr>
        <w:t xml:space="preserve">Strains: </w:t>
      </w:r>
      <w:r>
        <w:rPr>
          <w:rFonts w:hint="eastAsia" w:eastAsia="宋体"/>
          <w:lang w:bidi="ar"/>
        </w:rPr>
        <w:t>1</w:t>
      </w:r>
      <w:r>
        <w:rPr>
          <w:rFonts w:eastAsia="宋体"/>
          <w:lang w:bidi="ar"/>
        </w:rPr>
        <w:t>, YIM B04394</w:t>
      </w:r>
      <w:r>
        <w:rPr>
          <w:rFonts w:eastAsia="宋体"/>
          <w:vertAlign w:val="superscript"/>
          <w:lang w:bidi="ar"/>
        </w:rPr>
        <w:t>T</w:t>
      </w:r>
      <w:r>
        <w:rPr>
          <w:rFonts w:eastAsia="宋体"/>
          <w:lang w:bidi="ar"/>
        </w:rPr>
        <w:t xml:space="preserve">, data are from this study, which were acquired under identical experimental conditions as those applied to the reference strains; 2, </w:t>
      </w:r>
      <w:r>
        <w:rPr>
          <w:rFonts w:eastAsia="宋体"/>
          <w:i/>
          <w:lang w:bidi="ar"/>
        </w:rPr>
        <w:t>R. toxinivorans</w:t>
      </w:r>
      <w:r>
        <w:rPr>
          <w:rFonts w:eastAsia="宋体"/>
          <w:lang w:bidi="ar"/>
        </w:rPr>
        <w:t xml:space="preserve"> DSM 16998</w:t>
      </w:r>
      <w:r>
        <w:rPr>
          <w:rFonts w:eastAsia="宋体"/>
          <w:vertAlign w:val="superscript"/>
          <w:lang w:bidi="ar"/>
        </w:rPr>
        <w:t>T</w:t>
      </w:r>
      <w:r>
        <w:rPr>
          <w:rFonts w:eastAsia="宋体"/>
          <w:lang w:bidi="ar"/>
        </w:rPr>
        <w:t>, data cited from Rapala et al. (</w:t>
      </w:r>
      <w:r>
        <w:rPr>
          <w:rFonts w:eastAsia="宋体"/>
          <w:color w:val="3333FF"/>
          <w:lang w:bidi="ar"/>
        </w:rPr>
        <w:t>2005</w:t>
      </w:r>
      <w:r>
        <w:rPr>
          <w:rFonts w:eastAsia="宋体"/>
          <w:lang w:bidi="ar"/>
        </w:rPr>
        <w:t>)</w:t>
      </w:r>
      <w:r>
        <w:rPr>
          <w:rFonts w:hint="eastAsia" w:eastAsia="宋体"/>
          <w:lang w:bidi="ar"/>
        </w:rPr>
        <w:t xml:space="preserve"> and </w:t>
      </w:r>
      <w:r>
        <w:rPr>
          <w:rFonts w:eastAsia="宋体"/>
          <w:lang w:bidi="ar"/>
        </w:rPr>
        <w:t>Park et al. (</w:t>
      </w:r>
      <w:r>
        <w:rPr>
          <w:rFonts w:eastAsia="宋体"/>
          <w:color w:val="3333FF"/>
          <w:lang w:bidi="ar"/>
        </w:rPr>
        <w:t>2023</w:t>
      </w:r>
      <w:r>
        <w:rPr>
          <w:rFonts w:eastAsia="宋体"/>
          <w:lang w:bidi="ar"/>
        </w:rPr>
        <w:t>); 3</w:t>
      </w:r>
      <w:r>
        <w:rPr>
          <w:rFonts w:hint="eastAsia" w:eastAsia="宋体"/>
          <w:lang w:bidi="ar"/>
        </w:rPr>
        <w:t>，</w:t>
      </w:r>
      <w:bookmarkStart w:id="15" w:name="OLE_LINK57"/>
      <w:r>
        <w:rPr>
          <w:rFonts w:eastAsia="宋体"/>
          <w:i/>
          <w:lang w:bidi="ar"/>
        </w:rPr>
        <w:t>Roseateles asaccharophilus</w:t>
      </w:r>
      <w:r>
        <w:rPr>
          <w:rFonts w:eastAsia="宋体"/>
          <w:lang w:bidi="ar"/>
        </w:rPr>
        <w:t xml:space="preserve"> DSM 25082</w:t>
      </w:r>
      <w:r>
        <w:rPr>
          <w:rFonts w:eastAsia="宋体"/>
          <w:vertAlign w:val="superscript"/>
          <w:lang w:bidi="ar"/>
        </w:rPr>
        <w:t>T</w:t>
      </w:r>
      <w:bookmarkEnd w:id="15"/>
      <w:r>
        <w:rPr>
          <w:rFonts w:eastAsia="宋体"/>
          <w:lang w:bidi="ar"/>
        </w:rPr>
        <w:t>, data cited from</w:t>
      </w:r>
      <w:r>
        <w:rPr>
          <w:rFonts w:ascii="Calibri" w:hAnsi="Calibri" w:eastAsia="宋体"/>
          <w:sz w:val="21"/>
          <w:szCs w:val="22"/>
          <w:lang w:bidi="ar"/>
        </w:rPr>
        <w:t xml:space="preserve"> </w:t>
      </w:r>
      <w:r>
        <w:rPr>
          <w:rFonts w:eastAsia="宋体"/>
          <w:lang w:bidi="ar"/>
        </w:rPr>
        <w:t>Gomila et al. (</w:t>
      </w:r>
      <w:r>
        <w:rPr>
          <w:rFonts w:eastAsia="宋体"/>
          <w:color w:val="3333FF"/>
          <w:lang w:bidi="ar"/>
        </w:rPr>
        <w:t>2010</w:t>
      </w:r>
      <w:r>
        <w:rPr>
          <w:rFonts w:eastAsia="宋体"/>
          <w:lang w:bidi="ar"/>
        </w:rPr>
        <w:t>).</w:t>
      </w:r>
    </w:p>
    <w:tbl>
      <w:tblPr>
        <w:tblStyle w:val="7"/>
        <w:tblpPr w:leftFromText="180" w:rightFromText="180" w:vertAnchor="text" w:horzAnchor="page" w:tblpXSpec="center" w:tblpY="926"/>
        <w:tblOverlap w:val="never"/>
        <w:tblW w:w="4861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9"/>
        <w:gridCol w:w="1030"/>
        <w:gridCol w:w="1028"/>
        <w:gridCol w:w="89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90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</w:rPr>
            </w:pPr>
            <w:r>
              <w:rPr>
                <w:b/>
                <w:snapToGrid w:val="0"/>
              </w:rPr>
              <w:t>Fatty acid</w:t>
            </w:r>
          </w:p>
        </w:tc>
        <w:tc>
          <w:tcPr>
            <w:tcW w:w="103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89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909" w:type="dxa"/>
            <w:tcBorders>
              <w:top w:val="single" w:color="auto" w:sz="4" w:space="0"/>
            </w:tcBorders>
          </w:tcPr>
          <w:p>
            <w:pPr>
              <w:jc w:val="center"/>
            </w:pPr>
            <w:r>
              <w:t>C</w:t>
            </w:r>
            <w:r>
              <w:rPr>
                <w:vertAlign w:val="subscript"/>
              </w:rPr>
              <w:t>12:0</w:t>
            </w:r>
          </w:p>
        </w:tc>
        <w:tc>
          <w:tcPr>
            <w:tcW w:w="1030" w:type="dxa"/>
            <w:tcBorders>
              <w:top w:val="single" w:color="auto" w:sz="4" w:space="0"/>
            </w:tcBorders>
          </w:tcPr>
          <w:p>
            <w:pPr>
              <w:jc w:val="center"/>
            </w:pPr>
            <w:r>
              <w:t>2.32</w:t>
            </w:r>
          </w:p>
        </w:tc>
        <w:tc>
          <w:tcPr>
            <w:tcW w:w="1028" w:type="dxa"/>
            <w:tcBorders>
              <w:top w:val="single" w:color="auto" w:sz="4" w:space="0"/>
            </w:tcBorders>
          </w:tcPr>
          <w:p>
            <w:pPr>
              <w:jc w:val="center"/>
            </w:pPr>
            <w:r>
              <w:t>TR</w:t>
            </w:r>
          </w:p>
        </w:tc>
        <w:tc>
          <w:tcPr>
            <w:tcW w:w="894" w:type="dxa"/>
            <w:tcBorders>
              <w:top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2.6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909" w:type="dxa"/>
          </w:tcPr>
          <w:p>
            <w:pPr>
              <w:jc w:val="center"/>
            </w:pPr>
            <w:r>
              <w:t>C</w:t>
            </w:r>
            <w:r>
              <w:rPr>
                <w:vertAlign w:val="subscript"/>
              </w:rPr>
              <w:t>14:0</w:t>
            </w:r>
          </w:p>
        </w:tc>
        <w:tc>
          <w:tcPr>
            <w:tcW w:w="1030" w:type="dxa"/>
          </w:tcPr>
          <w:p>
            <w:pPr>
              <w:jc w:val="center"/>
            </w:pPr>
            <w:r>
              <w:t>TR</w:t>
            </w:r>
          </w:p>
        </w:tc>
        <w:tc>
          <w:tcPr>
            <w:tcW w:w="1028" w:type="dxa"/>
          </w:tcPr>
          <w:p>
            <w:pPr>
              <w:jc w:val="center"/>
            </w:pPr>
            <w:r>
              <w:t>1.3</w:t>
            </w:r>
          </w:p>
        </w:tc>
        <w:tc>
          <w:tcPr>
            <w:tcW w:w="894" w:type="dxa"/>
          </w:tcPr>
          <w:p>
            <w:pPr>
              <w:jc w:val="center"/>
            </w:pPr>
            <w:r>
              <w:rPr>
                <w:rFonts w:hint="eastAsia"/>
              </w:rPr>
              <w:t>2.0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909" w:type="dxa"/>
          </w:tcPr>
          <w:p>
            <w:pPr>
              <w:jc w:val="center"/>
            </w:pPr>
            <w:r>
              <w:t>C</w:t>
            </w:r>
            <w:r>
              <w:rPr>
                <w:vertAlign w:val="subscript"/>
              </w:rPr>
              <w:t>16:0</w:t>
            </w:r>
          </w:p>
        </w:tc>
        <w:tc>
          <w:tcPr>
            <w:tcW w:w="1030" w:type="dxa"/>
          </w:tcPr>
          <w:p>
            <w:pPr>
              <w:jc w:val="center"/>
            </w:pPr>
            <w:r>
              <w:t>29.09</w:t>
            </w:r>
          </w:p>
        </w:tc>
        <w:tc>
          <w:tcPr>
            <w:tcW w:w="1028" w:type="dxa"/>
          </w:tcPr>
          <w:p>
            <w:pPr>
              <w:jc w:val="center"/>
            </w:pPr>
            <w:r>
              <w:rPr>
                <w:rFonts w:hint="eastAsia"/>
              </w:rPr>
              <w:t>20.3</w:t>
            </w:r>
          </w:p>
        </w:tc>
        <w:tc>
          <w:tcPr>
            <w:tcW w:w="894" w:type="dxa"/>
          </w:tcPr>
          <w:p>
            <w:pPr>
              <w:jc w:val="center"/>
            </w:pPr>
            <w:r>
              <w:rPr>
                <w:rFonts w:hint="eastAsia"/>
              </w:rPr>
              <w:t>23.5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909" w:type="dxa"/>
          </w:tcPr>
          <w:p>
            <w:pPr>
              <w:jc w:val="center"/>
            </w:pPr>
            <w:r>
              <w:t>C</w:t>
            </w:r>
            <w:r>
              <w:rPr>
                <w:vertAlign w:val="subscript"/>
              </w:rPr>
              <w:t>17:0</w:t>
            </w:r>
          </w:p>
        </w:tc>
        <w:tc>
          <w:tcPr>
            <w:tcW w:w="1030" w:type="dxa"/>
          </w:tcPr>
          <w:p>
            <w:pPr>
              <w:jc w:val="center"/>
            </w:pPr>
            <w:r>
              <w:t>6.31</w:t>
            </w:r>
          </w:p>
        </w:tc>
        <w:tc>
          <w:tcPr>
            <w:tcW w:w="1028" w:type="dxa"/>
          </w:tcPr>
          <w:p>
            <w:pPr>
              <w:jc w:val="center"/>
            </w:pPr>
            <w:r>
              <w:t>1.5</w:t>
            </w:r>
          </w:p>
        </w:tc>
        <w:tc>
          <w:tcPr>
            <w:tcW w:w="894" w:type="dxa"/>
          </w:tcPr>
          <w:p>
            <w:pPr>
              <w:jc w:val="center"/>
            </w:pPr>
            <w:r>
              <w:rPr>
                <w:rFonts w:hint="eastAsia"/>
              </w:rPr>
              <w:t>TR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909" w:type="dxa"/>
          </w:tcPr>
          <w:p>
            <w:pPr>
              <w:jc w:val="center"/>
            </w:pPr>
            <w:r>
              <w:t>C</w:t>
            </w:r>
            <w:r>
              <w:rPr>
                <w:vertAlign w:val="subscript"/>
              </w:rPr>
              <w:t>18:0</w:t>
            </w:r>
          </w:p>
        </w:tc>
        <w:tc>
          <w:tcPr>
            <w:tcW w:w="1030" w:type="dxa"/>
          </w:tcPr>
          <w:p>
            <w:pPr>
              <w:jc w:val="center"/>
            </w:pPr>
            <w:r>
              <w:t>3.29</w:t>
            </w:r>
          </w:p>
        </w:tc>
        <w:tc>
          <w:tcPr>
            <w:tcW w:w="1028" w:type="dxa"/>
          </w:tcPr>
          <w:p>
            <w:pPr>
              <w:jc w:val="center"/>
            </w:pPr>
            <w:r>
              <w:t>-</w:t>
            </w:r>
          </w:p>
        </w:tc>
        <w:tc>
          <w:tcPr>
            <w:tcW w:w="894" w:type="dxa"/>
          </w:tcPr>
          <w:p>
            <w:pPr>
              <w:jc w:val="center"/>
            </w:pPr>
            <w:r>
              <w:rPr>
                <w:rFonts w:hint="eastAsia"/>
              </w:rPr>
              <w:t>TR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909" w:type="dxa"/>
          </w:tcPr>
          <w:p>
            <w:pPr>
              <w:jc w:val="center"/>
            </w:pPr>
            <w:r>
              <w:t>C</w:t>
            </w:r>
            <w:r>
              <w:rPr>
                <w:vertAlign w:val="subscript"/>
              </w:rPr>
              <w:t xml:space="preserve">17:1 </w:t>
            </w:r>
            <w:r>
              <w:rPr>
                <w:i/>
              </w:rPr>
              <w:t>ω6c</w:t>
            </w:r>
          </w:p>
        </w:tc>
        <w:tc>
          <w:tcPr>
            <w:tcW w:w="1030" w:type="dxa"/>
          </w:tcPr>
          <w:p>
            <w:pPr>
              <w:jc w:val="center"/>
            </w:pPr>
            <w:r>
              <w:t>0.89</w:t>
            </w:r>
          </w:p>
        </w:tc>
        <w:tc>
          <w:tcPr>
            <w:tcW w:w="1028" w:type="dxa"/>
          </w:tcPr>
          <w:p>
            <w:pPr>
              <w:jc w:val="center"/>
            </w:pPr>
            <w:r>
              <w:t>5.5</w:t>
            </w:r>
          </w:p>
        </w:tc>
        <w:tc>
          <w:tcPr>
            <w:tcW w:w="894" w:type="dxa"/>
          </w:tcPr>
          <w:p>
            <w:pPr>
              <w:jc w:val="center"/>
            </w:pPr>
            <w:r>
              <w:rPr>
                <w:rFonts w:hint="eastAsia"/>
              </w:rPr>
              <w:t>TR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909" w:type="dxa"/>
          </w:tcPr>
          <w:p>
            <w:pPr>
              <w:jc w:val="center"/>
            </w:pPr>
            <w:r>
              <w:t>C</w:t>
            </w:r>
            <w:r>
              <w:rPr>
                <w:vertAlign w:val="subscript"/>
              </w:rPr>
              <w:t xml:space="preserve">17:1 </w:t>
            </w:r>
            <w:r>
              <w:rPr>
                <w:i/>
              </w:rPr>
              <w:t>ω8c</w:t>
            </w:r>
          </w:p>
        </w:tc>
        <w:tc>
          <w:tcPr>
            <w:tcW w:w="1030" w:type="dxa"/>
          </w:tcPr>
          <w:p>
            <w:pPr>
              <w:jc w:val="center"/>
            </w:pPr>
            <w:r>
              <w:t>5.28</w:t>
            </w:r>
          </w:p>
        </w:tc>
        <w:tc>
          <w:tcPr>
            <w:tcW w:w="1028" w:type="dxa"/>
          </w:tcPr>
          <w:p>
            <w:pPr>
              <w:jc w:val="center"/>
            </w:pPr>
            <w:r>
              <w:t>-</w:t>
            </w:r>
          </w:p>
        </w:tc>
        <w:tc>
          <w:tcPr>
            <w:tcW w:w="894" w:type="dxa"/>
          </w:tcPr>
          <w:p>
            <w:pPr>
              <w:jc w:val="center"/>
            </w:pPr>
            <w:r>
              <w:rPr>
                <w:rFonts w:hint="eastAsia"/>
              </w:rPr>
              <w:t>TR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909" w:type="dxa"/>
          </w:tcPr>
          <w:p>
            <w:pPr>
              <w:jc w:val="center"/>
            </w:pPr>
            <w:r>
              <w:t>C</w:t>
            </w:r>
            <w:r>
              <w:rPr>
                <w:vertAlign w:val="subscript"/>
              </w:rPr>
              <w:t xml:space="preserve">18:1 </w:t>
            </w:r>
            <w:r>
              <w:rPr>
                <w:i/>
              </w:rPr>
              <w:t>ω9c</w:t>
            </w:r>
          </w:p>
        </w:tc>
        <w:tc>
          <w:tcPr>
            <w:tcW w:w="1030" w:type="dxa"/>
          </w:tcPr>
          <w:p>
            <w:pPr>
              <w:jc w:val="center"/>
            </w:pPr>
            <w:r>
              <w:t>1.21</w:t>
            </w:r>
          </w:p>
        </w:tc>
        <w:tc>
          <w:tcPr>
            <w:tcW w:w="1028" w:type="dxa"/>
          </w:tcPr>
          <w:p>
            <w:pPr>
              <w:jc w:val="center"/>
            </w:pPr>
            <w:r>
              <w:t>-</w:t>
            </w:r>
          </w:p>
        </w:tc>
        <w:tc>
          <w:tcPr>
            <w:tcW w:w="894" w:type="dxa"/>
          </w:tcPr>
          <w:p>
            <w:pPr>
              <w:jc w:val="center"/>
            </w:pPr>
            <w:r>
              <w:rPr>
                <w:rFonts w:hint="eastAsia"/>
              </w:rPr>
              <w:t>TR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909" w:type="dxa"/>
          </w:tcPr>
          <w:p>
            <w:pPr>
              <w:jc w:val="center"/>
            </w:pPr>
            <w:bookmarkStart w:id="16" w:name="OLE_LINK5" w:colFirst="0" w:colLast="0"/>
            <w:r>
              <w:t>Summed feature 2</w:t>
            </w:r>
            <w:r>
              <w:rPr>
                <w:rFonts w:hint="eastAsia" w:eastAsia="宋体"/>
                <w:b/>
                <w:vertAlign w:val="superscript"/>
              </w:rPr>
              <w:t>*</w:t>
            </w:r>
          </w:p>
        </w:tc>
        <w:tc>
          <w:tcPr>
            <w:tcW w:w="1030" w:type="dxa"/>
          </w:tcPr>
          <w:p>
            <w:pPr>
              <w:jc w:val="center"/>
            </w:pPr>
            <w:r>
              <w:t>1.74</w:t>
            </w:r>
          </w:p>
        </w:tc>
        <w:tc>
          <w:tcPr>
            <w:tcW w:w="1028" w:type="dxa"/>
          </w:tcPr>
          <w:p>
            <w:pPr>
              <w:jc w:val="center"/>
            </w:pPr>
            <w:r>
              <w:t>-</w:t>
            </w:r>
          </w:p>
        </w:tc>
        <w:tc>
          <w:tcPr>
            <w:tcW w:w="894" w:type="dxa"/>
          </w:tcPr>
          <w:p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bookmarkEnd w:id="16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909" w:type="dxa"/>
          </w:tcPr>
          <w:p>
            <w:pPr>
              <w:jc w:val="center"/>
            </w:pPr>
            <w:r>
              <w:t>Summed feature 3</w:t>
            </w:r>
            <w:r>
              <w:rPr>
                <w:rFonts w:hint="eastAsia"/>
                <w:vertAlign w:val="superscript"/>
              </w:rPr>
              <w:t>*</w:t>
            </w:r>
          </w:p>
        </w:tc>
        <w:tc>
          <w:tcPr>
            <w:tcW w:w="1030" w:type="dxa"/>
          </w:tcPr>
          <w:p>
            <w:pPr>
              <w:jc w:val="center"/>
            </w:pPr>
            <w:r>
              <w:t>37.36</w:t>
            </w:r>
          </w:p>
        </w:tc>
        <w:tc>
          <w:tcPr>
            <w:tcW w:w="1028" w:type="dxa"/>
          </w:tcPr>
          <w:p>
            <w:pPr>
              <w:jc w:val="center"/>
            </w:pPr>
            <w:r>
              <w:t>1.6</w:t>
            </w:r>
          </w:p>
        </w:tc>
        <w:tc>
          <w:tcPr>
            <w:tcW w:w="894" w:type="dxa"/>
          </w:tcPr>
          <w:p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909" w:type="dxa"/>
          </w:tcPr>
          <w:p>
            <w:pPr>
              <w:jc w:val="center"/>
            </w:pPr>
            <w:r>
              <w:t>Summed feature 8</w:t>
            </w:r>
            <w:r>
              <w:rPr>
                <w:rFonts w:hint="eastAsia" w:eastAsia="宋体"/>
                <w:b/>
                <w:vertAlign w:val="superscript"/>
              </w:rPr>
              <w:t>*</w:t>
            </w:r>
          </w:p>
        </w:tc>
        <w:tc>
          <w:tcPr>
            <w:tcW w:w="1030" w:type="dxa"/>
          </w:tcPr>
          <w:p>
            <w:pPr>
              <w:jc w:val="center"/>
            </w:pPr>
            <w:r>
              <w:t>9.83</w:t>
            </w:r>
          </w:p>
        </w:tc>
        <w:tc>
          <w:tcPr>
            <w:tcW w:w="1028" w:type="dxa"/>
          </w:tcPr>
          <w:p>
            <w:pPr>
              <w:jc w:val="center"/>
            </w:pPr>
            <w:r>
              <w:t>-</w:t>
            </w:r>
          </w:p>
        </w:tc>
        <w:tc>
          <w:tcPr>
            <w:tcW w:w="894" w:type="dxa"/>
          </w:tcPr>
          <w:p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</w:tbl>
    <w:p>
      <w:pPr>
        <w:rPr>
          <w:rFonts w:eastAsia="宋体"/>
          <w:lang w:bidi="ar"/>
        </w:rPr>
      </w:pPr>
    </w:p>
    <w:p>
      <w:pPr>
        <w:rPr>
          <w:rFonts w:eastAsia="宋体"/>
          <w:lang w:bidi="ar"/>
        </w:rPr>
      </w:pPr>
    </w:p>
    <w:p>
      <w:pPr>
        <w:rPr>
          <w:rFonts w:eastAsia="宋体"/>
          <w:lang w:bidi="ar"/>
        </w:rPr>
      </w:pPr>
    </w:p>
    <w:p>
      <w:pPr>
        <w:rPr>
          <w:rFonts w:eastAsia="宋体"/>
          <w:lang w:bidi="ar"/>
        </w:rPr>
      </w:pPr>
    </w:p>
    <w:p>
      <w:pPr>
        <w:rPr>
          <w:rFonts w:eastAsia="宋体"/>
          <w:lang w:bidi="ar"/>
        </w:rPr>
      </w:pPr>
    </w:p>
    <w:p>
      <w:pPr>
        <w:rPr>
          <w:rFonts w:eastAsia="宋体"/>
          <w:lang w:bidi="ar"/>
        </w:rPr>
      </w:pPr>
    </w:p>
    <w:p>
      <w:pPr>
        <w:rPr>
          <w:rFonts w:eastAsia="宋体"/>
          <w:lang w:bidi="ar"/>
        </w:rPr>
      </w:pPr>
    </w:p>
    <w:p>
      <w:pPr>
        <w:rPr>
          <w:rFonts w:eastAsia="宋体"/>
          <w:lang w:bidi="ar"/>
        </w:rPr>
      </w:pPr>
    </w:p>
    <w:p>
      <w:pPr>
        <w:rPr>
          <w:rFonts w:eastAsia="宋体"/>
          <w:lang w:bidi="ar"/>
        </w:rPr>
      </w:pPr>
    </w:p>
    <w:p>
      <w:pPr>
        <w:rPr>
          <w:rFonts w:eastAsia="宋体"/>
          <w:lang w:bidi="ar"/>
        </w:rPr>
      </w:pPr>
    </w:p>
    <w:p>
      <w:pPr>
        <w:rPr>
          <w:rFonts w:eastAsia="宋体"/>
          <w:lang w:bidi="ar"/>
        </w:rPr>
      </w:pPr>
    </w:p>
    <w:p>
      <w:pPr>
        <w:rPr>
          <w:rFonts w:eastAsia="宋体"/>
          <w:lang w:bidi="ar"/>
        </w:rPr>
      </w:pPr>
    </w:p>
    <w:p>
      <w:pPr>
        <w:rPr>
          <w:rFonts w:eastAsia="宋体"/>
          <w:lang w:bidi="ar"/>
        </w:rPr>
      </w:pPr>
    </w:p>
    <w:p>
      <w:pPr>
        <w:rPr>
          <w:rFonts w:eastAsia="宋体"/>
          <w:lang w:bidi="ar"/>
        </w:rPr>
      </w:pPr>
    </w:p>
    <w:p>
      <w:pPr>
        <w:rPr>
          <w:rFonts w:eastAsia="宋体"/>
          <w:lang w:bidi="ar"/>
        </w:rPr>
      </w:pPr>
    </w:p>
    <w:p>
      <w:pPr>
        <w:rPr>
          <w:sz w:val="18"/>
          <w:szCs w:val="18"/>
        </w:rPr>
      </w:pPr>
      <w:r>
        <w:rPr>
          <w:b/>
          <w:sz w:val="18"/>
          <w:szCs w:val="18"/>
          <w:vertAlign w:val="superscript"/>
        </w:rPr>
        <w:t>＊</w:t>
      </w:r>
      <w:r>
        <w:rPr>
          <w:b/>
          <w:sz w:val="18"/>
          <w:szCs w:val="18"/>
        </w:rPr>
        <w:t>:</w:t>
      </w:r>
      <w:r>
        <w:rPr>
          <w:sz w:val="18"/>
          <w:szCs w:val="18"/>
        </w:rPr>
        <w:t>Summed feature 2 comprises C</w:t>
      </w:r>
      <w:r>
        <w:rPr>
          <w:sz w:val="18"/>
          <w:szCs w:val="18"/>
          <w:vertAlign w:val="subscript"/>
        </w:rPr>
        <w:t>14:0</w:t>
      </w:r>
      <w:r>
        <w:rPr>
          <w:sz w:val="18"/>
          <w:szCs w:val="18"/>
        </w:rPr>
        <w:t xml:space="preserve"> 3OH and/or iso-C</w:t>
      </w:r>
      <w:r>
        <w:rPr>
          <w:sz w:val="18"/>
          <w:szCs w:val="18"/>
          <w:vertAlign w:val="subscript"/>
        </w:rPr>
        <w:t>16:1</w:t>
      </w:r>
      <w:r>
        <w:rPr>
          <w:sz w:val="18"/>
          <w:szCs w:val="18"/>
        </w:rPr>
        <w:t>; Summed feature 3 comprises C</w:t>
      </w:r>
      <w:r>
        <w:rPr>
          <w:sz w:val="18"/>
          <w:szCs w:val="18"/>
          <w:vertAlign w:val="subscript"/>
        </w:rPr>
        <w:t>16:1</w:t>
      </w:r>
      <w:r>
        <w:rPr>
          <w:sz w:val="18"/>
          <w:szCs w:val="18"/>
        </w:rPr>
        <w:t xml:space="preserve"> </w:t>
      </w:r>
      <w:r>
        <w:rPr>
          <w:i/>
          <w:sz w:val="18"/>
          <w:szCs w:val="18"/>
        </w:rPr>
        <w:t>ω7c</w:t>
      </w:r>
      <w:r>
        <w:rPr>
          <w:sz w:val="18"/>
          <w:szCs w:val="18"/>
        </w:rPr>
        <w:t xml:space="preserve"> and/or C</w:t>
      </w:r>
      <w:r>
        <w:rPr>
          <w:sz w:val="18"/>
          <w:szCs w:val="18"/>
          <w:vertAlign w:val="subscript"/>
        </w:rPr>
        <w:t>16:1</w:t>
      </w:r>
      <w:r>
        <w:rPr>
          <w:i/>
          <w:sz w:val="18"/>
          <w:szCs w:val="18"/>
        </w:rPr>
        <w:t xml:space="preserve"> ω6c</w:t>
      </w:r>
      <w:r>
        <w:rPr>
          <w:sz w:val="18"/>
          <w:szCs w:val="18"/>
        </w:rPr>
        <w:t>; summed feature 8 comprises C</w:t>
      </w:r>
      <w:r>
        <w:rPr>
          <w:sz w:val="18"/>
          <w:szCs w:val="18"/>
          <w:vertAlign w:val="subscript"/>
        </w:rPr>
        <w:t>18:1</w:t>
      </w:r>
      <w:r>
        <w:rPr>
          <w:sz w:val="18"/>
          <w:szCs w:val="18"/>
        </w:rPr>
        <w:t xml:space="preserve"> </w:t>
      </w:r>
      <w:r>
        <w:rPr>
          <w:i/>
          <w:sz w:val="18"/>
          <w:szCs w:val="18"/>
        </w:rPr>
        <w:t xml:space="preserve">ω6c </w:t>
      </w:r>
      <w:r>
        <w:rPr>
          <w:sz w:val="18"/>
          <w:szCs w:val="18"/>
        </w:rPr>
        <w:t>and/or C</w:t>
      </w:r>
      <w:r>
        <w:rPr>
          <w:sz w:val="18"/>
          <w:szCs w:val="18"/>
          <w:vertAlign w:val="subscript"/>
        </w:rPr>
        <w:t>18:1</w:t>
      </w:r>
      <w:r>
        <w:rPr>
          <w:sz w:val="18"/>
          <w:szCs w:val="18"/>
        </w:rPr>
        <w:t xml:space="preserve"> </w:t>
      </w:r>
      <w:r>
        <w:rPr>
          <w:i/>
          <w:sz w:val="18"/>
          <w:szCs w:val="18"/>
        </w:rPr>
        <w:t>ω7c</w:t>
      </w:r>
      <w:r>
        <w:rPr>
          <w:sz w:val="18"/>
          <w:szCs w:val="18"/>
        </w:rPr>
        <w:t>. TR, the amount is less than 1.0% of the total. –, not detected.</w:t>
      </w:r>
    </w:p>
    <w:p>
      <w:pPr>
        <w:rPr>
          <w:b/>
        </w:rPr>
      </w:pPr>
      <w:r>
        <w:rPr>
          <w:b/>
        </w:rPr>
        <w:t>References</w:t>
      </w:r>
    </w:p>
    <w:p>
      <w:pPr>
        <w:ind w:left="400" w:hanging="400" w:hangingChars="200"/>
        <w:rPr>
          <w:color w:val="auto"/>
        </w:rPr>
      </w:pPr>
      <w:r>
        <w:rPr>
          <w:color w:val="auto"/>
        </w:rPr>
        <w:t xml:space="preserve">Gomila M, Pinhassi J, Falsen E, Moore ERB, Lalucat J (2010) </w:t>
      </w:r>
      <w:r>
        <w:rPr>
          <w:i/>
          <w:color w:val="auto"/>
        </w:rPr>
        <w:t>Kinneretia asaccharophila</w:t>
      </w:r>
      <w:r>
        <w:rPr>
          <w:color w:val="auto"/>
        </w:rPr>
        <w:t xml:space="preserve"> gen. nov., sp. nov., isolated from a freshwater lake, a member of the </w:t>
      </w:r>
      <w:r>
        <w:rPr>
          <w:i/>
          <w:iCs/>
          <w:color w:val="auto"/>
        </w:rPr>
        <w:t>Rubrivivax</w:t>
      </w:r>
      <w:r>
        <w:rPr>
          <w:color w:val="auto"/>
        </w:rPr>
        <w:t xml:space="preserve"> branch of the family </w:t>
      </w:r>
      <w:r>
        <w:rPr>
          <w:i/>
          <w:color w:val="auto"/>
        </w:rPr>
        <w:t>Comamonadaceae</w:t>
      </w:r>
      <w:r>
        <w:rPr>
          <w:color w:val="auto"/>
        </w:rPr>
        <w:t>. Int J Syst Evol Microbiol 60</w:t>
      </w:r>
      <w:r>
        <w:rPr>
          <w:rFonts w:hint="eastAsia"/>
          <w:color w:val="auto"/>
        </w:rPr>
        <w:t>(Pt 4)</w:t>
      </w:r>
      <w:r>
        <w:rPr>
          <w:color w:val="auto"/>
        </w:rPr>
        <w:t>:809-814</w:t>
      </w:r>
    </w:p>
    <w:p>
      <w:pPr>
        <w:ind w:left="400" w:hanging="400" w:hangingChars="200"/>
        <w:rPr>
          <w:color w:val="auto"/>
        </w:rPr>
      </w:pPr>
      <w:r>
        <w:rPr>
          <w:color w:val="auto"/>
        </w:rPr>
        <w:t xml:space="preserve">Rapala J, Berg KA, Lyra C, Niemi RM, Manz W, Suomalainen S, Paulin L, Lahti K (2005) </w:t>
      </w:r>
      <w:r>
        <w:rPr>
          <w:i/>
          <w:color w:val="auto"/>
        </w:rPr>
        <w:t>Paucibacter toxinivorans</w:t>
      </w:r>
      <w:r>
        <w:rPr>
          <w:color w:val="auto"/>
        </w:rPr>
        <w:t xml:space="preserve"> gen. nov., sp. nov., a bacterium that degrades cyclic cyanobacterial hepatotoxins microcystins and nodularin.</w:t>
      </w:r>
      <w:bookmarkStart w:id="17" w:name="OLE_LINK21"/>
      <w:r>
        <w:rPr>
          <w:color w:val="auto"/>
        </w:rPr>
        <w:t xml:space="preserve"> Int J Syst Evol Microbiol</w:t>
      </w:r>
      <w:bookmarkEnd w:id="17"/>
      <w:r>
        <w:rPr>
          <w:color w:val="auto"/>
        </w:rPr>
        <w:t xml:space="preserve"> 55(Pt 4):1563-1568 </w:t>
      </w:r>
    </w:p>
    <w:p>
      <w:pPr>
        <w:ind w:left="400" w:hanging="400" w:hangingChars="200"/>
        <w:rPr>
          <w:color w:val="auto"/>
        </w:rPr>
      </w:pPr>
    </w:p>
    <w:p>
      <w:pPr>
        <w:ind w:left="400" w:hanging="400" w:hangingChars="200"/>
        <w:rPr>
          <w:color w:val="auto"/>
        </w:rPr>
      </w:pPr>
      <w:r>
        <w:rPr>
          <w:rFonts w:hint="eastAsia"/>
          <w:color w:val="auto"/>
        </w:rPr>
        <w:t xml:space="preserve">Park S, Kim I, Chhetri G, So Y, Jung Y, Woo H, Seo T (2023) </w:t>
      </w:r>
      <w:r>
        <w:rPr>
          <w:rFonts w:hint="eastAsia"/>
          <w:i/>
          <w:iCs/>
          <w:color w:val="auto"/>
        </w:rPr>
        <w:t>Roseateles albus</w:t>
      </w:r>
      <w:r>
        <w:rPr>
          <w:rFonts w:hint="eastAsia"/>
          <w:color w:val="auto"/>
        </w:rPr>
        <w:t xml:space="preserve"> sp. nov.,</w:t>
      </w:r>
      <w:r>
        <w:rPr>
          <w:rFonts w:hint="eastAsia"/>
          <w:i/>
          <w:iCs/>
          <w:color w:val="auto"/>
        </w:rPr>
        <w:t xml:space="preserve"> Roseateles koreensis </w:t>
      </w:r>
      <w:r>
        <w:rPr>
          <w:rFonts w:hint="eastAsia"/>
          <w:color w:val="auto"/>
        </w:rPr>
        <w:t xml:space="preserve">sp. nov. and </w:t>
      </w:r>
      <w:r>
        <w:rPr>
          <w:rFonts w:hint="eastAsia"/>
          <w:i/>
          <w:iCs/>
          <w:color w:val="auto"/>
        </w:rPr>
        <w:t>Janthinobacterium fluminis</w:t>
      </w:r>
      <w:r>
        <w:rPr>
          <w:rFonts w:hint="eastAsia"/>
          <w:color w:val="auto"/>
        </w:rPr>
        <w:t xml:space="preserve"> sp. nov., isolated from freshwater at Jucheon River, and emended description of </w:t>
      </w:r>
      <w:r>
        <w:rPr>
          <w:rFonts w:hint="eastAsia"/>
          <w:i/>
          <w:iCs/>
          <w:color w:val="auto"/>
        </w:rPr>
        <w:t>Roseateles aquaticus</w:t>
      </w:r>
      <w:r>
        <w:rPr>
          <w:rFonts w:hint="eastAsia"/>
          <w:color w:val="auto"/>
        </w:rPr>
        <w:t xml:space="preserve"> comb. nov. Int J Syst Evol Microbiol 73(9):006043 </w:t>
      </w:r>
    </w:p>
    <w:p>
      <w:pPr>
        <w:rPr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single" w:color="auto" w:sz="4" w:space="24"/>
        <w:bottom w:val="single" w:color="auto" w:sz="4" w:space="24"/>
      </w:pgBorders>
      <w:lnNumType w:countBy="1" w:restart="continuous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HorizontalSpacing w:val="201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mMGRhZDM3NGZmOTE3MDdiMmM1Yzc0ODQyNWFmMDUifQ=="/>
  </w:docVars>
  <w:rsids>
    <w:rsidRoot w:val="482155D7"/>
    <w:rsid w:val="000059B1"/>
    <w:rsid w:val="00034328"/>
    <w:rsid w:val="00071A6A"/>
    <w:rsid w:val="000C53FC"/>
    <w:rsid w:val="0019365A"/>
    <w:rsid w:val="00217DFC"/>
    <w:rsid w:val="0023521C"/>
    <w:rsid w:val="002B5C0E"/>
    <w:rsid w:val="002C5B81"/>
    <w:rsid w:val="002E45D3"/>
    <w:rsid w:val="00354D51"/>
    <w:rsid w:val="003C4355"/>
    <w:rsid w:val="003D4388"/>
    <w:rsid w:val="003F3416"/>
    <w:rsid w:val="004475F4"/>
    <w:rsid w:val="004501EE"/>
    <w:rsid w:val="00500174"/>
    <w:rsid w:val="0051488C"/>
    <w:rsid w:val="005A4137"/>
    <w:rsid w:val="005D636D"/>
    <w:rsid w:val="006325DB"/>
    <w:rsid w:val="00696468"/>
    <w:rsid w:val="006B2550"/>
    <w:rsid w:val="00752B21"/>
    <w:rsid w:val="007A02B3"/>
    <w:rsid w:val="007B5507"/>
    <w:rsid w:val="00832154"/>
    <w:rsid w:val="008E2D50"/>
    <w:rsid w:val="00993160"/>
    <w:rsid w:val="00994B69"/>
    <w:rsid w:val="009C6E80"/>
    <w:rsid w:val="00A27562"/>
    <w:rsid w:val="00AF1673"/>
    <w:rsid w:val="00B657ED"/>
    <w:rsid w:val="00B9548D"/>
    <w:rsid w:val="00CF139E"/>
    <w:rsid w:val="00D058B2"/>
    <w:rsid w:val="00D11648"/>
    <w:rsid w:val="00D3631A"/>
    <w:rsid w:val="00D4618F"/>
    <w:rsid w:val="00D50E39"/>
    <w:rsid w:val="00DA50CD"/>
    <w:rsid w:val="00DE5242"/>
    <w:rsid w:val="00E47EAB"/>
    <w:rsid w:val="00E537B8"/>
    <w:rsid w:val="00EF7E99"/>
    <w:rsid w:val="00F322D7"/>
    <w:rsid w:val="00F438B1"/>
    <w:rsid w:val="00F46989"/>
    <w:rsid w:val="00F670DD"/>
    <w:rsid w:val="00FB5F5E"/>
    <w:rsid w:val="00FC1BD8"/>
    <w:rsid w:val="023B6BC5"/>
    <w:rsid w:val="06647DB7"/>
    <w:rsid w:val="0985622B"/>
    <w:rsid w:val="09D41DD9"/>
    <w:rsid w:val="0AA572D2"/>
    <w:rsid w:val="0C7D3ED3"/>
    <w:rsid w:val="115701C8"/>
    <w:rsid w:val="162430FD"/>
    <w:rsid w:val="184A3CDB"/>
    <w:rsid w:val="184D51FE"/>
    <w:rsid w:val="1A7F369B"/>
    <w:rsid w:val="1AD675B8"/>
    <w:rsid w:val="1AE325A9"/>
    <w:rsid w:val="1BF55D48"/>
    <w:rsid w:val="20124FB2"/>
    <w:rsid w:val="23774FE9"/>
    <w:rsid w:val="27A01713"/>
    <w:rsid w:val="29415330"/>
    <w:rsid w:val="2CBA7E1A"/>
    <w:rsid w:val="325277E7"/>
    <w:rsid w:val="37AE715B"/>
    <w:rsid w:val="3CB7639B"/>
    <w:rsid w:val="47E43F36"/>
    <w:rsid w:val="482155D7"/>
    <w:rsid w:val="4D4001BD"/>
    <w:rsid w:val="4D9A147E"/>
    <w:rsid w:val="53C826C7"/>
    <w:rsid w:val="54B14D20"/>
    <w:rsid w:val="58BA3541"/>
    <w:rsid w:val="68C513B4"/>
    <w:rsid w:val="6AA35510"/>
    <w:rsid w:val="6E6379DB"/>
    <w:rsid w:val="6F6E72BF"/>
    <w:rsid w:val="6FDC2DBD"/>
    <w:rsid w:val="70BF3967"/>
    <w:rsid w:val="72875CF9"/>
    <w:rsid w:val="77FA7033"/>
    <w:rsid w:val="7D625DA6"/>
    <w:rsid w:val="7D6F78CD"/>
    <w:rsid w:val="7F141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qFormat="1" w:unhideWhenUsed="0" w:uiPriority="0" w:semiHidden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jc w:val="both"/>
    </w:pPr>
    <w:rPr>
      <w:rFonts w:ascii="Times New Roman" w:hAnsi="Times New Roman" w:cs="Times New Roman" w:eastAsiaTheme="minorEastAsia"/>
      <w:bCs/>
      <w:color w:val="000000" w:themeColor="text1"/>
      <w:kern w:val="2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eastAsia="黑体" w:asciiTheme="majorHAnsi" w:hAnsiTheme="majorHAnsi" w:cstheme="majorBidi"/>
    </w:r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line number"/>
    <w:basedOn w:val="8"/>
    <w:qFormat/>
    <w:uiPriority w:val="0"/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paragraph" w:customStyle="1" w:styleId="11">
    <w:name w:val="msolistparagraph"/>
    <w:basedOn w:val="1"/>
    <w:qFormat/>
    <w:uiPriority w:val="0"/>
    <w:pPr>
      <w:ind w:firstLine="420" w:firstLineChars="200"/>
    </w:pPr>
    <w:rPr>
      <w:rFonts w:hint="eastAsia" w:ascii="等线" w:hAnsi="等线" w:eastAsia="等线"/>
      <w:szCs w:val="22"/>
    </w:rPr>
  </w:style>
  <w:style w:type="character" w:customStyle="1" w:styleId="12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框文本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1261</Words>
  <Characters>6888</Characters>
  <Lines>60</Lines>
  <Paragraphs>16</Paragraphs>
  <TotalTime>0</TotalTime>
  <ScaleCrop>false</ScaleCrop>
  <LinksUpToDate>false</LinksUpToDate>
  <CharactersWithSpaces>7833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2024-05-08T08:57:00Z</dcterms:created>
  <dc:creator>H</dc:creator>
  <cp:lastModifiedBy>小野猫</cp:lastModifiedBy>
  <dcterms:modified xsi:type="dcterms:W3CDTF">2024-07-04T11:09:23Z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3E2F00ED08E44521A101C509A815ADD7_11</vt:lpwstr>
  </property>
</Properties>
</file>