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default" w:ascii="Times New Roman Bold" w:hAnsi="Times New Roman Bold" w:eastAsia="宋体" w:cs="Times New Roman Bold"/>
          <w:b/>
          <w:bCs w:val="0"/>
          <w:sz w:val="28"/>
          <w:szCs w:val="28"/>
          <w:lang w:val="en-US" w:eastAsia="zh-CN"/>
        </w:rPr>
        <w:t>supplementary materials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Times New Roman Regular" w:hAnsi="Times New Roman Regular" w:cs="Times New Roman Regular"/>
          <w:lang w:val="en-US" w:eastAsia="zh-CN"/>
        </w:rPr>
      </w:pPr>
      <w:r>
        <w:rPr>
          <w:rFonts w:hint="eastAsia" w:ascii="Times New Roman Regular" w:hAnsi="Times New Roman Regular" w:cs="Times New Roman Regular"/>
          <w:lang w:val="en-US" w:eastAsia="zh-CN"/>
        </w:rPr>
        <w:drawing>
          <wp:inline distT="0" distB="0" distL="114300" distR="114300">
            <wp:extent cx="5264785" cy="6443980"/>
            <wp:effectExtent l="0" t="0" r="18415" b="7620"/>
            <wp:docPr id="4" name="图片 4" descr="补充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补充图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644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both"/>
        <w:textAlignment w:val="auto"/>
        <w:rPr>
          <w:rFonts w:hint="default" w:ascii="Times New Roman Regular" w:hAnsi="Times New Roman Regular" w:cs="Times New Roman Regular"/>
          <w:b w:val="0"/>
          <w:bCs w:val="0"/>
          <w:i w:val="0"/>
          <w:iCs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b/>
          <w:bCs/>
          <w:i w:val="0"/>
          <w:iCs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Fig S1A-C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After 90 minutes of hepatic ischemia in mice, liver tissue was obtained at different time points after reperfusion to measure serum ALT and AST levels (n=4).</w:t>
      </w:r>
      <w:r>
        <w:rPr>
          <w:rFonts w:hint="default" w:ascii="Times New Roman Regular" w:hAnsi="Times New Roman Regular" w:cs="Times New Roman Regular"/>
          <w:b/>
          <w:bCs/>
          <w:i w:val="0"/>
          <w:iCs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D,E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The mice were intraperitoneally injected with GS-9973 before operation, and the mRNA levels of CXCL1 and CXCL2 in liver tissues were detected by qPCR 6h after liver IR (n=4).</w:t>
      </w:r>
      <w:r>
        <w:rPr>
          <w:rFonts w:hint="default" w:ascii="Times New Roman Regular" w:hAnsi="Times New Roman Regular" w:cs="Times New Roman Regular"/>
          <w:b/>
          <w:bCs/>
          <w:i w:val="0"/>
          <w:iCs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F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The expression of Ly6G in mouse liver sections was detected by immunohistochemistry (n=3).</w:t>
      </w:r>
      <w:r>
        <w:rPr>
          <w:rFonts w:hint="default" w:ascii="Times New Roman Regular" w:hAnsi="Times New Roman Regular" w:cs="Times New Roman Regular"/>
          <w:b/>
          <w:bCs/>
          <w:i w:val="0"/>
          <w:iCs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G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Correlation analysis on the positive areas of P-SYK and Ly6G in immunohistochemistry (n=10).*</w:t>
      </w:r>
      <w:r>
        <w:rPr>
          <w:rFonts w:hint="default" w:ascii="Times New Roman Regular" w:hAnsi="Times New Roman Regular" w:cs="Times New Roman Regular"/>
          <w:b w:val="0"/>
          <w:bCs w:val="0"/>
          <w:i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p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&lt; 0.05，**</w:t>
      </w:r>
      <w:r>
        <w:rPr>
          <w:rFonts w:hint="default" w:ascii="Times New Roman Regular" w:hAnsi="Times New Roman Regular" w:cs="Times New Roman Regular"/>
          <w:b w:val="0"/>
          <w:bCs w:val="0"/>
          <w:i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p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&lt; 0.01，***</w:t>
      </w:r>
      <w:r>
        <w:rPr>
          <w:rFonts w:hint="default" w:ascii="Times New Roman Regular" w:hAnsi="Times New Roman Regular" w:cs="Times New Roman Regular"/>
          <w:b w:val="0"/>
          <w:bCs w:val="0"/>
          <w:i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p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&lt; 0.001.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both"/>
        <w:textAlignment w:val="auto"/>
        <w:rPr>
          <w:rFonts w:hint="eastAsia" w:ascii="Times New Roman Regular" w:hAnsi="Times New Roman Regular" w:cs="Times New Roman Regular"/>
          <w:b w:val="0"/>
          <w:bCs w:val="0"/>
          <w:i w:val="0"/>
          <w:iCs/>
          <w:caps w:val="0"/>
          <w:color w:val="EE822F" w:themeColor="accent2"/>
          <w:spacing w:val="0"/>
          <w:sz w:val="20"/>
          <w:szCs w:val="20"/>
          <w:u w:val="none"/>
          <w:shd w:val="clear" w:color="auto" w:fill="FFFFFF"/>
          <w:lang w:val="en-US" w:eastAsia="zh-CN"/>
          <w14:textFill>
            <w14:solidFill>
              <w14:schemeClr w14:val="accent2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both"/>
        <w:textAlignment w:val="auto"/>
        <w:rPr>
          <w:rFonts w:hint="default" w:ascii="Times New Roman Regular" w:hAnsi="Times New Roman Regular" w:cs="Times New Roman Regular"/>
          <w:b w:val="0"/>
          <w:bCs w:val="0"/>
          <w:i w:val="0"/>
          <w:iCs/>
          <w:caps w:val="0"/>
          <w:color w:val="EE822F" w:themeColor="accent2"/>
          <w:spacing w:val="0"/>
          <w:sz w:val="20"/>
          <w:szCs w:val="20"/>
          <w:u w:val="none"/>
          <w:shd w:val="clear" w:color="auto" w:fill="FFFFFF"/>
          <w:lang w:val="en-US" w:eastAsia="zh-CN"/>
          <w14:textFill>
            <w14:solidFill>
              <w14:schemeClr w14:val="accent2"/>
            </w14:solidFill>
          </w14:textFill>
        </w:rPr>
      </w:pPr>
      <w:bookmarkStart w:id="0" w:name="_GoBack"/>
      <w:r>
        <w:rPr>
          <w:rFonts w:hint="default" w:ascii="Times New Roman Regular" w:hAnsi="Times New Roman Regular" w:cs="Times New Roman Regular"/>
          <w:b w:val="0"/>
          <w:bCs w:val="0"/>
          <w:i w:val="0"/>
          <w:iCs/>
          <w:caps w:val="0"/>
          <w:color w:val="EE822F" w:themeColor="accent2"/>
          <w:spacing w:val="0"/>
          <w:sz w:val="20"/>
          <w:szCs w:val="20"/>
          <w:u w:val="none"/>
          <w:shd w:val="clear" w:color="auto" w:fill="FFFFFF"/>
          <w:lang w:val="en-US" w:eastAsia="zh-CN"/>
          <w14:textFill>
            <w14:solidFill>
              <w14:schemeClr w14:val="accent2"/>
            </w14:solidFill>
          </w14:textFill>
        </w:rPr>
        <w:drawing>
          <wp:inline distT="0" distB="0" distL="114300" distR="114300">
            <wp:extent cx="5353050" cy="6847840"/>
            <wp:effectExtent l="0" t="0" r="6350" b="10160"/>
            <wp:docPr id="2" name="图片 2" descr="补充图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补充图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684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both"/>
        <w:textAlignment w:val="auto"/>
        <w:rPr>
          <w:rFonts w:hint="default" w:ascii="Times New Roman Regular" w:hAnsi="Times New Roman Regular" w:cs="Times New Roman Regular"/>
          <w:b w:val="0"/>
          <w:bCs w:val="0"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b/>
          <w:bCs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Fig S2 A,B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Collect </w:t>
      </w:r>
      <w:r>
        <w:rPr>
          <w:rFonts w:hint="eastAsia" w:ascii="Times New Roman Regular" w:hAnsi="Times New Roman Regular" w:cs="Times New Roman Regular"/>
          <w:b w:val="0"/>
          <w:bCs w:val="0"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liver tissue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from </w:t>
      </w:r>
      <w:r>
        <w:rPr>
          <w:rFonts w:hint="eastAsia" w:ascii="Times New Roman Regular" w:hAnsi="Times New Roman Regular" w:cs="Times New Roman Regular"/>
          <w:b w:val="0"/>
          <w:bCs w:val="0"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mice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underwent IR surgery</w:t>
      </w:r>
      <w:r>
        <w:rPr>
          <w:rFonts w:hint="eastAsia" w:ascii="Times New Roman Regular" w:hAnsi="Times New Roman Regular" w:cs="Times New Roman Regular"/>
          <w:b w:val="0"/>
          <w:bCs w:val="0"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,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isolate neutrophils,observe the expression of CitH3 under fluorescence microscopy,and quantify the fluorescence intensity</w:t>
      </w:r>
      <w:r>
        <w:rPr>
          <w:rFonts w:hint="eastAsia" w:ascii="Times New Roman Regular" w:hAnsi="Times New Roman Regular" w:cs="Times New Roman Regular"/>
          <w:b w:val="0"/>
          <w:bCs w:val="0"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 w:val="0"/>
          <w:caps w:val="0"/>
          <w:color w:val="000000"/>
          <w:spacing w:val="0"/>
          <w:sz w:val="22"/>
          <w:szCs w:val="22"/>
          <w:u w:val="none"/>
          <w:shd w:val="clear" w:color="auto" w:fill="FFFFFF"/>
          <w:lang w:val="en-US" w:eastAsia="zh-CN"/>
        </w:rPr>
        <w:t>Scale bars,50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 w:val="0"/>
          <w:caps w:val="0"/>
          <w:color w:val="000000"/>
          <w:spacing w:val="0"/>
          <w:sz w:val="22"/>
          <w:szCs w:val="22"/>
          <w:highlight w:val="none"/>
          <w:u w:val="none"/>
          <w:shd w:val="clear" w:color="auto" w:fill="FFFFFF"/>
          <w:lang w:val="en-US" w:eastAsia="zh-CN"/>
        </w:rPr>
        <w:t>μm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(n=4).</w:t>
      </w:r>
      <w:r>
        <w:rPr>
          <w:rFonts w:hint="default" w:ascii="Times New Roman Regular" w:hAnsi="Times New Roman Regular" w:cs="Times New Roman Regular"/>
          <w:b/>
          <w:bCs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C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Immunofluorescence was conducted to detect the co-localization of P-SYK and HNF4α in the liver of mice after 6h of ischemia-reperfusion</w:t>
      </w:r>
      <w:r>
        <w:rPr>
          <w:rFonts w:hint="eastAsia" w:ascii="Times New Roman Regular" w:hAnsi="Times New Roman Regular" w:cs="Times New Roman Regular"/>
          <w:b w:val="0"/>
          <w:bCs w:val="0"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 w:val="0"/>
          <w:caps w:val="0"/>
          <w:color w:val="000000"/>
          <w:spacing w:val="0"/>
          <w:sz w:val="22"/>
          <w:szCs w:val="22"/>
          <w:u w:val="none"/>
          <w:shd w:val="clear" w:color="auto" w:fill="FFFFFF"/>
          <w:lang w:val="en-US" w:eastAsia="zh-CN"/>
        </w:rPr>
        <w:t>Scale bars,</w:t>
      </w:r>
      <w:r>
        <w:rPr>
          <w:rFonts w:hint="eastAsia" w:ascii="Times New Roman Regular" w:hAnsi="Times New Roman Regular" w:cs="Times New Roman Regular"/>
          <w:b w:val="0"/>
          <w:bCs w:val="0"/>
          <w:i w:val="0"/>
          <w:iCs w:val="0"/>
          <w:caps w:val="0"/>
          <w:color w:val="000000"/>
          <w:spacing w:val="0"/>
          <w:sz w:val="22"/>
          <w:szCs w:val="22"/>
          <w:u w:val="none"/>
          <w:shd w:val="clear" w:color="auto" w:fill="FFFFFF"/>
          <w:lang w:val="en-US" w:eastAsia="zh-CN"/>
        </w:rPr>
        <w:t>4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 w:val="0"/>
          <w:caps w:val="0"/>
          <w:color w:val="000000"/>
          <w:spacing w:val="0"/>
          <w:sz w:val="22"/>
          <w:szCs w:val="22"/>
          <w:u w:val="none"/>
          <w:shd w:val="clear" w:color="auto" w:fill="FFFFFF"/>
          <w:lang w:val="en-US" w:eastAsia="zh-CN"/>
        </w:rPr>
        <w:t>0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 w:val="0"/>
          <w:caps w:val="0"/>
          <w:color w:val="000000"/>
          <w:spacing w:val="0"/>
          <w:sz w:val="22"/>
          <w:szCs w:val="22"/>
          <w:highlight w:val="none"/>
          <w:u w:val="none"/>
          <w:shd w:val="clear" w:color="auto" w:fill="FFFFFF"/>
          <w:lang w:val="en-US" w:eastAsia="zh-CN"/>
        </w:rPr>
        <w:t>μm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(n=4).</w:t>
      </w:r>
      <w:r>
        <w:rPr>
          <w:rFonts w:hint="default" w:ascii="Times New Roman Regular" w:hAnsi="Times New Roman Regular" w:cs="Times New Roman Regular"/>
          <w:b/>
          <w:bCs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D,E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Murine bone marrow neutrophils were isolated, and the expression of P-SYK in response to PMA stimulation under the treatment of three SYK inhibitors was detected by fluorescence microscopy and quantified the fluorescence intensity</w:t>
      </w:r>
      <w:r>
        <w:rPr>
          <w:rFonts w:hint="eastAsia" w:ascii="Times New Roman Regular" w:hAnsi="Times New Roman Regular" w:cs="Times New Roman Regular"/>
          <w:b w:val="0"/>
          <w:bCs w:val="0"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 w:val="0"/>
          <w:caps w:val="0"/>
          <w:color w:val="000000"/>
          <w:spacing w:val="0"/>
          <w:sz w:val="22"/>
          <w:szCs w:val="22"/>
          <w:u w:val="none"/>
          <w:shd w:val="clear" w:color="auto" w:fill="FFFFFF"/>
          <w:lang w:val="en-US" w:eastAsia="zh-CN"/>
        </w:rPr>
        <w:t>Scale bars,50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 w:val="0"/>
          <w:caps w:val="0"/>
          <w:color w:val="000000"/>
          <w:spacing w:val="0"/>
          <w:sz w:val="22"/>
          <w:szCs w:val="22"/>
          <w:highlight w:val="none"/>
          <w:u w:val="none"/>
          <w:shd w:val="clear" w:color="auto" w:fill="FFFFFF"/>
          <w:lang w:val="en-US" w:eastAsia="zh-CN"/>
        </w:rPr>
        <w:t>μm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(n=4).</w:t>
      </w:r>
      <w:r>
        <w:rPr>
          <w:rFonts w:hint="default" w:ascii="Times New Roman Regular" w:hAnsi="Times New Roman Regular" w:cs="Times New Roman Regular"/>
          <w:b/>
          <w:bCs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F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Neutrophils were isolated from peripheral blood of patients one day before surgery, pretreated with GS-9973 or DMSO for 2 hours, and then stimulated with PMA for 3h. The expression of CitH3 was detected by fluorescence microscopy</w:t>
      </w:r>
      <w:r>
        <w:rPr>
          <w:rFonts w:hint="eastAsia" w:ascii="Times New Roman Regular" w:hAnsi="Times New Roman Regular" w:cs="Times New Roman Regular"/>
          <w:b w:val="0"/>
          <w:bCs w:val="0"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 w:val="0"/>
          <w:caps w:val="0"/>
          <w:color w:val="000000"/>
          <w:spacing w:val="0"/>
          <w:sz w:val="22"/>
          <w:szCs w:val="22"/>
          <w:u w:val="none"/>
          <w:shd w:val="clear" w:color="auto" w:fill="FFFFFF"/>
          <w:lang w:val="en-US" w:eastAsia="zh-CN"/>
        </w:rPr>
        <w:t>Scale bars,50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 w:val="0"/>
          <w:caps w:val="0"/>
          <w:color w:val="000000"/>
          <w:spacing w:val="0"/>
          <w:sz w:val="22"/>
          <w:szCs w:val="22"/>
          <w:highlight w:val="none"/>
          <w:u w:val="none"/>
          <w:shd w:val="clear" w:color="auto" w:fill="FFFFFF"/>
          <w:lang w:val="en-US" w:eastAsia="zh-CN"/>
        </w:rPr>
        <w:t>μm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(n=4).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*</w:t>
      </w:r>
      <w:r>
        <w:rPr>
          <w:rFonts w:hint="default" w:ascii="Times New Roman Regular" w:hAnsi="Times New Roman Regular" w:cs="Times New Roman Regular"/>
          <w:b w:val="0"/>
          <w:bCs w:val="0"/>
          <w:i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p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&lt; 0.05，**</w:t>
      </w:r>
      <w:r>
        <w:rPr>
          <w:rFonts w:hint="default" w:ascii="Times New Roman Regular" w:hAnsi="Times New Roman Regular" w:cs="Times New Roman Regular"/>
          <w:b w:val="0"/>
          <w:bCs w:val="0"/>
          <w:i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p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&lt; 0.01，***</w:t>
      </w:r>
      <w:r>
        <w:rPr>
          <w:rFonts w:hint="default" w:ascii="Times New Roman Regular" w:hAnsi="Times New Roman Regular" w:cs="Times New Roman Regular"/>
          <w:b w:val="0"/>
          <w:bCs w:val="0"/>
          <w:i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p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&lt; 0.001,****</w:t>
      </w:r>
      <w:r>
        <w:rPr>
          <w:rFonts w:hint="default" w:ascii="Times New Roman Regular" w:hAnsi="Times New Roman Regular" w:cs="Times New Roman Regular"/>
          <w:b w:val="0"/>
          <w:bCs w:val="0"/>
          <w:i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p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&lt; 0.0001.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right="0"/>
        <w:jc w:val="both"/>
        <w:textAlignment w:val="auto"/>
        <w:rPr>
          <w:rFonts w:hint="default" w:ascii="Times New Roman Regular" w:hAnsi="Times New Roman Regular" w:cs="Times New Roman Regular"/>
          <w:b w:val="0"/>
          <w:bCs w:val="0"/>
          <w:i w:val="0"/>
          <w:iCs w:val="0"/>
          <w:caps w:val="0"/>
          <w:color w:val="000000"/>
          <w:spacing w:val="0"/>
          <w:sz w:val="20"/>
          <w:szCs w:val="20"/>
          <w:u w:val="none"/>
          <w:shd w:val="clear" w:color="auto" w:fill="FFFFFF"/>
          <w:lang w:val="en-US" w:eastAsia="zh-CN"/>
        </w:rPr>
      </w:pPr>
      <w:r>
        <w:rPr>
          <w:rFonts w:hint="default" w:ascii="Times New Roman Regular" w:hAnsi="Times New Roman Regular" w:cs="Times New Roman Regular"/>
          <w:b w:val="0"/>
          <w:bCs w:val="0"/>
          <w:i w:val="0"/>
          <w:iCs w:val="0"/>
          <w:caps w:val="0"/>
          <w:color w:val="000000"/>
          <w:spacing w:val="0"/>
          <w:sz w:val="20"/>
          <w:szCs w:val="20"/>
          <w:u w:val="none"/>
          <w:shd w:val="clear" w:color="auto" w:fill="FFFFFF"/>
          <w:lang w:val="en-US" w:eastAsia="zh-CN"/>
        </w:rPr>
        <w:drawing>
          <wp:inline distT="0" distB="0" distL="114300" distR="114300">
            <wp:extent cx="5266055" cy="8059420"/>
            <wp:effectExtent l="0" t="0" r="17145" b="17780"/>
            <wp:docPr id="7" name="图片 7" descr="补充图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补充图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805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both"/>
        <w:textAlignment w:val="auto"/>
        <w:rPr>
          <w:rFonts w:hint="default" w:ascii="Times New Roman Regular" w:hAnsi="Times New Roman Regular" w:cs="Times New Roman Regular"/>
          <w:b w:val="0"/>
          <w:bCs w:val="0"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b/>
          <w:bCs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FigS3 A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Mice were intraperitoneally injected with TEPP-46(30mg/kg) or Stattic(10mg/kg) before IR surgery, and liver tissue was obtained after 6 hours of reperfusion.The expression of Ly6G, CitH3, and MPO in liver tissue was detected by immunofluorescence</w:t>
      </w:r>
      <w:r>
        <w:rPr>
          <w:rFonts w:hint="eastAsia" w:ascii="Times New Roman Regular" w:hAnsi="Times New Roman Regular" w:cs="Times New Roman Regular"/>
          <w:b w:val="0"/>
          <w:bCs w:val="0"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 w:val="0"/>
          <w:caps w:val="0"/>
          <w:color w:val="000000"/>
          <w:spacing w:val="0"/>
          <w:sz w:val="22"/>
          <w:szCs w:val="22"/>
          <w:u w:val="none"/>
          <w:shd w:val="clear" w:color="auto" w:fill="FFFFFF"/>
          <w:lang w:val="en-US" w:eastAsia="zh-CN"/>
        </w:rPr>
        <w:t>Scale bars,20μm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(n=4).</w:t>
      </w:r>
      <w:r>
        <w:rPr>
          <w:rFonts w:hint="default" w:ascii="Times New Roman Regular" w:hAnsi="Times New Roman Regular" w:cs="Times New Roman Regular"/>
          <w:b/>
          <w:bCs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B,C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Quantification of the fluorescence intensity of CitH3 and MPO in figure A.</w:t>
      </w:r>
      <w:r>
        <w:rPr>
          <w:rFonts w:hint="default" w:ascii="Times New Roman Regular" w:hAnsi="Times New Roman Regular" w:cs="Times New Roman Regular"/>
          <w:b/>
          <w:bCs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D,E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The levels of </w:t>
      </w:r>
      <w:r>
        <w:rPr>
          <w:rFonts w:hint="default" w:ascii="Times New Roman Regular" w:hAnsi="Times New Roman Regular" w:cs="Times New Roman Regular"/>
          <w:b w:val="0"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serum ALT and AST in mice (n=4).</w:t>
      </w:r>
      <w:r>
        <w:rPr>
          <w:rFonts w:hint="default" w:ascii="Times New Roman Regular" w:hAnsi="Times New Roman Regular" w:cs="Times New Roman Regular"/>
          <w:b/>
          <w:bCs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F</w:t>
      </w:r>
      <w:r>
        <w:rPr>
          <w:rFonts w:hint="default" w:ascii="Times New Roman Regular" w:hAnsi="Times New Roman Regular" w:cs="Times New Roman Regular"/>
          <w:b w:val="0"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Raw264.7 cells were transfected with siSYK and stimulated with 1ug/ml LPS for 6h. ELISA was used to detect the level of IL1β in the culture medium (n=4).</w:t>
      </w:r>
      <w:r>
        <w:rPr>
          <w:rFonts w:hint="default" w:ascii="Times New Roman Regular" w:hAnsi="Times New Roman Regular" w:cs="Times New Roman Regular"/>
          <w:b/>
          <w:bCs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G,H</w:t>
      </w:r>
      <w:r>
        <w:rPr>
          <w:rFonts w:hint="default" w:ascii="Times New Roman Regular" w:hAnsi="Times New Roman Regular" w:cs="Times New Roman Regular"/>
          <w:b w:val="0"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The mice were intraperitoneally injected with MCC950(20mg/kg) and Anakinara(20mg/kg) before liver IR, and serum ALT and AST levels were measured 6 hours after reperfusion (n=4).</w:t>
      </w:r>
      <w:r>
        <w:rPr>
          <w:rFonts w:hint="default" w:ascii="Times New Roman Regular" w:hAnsi="Times New Roman Regular" w:cs="Times New Roman Regular"/>
          <w:b/>
          <w:bCs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I</w:t>
      </w:r>
      <w:r>
        <w:rPr>
          <w:rFonts w:hint="default" w:ascii="Times New Roman Regular" w:hAnsi="Times New Roman Regular" w:cs="Times New Roman Regular"/>
          <w:b w:val="0"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Western Blot was performed to detect the expression of NLRP3 in liver tissue (n=4).</w:t>
      </w:r>
      <w:r>
        <w:rPr>
          <w:rFonts w:hint="default" w:ascii="Times New Roman Regular" w:hAnsi="Times New Roman Regular" w:cs="Times New Roman Regular"/>
          <w:b/>
          <w:bCs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J </w:t>
      </w:r>
      <w:r>
        <w:rPr>
          <w:rFonts w:hint="default" w:ascii="Times New Roman Regular" w:hAnsi="Times New Roman Regular" w:cs="Times New Roman Regular"/>
          <w:b w:val="0"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Immunofluorescence staining was conducted to detect the expression of Ly6G, MPO, and CitH3 in the liver tissue of mice treated with MCC950 or Anakinra before surgery</w:t>
      </w:r>
      <w:r>
        <w:rPr>
          <w:rFonts w:hint="eastAsia" w:ascii="Times New Roman Regular" w:hAnsi="Times New Roman Regular" w:cs="Times New Roman Regular"/>
          <w:b w:val="0"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 w:val="0"/>
          <w:caps w:val="0"/>
          <w:color w:val="000000"/>
          <w:spacing w:val="0"/>
          <w:sz w:val="22"/>
          <w:szCs w:val="22"/>
          <w:u w:val="none"/>
          <w:shd w:val="clear" w:color="auto" w:fill="FFFFFF"/>
          <w:lang w:val="en-US" w:eastAsia="zh-CN"/>
        </w:rPr>
        <w:t>Scale bars,20μm</w:t>
      </w:r>
      <w:r>
        <w:rPr>
          <w:rFonts w:hint="eastAsia" w:ascii="Times New Roman Regular" w:hAnsi="Times New Roman Regular" w:cs="Times New Roman Regular"/>
          <w:b w:val="0"/>
          <w:bCs w:val="0"/>
          <w:i w:val="0"/>
          <w:iCs w:val="0"/>
          <w:caps w:val="0"/>
          <w:color w:val="000000"/>
          <w:spacing w:val="0"/>
          <w:sz w:val="22"/>
          <w:szCs w:val="22"/>
          <w:u w:val="none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 Regular" w:hAnsi="Times New Roman Regular" w:cs="Times New Roman Regular"/>
          <w:b w:val="0"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(n=4).</w:t>
      </w:r>
      <w:r>
        <w:rPr>
          <w:rFonts w:hint="default" w:ascii="Times New Roman Regular" w:hAnsi="Times New Roman Regular" w:cs="Times New Roman Regular"/>
          <w:b/>
          <w:bCs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K,L </w:t>
      </w:r>
      <w:r>
        <w:rPr>
          <w:rFonts w:hint="default" w:ascii="Times New Roman Regular" w:hAnsi="Times New Roman Regular" w:cs="Times New Roman Regular"/>
          <w:b w:val="0"/>
          <w:i w:val="0"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The expression levels of MPO and CitH3 were quantified (n=4).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*</w:t>
      </w:r>
      <w:r>
        <w:rPr>
          <w:rFonts w:hint="default" w:ascii="Times New Roman Regular" w:hAnsi="Times New Roman Regular" w:cs="Times New Roman Regular"/>
          <w:b w:val="0"/>
          <w:bCs w:val="0"/>
          <w:i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p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&lt; 0.05，**</w:t>
      </w:r>
      <w:r>
        <w:rPr>
          <w:rFonts w:hint="default" w:ascii="Times New Roman Regular" w:hAnsi="Times New Roman Regular" w:cs="Times New Roman Regular"/>
          <w:b w:val="0"/>
          <w:bCs w:val="0"/>
          <w:i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p 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&lt; 0.01，***</w:t>
      </w:r>
      <w:r>
        <w:rPr>
          <w:rFonts w:hint="default" w:ascii="Times New Roman Regular" w:hAnsi="Times New Roman Regular" w:cs="Times New Roman Regular"/>
          <w:b w:val="0"/>
          <w:bCs w:val="0"/>
          <w:i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p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&lt; 0.001,****</w:t>
      </w:r>
      <w:r>
        <w:rPr>
          <w:rFonts w:hint="default" w:ascii="Times New Roman Regular" w:hAnsi="Times New Roman Regular" w:cs="Times New Roman Regular"/>
          <w:b w:val="0"/>
          <w:bCs w:val="0"/>
          <w:i/>
          <w:iCs w:val="0"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p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/>
          <w:caps w:val="0"/>
          <w:color w:val="000000" w:themeColor="text1"/>
          <w:spacing w:val="0"/>
          <w:sz w:val="22"/>
          <w:szCs w:val="2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&lt; 0.0001.</w:t>
      </w:r>
    </w:p>
    <w:p/>
    <w:p/>
    <w:p>
      <w:pPr>
        <w:rPr>
          <w:rFonts w:hint="default" w:ascii="Times New Roman Bold Italic" w:hAnsi="Times New Roman Bold Italic" w:cs="Times New Roman Bold Italic"/>
          <w:b/>
          <w:bCs/>
          <w:i/>
          <w:iCs/>
          <w:sz w:val="22"/>
          <w:szCs w:val="22"/>
          <w:lang w:val="en-US"/>
        </w:rPr>
      </w:pPr>
      <w:r>
        <w:rPr>
          <w:rFonts w:hint="default" w:ascii="Times New Roman Bold Italic" w:hAnsi="Times New Roman Bold Italic" w:cs="Times New Roman Bold Italic"/>
          <w:b/>
          <w:bCs/>
          <w:i/>
          <w:iCs/>
          <w:sz w:val="22"/>
          <w:szCs w:val="22"/>
          <w:lang w:val="en-US"/>
        </w:rPr>
        <w:t>Primers(mice)</w:t>
      </w:r>
    </w:p>
    <w:p>
      <w:pPr>
        <w:rPr>
          <w:rFonts w:hint="default" w:ascii="Times New Roman" w:hAnsi="Times New Roman" w:cs="Times New Roman"/>
          <w:b w:val="0"/>
          <w:bCs w:val="0"/>
          <w:i w:val="0"/>
          <w:iCs w:val="0"/>
          <w:sz w:val="22"/>
          <w:szCs w:val="22"/>
          <w:lang w:val="en-US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3840"/>
        <w:gridCol w:w="3761"/>
      </w:tblGrid>
      <w:tr>
        <w:tc>
          <w:tcPr>
            <w:tcW w:w="955" w:type="dxa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  <w:t>Gene</w:t>
            </w:r>
          </w:p>
        </w:tc>
        <w:tc>
          <w:tcPr>
            <w:tcW w:w="4726" w:type="dxa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  <w:t>Forward</w:t>
            </w:r>
          </w:p>
        </w:tc>
        <w:tc>
          <w:tcPr>
            <w:tcW w:w="2841" w:type="dxa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  <w:t>Reverse</w:t>
            </w:r>
          </w:p>
        </w:tc>
      </w:tr>
      <w:tr>
        <w:tc>
          <w:tcPr>
            <w:tcW w:w="955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  <w:t>SYK</w:t>
            </w:r>
          </w:p>
        </w:tc>
        <w:tc>
          <w:tcPr>
            <w:tcW w:w="4726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  <w:t>TCTTACAAGCCAGATGGGCTA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  <w:t>GGCTTTGGGAAGGAGTAGGA</w:t>
            </w:r>
          </w:p>
        </w:tc>
      </w:tr>
      <w:tr>
        <w:tc>
          <w:tcPr>
            <w:tcW w:w="955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  <w:t>TNF</w:t>
            </w:r>
            <w:r>
              <w:rPr>
                <w:rFonts w:hint="default" w:ascii="Times New Roman Regular" w:hAnsi="Times New Roman Regular" w:cs="Times New Roman Regular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 w:eastAsia="zh-CN"/>
              </w:rPr>
              <w:t>α</w:t>
            </w:r>
          </w:p>
        </w:tc>
        <w:tc>
          <w:tcPr>
            <w:tcW w:w="4726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  <w:t>GGTGCCTATGTCTCAGCCTCTT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  <w:t>GCCATAGAACTGATGAGAGGGAG</w:t>
            </w:r>
          </w:p>
        </w:tc>
      </w:tr>
      <w:tr>
        <w:tc>
          <w:tcPr>
            <w:tcW w:w="955" w:type="dxa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 w:eastAsia="zh-CN"/>
              </w:rPr>
              <w:t>IL</w:t>
            </w:r>
            <w:r>
              <w:rPr>
                <w:rFonts w:hint="default" w:ascii="Times New Roman Regular" w:hAnsi="Times New Roman Regular" w:cs="Times New Roman Regular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 w:eastAsia="zh-CN"/>
              </w:rPr>
              <w:t>1β</w:t>
            </w:r>
          </w:p>
        </w:tc>
        <w:tc>
          <w:tcPr>
            <w:tcW w:w="4726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  <w:t>TGGACCTTCCAGGATGAGGACA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  <w:t>GTTCATCTCGGAGCCTGTAGTG</w:t>
            </w:r>
          </w:p>
        </w:tc>
      </w:tr>
      <w:tr>
        <w:tc>
          <w:tcPr>
            <w:tcW w:w="955" w:type="dxa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 w:eastAsia="zh-CN"/>
              </w:rPr>
              <w:t>IL10</w:t>
            </w:r>
          </w:p>
        </w:tc>
        <w:tc>
          <w:tcPr>
            <w:tcW w:w="4726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  <w:t>CGGGAAGACAATAACTGCACCC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  <w:t>CGGTTAGCAGTATGTTGTCCAGC</w:t>
            </w:r>
          </w:p>
        </w:tc>
      </w:tr>
      <w:tr>
        <w:tc>
          <w:tcPr>
            <w:tcW w:w="955" w:type="dxa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 w:eastAsia="zh-CN"/>
              </w:rPr>
              <w:t>CXCL1</w:t>
            </w:r>
          </w:p>
        </w:tc>
        <w:tc>
          <w:tcPr>
            <w:tcW w:w="4726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  <w:t>TCCAGAGCTTGAAGGTGTTGCC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  <w:t>AACCAAGGGAGCTTCAGGGTCA</w:t>
            </w:r>
          </w:p>
        </w:tc>
      </w:tr>
      <w:tr>
        <w:tc>
          <w:tcPr>
            <w:tcW w:w="955" w:type="dxa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 w:eastAsia="zh-CN"/>
              </w:rPr>
              <w:t>CXCL2</w:t>
            </w:r>
          </w:p>
        </w:tc>
        <w:tc>
          <w:tcPr>
            <w:tcW w:w="4726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  <w:t>CATCCAGAGCTTGAGTGTGACG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  <w:t>GGCTTCAGGGTCAAGGCAAACT</w:t>
            </w:r>
          </w:p>
        </w:tc>
      </w:tr>
      <w:tr>
        <w:tc>
          <w:tcPr>
            <w:tcW w:w="955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 w:eastAsia="zh-CN"/>
              </w:rPr>
              <w:t>IL6</w:t>
            </w:r>
          </w:p>
        </w:tc>
        <w:tc>
          <w:tcPr>
            <w:tcW w:w="4726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  <w:t>TACCACTTCACAAGTCGGAGGC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  <w:t>CTGCAAGTGCATCATCGTTGTTC</w:t>
            </w:r>
          </w:p>
        </w:tc>
      </w:tr>
      <w:tr>
        <w:tc>
          <w:tcPr>
            <w:tcW w:w="955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 w:eastAsia="zh-CN"/>
              </w:rPr>
              <w:t>TGF</w:t>
            </w:r>
            <w:r>
              <w:rPr>
                <w:rFonts w:hint="default" w:ascii="Times New Roman Regular" w:hAnsi="Times New Roman Regular" w:cs="Times New Roman Regular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 w:eastAsia="zh-CN"/>
              </w:rPr>
              <w:t>β</w:t>
            </w:r>
          </w:p>
        </w:tc>
        <w:tc>
          <w:tcPr>
            <w:tcW w:w="4726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  <w:t>TGATACGCCTGAGTGGCTGTCT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  <w:t>CACAAGAGCAGTGAGCGCTGAA</w:t>
            </w:r>
          </w:p>
        </w:tc>
      </w:tr>
      <w:tr>
        <w:tc>
          <w:tcPr>
            <w:tcW w:w="955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 w:eastAsia="zh-CN"/>
              </w:rPr>
              <w:t>β-actin</w:t>
            </w:r>
          </w:p>
        </w:tc>
        <w:tc>
          <w:tcPr>
            <w:tcW w:w="4726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 w:eastAsia="zh-CN"/>
              </w:rPr>
              <w:t>GGAGATTACTGCCCTGGCTCCTA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vertAlign w:val="baseline"/>
                <w:lang w:val="en-US" w:eastAsia="zh-CN"/>
              </w:rPr>
              <w:t>GACTCATCGTACTCCTGCTTGCTG</w:t>
            </w:r>
          </w:p>
        </w:tc>
      </w:tr>
    </w:tbl>
    <w:p>
      <w:pPr>
        <w:rPr>
          <w:rFonts w:hint="default" w:ascii="Times New Roman" w:hAnsi="Times New Roman" w:cs="Times New Roman"/>
          <w:b w:val="0"/>
          <w:bCs w:val="0"/>
          <w:i w:val="0"/>
          <w:iCs w:val="0"/>
          <w:sz w:val="22"/>
          <w:szCs w:val="22"/>
          <w:lang w:val="en-US"/>
        </w:rPr>
      </w:pPr>
    </w:p>
    <w:p>
      <w:pPr>
        <w:rPr>
          <w:rFonts w:hint="default" w:ascii="Times New Roman Bold Italic" w:hAnsi="Times New Roman Bold Italic" w:cs="Times New Roman Bold Italic"/>
          <w:b/>
          <w:bCs/>
          <w:i/>
          <w:iCs/>
          <w:sz w:val="22"/>
          <w:szCs w:val="22"/>
          <w:lang w:val="en-U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Bold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Times New Roman Bold Italic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B7B40F"/>
    <w:rsid w:val="27FF0E00"/>
    <w:rsid w:val="573E1B35"/>
    <w:rsid w:val="57FC6779"/>
    <w:rsid w:val="5F9B0386"/>
    <w:rsid w:val="6D7FA892"/>
    <w:rsid w:val="6DFE005A"/>
    <w:rsid w:val="737F1D6E"/>
    <w:rsid w:val="7BB7B40F"/>
    <w:rsid w:val="7FAFEB69"/>
    <w:rsid w:val="7FEF2939"/>
    <w:rsid w:val="9FF4AC57"/>
    <w:rsid w:val="A6DE9756"/>
    <w:rsid w:val="ADFFBF0C"/>
    <w:rsid w:val="D1D4F08D"/>
    <w:rsid w:val="E7D69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445</Words>
  <Characters>2788</Characters>
  <Lines>0</Lines>
  <Paragraphs>0</Paragraphs>
  <TotalTime>12</TotalTime>
  <ScaleCrop>false</ScaleCrop>
  <LinksUpToDate>false</LinksUpToDate>
  <CharactersWithSpaces>3186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2024-02-22T10:05:00Z</dcterms:created>
  <dc:creator>陈小闹</dc:creator>
  <cp:lastModifiedBy>陈小闹</cp:lastModifiedBy>
  <dcterms:modified xsi:type="dcterms:W3CDTF">2024-04-05T20:43:42Z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F3E6E749549EF6CD5879D465324402B6_41</vt:lpwstr>
  </property>
</Properties>
</file>