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973" w:rsidRDefault="002D0973" w:rsidP="00A32A8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38E">
        <w:rPr>
          <w:rFonts w:ascii="Times New Roman" w:hAnsi="Times New Roman" w:cs="Times New Roman"/>
          <w:b/>
          <w:sz w:val="24"/>
          <w:szCs w:val="24"/>
        </w:rPr>
        <w:t>S</w:t>
      </w:r>
      <w:r w:rsidR="00270016">
        <w:rPr>
          <w:rFonts w:ascii="Times New Roman" w:hAnsi="Times New Roman" w:cs="Times New Roman"/>
          <w:b/>
          <w:sz w:val="24"/>
          <w:szCs w:val="24"/>
        </w:rPr>
        <w:t>upplementary figures and tables</w:t>
      </w:r>
    </w:p>
    <w:p w:rsidR="0020529F" w:rsidRPr="003A438E" w:rsidRDefault="000F2512" w:rsidP="00A32A84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figures.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A84"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DFS in the subgroup of patients with stage II or IIIA NSCLC. (a) Kaplan-Meier estimates of DFS for patients with stage II disease. (a) Kaplan-Meier estimates of DFS for patients with stage IIIA disease. </w:t>
      </w:r>
      <w:r w:rsidRPr="003E640A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E640A">
        <w:rPr>
          <w:rFonts w:ascii="Times New Roman" w:hAnsi="Times New Roman" w:cs="Times New Roman"/>
          <w:sz w:val="24"/>
          <w:szCs w:val="24"/>
        </w:rPr>
        <w:t xml:space="preserve">S, disease-free survival; </w:t>
      </w:r>
      <w:r>
        <w:rPr>
          <w:rFonts w:ascii="Times New Roman" w:hAnsi="Times New Roman" w:cs="Times New Roman"/>
          <w:sz w:val="24"/>
          <w:szCs w:val="24"/>
        </w:rPr>
        <w:t xml:space="preserve">NSCLC, non-small cell lung cancer; </w:t>
      </w:r>
      <w:r w:rsidRPr="003E640A">
        <w:rPr>
          <w:rFonts w:ascii="Times New Roman" w:hAnsi="Times New Roman" w:cs="Times New Roman"/>
          <w:sz w:val="24"/>
          <w:szCs w:val="24"/>
        </w:rPr>
        <w:t>HR, hazard ratio; CI, confidence interval</w:t>
      </w:r>
      <w:r w:rsidRPr="006D3D0B">
        <w:rPr>
          <w:rFonts w:ascii="Times New Roman" w:hAnsi="Times New Roman" w:cs="Times New Roman"/>
          <w:sz w:val="24"/>
          <w:szCs w:val="24"/>
        </w:rPr>
        <w:t>.</w:t>
      </w:r>
    </w:p>
    <w:p w:rsidR="002D0973" w:rsidRPr="002D0973" w:rsidRDefault="002D0973" w:rsidP="00A32A8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973"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w:drawing>
          <wp:inline distT="0" distB="0" distL="0" distR="0" wp14:anchorId="16495CB5" wp14:editId="17765257">
            <wp:extent cx="4361701" cy="5211445"/>
            <wp:effectExtent l="0" t="0" r="1270" b="8255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 S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827" cy="522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60D8E" w:rsidRDefault="00F60D8E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22D5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A84">
        <w:rPr>
          <w:rFonts w:ascii="Times New Roman" w:hAnsi="Times New Roman" w:cs="Times New Roman"/>
          <w:b/>
          <w:sz w:val="24"/>
          <w:szCs w:val="24"/>
        </w:rPr>
        <w:lastRenderedPageBreak/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Kaplan-Meier estimates of BMFS </w:t>
      </w:r>
      <w:r w:rsidRPr="00946255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the investigator</w:t>
      </w:r>
      <w:r w:rsidRPr="00946255">
        <w:rPr>
          <w:rFonts w:ascii="Times New Roman" w:hAnsi="Times New Roman" w:cs="Times New Roman"/>
          <w:sz w:val="24"/>
          <w:szCs w:val="24"/>
        </w:rPr>
        <w:t xml:space="preserve"> in the ITT population</w:t>
      </w:r>
      <w:r>
        <w:rPr>
          <w:rFonts w:ascii="Times New Roman" w:hAnsi="Times New Roman" w:cs="Times New Roman"/>
          <w:sz w:val="24"/>
          <w:szCs w:val="24"/>
        </w:rPr>
        <w:t>. BMFS</w:t>
      </w:r>
      <w:r w:rsidRPr="003E640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brain metastasis-free </w:t>
      </w:r>
      <w:r w:rsidRPr="003E640A">
        <w:rPr>
          <w:rFonts w:ascii="Times New Roman" w:hAnsi="Times New Roman" w:cs="Times New Roman"/>
          <w:sz w:val="24"/>
          <w:szCs w:val="24"/>
        </w:rPr>
        <w:t>survival; HR, hazard ratio; CI, confidence interval</w:t>
      </w:r>
      <w:r>
        <w:rPr>
          <w:rFonts w:ascii="Times New Roman" w:hAnsi="Times New Roman" w:cs="Times New Roman"/>
          <w:sz w:val="24"/>
          <w:szCs w:val="24"/>
        </w:rPr>
        <w:t xml:space="preserve">; ITT, </w:t>
      </w:r>
      <w:r w:rsidRPr="006D3D0B">
        <w:rPr>
          <w:rFonts w:ascii="Times New Roman" w:hAnsi="Times New Roman" w:cs="Times New Roman"/>
          <w:sz w:val="24"/>
          <w:szCs w:val="24"/>
        </w:rPr>
        <w:t>intention-to-treat</w:t>
      </w:r>
      <w:r w:rsidRPr="003E640A">
        <w:rPr>
          <w:rFonts w:ascii="Times New Roman" w:hAnsi="Times New Roman" w:cs="Times New Roman"/>
          <w:sz w:val="24"/>
          <w:szCs w:val="24"/>
        </w:rPr>
        <w:t>.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1418B21" wp14:editId="3A833B51">
            <wp:extent cx="5270500" cy="2726055"/>
            <wp:effectExtent l="0" t="0" r="6350" b="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 S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22D5" w:rsidRDefault="007D22D5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22D5" w:rsidRDefault="007D22D5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A84">
        <w:rPr>
          <w:rFonts w:ascii="Times New Roman" w:hAnsi="Times New Roman" w:cs="Times New Roman"/>
          <w:b/>
          <w:sz w:val="24"/>
          <w:szCs w:val="24"/>
        </w:rPr>
        <w:lastRenderedPageBreak/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A3A">
        <w:rPr>
          <w:rFonts w:ascii="Times New Roman" w:hAnsi="Times New Roman" w:cs="Times New Roman"/>
          <w:sz w:val="24"/>
          <w:szCs w:val="24"/>
        </w:rPr>
        <w:t>Forest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A3A">
        <w:rPr>
          <w:rFonts w:ascii="Times New Roman" w:hAnsi="Times New Roman" w:cs="Times New Roman"/>
          <w:sz w:val="24"/>
          <w:szCs w:val="24"/>
        </w:rPr>
        <w:t xml:space="preserve">plots of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26A3A">
        <w:rPr>
          <w:rFonts w:ascii="Times New Roman" w:hAnsi="Times New Roman" w:cs="Times New Roman"/>
          <w:sz w:val="24"/>
          <w:szCs w:val="24"/>
        </w:rPr>
        <w:t>S by subgroup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2E500C">
        <w:rPr>
          <w:rFonts w:ascii="Times New Roman" w:hAnsi="Times New Roman" w:cs="Times New Roman"/>
          <w:sz w:val="24"/>
          <w:szCs w:val="24"/>
        </w:rPr>
        <w:t xml:space="preserve">Subgroup analyses of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26A3A">
        <w:rPr>
          <w:rFonts w:ascii="Times New Roman" w:hAnsi="Times New Roman" w:cs="Times New Roman"/>
          <w:sz w:val="24"/>
          <w:szCs w:val="24"/>
        </w:rPr>
        <w:t>S</w:t>
      </w:r>
      <w:r w:rsidRPr="002E500C">
        <w:rPr>
          <w:rFonts w:ascii="Times New Roman" w:hAnsi="Times New Roman" w:cs="Times New Roman"/>
          <w:sz w:val="24"/>
          <w:szCs w:val="24"/>
        </w:rPr>
        <w:t xml:space="preserve"> for 12-month icotinib versus observation.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Pr="002E500C">
        <w:rPr>
          <w:rFonts w:ascii="Times New Roman" w:hAnsi="Times New Roman" w:cs="Times New Roman"/>
          <w:sz w:val="24"/>
          <w:szCs w:val="24"/>
        </w:rPr>
        <w:t xml:space="preserve">Subgroup analyses of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26A3A">
        <w:rPr>
          <w:rFonts w:ascii="Times New Roman" w:hAnsi="Times New Roman" w:cs="Times New Roman"/>
          <w:sz w:val="24"/>
          <w:szCs w:val="24"/>
        </w:rPr>
        <w:t>S</w:t>
      </w:r>
      <w:r w:rsidRPr="002E500C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E500C">
        <w:rPr>
          <w:rFonts w:ascii="Times New Roman" w:hAnsi="Times New Roman" w:cs="Times New Roman"/>
          <w:sz w:val="24"/>
          <w:szCs w:val="24"/>
        </w:rPr>
        <w:t>-month icotinib versus observation.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297D">
        <w:rPr>
          <w:rFonts w:ascii="Times New Roman" w:hAnsi="Times New Roman" w:cs="Times New Roman"/>
          <w:sz w:val="24"/>
          <w:szCs w:val="24"/>
        </w:rPr>
        <w:t xml:space="preserve">Subgroups were either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607CD">
        <w:rPr>
          <w:rFonts w:ascii="Times New Roman" w:hAnsi="Times New Roman" w:cs="Times New Roman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-planned</w:t>
      </w:r>
      <w:r w:rsidRPr="0067297D">
        <w:rPr>
          <w:rFonts w:ascii="Times New Roman" w:hAnsi="Times New Roman" w:cs="Times New Roman"/>
          <w:sz w:val="24"/>
          <w:szCs w:val="24"/>
        </w:rPr>
        <w:t xml:space="preserve"> (</w:t>
      </w:r>
      <w:r w:rsidRPr="00E607CD">
        <w:rPr>
          <w:rFonts w:ascii="Times New Roman" w:hAnsi="Times New Roman" w:cs="Times New Roman"/>
          <w:sz w:val="24"/>
          <w:szCs w:val="24"/>
        </w:rPr>
        <w:t>sex</w:t>
      </w:r>
      <w:r w:rsidRPr="0067297D">
        <w:rPr>
          <w:rFonts w:ascii="Times New Roman" w:hAnsi="Times New Roman" w:cs="Times New Roman"/>
          <w:sz w:val="24"/>
          <w:szCs w:val="24"/>
        </w:rPr>
        <w:t xml:space="preserve">, </w:t>
      </w:r>
      <w:r w:rsidRPr="00B73960">
        <w:rPr>
          <w:rFonts w:ascii="Times New Roman" w:hAnsi="Times New Roman" w:cs="Times New Roman"/>
          <w:sz w:val="24"/>
          <w:szCs w:val="24"/>
          <w:lang w:val="en-GB"/>
        </w:rPr>
        <w:t>stage</w:t>
      </w:r>
      <w:r w:rsidRPr="0067297D">
        <w:rPr>
          <w:rFonts w:ascii="Times New Roman" w:hAnsi="Times New Roman" w:cs="Times New Roman"/>
          <w:sz w:val="24"/>
          <w:szCs w:val="24"/>
        </w:rPr>
        <w:t xml:space="preserve">, and </w:t>
      </w:r>
      <w:r w:rsidRPr="00E607CD">
        <w:rPr>
          <w:rFonts w:ascii="Times New Roman" w:hAnsi="Times New Roman" w:cs="Times New Roman"/>
          <w:sz w:val="24"/>
          <w:szCs w:val="24"/>
        </w:rPr>
        <w:t>EGFR mutation</w:t>
      </w:r>
      <w:r>
        <w:rPr>
          <w:rFonts w:ascii="Times New Roman" w:hAnsi="Times New Roman" w:cs="Times New Roman"/>
          <w:sz w:val="24"/>
          <w:szCs w:val="24"/>
        </w:rPr>
        <w:t xml:space="preserve"> type</w:t>
      </w:r>
      <w:r w:rsidRPr="0067297D">
        <w:rPr>
          <w:rFonts w:ascii="Times New Roman" w:hAnsi="Times New Roman" w:cs="Times New Roman"/>
          <w:sz w:val="24"/>
          <w:szCs w:val="24"/>
        </w:rPr>
        <w:t>) or post hoc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607CD">
        <w:rPr>
          <w:rFonts w:ascii="Times New Roman" w:hAnsi="Times New Roman" w:cs="Times New Roman"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607CD">
        <w:rPr>
          <w:rFonts w:ascii="Times New Roman" w:hAnsi="Times New Roman" w:cs="Times New Roman"/>
          <w:sz w:val="24"/>
          <w:szCs w:val="24"/>
        </w:rPr>
        <w:t>smoking history</w:t>
      </w:r>
      <w:r>
        <w:rPr>
          <w:rFonts w:ascii="Times New Roman" w:hAnsi="Times New Roman" w:cs="Times New Roman"/>
          <w:sz w:val="24"/>
          <w:szCs w:val="24"/>
        </w:rPr>
        <w:t>, N stage, and side). O</w:t>
      </w:r>
      <w:r w:rsidRPr="00026A3A">
        <w:rPr>
          <w:rFonts w:ascii="Times New Roman" w:hAnsi="Times New Roman" w:cs="Times New Roman"/>
          <w:sz w:val="24"/>
          <w:szCs w:val="24"/>
        </w:rPr>
        <w:t>S</w:t>
      </w:r>
      <w:r w:rsidRPr="002E500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overall</w:t>
      </w:r>
      <w:r w:rsidRPr="002E500C">
        <w:rPr>
          <w:rFonts w:ascii="Times New Roman" w:hAnsi="Times New Roman" w:cs="Times New Roman"/>
          <w:sz w:val="24"/>
          <w:szCs w:val="24"/>
        </w:rPr>
        <w:t xml:space="preserve"> survival; HR, hazard ratio; CI, confidence interval; EGFR, epidermal growth factor receptor.</w:t>
      </w:r>
    </w:p>
    <w:p w:rsidR="002D0973" w:rsidRPr="00D77F51" w:rsidRDefault="002D0973" w:rsidP="00A32A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7877375" wp14:editId="026531F7">
            <wp:extent cx="3678519" cy="6524625"/>
            <wp:effectExtent l="0" t="0" r="0" b="0"/>
            <wp:docPr id="1" name="图片 1" descr="C:\Users\Nick\AppData\Local\Microsoft\Windows\INetCache\Content.Word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ick\AppData\Local\Microsoft\Windows\INetCache\Content.Word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266" cy="652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512" w:rsidRDefault="000F2512" w:rsidP="00A32A84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tables.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ble S1</w:t>
      </w:r>
      <w:r w:rsidRPr="00BB7358">
        <w:rPr>
          <w:rFonts w:ascii="Times New Roman" w:hAnsi="Times New Roman" w:cs="Times New Roman"/>
          <w:b/>
          <w:sz w:val="24"/>
          <w:szCs w:val="24"/>
        </w:rPr>
        <w:t>.</w:t>
      </w:r>
      <w:r w:rsidRPr="00BB73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dj</w:t>
      </w:r>
      <w:r>
        <w:rPr>
          <w:rFonts w:ascii="Times New Roman" w:hAnsi="Times New Roman" w:cs="Times New Roman"/>
          <w:sz w:val="24"/>
          <w:szCs w:val="24"/>
        </w:rPr>
        <w:t>uvant c</w:t>
      </w:r>
      <w:r w:rsidRPr="00554687">
        <w:rPr>
          <w:rFonts w:ascii="Times New Roman" w:hAnsi="Times New Roman" w:cs="Times New Roman"/>
          <w:sz w:val="24"/>
          <w:szCs w:val="24"/>
        </w:rPr>
        <w:t>hemotherapy regimens and cycles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126"/>
        <w:gridCol w:w="2126"/>
        <w:gridCol w:w="1365"/>
      </w:tblGrid>
      <w:tr w:rsidR="002D0973" w:rsidRPr="00676FFE" w:rsidTr="00325B27">
        <w:tc>
          <w:tcPr>
            <w:tcW w:w="2689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Icotinib of 12 months (n=84)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Icotinib of 6 months (n=84)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Observation (n=83)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Chemotherapy cycles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Four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68 (81.0)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66 (78.6)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67 (80.7)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Three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6 (7.1)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7 (8.3)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7 (8.4)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Two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10 (11.9)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11 (13.4)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9 (10.8)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Chemotherapy regimens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Pemetrexed</w:t>
            </w:r>
            <w:r>
              <w:rPr>
                <w:rFonts w:ascii="Times New Roman" w:hAnsi="Times New Roman" w:cs="Times New Roman"/>
                <w:sz w:val="22"/>
              </w:rPr>
              <w:t>/c</w:t>
            </w:r>
            <w:r w:rsidRPr="00676FFE">
              <w:rPr>
                <w:rFonts w:ascii="Times New Roman" w:hAnsi="Times New Roman" w:cs="Times New Roman"/>
                <w:sz w:val="22"/>
              </w:rPr>
              <w:t>arboplatin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59 (70.2)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60 (71.4)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57 (68.7)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Vinorelbine</w:t>
            </w:r>
            <w:r>
              <w:rPr>
                <w:rFonts w:ascii="Times New Roman" w:hAnsi="Times New Roman" w:cs="Times New Roman"/>
                <w:sz w:val="22"/>
              </w:rPr>
              <w:t>/c</w:t>
            </w:r>
            <w:r w:rsidRPr="00676FFE">
              <w:rPr>
                <w:rFonts w:ascii="Times New Roman" w:hAnsi="Times New Roman" w:cs="Times New Roman"/>
                <w:sz w:val="22"/>
              </w:rPr>
              <w:t>arboplatin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18 (21.4)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18 (21.4)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19 (22.9)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</w:rPr>
              <w:t>G</w:t>
            </w:r>
            <w:r w:rsidRPr="00676FFE">
              <w:rPr>
                <w:rFonts w:ascii="Times New Roman" w:hAnsi="Times New Roman" w:cs="Times New Roman"/>
                <w:sz w:val="22"/>
              </w:rPr>
              <w:t>emcitabine</w:t>
            </w:r>
            <w:r>
              <w:rPr>
                <w:rFonts w:ascii="Times New Roman" w:hAnsi="Times New Roman" w:cs="Times New Roman"/>
                <w:sz w:val="22"/>
              </w:rPr>
              <w:t>/c</w:t>
            </w:r>
            <w:r w:rsidRPr="00676FFE">
              <w:rPr>
                <w:rFonts w:ascii="Times New Roman" w:hAnsi="Times New Roman" w:cs="Times New Roman"/>
                <w:sz w:val="22"/>
              </w:rPr>
              <w:t>arboplatin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5 (6.0)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5 (6.0)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4 (4.8)</w:t>
            </w:r>
          </w:p>
        </w:tc>
      </w:tr>
      <w:tr w:rsidR="002D0973" w:rsidRPr="00676FFE" w:rsidTr="00325B27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 xml:space="preserve">  Docetaxel</w:t>
            </w:r>
            <w:r>
              <w:rPr>
                <w:rFonts w:ascii="Times New Roman" w:hAnsi="Times New Roman" w:cs="Times New Roman"/>
                <w:sz w:val="22"/>
              </w:rPr>
              <w:t>/c</w:t>
            </w:r>
            <w:r w:rsidRPr="00676FFE">
              <w:rPr>
                <w:rFonts w:ascii="Times New Roman" w:hAnsi="Times New Roman" w:cs="Times New Roman"/>
                <w:sz w:val="22"/>
              </w:rPr>
              <w:t>arboplatin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2</w:t>
            </w:r>
            <w:r w:rsidRPr="00676FFE">
              <w:rPr>
                <w:rFonts w:ascii="Times New Roman" w:hAnsi="Times New Roman" w:cs="Times New Roman"/>
                <w:sz w:val="22"/>
                <w:lang w:val="en-GB"/>
              </w:rPr>
              <w:t xml:space="preserve"> (2.4)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1 (1.2)</w:t>
            </w: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3 (3.6)</w:t>
            </w:r>
          </w:p>
        </w:tc>
      </w:tr>
    </w:tbl>
    <w:p w:rsidR="002D0973" w:rsidRPr="00676FFE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D</w:t>
      </w:r>
      <w:r w:rsidRPr="00676FFE">
        <w:rPr>
          <w:rFonts w:ascii="Times New Roman" w:hAnsi="Times New Roman" w:cs="Times New Roman"/>
          <w:sz w:val="22"/>
        </w:rPr>
        <w:t xml:space="preserve">ata are </w:t>
      </w:r>
      <w:r>
        <w:rPr>
          <w:rFonts w:ascii="Times New Roman" w:hAnsi="Times New Roman" w:cs="Times New Roman"/>
          <w:sz w:val="22"/>
        </w:rPr>
        <w:t xml:space="preserve">presented as </w:t>
      </w:r>
      <w:r w:rsidRPr="00676FFE">
        <w:rPr>
          <w:rFonts w:ascii="Times New Roman" w:hAnsi="Times New Roman" w:cs="Times New Roman"/>
          <w:sz w:val="22"/>
        </w:rPr>
        <w:t xml:space="preserve">n (%). 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60D8E" w:rsidRDefault="00F60D8E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ble S2</w:t>
      </w:r>
      <w:r w:rsidRPr="00BB7358">
        <w:rPr>
          <w:rFonts w:ascii="Times New Roman" w:hAnsi="Times New Roman" w:cs="Times New Roman"/>
          <w:b/>
          <w:sz w:val="24"/>
          <w:szCs w:val="24"/>
        </w:rPr>
        <w:t>.</w:t>
      </w:r>
      <w:r w:rsidRPr="00BB73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rea</w:t>
      </w:r>
      <w:r>
        <w:rPr>
          <w:rFonts w:ascii="Times New Roman" w:hAnsi="Times New Roman" w:cs="Times New Roman"/>
          <w:sz w:val="24"/>
          <w:szCs w:val="24"/>
        </w:rPr>
        <w:t xml:space="preserve">tment duration of icotinib. </w:t>
      </w:r>
    </w:p>
    <w:tbl>
      <w:tblPr>
        <w:tblStyle w:val="a3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693"/>
        <w:gridCol w:w="2636"/>
      </w:tblGrid>
      <w:tr w:rsidR="002D0973" w:rsidRPr="00676FFE" w:rsidTr="00325B27">
        <w:tc>
          <w:tcPr>
            <w:tcW w:w="2977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Icotinib of 12 months (n=84)</w:t>
            </w:r>
          </w:p>
        </w:tc>
        <w:tc>
          <w:tcPr>
            <w:tcW w:w="2636" w:type="dxa"/>
            <w:tcBorders>
              <w:bottom w:val="single" w:sz="4" w:space="0" w:color="auto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76FFE">
              <w:rPr>
                <w:rFonts w:ascii="Times New Roman" w:hAnsi="Times New Roman" w:cs="Times New Roman"/>
                <w:sz w:val="22"/>
              </w:rPr>
              <w:t>Icotinib of 6 months (n=84)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:rsidR="002D0973" w:rsidRPr="00561A41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Completed treatment</w:t>
            </w:r>
            <w:r w:rsidRPr="00E80DB9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65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77.4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66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78.6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561A41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Did not complete</w:t>
            </w:r>
            <w:r w:rsidRPr="0004783D">
              <w:rPr>
                <w:rFonts w:ascii="Times New Roman" w:hAnsi="Times New Roman" w:cs="Times New Roman"/>
                <w:sz w:val="22"/>
              </w:rPr>
              <w:t xml:space="preserve"> treatment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19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22.6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18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21.4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04783D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Duration of icotinib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561A41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561A41">
              <w:rPr>
                <w:rFonts w:ascii="Times New Roman" w:hAnsi="Times New Roman" w:cs="Times New Roman"/>
                <w:sz w:val="22"/>
              </w:rPr>
              <w:t xml:space="preserve">≥1 day,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 w:rsidRPr="00561A41">
              <w:rPr>
                <w:rFonts w:ascii="Times New Roman" w:hAnsi="Times New Roman" w:cs="Times New Roman"/>
                <w:sz w:val="22"/>
              </w:rPr>
              <w:t>1 month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≥1 month,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 w:rsidRPr="00F85EC0">
              <w:rPr>
                <w:rFonts w:ascii="Times New Roman" w:hAnsi="Times New Roman" w:cs="Times New Roman"/>
                <w:sz w:val="22"/>
              </w:rPr>
              <w:t>2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4.8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3.6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 (10.7)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F85EC0">
              <w:rPr>
                <w:rFonts w:ascii="Times New Roman" w:hAnsi="Times New Roman" w:cs="Times New Roman"/>
                <w:sz w:val="22"/>
              </w:rPr>
              <w:t>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43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51.2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3.6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14.3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 (1.2)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676FFE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4.8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 (2.4)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11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 (4.8)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11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 (9.5)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13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47 (60.0)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Pr="00676FFE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nil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13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C84007" w:rsidRPr="00370298">
              <w:rPr>
                <w:rFonts w:ascii="Times New Roman" w:hAnsi="Times New Roman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18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 (13.1)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2D0973" w:rsidRPr="00676FFE" w:rsidTr="00325B27"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:rsidR="002D0973" w:rsidRPr="00F85EC0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F85EC0"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hAnsi="Times New Roman" w:cs="Times New Roman"/>
                <w:sz w:val="22"/>
              </w:rPr>
              <w:t>18</w:t>
            </w:r>
            <w:r w:rsidRPr="00F85EC0">
              <w:rPr>
                <w:rFonts w:ascii="Times New Roman" w:hAnsi="Times New Roman" w:cs="Times New Roman"/>
                <w:sz w:val="22"/>
              </w:rPr>
              <w:t xml:space="preserve"> month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676FF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1.2</w:t>
            </w:r>
            <w:r w:rsidRPr="00676FF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36" w:type="dxa"/>
            <w:tcBorders>
              <w:top w:val="nil"/>
              <w:bottom w:val="single" w:sz="4" w:space="0" w:color="auto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</w:tbl>
    <w:p w:rsidR="002D097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D</w:t>
      </w:r>
      <w:r w:rsidRPr="00676FFE">
        <w:rPr>
          <w:rFonts w:ascii="Times New Roman" w:hAnsi="Times New Roman" w:cs="Times New Roman"/>
          <w:sz w:val="22"/>
        </w:rPr>
        <w:t>ata are</w:t>
      </w:r>
      <w:r>
        <w:rPr>
          <w:rFonts w:ascii="Times New Roman" w:hAnsi="Times New Roman" w:cs="Times New Roman"/>
          <w:sz w:val="22"/>
        </w:rPr>
        <w:t xml:space="preserve"> presented as</w:t>
      </w:r>
      <w:r w:rsidRPr="00676FFE">
        <w:rPr>
          <w:rFonts w:ascii="Times New Roman" w:hAnsi="Times New Roman" w:cs="Times New Roman"/>
          <w:sz w:val="22"/>
        </w:rPr>
        <w:t xml:space="preserve"> n (%). </w:t>
      </w:r>
    </w:p>
    <w:p w:rsidR="002D0973" w:rsidRPr="00676FFE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  <w:r w:rsidRPr="00E80DB9"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 xml:space="preserve">Icotinib treatment of greater than or equal to 11.8 months in the 12-month group, and 5.8 months in the 6-month group were deemed as completion of study treatment. 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60D8E" w:rsidRDefault="00F60D8E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16717" w:rsidRDefault="00A16717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D0973" w:rsidRPr="00C252A5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52A5"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C252A5">
        <w:rPr>
          <w:rFonts w:ascii="Times New Roman" w:hAnsi="Times New Roman" w:cs="Times New Roman"/>
          <w:sz w:val="24"/>
          <w:szCs w:val="24"/>
        </w:rPr>
        <w:t xml:space="preserve">. Treatment effect of 12-month icotinib over 6-month icotinib on DFS in subgroup analyses. 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843"/>
        <w:gridCol w:w="1561"/>
        <w:gridCol w:w="1843"/>
        <w:gridCol w:w="1134"/>
      </w:tblGrid>
      <w:tr w:rsidR="002D0973" w:rsidRPr="00C252A5" w:rsidTr="00325B27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Subgroup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HR (95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P value</w:t>
            </w:r>
          </w:p>
        </w:tc>
      </w:tr>
      <w:tr w:rsidR="002D0973" w:rsidRPr="00C252A5" w:rsidTr="00325B27">
        <w:tc>
          <w:tcPr>
            <w:tcW w:w="1696" w:type="dxa"/>
            <w:tcBorders>
              <w:top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Total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168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0.97 (0.62-1.51)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0.887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≥65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34 (20.2)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0.43 (0.15-1.17)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0.098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E16E44">
              <w:rPr>
                <w:rFonts w:ascii="Arial" w:eastAsia="宋体" w:hAnsi="Arial" w:cs="Arial"/>
                <w:sz w:val="18"/>
              </w:rPr>
              <w:t>＜</w:t>
            </w:r>
            <w:r w:rsidRPr="00C252A5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134 (79.8)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1.22 (0.74-2.00)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0.434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59 (35.1)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0.75 (0.36-1.55)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0.436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109 (64.9)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1.12 (0.64-1.95)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0.701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Smoking history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23 (13.7)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0.74 (0.29-1.93)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0.538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145 (86.3)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1.03 (0.63-1.70)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0.898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Side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Left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75 (44.6)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0.68 (0.37-1.25)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0.214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Right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93 (55.4)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1.41 (0.73-2.75)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0.309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Stage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68 (40.5)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1.13 (0.51-2.49)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0.766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IIIA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100 (59.5)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0.89 (0.52-1.53)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0.681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N stage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 or 1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76 (45.2)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1.14 (0.54-2.42)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0.734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92 (54.8)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0.89 (0.52-1.55)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0.686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EGFR mutation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Exon 19 del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93 (55.4)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0.81 (0.44-1.50)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0.502</w:t>
            </w:r>
          </w:p>
        </w:tc>
      </w:tr>
      <w:tr w:rsidR="002D0973" w:rsidRPr="00C252A5" w:rsidTr="00325B27">
        <w:tc>
          <w:tcPr>
            <w:tcW w:w="1696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Exon 21 L858R</w:t>
            </w:r>
          </w:p>
        </w:tc>
        <w:tc>
          <w:tcPr>
            <w:tcW w:w="1561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75 (44.6)</w:t>
            </w:r>
          </w:p>
        </w:tc>
        <w:tc>
          <w:tcPr>
            <w:tcW w:w="1843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1.17 (0.61-2.24)</w:t>
            </w:r>
          </w:p>
        </w:tc>
        <w:tc>
          <w:tcPr>
            <w:tcW w:w="1134" w:type="dxa"/>
          </w:tcPr>
          <w:p w:rsidR="002D0973" w:rsidRPr="00C252A5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C252A5">
              <w:rPr>
                <w:rFonts w:ascii="Times New Roman" w:hAnsi="Times New Roman" w:cs="Times New Roman"/>
                <w:sz w:val="22"/>
              </w:rPr>
              <w:t>0.629</w:t>
            </w:r>
          </w:p>
        </w:tc>
      </w:tr>
    </w:tbl>
    <w:p w:rsidR="002D0973" w:rsidRPr="00C252A5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  <w:r w:rsidRPr="00292195">
        <w:rPr>
          <w:rFonts w:ascii="Times New Roman" w:hAnsi="Times New Roman" w:cs="Times New Roman"/>
          <w:sz w:val="22"/>
        </w:rPr>
        <w:t xml:space="preserve">Abbreviations: </w:t>
      </w:r>
      <w:r w:rsidRPr="00C252A5">
        <w:rPr>
          <w:rFonts w:ascii="Times New Roman" w:hAnsi="Times New Roman" w:cs="Times New Roman"/>
          <w:sz w:val="22"/>
        </w:rPr>
        <w:t>DFS, disease-free survival; N, number; HR, hazard ratio; CI, confidence interval; EGFR, epidermal growth factor receptor.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7D22D5" w:rsidRDefault="007D22D5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2D0973" w:rsidRPr="00DE6E57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21FC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E6E57">
        <w:rPr>
          <w:rFonts w:ascii="Times New Roman" w:hAnsi="Times New Roman" w:cs="Times New Roman"/>
          <w:sz w:val="24"/>
          <w:szCs w:val="24"/>
        </w:rPr>
        <w:t xml:space="preserve">. </w:t>
      </w:r>
      <w:r w:rsidRPr="00114501">
        <w:rPr>
          <w:rFonts w:ascii="Times New Roman" w:hAnsi="Times New Roman" w:cs="Times New Roman"/>
          <w:sz w:val="24"/>
          <w:szCs w:val="24"/>
        </w:rPr>
        <w:t>Types</w:t>
      </w:r>
      <w:r w:rsidRPr="00DE6E57">
        <w:rPr>
          <w:rFonts w:ascii="Times New Roman" w:hAnsi="Times New Roman" w:cs="Times New Roman"/>
          <w:sz w:val="24"/>
          <w:szCs w:val="24"/>
        </w:rPr>
        <w:t xml:space="preserve"> of first </w:t>
      </w:r>
      <w:r>
        <w:rPr>
          <w:rFonts w:ascii="Times New Roman" w:hAnsi="Times New Roman" w:cs="Times New Roman"/>
          <w:sz w:val="24"/>
          <w:szCs w:val="24"/>
        </w:rPr>
        <w:t xml:space="preserve">disease </w:t>
      </w:r>
      <w:r>
        <w:rPr>
          <w:rFonts w:ascii="Times New Roman" w:hAnsi="Times New Roman" w:cs="Times New Roman" w:hint="eastAsia"/>
          <w:sz w:val="24"/>
          <w:szCs w:val="24"/>
        </w:rPr>
        <w:t>relapse</w:t>
      </w:r>
      <w:r w:rsidRPr="00DE6E57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410"/>
        <w:gridCol w:w="2126"/>
        <w:gridCol w:w="1492"/>
      </w:tblGrid>
      <w:tr w:rsidR="002D0973" w:rsidRPr="008F0391" w:rsidTr="00325B27">
        <w:tc>
          <w:tcPr>
            <w:tcW w:w="2268" w:type="dxa"/>
            <w:tcBorders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T</w:t>
            </w:r>
            <w:r w:rsidRPr="008F0391">
              <w:rPr>
                <w:rFonts w:ascii="Times New Roman" w:hAnsi="Times New Roman" w:cs="Times New Roman" w:hint="eastAsia"/>
                <w:szCs w:val="24"/>
              </w:rPr>
              <w:t>y</w:t>
            </w:r>
            <w:r w:rsidRPr="008F0391">
              <w:rPr>
                <w:rFonts w:ascii="Times New Roman" w:hAnsi="Times New Roman" w:cs="Times New Roman"/>
                <w:szCs w:val="24"/>
              </w:rPr>
              <w:t xml:space="preserve">pe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I</w:t>
            </w:r>
            <w:r w:rsidRPr="008F0391">
              <w:rPr>
                <w:rFonts w:ascii="Times New Roman" w:hAnsi="Times New Roman" w:cs="Times New Roman" w:hint="eastAsia"/>
                <w:szCs w:val="24"/>
              </w:rPr>
              <w:t>coti</w:t>
            </w:r>
            <w:r w:rsidRPr="008F0391">
              <w:rPr>
                <w:rFonts w:ascii="Times New Roman" w:hAnsi="Times New Roman" w:cs="Times New Roman"/>
                <w:szCs w:val="24"/>
              </w:rPr>
              <w:t>nib of 12 months (n=84)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I</w:t>
            </w:r>
            <w:r w:rsidRPr="008F0391">
              <w:rPr>
                <w:rFonts w:ascii="Times New Roman" w:hAnsi="Times New Roman" w:cs="Times New Roman" w:hint="eastAsia"/>
                <w:szCs w:val="24"/>
              </w:rPr>
              <w:t>coti</w:t>
            </w:r>
            <w:r w:rsidRPr="008F0391">
              <w:rPr>
                <w:rFonts w:ascii="Times New Roman" w:hAnsi="Times New Roman" w:cs="Times New Roman"/>
                <w:szCs w:val="24"/>
              </w:rPr>
              <w:t>nib of 6 months  (n=84)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Observation</w:t>
            </w:r>
          </w:p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(n=83)</w:t>
            </w:r>
          </w:p>
        </w:tc>
      </w:tr>
      <w:tr w:rsidR="002D0973" w:rsidRPr="008F0391" w:rsidTr="00325B27"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Relapse without death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30 (35.7)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30 (35.7)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45 (54.2)</w:t>
            </w:r>
          </w:p>
        </w:tc>
      </w:tr>
      <w:tr w:rsidR="002D0973" w:rsidRPr="008F0391" w:rsidTr="00325B27">
        <w:tc>
          <w:tcPr>
            <w:tcW w:w="2268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Local only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16 (19.0)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18 (21.4)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22 (26.5)</w:t>
            </w:r>
          </w:p>
        </w:tc>
      </w:tr>
      <w:tr w:rsidR="002D0973" w:rsidRPr="008F0391" w:rsidTr="00325B27">
        <w:tc>
          <w:tcPr>
            <w:tcW w:w="2268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Distant only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11 (13.1)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10 (11.9)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17 (20.5)</w:t>
            </w:r>
          </w:p>
        </w:tc>
      </w:tr>
      <w:tr w:rsidR="002D0973" w:rsidRPr="008F0391" w:rsidTr="00325B27"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Local and distant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3 (3.6)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4 (4.8)</w:t>
            </w: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:rsidR="002D0973" w:rsidRPr="008F0391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F0391">
              <w:rPr>
                <w:rFonts w:ascii="Times New Roman" w:hAnsi="Times New Roman" w:cs="Times New Roman"/>
                <w:szCs w:val="24"/>
              </w:rPr>
              <w:t>6 (7.2)</w:t>
            </w:r>
          </w:p>
        </w:tc>
      </w:tr>
    </w:tbl>
    <w:p w:rsidR="002D0973" w:rsidRDefault="002D0973" w:rsidP="00A32A84">
      <w:pPr>
        <w:spacing w:line="480" w:lineRule="auto"/>
        <w:rPr>
          <w:rFonts w:ascii="Times New Roman" w:hAnsi="Times New Roman" w:cs="Times New Roman"/>
          <w:szCs w:val="24"/>
        </w:rPr>
      </w:pPr>
      <w:r w:rsidRPr="008F0391">
        <w:rPr>
          <w:rFonts w:ascii="Times New Roman" w:hAnsi="Times New Roman" w:cs="Times New Roman"/>
          <w:szCs w:val="24"/>
        </w:rPr>
        <w:t xml:space="preserve">Data are </w:t>
      </w:r>
      <w:r>
        <w:rPr>
          <w:rFonts w:ascii="Times New Roman" w:hAnsi="Times New Roman" w:cs="Times New Roman"/>
          <w:szCs w:val="24"/>
        </w:rPr>
        <w:t xml:space="preserve">presented as </w:t>
      </w:r>
      <w:r w:rsidRPr="008F0391">
        <w:rPr>
          <w:rFonts w:ascii="Times New Roman" w:hAnsi="Times New Roman" w:cs="Times New Roman"/>
          <w:szCs w:val="24"/>
        </w:rPr>
        <w:t>n (%).</w:t>
      </w:r>
    </w:p>
    <w:p w:rsidR="007D22D5" w:rsidRDefault="007D22D5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7D22D5" w:rsidRDefault="007D22D5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szCs w:val="24"/>
        </w:rPr>
      </w:pPr>
    </w:p>
    <w:p w:rsidR="002D0973" w:rsidRPr="00DE6E57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57F8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E6E5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Site(</w:t>
      </w:r>
      <w:r w:rsidRPr="0011450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E6E57">
        <w:rPr>
          <w:rFonts w:ascii="Times New Roman" w:hAnsi="Times New Roman" w:cs="Times New Roman"/>
          <w:sz w:val="24"/>
          <w:szCs w:val="24"/>
        </w:rPr>
        <w:t xml:space="preserve"> of first </w:t>
      </w:r>
      <w:r>
        <w:rPr>
          <w:rFonts w:ascii="Times New Roman" w:hAnsi="Times New Roman" w:cs="Times New Roman"/>
          <w:sz w:val="24"/>
          <w:szCs w:val="24"/>
        </w:rPr>
        <w:t xml:space="preserve">disease </w:t>
      </w:r>
      <w:r>
        <w:rPr>
          <w:rFonts w:ascii="Times New Roman" w:hAnsi="Times New Roman" w:cs="Times New Roman" w:hint="eastAsia"/>
          <w:sz w:val="24"/>
          <w:szCs w:val="24"/>
        </w:rPr>
        <w:t>relapse</w:t>
      </w:r>
      <w:r w:rsidRPr="00DE6E57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551"/>
        <w:gridCol w:w="2263"/>
        <w:gridCol w:w="1922"/>
      </w:tblGrid>
      <w:tr w:rsidR="002D0973" w:rsidRPr="00F416EC" w:rsidTr="00325B27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Site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Icotinib of 12 months  (n=84)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Icotinib of 6 months  (n=84)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Observation (n=83)</w:t>
            </w:r>
          </w:p>
        </w:tc>
      </w:tr>
      <w:tr w:rsidR="002D0973" w:rsidRPr="00F416EC" w:rsidTr="00325B27">
        <w:tc>
          <w:tcPr>
            <w:tcW w:w="1560" w:type="dxa"/>
            <w:tcBorders>
              <w:top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Lung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11 (13.1)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12 (14.3)</w:t>
            </w:r>
          </w:p>
        </w:tc>
        <w:tc>
          <w:tcPr>
            <w:tcW w:w="1922" w:type="dxa"/>
            <w:tcBorders>
              <w:top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20 (24.1)</w:t>
            </w:r>
          </w:p>
        </w:tc>
      </w:tr>
      <w:tr w:rsidR="002D0973" w:rsidRPr="00F416EC" w:rsidTr="00325B27">
        <w:tc>
          <w:tcPr>
            <w:tcW w:w="1560" w:type="dxa"/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Brain</w:t>
            </w:r>
          </w:p>
        </w:tc>
        <w:tc>
          <w:tcPr>
            <w:tcW w:w="2551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10 (11.9)</w:t>
            </w:r>
          </w:p>
        </w:tc>
        <w:tc>
          <w:tcPr>
            <w:tcW w:w="2263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12 (14.3)</w:t>
            </w:r>
          </w:p>
        </w:tc>
        <w:tc>
          <w:tcPr>
            <w:tcW w:w="1922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15 (18.1)</w:t>
            </w:r>
          </w:p>
        </w:tc>
      </w:tr>
      <w:tr w:rsidR="002D0973" w:rsidRPr="00F416EC" w:rsidTr="00325B27">
        <w:tc>
          <w:tcPr>
            <w:tcW w:w="1560" w:type="dxa"/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Lymph nodes</w:t>
            </w:r>
          </w:p>
        </w:tc>
        <w:tc>
          <w:tcPr>
            <w:tcW w:w="2551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7 (8.3)</w:t>
            </w:r>
          </w:p>
        </w:tc>
        <w:tc>
          <w:tcPr>
            <w:tcW w:w="2263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6 (7.1)</w:t>
            </w:r>
          </w:p>
        </w:tc>
        <w:tc>
          <w:tcPr>
            <w:tcW w:w="1922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12 (14.5)</w:t>
            </w:r>
          </w:p>
        </w:tc>
      </w:tr>
      <w:tr w:rsidR="002D0973" w:rsidRPr="00F416EC" w:rsidTr="00325B27">
        <w:tc>
          <w:tcPr>
            <w:tcW w:w="1560" w:type="dxa"/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Bone</w:t>
            </w:r>
          </w:p>
        </w:tc>
        <w:tc>
          <w:tcPr>
            <w:tcW w:w="2551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5 (6.0)</w:t>
            </w:r>
          </w:p>
        </w:tc>
        <w:tc>
          <w:tcPr>
            <w:tcW w:w="2263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4 (4.8)</w:t>
            </w:r>
          </w:p>
        </w:tc>
        <w:tc>
          <w:tcPr>
            <w:tcW w:w="1922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8 (9.6)</w:t>
            </w:r>
          </w:p>
        </w:tc>
      </w:tr>
      <w:tr w:rsidR="002D0973" w:rsidRPr="00F416EC" w:rsidTr="00325B27">
        <w:tc>
          <w:tcPr>
            <w:tcW w:w="1560" w:type="dxa"/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Pleura</w:t>
            </w:r>
          </w:p>
        </w:tc>
        <w:tc>
          <w:tcPr>
            <w:tcW w:w="2551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3 (1.2)</w:t>
            </w:r>
          </w:p>
        </w:tc>
        <w:tc>
          <w:tcPr>
            <w:tcW w:w="2263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2 (2.4)</w:t>
            </w:r>
          </w:p>
        </w:tc>
        <w:tc>
          <w:tcPr>
            <w:tcW w:w="1922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6 (7.2)</w:t>
            </w:r>
          </w:p>
        </w:tc>
      </w:tr>
      <w:tr w:rsidR="002D0973" w:rsidRPr="00F416EC" w:rsidTr="00325B27">
        <w:tc>
          <w:tcPr>
            <w:tcW w:w="1560" w:type="dxa"/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Liver</w:t>
            </w:r>
          </w:p>
        </w:tc>
        <w:tc>
          <w:tcPr>
            <w:tcW w:w="2551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 (1.2)</w:t>
            </w:r>
          </w:p>
        </w:tc>
        <w:tc>
          <w:tcPr>
            <w:tcW w:w="2263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 (1.2)</w:t>
            </w:r>
          </w:p>
        </w:tc>
        <w:tc>
          <w:tcPr>
            <w:tcW w:w="1922" w:type="dxa"/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3 (1.2)</w:t>
            </w:r>
          </w:p>
        </w:tc>
      </w:tr>
      <w:tr w:rsidR="002D0973" w:rsidRPr="00F416EC" w:rsidTr="00325B27">
        <w:tc>
          <w:tcPr>
            <w:tcW w:w="1560" w:type="dxa"/>
            <w:tcBorders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Adrenal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 (1.2)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D0973" w:rsidRPr="00F416E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416EC">
              <w:rPr>
                <w:rFonts w:ascii="Times New Roman" w:hAnsi="Times New Roman" w:cs="Times New Roman"/>
                <w:szCs w:val="24"/>
              </w:rPr>
              <w:t>1 (1.2)</w:t>
            </w:r>
          </w:p>
        </w:tc>
      </w:tr>
    </w:tbl>
    <w:p w:rsidR="002D0973" w:rsidRPr="00F416EC" w:rsidRDefault="002D0973" w:rsidP="00A32A84">
      <w:pPr>
        <w:spacing w:line="480" w:lineRule="auto"/>
        <w:rPr>
          <w:rFonts w:ascii="Times New Roman" w:hAnsi="Times New Roman" w:cs="Times New Roman"/>
          <w:szCs w:val="24"/>
        </w:rPr>
      </w:pPr>
      <w:r w:rsidRPr="00F416EC">
        <w:rPr>
          <w:rFonts w:ascii="Times New Roman" w:hAnsi="Times New Roman" w:cs="Times New Roman"/>
          <w:szCs w:val="24"/>
        </w:rPr>
        <w:t xml:space="preserve">Data are </w:t>
      </w:r>
      <w:r>
        <w:rPr>
          <w:rFonts w:ascii="Times New Roman" w:hAnsi="Times New Roman" w:cs="Times New Roman"/>
          <w:szCs w:val="24"/>
        </w:rPr>
        <w:t xml:space="preserve">presented as </w:t>
      </w:r>
      <w:r w:rsidRPr="00F416EC">
        <w:rPr>
          <w:rFonts w:ascii="Times New Roman" w:hAnsi="Times New Roman" w:cs="Times New Roman"/>
          <w:szCs w:val="24"/>
        </w:rPr>
        <w:t xml:space="preserve">n (%). Some patients had more than one site of relapse. 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2A84" w:rsidRDefault="00A32A84" w:rsidP="00A32A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D0973" w:rsidRPr="00DE6E57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7DE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6.</w:t>
      </w:r>
      <w:r w:rsidRPr="00DE6E57">
        <w:rPr>
          <w:rFonts w:ascii="Times New Roman" w:hAnsi="Times New Roman" w:cs="Times New Roman"/>
          <w:sz w:val="24"/>
          <w:szCs w:val="24"/>
        </w:rPr>
        <w:t xml:space="preserve"> Summary of the first subsequent therapy.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268"/>
        <w:gridCol w:w="2126"/>
        <w:gridCol w:w="1350"/>
      </w:tblGrid>
      <w:tr w:rsidR="002D0973" w:rsidRPr="000A74FC" w:rsidTr="00325B27">
        <w:tc>
          <w:tcPr>
            <w:tcW w:w="2552" w:type="dxa"/>
            <w:tcBorders>
              <w:bottom w:val="single" w:sz="4" w:space="0" w:color="auto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S</w:t>
            </w:r>
            <w:r w:rsidRPr="000A74FC">
              <w:rPr>
                <w:rFonts w:ascii="Times New Roman" w:eastAsia="DengXian" w:hAnsi="Times New Roman" w:cs="Times New Roman"/>
              </w:rPr>
              <w:t>ub</w:t>
            </w:r>
            <w:r w:rsidRPr="000A74FC">
              <w:rPr>
                <w:rFonts w:ascii="Times New Roman" w:eastAsiaTheme="minorHAnsi" w:hAnsi="Times New Roman" w:cs="Times New Roman"/>
              </w:rPr>
              <w:t>sequent therapy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Icotinib of 12 months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Icotinib of 6 months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Observation</w:t>
            </w:r>
          </w:p>
        </w:tc>
      </w:tr>
      <w:tr w:rsidR="002D0973" w:rsidRPr="000A74FC" w:rsidTr="00325B27"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Patients who experienced 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0A74FC">
              <w:rPr>
                <w:rFonts w:ascii="Times New Roman" w:hAnsi="Times New Roman" w:cs="Times New Roman"/>
              </w:rPr>
              <w:t>DFS event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56</w:t>
            </w:r>
          </w:p>
        </w:tc>
      </w:tr>
      <w:tr w:rsidR="002D0973" w:rsidRPr="000A74FC" w:rsidTr="00325B27">
        <w:tc>
          <w:tcPr>
            <w:tcW w:w="2552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EGFR-TKI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0973" w:rsidRPr="000A74FC" w:rsidTr="00325B27">
        <w:tc>
          <w:tcPr>
            <w:tcW w:w="2552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Osimertinib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9 (22.5)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8 (20.5)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5 (8.9)</w:t>
            </w:r>
          </w:p>
        </w:tc>
      </w:tr>
      <w:tr w:rsidR="002D0973" w:rsidRPr="000A74FC" w:rsidTr="00325B27">
        <w:tc>
          <w:tcPr>
            <w:tcW w:w="2552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Aumolertinib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5 (12.5)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(5.1)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(3.6)</w:t>
            </w:r>
          </w:p>
        </w:tc>
      </w:tr>
      <w:tr w:rsidR="002D0973" w:rsidRPr="000A74FC" w:rsidTr="00325B27">
        <w:tc>
          <w:tcPr>
            <w:tcW w:w="2552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Furmonertinib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(7.5)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(5.1)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(3.6)</w:t>
            </w:r>
          </w:p>
        </w:tc>
      </w:tr>
      <w:tr w:rsidR="002D0973" w:rsidRPr="000A74FC" w:rsidTr="00325B27">
        <w:tc>
          <w:tcPr>
            <w:tcW w:w="2552" w:type="dxa"/>
            <w:tcBorders>
              <w:top w:val="nil"/>
            </w:tcBorders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Icotinib</w:t>
            </w:r>
          </w:p>
        </w:tc>
        <w:tc>
          <w:tcPr>
            <w:tcW w:w="2268" w:type="dxa"/>
            <w:tcBorders>
              <w:top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(5.0)</w:t>
            </w:r>
          </w:p>
        </w:tc>
        <w:tc>
          <w:tcPr>
            <w:tcW w:w="2126" w:type="dxa"/>
            <w:tcBorders>
              <w:top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4 (10.3)</w:t>
            </w:r>
          </w:p>
        </w:tc>
        <w:tc>
          <w:tcPr>
            <w:tcW w:w="1350" w:type="dxa"/>
            <w:tcBorders>
              <w:top w:val="nil"/>
            </w:tcBorders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24 (42.9)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Gefitinib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(5.0)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(7.7)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5 (8.9)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Erlotinib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(7.7)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(3.6)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 xml:space="preserve">   Afatinib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4 (10.3)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(5.4)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4 (10.0)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(7.7)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(1.8)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Apatinib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(2.6)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Anlotinib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3 (7.7)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(1.8)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Crizotinib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Bevacizumab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PD-1/PD-L1 inhibitors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(2.6)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0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Radiotherapy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(5.0)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2 (5.1)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 (1.8)</w:t>
            </w:r>
          </w:p>
        </w:tc>
      </w:tr>
      <w:tr w:rsidR="002D0973" w:rsidRPr="000A74FC" w:rsidTr="00325B27">
        <w:tc>
          <w:tcPr>
            <w:tcW w:w="2552" w:type="dxa"/>
          </w:tcPr>
          <w:p w:rsidR="002D0973" w:rsidRPr="000A74FC" w:rsidRDefault="002D0973" w:rsidP="00A32A8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No subsequent therapy</w:t>
            </w:r>
            <w:r w:rsidRPr="000A74FC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268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11 (27.5)</w:t>
            </w:r>
          </w:p>
        </w:tc>
        <w:tc>
          <w:tcPr>
            <w:tcW w:w="2126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10 (25.6)</w:t>
            </w:r>
          </w:p>
        </w:tc>
        <w:tc>
          <w:tcPr>
            <w:tcW w:w="1350" w:type="dxa"/>
          </w:tcPr>
          <w:p w:rsidR="002D0973" w:rsidRPr="000A74FC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74FC">
              <w:rPr>
                <w:rFonts w:ascii="Times New Roman" w:hAnsi="Times New Roman" w:cs="Times New Roman"/>
              </w:rPr>
              <w:t>12 (21.4)</w:t>
            </w:r>
          </w:p>
        </w:tc>
      </w:tr>
    </w:tbl>
    <w:p w:rsidR="002D0973" w:rsidRPr="000A74FC" w:rsidRDefault="002D0973" w:rsidP="00A32A8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0A74FC">
        <w:rPr>
          <w:rFonts w:ascii="Times New Roman" w:hAnsi="Times New Roman" w:cs="Times New Roman"/>
        </w:rPr>
        <w:t>ata are</w:t>
      </w:r>
      <w:r>
        <w:rPr>
          <w:rFonts w:ascii="Times New Roman" w:hAnsi="Times New Roman" w:cs="Times New Roman"/>
        </w:rPr>
        <w:t xml:space="preserve"> presented as</w:t>
      </w:r>
      <w:r w:rsidRPr="000A74FC">
        <w:rPr>
          <w:rFonts w:ascii="Times New Roman" w:hAnsi="Times New Roman" w:cs="Times New Roman"/>
        </w:rPr>
        <w:t xml:space="preserve"> n (%). Percentages of patients </w:t>
      </w:r>
      <w:r>
        <w:rPr>
          <w:rFonts w:ascii="Times New Roman" w:hAnsi="Times New Roman" w:cs="Times New Roman"/>
        </w:rPr>
        <w:t>were</w:t>
      </w:r>
      <w:r w:rsidRPr="000A74FC">
        <w:rPr>
          <w:rFonts w:ascii="Times New Roman" w:hAnsi="Times New Roman" w:cs="Times New Roman"/>
        </w:rPr>
        <w:t xml:space="preserve"> calculated from the number of patients who experienced a DFS event. Some patients had more than one first subsequent therapy. </w:t>
      </w:r>
    </w:p>
    <w:p w:rsidR="002D0973" w:rsidRPr="000A74FC" w:rsidRDefault="002D0973" w:rsidP="00A32A84">
      <w:pPr>
        <w:spacing w:line="480" w:lineRule="auto"/>
        <w:rPr>
          <w:rFonts w:ascii="Times New Roman" w:hAnsi="Times New Roman" w:cs="Times New Roman"/>
        </w:rPr>
      </w:pPr>
      <w:r w:rsidRPr="000A74FC">
        <w:rPr>
          <w:rFonts w:ascii="Times New Roman" w:hAnsi="Times New Roman" w:cs="Times New Roman"/>
          <w:vertAlign w:val="superscript"/>
        </w:rPr>
        <w:t>a</w:t>
      </w:r>
      <w:r w:rsidRPr="000A74FC">
        <w:rPr>
          <w:rFonts w:ascii="Times New Roman" w:hAnsi="Times New Roman" w:cs="Times New Roman"/>
        </w:rPr>
        <w:t xml:space="preserve">Including patients who died without relapse. </w:t>
      </w:r>
    </w:p>
    <w:p w:rsidR="002D0973" w:rsidRPr="000A74FC" w:rsidRDefault="002D0973" w:rsidP="00A32A84">
      <w:pPr>
        <w:spacing w:line="480" w:lineRule="auto"/>
        <w:rPr>
          <w:rFonts w:ascii="Times New Roman" w:hAnsi="Times New Roman" w:cs="Times New Roman"/>
        </w:rPr>
      </w:pPr>
      <w:r w:rsidRPr="000A74FC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 xml:space="preserve">DFS, disease-free survival; </w:t>
      </w:r>
      <w:r w:rsidRPr="000A74FC">
        <w:rPr>
          <w:rFonts w:ascii="Times New Roman" w:hAnsi="Times New Roman" w:cs="Times New Roman"/>
        </w:rPr>
        <w:t>EGFR, epidermal growth factor receptor; TKI, tyrosine kinase inhibitor; PD-1, programmed cell death protein-1; PD-L1, programmed cell death-ligand 1.</w:t>
      </w: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</w:p>
    <w:p w:rsidR="002D0973" w:rsidRDefault="002D0973" w:rsidP="00A32A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ble S7</w:t>
      </w:r>
      <w:r w:rsidRPr="00BB7358">
        <w:rPr>
          <w:rFonts w:ascii="Times New Roman" w:hAnsi="Times New Roman" w:cs="Times New Roman"/>
          <w:b/>
          <w:sz w:val="24"/>
          <w:szCs w:val="24"/>
        </w:rPr>
        <w:t>.</w:t>
      </w:r>
      <w:r w:rsidRPr="00BB73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Summary of a</w:t>
      </w:r>
      <w:r w:rsidRPr="00BB7358">
        <w:rPr>
          <w:rFonts w:ascii="Times New Roman" w:hAnsi="Times New Roman" w:cs="Times New Roman"/>
          <w:sz w:val="24"/>
          <w:szCs w:val="24"/>
        </w:rPr>
        <w:t>dverse events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126"/>
        <w:gridCol w:w="2096"/>
        <w:gridCol w:w="1390"/>
      </w:tblGrid>
      <w:tr w:rsidR="002D0973" w:rsidRPr="00220F83" w:rsidTr="00325B27">
        <w:tc>
          <w:tcPr>
            <w:tcW w:w="2694" w:type="dxa"/>
            <w:tcBorders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AE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D097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Icotinib of 12 months</w:t>
            </w:r>
          </w:p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=84)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Icotinib of 6 months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=84)</w:t>
            </w:r>
          </w:p>
        </w:tc>
        <w:tc>
          <w:tcPr>
            <w:tcW w:w="1390" w:type="dxa"/>
            <w:tcBorders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Observation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=83)</w:t>
            </w:r>
          </w:p>
        </w:tc>
      </w:tr>
      <w:tr w:rsidR="002D0973" w:rsidRPr="00220F83" w:rsidTr="00325B27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Any AE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65 (77.4)</w:t>
            </w:r>
          </w:p>
        </w:tc>
        <w:tc>
          <w:tcPr>
            <w:tcW w:w="2096" w:type="dxa"/>
            <w:tcBorders>
              <w:top w:val="single" w:sz="4" w:space="0" w:color="auto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62 (73.8)</w:t>
            </w:r>
          </w:p>
        </w:tc>
        <w:tc>
          <w:tcPr>
            <w:tcW w:w="1390" w:type="dxa"/>
            <w:tcBorders>
              <w:top w:val="single" w:sz="4" w:space="0" w:color="auto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45 (54.2)</w:t>
            </w:r>
          </w:p>
        </w:tc>
      </w:tr>
      <w:tr w:rsidR="002D0973" w:rsidRPr="00220F83" w:rsidTr="00325B27">
        <w:tc>
          <w:tcPr>
            <w:tcW w:w="2694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Any AE ≥ grade 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7 (8.3)</w:t>
            </w:r>
          </w:p>
        </w:tc>
        <w:tc>
          <w:tcPr>
            <w:tcW w:w="209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5 (5.9)</w:t>
            </w:r>
          </w:p>
        </w:tc>
        <w:tc>
          <w:tcPr>
            <w:tcW w:w="1390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2 (2.4)</w:t>
            </w:r>
          </w:p>
        </w:tc>
      </w:tr>
      <w:tr w:rsidR="002D0973" w:rsidRPr="00220F83" w:rsidTr="00325B27">
        <w:tc>
          <w:tcPr>
            <w:tcW w:w="2694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Any AE leading to treatment discontinuation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4 (4.8)</w:t>
            </w:r>
          </w:p>
        </w:tc>
        <w:tc>
          <w:tcPr>
            <w:tcW w:w="209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3 (3.6)</w:t>
            </w:r>
          </w:p>
        </w:tc>
        <w:tc>
          <w:tcPr>
            <w:tcW w:w="1390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2D0973" w:rsidRPr="00220F83" w:rsidTr="00325B27">
        <w:tc>
          <w:tcPr>
            <w:tcW w:w="2694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Any AE leading to dose reduction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096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2D0973" w:rsidRPr="00220F83" w:rsidTr="00325B27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Fatal AE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096" w:type="dxa"/>
            <w:tcBorders>
              <w:top w:val="nil"/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90" w:type="dxa"/>
            <w:tcBorders>
              <w:top w:val="nil"/>
              <w:bottom w:val="single" w:sz="4" w:space="0" w:color="auto"/>
            </w:tcBorders>
          </w:tcPr>
          <w:p w:rsidR="002D0973" w:rsidRPr="00220F83" w:rsidRDefault="002D0973" w:rsidP="00A32A84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20F83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</w:tbl>
    <w:p w:rsidR="002D0973" w:rsidRPr="00220F83" w:rsidRDefault="002D0973" w:rsidP="00A32A8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D</w:t>
      </w:r>
      <w:r w:rsidRPr="00220F83">
        <w:rPr>
          <w:rFonts w:ascii="Times New Roman" w:hAnsi="Times New Roman" w:cs="Times New Roman"/>
          <w:sz w:val="22"/>
        </w:rPr>
        <w:t>ata are</w:t>
      </w:r>
      <w:r>
        <w:rPr>
          <w:rFonts w:ascii="Times New Roman" w:hAnsi="Times New Roman" w:cs="Times New Roman"/>
          <w:sz w:val="22"/>
        </w:rPr>
        <w:t xml:space="preserve"> presented as</w:t>
      </w:r>
      <w:r w:rsidRPr="00220F83">
        <w:rPr>
          <w:rFonts w:ascii="Times New Roman" w:hAnsi="Times New Roman" w:cs="Times New Roman"/>
          <w:sz w:val="22"/>
        </w:rPr>
        <w:t xml:space="preserve"> n (%). AE, adverse event</w:t>
      </w:r>
      <w:r w:rsidRPr="00220F83">
        <w:rPr>
          <w:rFonts w:ascii="Times New Roman" w:hAnsi="Times New Roman" w:cs="Times New Roman" w:hint="eastAsia"/>
          <w:sz w:val="22"/>
        </w:rPr>
        <w:t>.</w:t>
      </w:r>
      <w:r w:rsidRPr="00220F83">
        <w:rPr>
          <w:rFonts w:ascii="Times New Roman" w:hAnsi="Times New Roman" w:cs="Times New Roman"/>
          <w:sz w:val="22"/>
        </w:rPr>
        <w:t xml:space="preserve"> All adverse events were assessed according to the National Cancer Institute Common Terminology Criteria for Adverse Events, version 4.0. </w:t>
      </w:r>
    </w:p>
    <w:sectPr w:rsidR="002D0973" w:rsidRPr="00220F83" w:rsidSect="00E13FF6">
      <w:footerReference w:type="default" r:id="rId9"/>
      <w:pgSz w:w="11906" w:h="16838"/>
      <w:pgMar w:top="1440" w:right="1800" w:bottom="1440" w:left="180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49DA" w:rsidRDefault="00BA49DA">
      <w:r>
        <w:separator/>
      </w:r>
    </w:p>
  </w:endnote>
  <w:endnote w:type="continuationSeparator" w:id="0">
    <w:p w:rsidR="00BA49DA" w:rsidRDefault="00BA4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83487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64E08" w:rsidRDefault="002D0973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16717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16717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64E08" w:rsidRDefault="00BA49D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49DA" w:rsidRDefault="00BA49DA">
      <w:r>
        <w:separator/>
      </w:r>
    </w:p>
  </w:footnote>
  <w:footnote w:type="continuationSeparator" w:id="0">
    <w:p w:rsidR="00BA49DA" w:rsidRDefault="00BA4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7CD"/>
    <w:rsid w:val="00040C12"/>
    <w:rsid w:val="000A3BCE"/>
    <w:rsid w:val="000F2512"/>
    <w:rsid w:val="0020529F"/>
    <w:rsid w:val="0025458B"/>
    <w:rsid w:val="00270016"/>
    <w:rsid w:val="002D0973"/>
    <w:rsid w:val="003A438E"/>
    <w:rsid w:val="003C0410"/>
    <w:rsid w:val="005B157B"/>
    <w:rsid w:val="005B3698"/>
    <w:rsid w:val="005E6EE4"/>
    <w:rsid w:val="005E715C"/>
    <w:rsid w:val="006650E2"/>
    <w:rsid w:val="007D22D5"/>
    <w:rsid w:val="00A16717"/>
    <w:rsid w:val="00A32A84"/>
    <w:rsid w:val="00BA49DA"/>
    <w:rsid w:val="00C84007"/>
    <w:rsid w:val="00F60D8E"/>
    <w:rsid w:val="00F6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3BB05"/>
  <w15:chartTrackingRefBased/>
  <w15:docId w15:val="{726376CC-C8E0-4A03-8EFF-BAB5B059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97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2D0973"/>
    <w:pPr>
      <w:tabs>
        <w:tab w:val="center" w:pos="4153"/>
        <w:tab w:val="right" w:pos="8306"/>
      </w:tabs>
    </w:pPr>
  </w:style>
  <w:style w:type="character" w:customStyle="1" w:styleId="a5">
    <w:name w:val="页脚 字符"/>
    <w:basedOn w:val="a0"/>
    <w:link w:val="a4"/>
    <w:uiPriority w:val="99"/>
    <w:rsid w:val="002D0973"/>
    <w:rPr>
      <w:rFonts w:eastAsiaTheme="minorEastAsia"/>
      <w:kern w:val="2"/>
      <w:sz w:val="21"/>
      <w:lang w:val="en-US" w:eastAsia="zh-CN"/>
    </w:rPr>
  </w:style>
  <w:style w:type="character" w:styleId="a6">
    <w:name w:val="line number"/>
    <w:basedOn w:val="a0"/>
    <w:uiPriority w:val="99"/>
    <w:semiHidden/>
    <w:unhideWhenUsed/>
    <w:rsid w:val="002D0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894</Words>
  <Characters>5100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17</cp:revision>
  <dcterms:created xsi:type="dcterms:W3CDTF">2024-07-03T14:30:00Z</dcterms:created>
  <dcterms:modified xsi:type="dcterms:W3CDTF">2024-07-04T02:13:00Z</dcterms:modified>
</cp:coreProperties>
</file>