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740CC2" w14:textId="79274915" w:rsidR="00FF2608" w:rsidRPr="00FF2608" w:rsidRDefault="00FF2608" w:rsidP="00AF09B6">
      <w:pPr>
        <w:spacing w:after="240" w:line="276" w:lineRule="auto"/>
        <w:jc w:val="center"/>
        <w:rPr>
          <w:b/>
          <w:sz w:val="36"/>
          <w:szCs w:val="32"/>
        </w:rPr>
      </w:pPr>
      <w:r w:rsidRPr="00FF2608">
        <w:rPr>
          <w:b/>
          <w:sz w:val="36"/>
          <w:szCs w:val="32"/>
        </w:rPr>
        <w:t xml:space="preserve">Clinical </w:t>
      </w:r>
      <w:r w:rsidR="00785A82">
        <w:rPr>
          <w:b/>
          <w:sz w:val="36"/>
          <w:szCs w:val="32"/>
        </w:rPr>
        <w:t>T</w:t>
      </w:r>
      <w:r w:rsidR="00785A82" w:rsidRPr="00FF2608">
        <w:rPr>
          <w:b/>
          <w:sz w:val="36"/>
          <w:szCs w:val="32"/>
        </w:rPr>
        <w:t xml:space="preserve">rial </w:t>
      </w:r>
      <w:r w:rsidR="00785A82">
        <w:rPr>
          <w:b/>
          <w:sz w:val="36"/>
          <w:szCs w:val="32"/>
        </w:rPr>
        <w:t>P</w:t>
      </w:r>
      <w:r w:rsidR="00785A82" w:rsidRPr="00FF2608">
        <w:rPr>
          <w:b/>
          <w:sz w:val="36"/>
          <w:szCs w:val="32"/>
        </w:rPr>
        <w:t>rotocol</w:t>
      </w:r>
    </w:p>
    <w:p w14:paraId="66ED9905" w14:textId="2B307E04" w:rsidR="005D1745" w:rsidRDefault="004B6ABE" w:rsidP="00AF09B6">
      <w:pPr>
        <w:spacing w:afterLines="0" w:after="0" w:line="276" w:lineRule="auto"/>
        <w:rPr>
          <w:bCs/>
          <w:sz w:val="40"/>
          <w:szCs w:val="40"/>
        </w:rPr>
      </w:pPr>
      <w:r>
        <w:rPr>
          <w:bCs/>
          <w:sz w:val="40"/>
          <w:szCs w:val="40"/>
        </w:rPr>
        <w:t xml:space="preserve">Adjuvant </w:t>
      </w:r>
      <w:r w:rsidR="00E7124D">
        <w:rPr>
          <w:bCs/>
          <w:sz w:val="40"/>
          <w:szCs w:val="40"/>
        </w:rPr>
        <w:t>i</w:t>
      </w:r>
      <w:r w:rsidR="00E7124D">
        <w:rPr>
          <w:rFonts w:hint="eastAsia"/>
          <w:bCs/>
          <w:sz w:val="40"/>
          <w:szCs w:val="40"/>
        </w:rPr>
        <w:t>cotinib</w:t>
      </w:r>
      <w:r w:rsidR="00E7124D">
        <w:rPr>
          <w:bCs/>
          <w:sz w:val="40"/>
          <w:szCs w:val="40"/>
        </w:rPr>
        <w:t xml:space="preserve"> </w:t>
      </w:r>
      <w:r>
        <w:rPr>
          <w:bCs/>
          <w:sz w:val="40"/>
          <w:szCs w:val="40"/>
        </w:rPr>
        <w:t xml:space="preserve">of 12 months or 6 months versus </w:t>
      </w:r>
      <w:r w:rsidR="00E7124D">
        <w:rPr>
          <w:bCs/>
          <w:sz w:val="40"/>
          <w:szCs w:val="40"/>
        </w:rPr>
        <w:t xml:space="preserve">observation </w:t>
      </w:r>
      <w:r>
        <w:rPr>
          <w:bCs/>
          <w:sz w:val="40"/>
          <w:szCs w:val="40"/>
        </w:rPr>
        <w:t xml:space="preserve">following </w:t>
      </w:r>
      <w:r w:rsidR="00E7124D">
        <w:rPr>
          <w:bCs/>
          <w:sz w:val="40"/>
          <w:szCs w:val="40"/>
        </w:rPr>
        <w:t xml:space="preserve">adjuvant chemotherapy </w:t>
      </w:r>
      <w:r>
        <w:rPr>
          <w:bCs/>
          <w:sz w:val="40"/>
          <w:szCs w:val="40"/>
        </w:rPr>
        <w:t xml:space="preserve">for resected EGFR-mutated </w:t>
      </w:r>
      <w:r w:rsidR="00E7124D">
        <w:rPr>
          <w:bCs/>
          <w:sz w:val="40"/>
          <w:szCs w:val="40"/>
        </w:rPr>
        <w:t xml:space="preserve">stage </w:t>
      </w:r>
      <w:r>
        <w:rPr>
          <w:bCs/>
          <w:sz w:val="40"/>
          <w:szCs w:val="40"/>
        </w:rPr>
        <w:t xml:space="preserve">II–IIIA </w:t>
      </w:r>
      <w:r w:rsidR="00E7124D">
        <w:rPr>
          <w:bCs/>
          <w:sz w:val="40"/>
          <w:szCs w:val="40"/>
        </w:rPr>
        <w:t>non</w:t>
      </w:r>
      <w:r>
        <w:rPr>
          <w:bCs/>
          <w:sz w:val="40"/>
          <w:szCs w:val="40"/>
        </w:rPr>
        <w:t>-</w:t>
      </w:r>
      <w:r w:rsidR="00E7124D">
        <w:rPr>
          <w:bCs/>
          <w:sz w:val="40"/>
          <w:szCs w:val="40"/>
        </w:rPr>
        <w:t>small</w:t>
      </w:r>
      <w:r w:rsidR="00A35840">
        <w:rPr>
          <w:bCs/>
          <w:sz w:val="40"/>
          <w:szCs w:val="40"/>
        </w:rPr>
        <w:t xml:space="preserve"> </w:t>
      </w:r>
      <w:r w:rsidR="00E7124D">
        <w:rPr>
          <w:bCs/>
          <w:sz w:val="40"/>
          <w:szCs w:val="40"/>
        </w:rPr>
        <w:t xml:space="preserve">cell lung cancer </w:t>
      </w:r>
      <w:r>
        <w:rPr>
          <w:bCs/>
          <w:sz w:val="40"/>
          <w:szCs w:val="40"/>
        </w:rPr>
        <w:t>(ICTAN</w:t>
      </w:r>
      <w:r w:rsidR="009220C0">
        <w:rPr>
          <w:bCs/>
          <w:sz w:val="40"/>
          <w:szCs w:val="40"/>
        </w:rPr>
        <w:t>, GASTO1002</w:t>
      </w:r>
      <w:r>
        <w:rPr>
          <w:bCs/>
          <w:sz w:val="40"/>
          <w:szCs w:val="40"/>
        </w:rPr>
        <w:t xml:space="preserve">): a </w:t>
      </w:r>
      <w:r w:rsidR="002839C7">
        <w:rPr>
          <w:bCs/>
          <w:sz w:val="40"/>
          <w:szCs w:val="40"/>
        </w:rPr>
        <w:t xml:space="preserve">randomized phase </w:t>
      </w:r>
      <w:r w:rsidR="00A35840">
        <w:rPr>
          <w:bCs/>
          <w:sz w:val="40"/>
          <w:szCs w:val="40"/>
        </w:rPr>
        <w:t>III</w:t>
      </w:r>
      <w:r>
        <w:rPr>
          <w:bCs/>
          <w:sz w:val="40"/>
          <w:szCs w:val="40"/>
        </w:rPr>
        <w:t xml:space="preserve"> trial</w:t>
      </w:r>
    </w:p>
    <w:p w14:paraId="0C4CD255" w14:textId="6F5FFA75" w:rsidR="005D1745" w:rsidRDefault="005D1745">
      <w:pPr>
        <w:spacing w:after="240"/>
        <w:jc w:val="left"/>
        <w:rPr>
          <w:bCs/>
          <w:sz w:val="32"/>
          <w:szCs w:val="32"/>
        </w:rPr>
      </w:pPr>
    </w:p>
    <w:p w14:paraId="50184DBE" w14:textId="4F6B59F3" w:rsidR="00AF09B6" w:rsidRDefault="00AF09B6">
      <w:pPr>
        <w:spacing w:after="240"/>
        <w:jc w:val="left"/>
        <w:rPr>
          <w:bCs/>
          <w:sz w:val="32"/>
          <w:szCs w:val="32"/>
        </w:rPr>
      </w:pPr>
    </w:p>
    <w:p w14:paraId="646696A4" w14:textId="77777777" w:rsidR="00AF09B6" w:rsidRDefault="00AF09B6">
      <w:pPr>
        <w:spacing w:after="240"/>
        <w:jc w:val="left"/>
        <w:rPr>
          <w:bCs/>
          <w:sz w:val="32"/>
          <w:szCs w:val="32"/>
        </w:rPr>
      </w:pPr>
    </w:p>
    <w:p w14:paraId="39DD2119" w14:textId="77777777" w:rsidR="005D1745" w:rsidRDefault="004B6ABE">
      <w:pPr>
        <w:spacing w:afterLines="0" w:after="0" w:line="240" w:lineRule="auto"/>
        <w:jc w:val="left"/>
        <w:rPr>
          <w:bCs/>
          <w:sz w:val="32"/>
          <w:szCs w:val="32"/>
        </w:rPr>
      </w:pPr>
      <w:r>
        <w:rPr>
          <w:bCs/>
          <w:sz w:val="32"/>
          <w:szCs w:val="32"/>
        </w:rPr>
        <w:t>Principal Investigator: Si-Yu Wang</w:t>
      </w:r>
    </w:p>
    <w:p w14:paraId="70184597" w14:textId="77777777" w:rsidR="005D1745" w:rsidRDefault="004B6ABE">
      <w:pPr>
        <w:spacing w:afterLines="0" w:after="0" w:line="240" w:lineRule="auto"/>
        <w:jc w:val="left"/>
        <w:rPr>
          <w:bCs/>
          <w:sz w:val="32"/>
          <w:szCs w:val="32"/>
        </w:rPr>
      </w:pPr>
      <w:r>
        <w:rPr>
          <w:bCs/>
          <w:sz w:val="32"/>
          <w:szCs w:val="32"/>
        </w:rPr>
        <w:t>Clinical Research Department: Thoracic Surgery</w:t>
      </w:r>
    </w:p>
    <w:p w14:paraId="0DF924B1" w14:textId="77777777" w:rsidR="005D1745" w:rsidRDefault="004B6ABE">
      <w:pPr>
        <w:spacing w:afterLines="0" w:after="0" w:line="240" w:lineRule="auto"/>
        <w:jc w:val="left"/>
        <w:rPr>
          <w:bCs/>
          <w:sz w:val="32"/>
          <w:szCs w:val="32"/>
        </w:rPr>
      </w:pPr>
      <w:r>
        <w:rPr>
          <w:bCs/>
          <w:sz w:val="32"/>
          <w:szCs w:val="32"/>
        </w:rPr>
        <w:t>Sponsoring Company: Betta Pharmaceuticals Co., Ltd.</w:t>
      </w:r>
    </w:p>
    <w:p w14:paraId="311E10A7" w14:textId="66803BD2" w:rsidR="005D1745" w:rsidRDefault="004B6ABE">
      <w:pPr>
        <w:spacing w:afterLines="0" w:after="0" w:line="240" w:lineRule="auto"/>
        <w:jc w:val="left"/>
        <w:rPr>
          <w:bCs/>
          <w:sz w:val="32"/>
          <w:szCs w:val="32"/>
        </w:rPr>
      </w:pPr>
      <w:r>
        <w:rPr>
          <w:bCs/>
          <w:sz w:val="32"/>
          <w:szCs w:val="32"/>
        </w:rPr>
        <w:t xml:space="preserve">Protocol Number: </w:t>
      </w:r>
      <w:r w:rsidR="009220C0">
        <w:rPr>
          <w:bCs/>
          <w:sz w:val="32"/>
          <w:szCs w:val="32"/>
        </w:rPr>
        <w:t>GASTO1002</w:t>
      </w:r>
    </w:p>
    <w:p w14:paraId="714C59BF" w14:textId="37535EAB" w:rsidR="005D1745" w:rsidRDefault="004B6ABE">
      <w:pPr>
        <w:spacing w:afterLines="0" w:after="0" w:line="240" w:lineRule="auto"/>
        <w:jc w:val="left"/>
        <w:rPr>
          <w:bCs/>
          <w:sz w:val="32"/>
          <w:szCs w:val="32"/>
        </w:rPr>
      </w:pPr>
      <w:r>
        <w:rPr>
          <w:bCs/>
          <w:sz w:val="32"/>
          <w:szCs w:val="32"/>
        </w:rPr>
        <w:t xml:space="preserve">Protocol Version Number: </w:t>
      </w:r>
      <w:r w:rsidR="00D63153" w:rsidRPr="007119B3">
        <w:rPr>
          <w:bCs/>
          <w:sz w:val="32"/>
          <w:szCs w:val="32"/>
        </w:rPr>
        <w:t>3.0</w:t>
      </w:r>
      <w:r w:rsidRPr="007119B3">
        <w:rPr>
          <w:bCs/>
          <w:sz w:val="32"/>
          <w:szCs w:val="32"/>
        </w:rPr>
        <w:t xml:space="preserve">, </w:t>
      </w:r>
      <w:r w:rsidR="00CE7A5E" w:rsidRPr="007119B3">
        <w:rPr>
          <w:bCs/>
          <w:sz w:val="32"/>
          <w:szCs w:val="32"/>
        </w:rPr>
        <w:t>September</w:t>
      </w:r>
      <w:r w:rsidR="00D63153" w:rsidRPr="007119B3">
        <w:rPr>
          <w:bCs/>
          <w:sz w:val="32"/>
          <w:szCs w:val="32"/>
        </w:rPr>
        <w:t xml:space="preserve"> 1</w:t>
      </w:r>
      <w:r w:rsidRPr="007119B3">
        <w:rPr>
          <w:bCs/>
          <w:sz w:val="32"/>
          <w:szCs w:val="32"/>
        </w:rPr>
        <w:t xml:space="preserve">, </w:t>
      </w:r>
      <w:r w:rsidR="006934A2" w:rsidRPr="007119B3">
        <w:rPr>
          <w:bCs/>
          <w:sz w:val="32"/>
          <w:szCs w:val="32"/>
        </w:rPr>
        <w:t>2020</w:t>
      </w:r>
    </w:p>
    <w:p w14:paraId="3A61622D" w14:textId="77777777" w:rsidR="005D1745" w:rsidRDefault="005D1745">
      <w:pPr>
        <w:spacing w:after="240"/>
        <w:jc w:val="left"/>
        <w:rPr>
          <w:bCs/>
          <w:sz w:val="32"/>
          <w:szCs w:val="32"/>
        </w:rPr>
      </w:pPr>
    </w:p>
    <w:p w14:paraId="1D06E349" w14:textId="77777777" w:rsidR="005D1745" w:rsidRDefault="005D1745">
      <w:pPr>
        <w:spacing w:after="240"/>
        <w:jc w:val="center"/>
        <w:rPr>
          <w:b/>
          <w:sz w:val="32"/>
          <w:szCs w:val="32"/>
        </w:rPr>
      </w:pPr>
    </w:p>
    <w:p w14:paraId="52974C60" w14:textId="77777777" w:rsidR="00237DE7" w:rsidRPr="00237DE7" w:rsidRDefault="004B6ABE" w:rsidP="006142E7">
      <w:pPr>
        <w:spacing w:after="240"/>
        <w:jc w:val="center"/>
        <w:rPr>
          <w:sz w:val="24"/>
          <w:szCs w:val="32"/>
        </w:rPr>
      </w:pPr>
      <w:bookmarkStart w:id="0" w:name="_Toc20663"/>
      <w:bookmarkStart w:id="1" w:name="_Toc27157"/>
      <w:bookmarkStart w:id="2" w:name="_Toc25262"/>
      <w:r w:rsidRPr="00237DE7">
        <w:rPr>
          <w:rFonts w:hint="eastAsia"/>
          <w:sz w:val="24"/>
          <w:szCs w:val="32"/>
        </w:rPr>
        <w:t>Confidentiality Statement</w:t>
      </w:r>
      <w:bookmarkEnd w:id="0"/>
      <w:bookmarkEnd w:id="1"/>
      <w:bookmarkEnd w:id="2"/>
    </w:p>
    <w:p w14:paraId="3DF6C9B3" w14:textId="53A02519" w:rsidR="005D1745" w:rsidRDefault="004B6ABE" w:rsidP="00237DE7">
      <w:pPr>
        <w:spacing w:after="240"/>
        <w:rPr>
          <w:b/>
          <w:sz w:val="32"/>
          <w:szCs w:val="32"/>
        </w:rPr>
      </w:pPr>
      <w:r w:rsidRPr="00237DE7">
        <w:t>The information contained in this document (especially unpublished data) is the property of the sponsor. Therefore, the informatio</w:t>
      </w:r>
      <w:bookmarkStart w:id="3" w:name="OLE_LINK33"/>
      <w:r w:rsidRPr="00237DE7">
        <w:t>n provided to you (</w:t>
      </w:r>
      <w:r w:rsidR="008C57DA">
        <w:t>about</w:t>
      </w:r>
      <w:r w:rsidR="00AD6EA5">
        <w:t xml:space="preserve"> </w:t>
      </w:r>
      <w:r w:rsidRPr="00237DE7">
        <w:t>investigators, potential investigators, or consultants) is confidential and may only be used for review by you, your employees, or the relevant ethics committee. Except for the situa</w:t>
      </w:r>
      <w:bookmarkEnd w:id="3"/>
      <w:r w:rsidRPr="00237DE7">
        <w:t>tion where information needs to be provided to obtain informed consent from potential patients, this document's information must not be disclosed to others without the written permission of the sponsor.</w:t>
      </w:r>
      <w:r>
        <w:rPr>
          <w:b/>
          <w:sz w:val="32"/>
          <w:szCs w:val="32"/>
        </w:rPr>
        <w:tab/>
      </w:r>
    </w:p>
    <w:p w14:paraId="07D7F9C5" w14:textId="77777777" w:rsidR="005D1745" w:rsidRDefault="005D1745">
      <w:pPr>
        <w:tabs>
          <w:tab w:val="left" w:pos="5367"/>
        </w:tabs>
        <w:spacing w:after="240"/>
        <w:jc w:val="left"/>
        <w:rPr>
          <w:b/>
          <w:sz w:val="32"/>
          <w:szCs w:val="32"/>
        </w:rPr>
      </w:pPr>
    </w:p>
    <w:p w14:paraId="38199C1E" w14:textId="77777777" w:rsidR="005D1745" w:rsidRDefault="004B6ABE">
      <w:pPr>
        <w:spacing w:after="240"/>
        <w:jc w:val="center"/>
        <w:outlineLvl w:val="0"/>
        <w:rPr>
          <w:rStyle w:val="10"/>
        </w:rPr>
      </w:pPr>
      <w:r>
        <w:rPr>
          <w:b/>
          <w:sz w:val="24"/>
        </w:rPr>
        <w:br w:type="page"/>
      </w:r>
      <w:bookmarkStart w:id="4" w:name="_Toc29627"/>
      <w:bookmarkStart w:id="5" w:name="_Toc27210"/>
      <w:bookmarkStart w:id="6" w:name="_Toc7922"/>
      <w:bookmarkStart w:id="7" w:name="_Toc17683"/>
      <w:bookmarkStart w:id="8" w:name="_Toc29165"/>
      <w:bookmarkStart w:id="9" w:name="_Toc24890"/>
      <w:bookmarkStart w:id="10" w:name="_Toc15195"/>
      <w:bookmarkStart w:id="11" w:name="_Toc8428"/>
      <w:bookmarkStart w:id="12" w:name="_Toc10917"/>
      <w:bookmarkStart w:id="13" w:name="_Toc28275"/>
      <w:bookmarkStart w:id="14" w:name="_Toc12607"/>
      <w:bookmarkStart w:id="15" w:name="_Toc9565"/>
      <w:bookmarkStart w:id="16" w:name="_Toc19205"/>
      <w:bookmarkStart w:id="17" w:name="_Toc28101"/>
      <w:bookmarkStart w:id="18" w:name="_Toc11117"/>
      <w:bookmarkStart w:id="19" w:name="_Toc27348"/>
      <w:bookmarkStart w:id="20" w:name="_Toc22345"/>
      <w:bookmarkStart w:id="21" w:name="_Toc30489"/>
      <w:bookmarkStart w:id="22" w:name="_Toc18781"/>
      <w:bookmarkStart w:id="23" w:name="_Toc5443"/>
      <w:bookmarkStart w:id="24" w:name="_Toc20221"/>
      <w:bookmarkStart w:id="25" w:name="_Toc15570"/>
      <w:bookmarkStart w:id="26" w:name="_Toc4298"/>
      <w:bookmarkStart w:id="27" w:name="_Toc21856"/>
      <w:bookmarkStart w:id="28" w:name="_Toc14155"/>
      <w:bookmarkStart w:id="29" w:name="_Toc11776"/>
      <w:bookmarkStart w:id="30" w:name="_Toc170380163"/>
      <w:r>
        <w:rPr>
          <w:rStyle w:val="10"/>
        </w:rPr>
        <w:lastRenderedPageBreak/>
        <w:t>PROTOCOL SYNOPSIS</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W w:w="0" w:type="auto"/>
        <w:jc w:val="center"/>
        <w:tblBorders>
          <w:insideH w:val="single" w:sz="4" w:space="0" w:color="auto"/>
        </w:tblBorders>
        <w:tblLayout w:type="fixed"/>
        <w:tblLook w:val="04A0" w:firstRow="1" w:lastRow="0" w:firstColumn="1" w:lastColumn="0" w:noHBand="0" w:noVBand="1"/>
      </w:tblPr>
      <w:tblGrid>
        <w:gridCol w:w="1437"/>
        <w:gridCol w:w="7671"/>
      </w:tblGrid>
      <w:tr w:rsidR="005D1745" w14:paraId="7DE8E198" w14:textId="77777777">
        <w:trPr>
          <w:trHeight w:val="1120"/>
          <w:jc w:val="center"/>
        </w:trPr>
        <w:tc>
          <w:tcPr>
            <w:tcW w:w="1437" w:type="dxa"/>
            <w:tcBorders>
              <w:top w:val="single" w:sz="4" w:space="0" w:color="auto"/>
              <w:left w:val="single" w:sz="4" w:space="0" w:color="auto"/>
              <w:bottom w:val="single" w:sz="4" w:space="0" w:color="auto"/>
              <w:right w:val="single" w:sz="4" w:space="0" w:color="auto"/>
            </w:tcBorders>
            <w:vAlign w:val="center"/>
          </w:tcPr>
          <w:p w14:paraId="2129363B" w14:textId="77777777" w:rsidR="005D1745" w:rsidRDefault="004B6ABE">
            <w:pPr>
              <w:spacing w:after="240"/>
              <w:rPr>
                <w:b/>
                <w:bCs/>
                <w:szCs w:val="21"/>
              </w:rPr>
            </w:pPr>
            <w:r>
              <w:rPr>
                <w:b/>
                <w:bCs/>
              </w:rPr>
              <w:t>Title</w:t>
            </w:r>
          </w:p>
        </w:tc>
        <w:tc>
          <w:tcPr>
            <w:tcW w:w="7671" w:type="dxa"/>
            <w:tcBorders>
              <w:top w:val="single" w:sz="4" w:space="0" w:color="auto"/>
              <w:left w:val="single" w:sz="4" w:space="0" w:color="auto"/>
              <w:bottom w:val="single" w:sz="4" w:space="0" w:color="auto"/>
              <w:right w:val="single" w:sz="4" w:space="0" w:color="auto"/>
            </w:tcBorders>
            <w:vAlign w:val="center"/>
          </w:tcPr>
          <w:p w14:paraId="57F70135" w14:textId="7D28C74B" w:rsidR="005D1745" w:rsidRDefault="004B6ABE" w:rsidP="00A35840">
            <w:pPr>
              <w:spacing w:afterLines="0" w:after="0"/>
              <w:rPr>
                <w:szCs w:val="21"/>
              </w:rPr>
            </w:pPr>
            <w:r>
              <w:rPr>
                <w:szCs w:val="21"/>
              </w:rPr>
              <w:t xml:space="preserve">Adjuvant </w:t>
            </w:r>
            <w:r w:rsidR="00237DE7">
              <w:rPr>
                <w:szCs w:val="21"/>
              </w:rPr>
              <w:t>Icotinib</w:t>
            </w:r>
            <w:r>
              <w:rPr>
                <w:szCs w:val="21"/>
              </w:rPr>
              <w:t xml:space="preserve"> of 12 months or 6 months versus observation following adjuvant chemotherapy for resected EGFR-mutated stage II–IIIA non-small-cell lung cancer (ICTAN</w:t>
            </w:r>
            <w:r w:rsidR="009220C0">
              <w:rPr>
                <w:szCs w:val="21"/>
              </w:rPr>
              <w:t>, GASTO1002</w:t>
            </w:r>
            <w:r>
              <w:rPr>
                <w:szCs w:val="21"/>
              </w:rPr>
              <w:t xml:space="preserve">): a randomized phase </w:t>
            </w:r>
            <w:r w:rsidR="00A35840">
              <w:rPr>
                <w:szCs w:val="21"/>
              </w:rPr>
              <w:t>III</w:t>
            </w:r>
            <w:r>
              <w:rPr>
                <w:szCs w:val="21"/>
              </w:rPr>
              <w:t xml:space="preserve"> trial</w:t>
            </w:r>
          </w:p>
        </w:tc>
      </w:tr>
      <w:tr w:rsidR="005D1745" w14:paraId="60060745" w14:textId="77777777">
        <w:trPr>
          <w:trHeight w:val="737"/>
          <w:jc w:val="center"/>
        </w:trPr>
        <w:tc>
          <w:tcPr>
            <w:tcW w:w="1437" w:type="dxa"/>
            <w:tcBorders>
              <w:top w:val="single" w:sz="4" w:space="0" w:color="auto"/>
              <w:left w:val="single" w:sz="4" w:space="0" w:color="auto"/>
              <w:bottom w:val="single" w:sz="4" w:space="0" w:color="auto"/>
              <w:right w:val="single" w:sz="4" w:space="0" w:color="auto"/>
            </w:tcBorders>
            <w:vAlign w:val="center"/>
          </w:tcPr>
          <w:p w14:paraId="0230EAB0" w14:textId="77777777" w:rsidR="005D1745" w:rsidRDefault="004B6ABE">
            <w:pPr>
              <w:spacing w:after="240"/>
              <w:rPr>
                <w:b/>
                <w:bCs/>
                <w:szCs w:val="21"/>
              </w:rPr>
            </w:pPr>
            <w:r>
              <w:rPr>
                <w:b/>
                <w:bCs/>
              </w:rPr>
              <w:t>Principal Investigator</w:t>
            </w:r>
          </w:p>
        </w:tc>
        <w:tc>
          <w:tcPr>
            <w:tcW w:w="7671" w:type="dxa"/>
            <w:tcBorders>
              <w:top w:val="single" w:sz="4" w:space="0" w:color="auto"/>
              <w:left w:val="single" w:sz="4" w:space="0" w:color="auto"/>
              <w:bottom w:val="single" w:sz="4" w:space="0" w:color="auto"/>
              <w:right w:val="single" w:sz="4" w:space="0" w:color="auto"/>
            </w:tcBorders>
            <w:vAlign w:val="center"/>
          </w:tcPr>
          <w:p w14:paraId="54A259C0" w14:textId="77777777" w:rsidR="005D1745" w:rsidRDefault="004B6ABE">
            <w:pPr>
              <w:spacing w:afterLines="0" w:after="0"/>
              <w:rPr>
                <w:szCs w:val="21"/>
              </w:rPr>
            </w:pPr>
            <w:r>
              <w:rPr>
                <w:szCs w:val="21"/>
              </w:rPr>
              <w:t xml:space="preserve">Si-Yu Wang </w:t>
            </w:r>
          </w:p>
        </w:tc>
      </w:tr>
      <w:tr w:rsidR="005D1745" w14:paraId="32F21AD8" w14:textId="77777777">
        <w:trPr>
          <w:trHeight w:val="1960"/>
          <w:jc w:val="center"/>
        </w:trPr>
        <w:tc>
          <w:tcPr>
            <w:tcW w:w="1437" w:type="dxa"/>
            <w:tcBorders>
              <w:top w:val="single" w:sz="4" w:space="0" w:color="auto"/>
              <w:left w:val="single" w:sz="4" w:space="0" w:color="auto"/>
              <w:right w:val="single" w:sz="4" w:space="0" w:color="auto"/>
            </w:tcBorders>
            <w:vAlign w:val="center"/>
          </w:tcPr>
          <w:p w14:paraId="08FA67CC" w14:textId="77777777" w:rsidR="005D1745" w:rsidRDefault="004B6ABE">
            <w:pPr>
              <w:spacing w:after="240"/>
              <w:rPr>
                <w:b/>
                <w:bCs/>
                <w:szCs w:val="21"/>
              </w:rPr>
            </w:pPr>
            <w:bookmarkStart w:id="31" w:name="_Toc17582"/>
            <w:bookmarkStart w:id="32" w:name="_Toc15452"/>
            <w:bookmarkStart w:id="33" w:name="_Toc28420"/>
            <w:bookmarkStart w:id="34" w:name="_Toc12098"/>
            <w:bookmarkStart w:id="35" w:name="_Toc10697"/>
            <w:bookmarkStart w:id="36" w:name="_Toc14659"/>
            <w:bookmarkStart w:id="37" w:name="_Toc28679"/>
            <w:bookmarkStart w:id="38" w:name="_Toc26893"/>
            <w:bookmarkStart w:id="39" w:name="_Toc28117"/>
            <w:bookmarkStart w:id="40" w:name="_Toc5108"/>
            <w:r>
              <w:rPr>
                <w:b/>
                <w:bCs/>
              </w:rPr>
              <w:t>Objective</w:t>
            </w:r>
            <w:bookmarkEnd w:id="31"/>
            <w:bookmarkEnd w:id="32"/>
            <w:bookmarkEnd w:id="33"/>
            <w:bookmarkEnd w:id="34"/>
            <w:bookmarkEnd w:id="35"/>
            <w:bookmarkEnd w:id="36"/>
            <w:bookmarkEnd w:id="37"/>
            <w:bookmarkEnd w:id="38"/>
            <w:bookmarkEnd w:id="39"/>
            <w:bookmarkEnd w:id="40"/>
          </w:p>
        </w:tc>
        <w:tc>
          <w:tcPr>
            <w:tcW w:w="7671" w:type="dxa"/>
            <w:tcBorders>
              <w:top w:val="single" w:sz="4" w:space="0" w:color="auto"/>
              <w:left w:val="single" w:sz="4" w:space="0" w:color="auto"/>
              <w:bottom w:val="single" w:sz="4" w:space="0" w:color="auto"/>
              <w:right w:val="single" w:sz="4" w:space="0" w:color="auto"/>
            </w:tcBorders>
            <w:vAlign w:val="center"/>
          </w:tcPr>
          <w:p w14:paraId="35D1F4C7" w14:textId="0DBDA6B3" w:rsidR="005D1745" w:rsidRDefault="004B6ABE" w:rsidP="001939C7">
            <w:pPr>
              <w:adjustRightInd w:val="0"/>
              <w:spacing w:afterLines="0" w:after="0"/>
              <w:jc w:val="left"/>
            </w:pPr>
            <w:r>
              <w:t xml:space="preserve">To further investigate the efficacy of sequential chemotherapy and </w:t>
            </w:r>
            <w:r w:rsidR="001939C7">
              <w:rPr>
                <w:rFonts w:hint="eastAsia"/>
              </w:rPr>
              <w:t>an</w:t>
            </w:r>
            <w:r w:rsidR="001939C7">
              <w:t xml:space="preserve"> </w:t>
            </w:r>
            <w:r>
              <w:t xml:space="preserve">epidermal growth factor receptor tyrosine kinase inhibitor (EGFR-TKI) as postoperative adjuvant therapy for </w:t>
            </w:r>
            <w:r w:rsidR="001939C7">
              <w:t>EGFR-</w:t>
            </w:r>
            <w:r>
              <w:t xml:space="preserve">mutant non-small cell lung cancer: to explore the optimal duration of EGFR-TKI use in the adjuvant </w:t>
            </w:r>
            <w:r w:rsidR="001939C7">
              <w:t xml:space="preserve">setting. </w:t>
            </w:r>
          </w:p>
        </w:tc>
      </w:tr>
      <w:tr w:rsidR="005D1745" w14:paraId="2759C8FF" w14:textId="77777777">
        <w:trPr>
          <w:trHeight w:val="1124"/>
          <w:jc w:val="center"/>
        </w:trPr>
        <w:tc>
          <w:tcPr>
            <w:tcW w:w="1437" w:type="dxa"/>
            <w:tcBorders>
              <w:top w:val="single" w:sz="4" w:space="0" w:color="auto"/>
              <w:left w:val="single" w:sz="4" w:space="0" w:color="auto"/>
              <w:right w:val="single" w:sz="4" w:space="0" w:color="auto"/>
            </w:tcBorders>
            <w:vAlign w:val="center"/>
          </w:tcPr>
          <w:p w14:paraId="41C7CCBB" w14:textId="77777777" w:rsidR="005D1745" w:rsidRDefault="004B6ABE">
            <w:pPr>
              <w:spacing w:after="240"/>
              <w:rPr>
                <w:b/>
                <w:bCs/>
              </w:rPr>
            </w:pPr>
            <w:bookmarkStart w:id="41" w:name="_Toc3605"/>
            <w:bookmarkStart w:id="42" w:name="_Toc4067"/>
            <w:bookmarkStart w:id="43" w:name="_Toc778"/>
            <w:bookmarkStart w:id="44" w:name="_Toc326"/>
            <w:bookmarkStart w:id="45" w:name="_Toc13384"/>
            <w:bookmarkStart w:id="46" w:name="_Toc22783"/>
            <w:bookmarkStart w:id="47" w:name="_Toc11002"/>
            <w:bookmarkStart w:id="48" w:name="_Toc8701"/>
            <w:bookmarkStart w:id="49" w:name="_Toc9827"/>
            <w:bookmarkStart w:id="50" w:name="_Toc19093"/>
            <w:r>
              <w:rPr>
                <w:b/>
                <w:bCs/>
              </w:rPr>
              <w:t>Endpoints</w:t>
            </w:r>
            <w:bookmarkEnd w:id="41"/>
            <w:bookmarkEnd w:id="42"/>
            <w:bookmarkEnd w:id="43"/>
            <w:bookmarkEnd w:id="44"/>
            <w:bookmarkEnd w:id="45"/>
            <w:bookmarkEnd w:id="46"/>
            <w:bookmarkEnd w:id="47"/>
            <w:bookmarkEnd w:id="48"/>
            <w:bookmarkEnd w:id="49"/>
            <w:bookmarkEnd w:id="50"/>
          </w:p>
        </w:tc>
        <w:tc>
          <w:tcPr>
            <w:tcW w:w="7671" w:type="dxa"/>
            <w:tcBorders>
              <w:top w:val="single" w:sz="4" w:space="0" w:color="auto"/>
              <w:left w:val="single" w:sz="4" w:space="0" w:color="auto"/>
              <w:bottom w:val="single" w:sz="4" w:space="0" w:color="auto"/>
              <w:right w:val="single" w:sz="4" w:space="0" w:color="auto"/>
            </w:tcBorders>
            <w:vAlign w:val="center"/>
          </w:tcPr>
          <w:p w14:paraId="2FDD6E77" w14:textId="4E7352AC" w:rsidR="005D1745" w:rsidRDefault="004B6ABE" w:rsidP="000C00F6">
            <w:pPr>
              <w:spacing w:afterLines="0" w:after="0"/>
              <w:jc w:val="left"/>
            </w:pPr>
            <w:r>
              <w:t>Primary Endpoint: Disease-free survival (DFS)</w:t>
            </w:r>
            <w:r w:rsidR="00D5200B">
              <w:t xml:space="preserve"> </w:t>
            </w:r>
            <w:r w:rsidR="000C00F6">
              <w:t>according to investigator assessment</w:t>
            </w:r>
          </w:p>
          <w:p w14:paraId="66867D56" w14:textId="346E626C" w:rsidR="005D1745" w:rsidRDefault="004B6ABE" w:rsidP="00956654">
            <w:pPr>
              <w:spacing w:afterLines="0" w:after="0"/>
              <w:jc w:val="left"/>
            </w:pPr>
            <w:r>
              <w:t xml:space="preserve">Secondary Endpoints: Overall survival (OS); </w:t>
            </w:r>
            <w:r w:rsidR="00552513">
              <w:t>brain</w:t>
            </w:r>
            <w:r w:rsidR="00956654">
              <w:t xml:space="preserve"> </w:t>
            </w:r>
            <w:r w:rsidR="00552513">
              <w:t>metastasis-free survival</w:t>
            </w:r>
            <w:r w:rsidR="0091315C">
              <w:t xml:space="preserve"> (BMFS)</w:t>
            </w:r>
            <w:r w:rsidR="00552513">
              <w:t xml:space="preserve">; </w:t>
            </w:r>
            <w:r>
              <w:t>safety and tolerability; quality of life.</w:t>
            </w:r>
          </w:p>
        </w:tc>
      </w:tr>
      <w:tr w:rsidR="005D1745" w14:paraId="42D081AA" w14:textId="77777777">
        <w:trPr>
          <w:trHeight w:val="850"/>
          <w:jc w:val="center"/>
        </w:trPr>
        <w:tc>
          <w:tcPr>
            <w:tcW w:w="1437" w:type="dxa"/>
            <w:tcBorders>
              <w:top w:val="single" w:sz="4" w:space="0" w:color="auto"/>
              <w:left w:val="single" w:sz="4" w:space="0" w:color="auto"/>
              <w:bottom w:val="single" w:sz="4" w:space="0" w:color="auto"/>
              <w:right w:val="single" w:sz="4" w:space="0" w:color="auto"/>
            </w:tcBorders>
            <w:vAlign w:val="center"/>
          </w:tcPr>
          <w:p w14:paraId="67B6DD98" w14:textId="77777777" w:rsidR="005D1745" w:rsidRDefault="004B6ABE">
            <w:pPr>
              <w:spacing w:after="240"/>
            </w:pPr>
            <w:r>
              <w:rPr>
                <w:b/>
                <w:bCs/>
              </w:rPr>
              <w:t>Study Design</w:t>
            </w:r>
          </w:p>
        </w:tc>
        <w:tc>
          <w:tcPr>
            <w:tcW w:w="7671" w:type="dxa"/>
            <w:tcBorders>
              <w:top w:val="single" w:sz="4" w:space="0" w:color="auto"/>
              <w:left w:val="single" w:sz="4" w:space="0" w:color="auto"/>
              <w:bottom w:val="single" w:sz="4" w:space="0" w:color="auto"/>
              <w:right w:val="single" w:sz="4" w:space="0" w:color="auto"/>
            </w:tcBorders>
            <w:vAlign w:val="center"/>
          </w:tcPr>
          <w:p w14:paraId="1ED1AA33" w14:textId="5B750DA3" w:rsidR="005D1745" w:rsidRDefault="004B6ABE" w:rsidP="00FC3D19">
            <w:pPr>
              <w:widowControl/>
              <w:spacing w:afterLines="0" w:after="0" w:line="360" w:lineRule="atLeast"/>
            </w:pPr>
            <w:r>
              <w:rPr>
                <w:szCs w:val="21"/>
              </w:rPr>
              <w:t>Multi-center, randomized, prospective, open-label</w:t>
            </w:r>
            <w:r w:rsidR="0055481E">
              <w:rPr>
                <w:szCs w:val="21"/>
              </w:rPr>
              <w:t>,</w:t>
            </w:r>
            <w:r>
              <w:rPr>
                <w:szCs w:val="21"/>
              </w:rPr>
              <w:t xml:space="preserve"> </w:t>
            </w:r>
            <w:r w:rsidR="0055481E">
              <w:rPr>
                <w:szCs w:val="21"/>
              </w:rPr>
              <w:t>p</w:t>
            </w:r>
            <w:r>
              <w:rPr>
                <w:szCs w:val="21"/>
              </w:rPr>
              <w:t xml:space="preserve">hase III </w:t>
            </w:r>
            <w:r w:rsidR="00FC3D19">
              <w:rPr>
                <w:szCs w:val="21"/>
              </w:rPr>
              <w:t>trial</w:t>
            </w:r>
          </w:p>
        </w:tc>
      </w:tr>
      <w:tr w:rsidR="005D1745" w14:paraId="2B2D23D3" w14:textId="77777777">
        <w:trPr>
          <w:trHeight w:val="726"/>
          <w:jc w:val="center"/>
        </w:trPr>
        <w:tc>
          <w:tcPr>
            <w:tcW w:w="1437" w:type="dxa"/>
            <w:tcBorders>
              <w:top w:val="single" w:sz="4" w:space="0" w:color="auto"/>
              <w:left w:val="single" w:sz="4" w:space="0" w:color="auto"/>
              <w:bottom w:val="single" w:sz="4" w:space="0" w:color="auto"/>
              <w:right w:val="single" w:sz="4" w:space="0" w:color="auto"/>
            </w:tcBorders>
            <w:vAlign w:val="center"/>
          </w:tcPr>
          <w:p w14:paraId="20A81429" w14:textId="77777777" w:rsidR="005D1745" w:rsidRDefault="004B6ABE">
            <w:pPr>
              <w:spacing w:after="240"/>
              <w:jc w:val="left"/>
              <w:rPr>
                <w:b/>
                <w:bCs/>
              </w:rPr>
            </w:pPr>
            <w:r>
              <w:rPr>
                <w:b/>
                <w:bCs/>
              </w:rPr>
              <w:t>Number of cases</w:t>
            </w:r>
          </w:p>
        </w:tc>
        <w:tc>
          <w:tcPr>
            <w:tcW w:w="7671" w:type="dxa"/>
            <w:tcBorders>
              <w:top w:val="single" w:sz="4" w:space="0" w:color="auto"/>
              <w:left w:val="single" w:sz="4" w:space="0" w:color="auto"/>
              <w:bottom w:val="single" w:sz="4" w:space="0" w:color="auto"/>
              <w:right w:val="single" w:sz="4" w:space="0" w:color="auto"/>
            </w:tcBorders>
            <w:vAlign w:val="center"/>
          </w:tcPr>
          <w:p w14:paraId="23BE7CE4" w14:textId="56BF7D67" w:rsidR="005D1745" w:rsidRDefault="00E962C3">
            <w:pPr>
              <w:spacing w:after="240"/>
            </w:pPr>
            <w:r>
              <w:t>318</w:t>
            </w:r>
          </w:p>
        </w:tc>
      </w:tr>
      <w:tr w:rsidR="005D1745" w14:paraId="6758CB41" w14:textId="77777777">
        <w:trPr>
          <w:trHeight w:val="915"/>
          <w:jc w:val="center"/>
        </w:trPr>
        <w:tc>
          <w:tcPr>
            <w:tcW w:w="1437" w:type="dxa"/>
            <w:tcBorders>
              <w:top w:val="single" w:sz="4" w:space="0" w:color="auto"/>
              <w:left w:val="single" w:sz="4" w:space="0" w:color="auto"/>
              <w:bottom w:val="single" w:sz="4" w:space="0" w:color="auto"/>
              <w:right w:val="single" w:sz="4" w:space="0" w:color="auto"/>
            </w:tcBorders>
            <w:vAlign w:val="center"/>
          </w:tcPr>
          <w:p w14:paraId="1B7F0301" w14:textId="77777777" w:rsidR="005D1745" w:rsidRDefault="004B6ABE">
            <w:pPr>
              <w:spacing w:after="240"/>
              <w:rPr>
                <w:b/>
              </w:rPr>
            </w:pPr>
            <w:r>
              <w:rPr>
                <w:b/>
              </w:rPr>
              <w:t>Target population</w:t>
            </w:r>
          </w:p>
        </w:tc>
        <w:tc>
          <w:tcPr>
            <w:tcW w:w="7671" w:type="dxa"/>
            <w:tcBorders>
              <w:top w:val="single" w:sz="4" w:space="0" w:color="auto"/>
              <w:left w:val="single" w:sz="4" w:space="0" w:color="auto"/>
              <w:bottom w:val="single" w:sz="4" w:space="0" w:color="auto"/>
              <w:right w:val="single" w:sz="4" w:space="0" w:color="auto"/>
            </w:tcBorders>
            <w:vAlign w:val="center"/>
          </w:tcPr>
          <w:p w14:paraId="479BD86C" w14:textId="06CB5F12" w:rsidR="005D1745" w:rsidRDefault="004B6ABE" w:rsidP="0055481E">
            <w:pPr>
              <w:tabs>
                <w:tab w:val="left" w:pos="284"/>
              </w:tabs>
              <w:spacing w:after="240"/>
            </w:pPr>
            <w:r>
              <w:t>Postoperative TNM stage II-IIIA EGF</w:t>
            </w:r>
            <w:r w:rsidR="0055481E">
              <w:t>R-</w:t>
            </w:r>
            <w:r>
              <w:t xml:space="preserve">mutant non-small cell lung cancer patients who have received </w:t>
            </w:r>
            <w:r w:rsidR="00E962C3">
              <w:t>2-</w:t>
            </w:r>
            <w:r w:rsidR="0055481E">
              <w:t xml:space="preserve">4 </w:t>
            </w:r>
            <w:r>
              <w:t>standard cycles of adjuvant chemotherapy.</w:t>
            </w:r>
          </w:p>
        </w:tc>
      </w:tr>
      <w:tr w:rsidR="005D1745" w14:paraId="09932353" w14:textId="77777777">
        <w:trPr>
          <w:trHeight w:val="1240"/>
          <w:jc w:val="center"/>
        </w:trPr>
        <w:tc>
          <w:tcPr>
            <w:tcW w:w="1437" w:type="dxa"/>
            <w:tcBorders>
              <w:top w:val="single" w:sz="4" w:space="0" w:color="auto"/>
              <w:left w:val="single" w:sz="4" w:space="0" w:color="auto"/>
              <w:bottom w:val="single" w:sz="4" w:space="0" w:color="auto"/>
              <w:right w:val="single" w:sz="4" w:space="0" w:color="auto"/>
            </w:tcBorders>
            <w:vAlign w:val="center"/>
          </w:tcPr>
          <w:p w14:paraId="2853ED9F" w14:textId="77777777" w:rsidR="005D1745" w:rsidRDefault="004B6ABE">
            <w:pPr>
              <w:spacing w:afterLines="0" w:after="0"/>
              <w:rPr>
                <w:b/>
              </w:rPr>
            </w:pPr>
            <w:r>
              <w:rPr>
                <w:b/>
              </w:rPr>
              <w:t>Inclusion Criteria</w:t>
            </w:r>
          </w:p>
        </w:tc>
        <w:tc>
          <w:tcPr>
            <w:tcW w:w="7671" w:type="dxa"/>
            <w:tcBorders>
              <w:top w:val="single" w:sz="4" w:space="0" w:color="auto"/>
              <w:left w:val="single" w:sz="4" w:space="0" w:color="auto"/>
              <w:bottom w:val="single" w:sz="4" w:space="0" w:color="auto"/>
              <w:right w:val="single" w:sz="4" w:space="0" w:color="auto"/>
            </w:tcBorders>
            <w:vAlign w:val="center"/>
          </w:tcPr>
          <w:p w14:paraId="22638DCB" w14:textId="77777777" w:rsidR="005D1745" w:rsidRDefault="004B6ABE">
            <w:pPr>
              <w:spacing w:afterLines="0" w:after="0"/>
              <w:rPr>
                <w:b/>
                <w:szCs w:val="21"/>
              </w:rPr>
            </w:pPr>
            <w:r>
              <w:rPr>
                <w:b/>
                <w:szCs w:val="21"/>
              </w:rPr>
              <w:t>Inclusion Criteria Related to the Disease:</w:t>
            </w:r>
          </w:p>
          <w:p w14:paraId="68988881" w14:textId="2001D2B0" w:rsidR="005D1745" w:rsidRDefault="004B6ABE">
            <w:pPr>
              <w:spacing w:afterLines="0" w:after="0"/>
              <w:rPr>
                <w:bCs/>
                <w:szCs w:val="21"/>
              </w:rPr>
            </w:pPr>
            <w:r>
              <w:rPr>
                <w:b/>
                <w:szCs w:val="21"/>
              </w:rPr>
              <w:t xml:space="preserve">• </w:t>
            </w:r>
            <w:r>
              <w:rPr>
                <w:bCs/>
                <w:szCs w:val="21"/>
              </w:rPr>
              <w:t>Postoperative histopathology confirmed R0 resection for TNM stage II-IIIA non-small cell lung cancer, accompanied by EGFR mutation positivity (exon 19 deletion or exon 21 L858R mutation);</w:t>
            </w:r>
          </w:p>
          <w:p w14:paraId="055817C3" w14:textId="0AB8360C" w:rsidR="005D1745" w:rsidRDefault="004B6ABE">
            <w:pPr>
              <w:spacing w:afterLines="0" w:after="0"/>
              <w:rPr>
                <w:bCs/>
                <w:szCs w:val="21"/>
              </w:rPr>
            </w:pPr>
            <w:r>
              <w:rPr>
                <w:bCs/>
                <w:szCs w:val="21"/>
              </w:rPr>
              <w:t xml:space="preserve">• Received </w:t>
            </w:r>
            <w:r w:rsidR="00E962C3">
              <w:rPr>
                <w:bCs/>
                <w:szCs w:val="21"/>
              </w:rPr>
              <w:t>2-</w:t>
            </w:r>
            <w:r>
              <w:rPr>
                <w:bCs/>
                <w:szCs w:val="21"/>
              </w:rPr>
              <w:t>4 cycles of adjuvant chemotherapy postoperatively; the adjuvant chemotherapy regimen consists of third-generation chemotherapy drugs (gemcitabine, vinorelbine, paclitaxel, or docetaxel) combined with carboplatin or cisplatin. For patients with lung adenocarcinoma, pemetrexed combined with carboplatin or cisplatin can be used;</w:t>
            </w:r>
          </w:p>
          <w:p w14:paraId="35A8A59F" w14:textId="1A46229D" w:rsidR="005D1745" w:rsidRDefault="004B6ABE">
            <w:pPr>
              <w:spacing w:afterLines="0" w:after="0"/>
              <w:rPr>
                <w:bCs/>
                <w:szCs w:val="21"/>
              </w:rPr>
            </w:pPr>
            <w:r>
              <w:rPr>
                <w:bCs/>
                <w:szCs w:val="21"/>
              </w:rPr>
              <w:t xml:space="preserve">• Have not received any other chemotherapy, radiotherapy, or biotherapy except for the </w:t>
            </w:r>
            <w:r w:rsidR="0095609D">
              <w:rPr>
                <w:bCs/>
                <w:szCs w:val="21"/>
              </w:rPr>
              <w:t>2-</w:t>
            </w:r>
            <w:r>
              <w:rPr>
                <w:bCs/>
                <w:szCs w:val="21"/>
              </w:rPr>
              <w:t>4 cycles of adjuvant chemotherapy;</w:t>
            </w:r>
          </w:p>
          <w:p w14:paraId="67C3B31A" w14:textId="557A91A1" w:rsidR="005D1745" w:rsidRDefault="004B6ABE">
            <w:pPr>
              <w:spacing w:afterLines="0" w:after="0"/>
              <w:rPr>
                <w:bCs/>
                <w:szCs w:val="21"/>
              </w:rPr>
            </w:pPr>
            <w:r>
              <w:rPr>
                <w:bCs/>
                <w:szCs w:val="21"/>
              </w:rPr>
              <w:t xml:space="preserve">• Treatment initiation within 4 weeks after the completion of </w:t>
            </w:r>
            <w:r w:rsidR="0095609D">
              <w:rPr>
                <w:bCs/>
                <w:szCs w:val="21"/>
              </w:rPr>
              <w:t>2-</w:t>
            </w:r>
            <w:r>
              <w:rPr>
                <w:bCs/>
                <w:szCs w:val="21"/>
              </w:rPr>
              <w:t>4 cycles of adjuvant chemotherapy;</w:t>
            </w:r>
          </w:p>
          <w:p w14:paraId="4A3F3F22" w14:textId="77777777" w:rsidR="005D1745" w:rsidRDefault="004B6ABE">
            <w:pPr>
              <w:spacing w:afterLines="0" w:after="0"/>
              <w:rPr>
                <w:bCs/>
                <w:szCs w:val="21"/>
              </w:rPr>
            </w:pPr>
            <w:r>
              <w:rPr>
                <w:bCs/>
                <w:szCs w:val="21"/>
              </w:rPr>
              <w:lastRenderedPageBreak/>
              <w:t>• No signs of tumor recurrence in pre-treatment examinations;</w:t>
            </w:r>
          </w:p>
          <w:p w14:paraId="372F10EF" w14:textId="77777777" w:rsidR="005D1745" w:rsidRDefault="004B6ABE">
            <w:pPr>
              <w:spacing w:afterLines="0" w:after="0"/>
              <w:rPr>
                <w:b/>
                <w:szCs w:val="21"/>
              </w:rPr>
            </w:pPr>
            <w:r>
              <w:rPr>
                <w:b/>
                <w:szCs w:val="21"/>
              </w:rPr>
              <w:t>Hematological, Biochemical, and Organ Function:</w:t>
            </w:r>
          </w:p>
          <w:p w14:paraId="6BF4423A" w14:textId="77777777" w:rsidR="005D1745" w:rsidRDefault="004B6ABE">
            <w:pPr>
              <w:spacing w:afterLines="0" w:after="0"/>
              <w:rPr>
                <w:bCs/>
                <w:szCs w:val="21"/>
              </w:rPr>
            </w:pPr>
            <w:r>
              <w:rPr>
                <w:b/>
                <w:szCs w:val="21"/>
              </w:rPr>
              <w:t xml:space="preserve">• </w:t>
            </w:r>
            <w:r>
              <w:rPr>
                <w:bCs/>
                <w:szCs w:val="21"/>
              </w:rPr>
              <w:t>Pulmonary function: FEV1 &gt; 50, mild to moderate impairment of lung function;</w:t>
            </w:r>
          </w:p>
          <w:p w14:paraId="6C966332" w14:textId="77777777" w:rsidR="005D1745" w:rsidRDefault="004B6ABE">
            <w:pPr>
              <w:spacing w:afterLines="0" w:after="0"/>
              <w:rPr>
                <w:bCs/>
                <w:szCs w:val="21"/>
              </w:rPr>
            </w:pPr>
            <w:r>
              <w:rPr>
                <w:bCs/>
                <w:szCs w:val="21"/>
              </w:rPr>
              <w:t>• Hemoglobin ≥ 100 g/L (can be maintained or exceed this level by transfusion);</w:t>
            </w:r>
          </w:p>
          <w:p w14:paraId="1C63B1FF" w14:textId="77777777" w:rsidR="005D1745" w:rsidRDefault="004B6ABE">
            <w:pPr>
              <w:spacing w:afterLines="0" w:after="0"/>
              <w:rPr>
                <w:bCs/>
                <w:color w:val="000000" w:themeColor="text1"/>
                <w:szCs w:val="21"/>
              </w:rPr>
            </w:pPr>
            <w:r>
              <w:rPr>
                <w:bCs/>
                <w:color w:val="000000" w:themeColor="text1"/>
                <w:szCs w:val="21"/>
              </w:rPr>
              <w:t>• Absolute neutrophil count ≥ 2.0 × 10</w:t>
            </w:r>
            <w:r>
              <w:rPr>
                <w:bCs/>
                <w:color w:val="000000" w:themeColor="text1"/>
                <w:szCs w:val="21"/>
                <w:vertAlign w:val="superscript"/>
              </w:rPr>
              <w:t>9</w:t>
            </w:r>
            <w:r>
              <w:rPr>
                <w:bCs/>
                <w:color w:val="000000" w:themeColor="text1"/>
                <w:szCs w:val="21"/>
              </w:rPr>
              <w:t>/L;</w:t>
            </w:r>
          </w:p>
          <w:p w14:paraId="3DA66F3D" w14:textId="77777777" w:rsidR="005D1745" w:rsidRDefault="004B6ABE">
            <w:pPr>
              <w:spacing w:afterLines="0" w:after="0"/>
              <w:rPr>
                <w:bCs/>
                <w:color w:val="000000" w:themeColor="text1"/>
                <w:szCs w:val="21"/>
              </w:rPr>
            </w:pPr>
            <w:r>
              <w:rPr>
                <w:bCs/>
                <w:color w:val="000000" w:themeColor="text1"/>
                <w:szCs w:val="21"/>
              </w:rPr>
              <w:t>• Platelet count ≥ 100 × 10</w:t>
            </w:r>
            <w:r>
              <w:rPr>
                <w:bCs/>
                <w:color w:val="000000" w:themeColor="text1"/>
                <w:szCs w:val="21"/>
                <w:vertAlign w:val="superscript"/>
              </w:rPr>
              <w:t>9</w:t>
            </w:r>
            <w:r>
              <w:rPr>
                <w:bCs/>
                <w:color w:val="000000" w:themeColor="text1"/>
                <w:szCs w:val="21"/>
              </w:rPr>
              <w:t>/L;</w:t>
            </w:r>
          </w:p>
          <w:p w14:paraId="59EE183A" w14:textId="77777777" w:rsidR="005D1745" w:rsidRDefault="004B6ABE">
            <w:pPr>
              <w:spacing w:afterLines="0" w:after="0"/>
              <w:rPr>
                <w:bCs/>
                <w:szCs w:val="21"/>
              </w:rPr>
            </w:pPr>
            <w:r>
              <w:rPr>
                <w:bCs/>
                <w:szCs w:val="21"/>
              </w:rPr>
              <w:t>• Total bilirubin ≤ 1.5 times the upper limit of normal;</w:t>
            </w:r>
          </w:p>
          <w:p w14:paraId="1B174D98" w14:textId="77777777" w:rsidR="005D1745" w:rsidRDefault="004B6ABE">
            <w:pPr>
              <w:spacing w:afterLines="0" w:after="0"/>
              <w:rPr>
                <w:bCs/>
                <w:szCs w:val="21"/>
              </w:rPr>
            </w:pPr>
            <w:r>
              <w:rPr>
                <w:bCs/>
                <w:szCs w:val="21"/>
              </w:rPr>
              <w:t>• Alanine aminotransferase and aspartate aminotransferase ≤ 2.5 times the upper limit of normal;</w:t>
            </w:r>
          </w:p>
          <w:p w14:paraId="0FFAC222" w14:textId="77777777" w:rsidR="005D1745" w:rsidRDefault="004B6ABE">
            <w:pPr>
              <w:spacing w:afterLines="0" w:after="0"/>
              <w:rPr>
                <w:bCs/>
                <w:szCs w:val="21"/>
              </w:rPr>
            </w:pPr>
            <w:r>
              <w:rPr>
                <w:bCs/>
                <w:szCs w:val="21"/>
              </w:rPr>
              <w:t>• Creatinine ≤ 1.25 times the upper limit of normal; and creatinine clearance rate ≥ 60 mL/min;</w:t>
            </w:r>
          </w:p>
          <w:p w14:paraId="1B5CEA5D" w14:textId="77777777" w:rsidR="005D1745" w:rsidRDefault="004B6ABE">
            <w:pPr>
              <w:spacing w:afterLines="0" w:after="0"/>
              <w:rPr>
                <w:bCs/>
                <w:szCs w:val="21"/>
              </w:rPr>
            </w:pPr>
            <w:r>
              <w:rPr>
                <w:bCs/>
                <w:szCs w:val="21"/>
              </w:rPr>
              <w:t>• Women of childbearing age (15-49 years) must have a negative urine pregnancy test within 7 days before starting treatment.</w:t>
            </w:r>
          </w:p>
          <w:p w14:paraId="075FEA7C" w14:textId="77777777" w:rsidR="005D1745" w:rsidRDefault="004B6ABE">
            <w:pPr>
              <w:spacing w:afterLines="0" w:after="0"/>
              <w:rPr>
                <w:b/>
                <w:szCs w:val="21"/>
              </w:rPr>
            </w:pPr>
            <w:r>
              <w:rPr>
                <w:b/>
                <w:szCs w:val="21"/>
              </w:rPr>
              <w:t>General Inclusion Criteria:</w:t>
            </w:r>
          </w:p>
          <w:p w14:paraId="38834A01" w14:textId="77777777" w:rsidR="005D1745" w:rsidRDefault="004B6ABE">
            <w:pPr>
              <w:spacing w:afterLines="0" w:after="0"/>
              <w:rPr>
                <w:bCs/>
                <w:szCs w:val="21"/>
              </w:rPr>
            </w:pPr>
            <w:r>
              <w:rPr>
                <w:b/>
                <w:szCs w:val="21"/>
              </w:rPr>
              <w:t xml:space="preserve">• </w:t>
            </w:r>
            <w:r>
              <w:rPr>
                <w:bCs/>
                <w:szCs w:val="21"/>
              </w:rPr>
              <w:t>Obtained informed consent signed by the patient or their legal representative;</w:t>
            </w:r>
          </w:p>
          <w:p w14:paraId="74E668B6" w14:textId="77777777" w:rsidR="005D1745" w:rsidRDefault="004B6ABE">
            <w:pPr>
              <w:spacing w:afterLines="0" w:after="0"/>
              <w:rPr>
                <w:bCs/>
                <w:szCs w:val="21"/>
              </w:rPr>
            </w:pPr>
            <w:r>
              <w:rPr>
                <w:bCs/>
                <w:szCs w:val="21"/>
              </w:rPr>
              <w:t>• Patient compliance is good;</w:t>
            </w:r>
          </w:p>
          <w:p w14:paraId="4E64D6EC" w14:textId="77777777" w:rsidR="005D1745" w:rsidRDefault="004B6ABE">
            <w:pPr>
              <w:spacing w:afterLines="0" w:after="0"/>
              <w:rPr>
                <w:bCs/>
                <w:szCs w:val="21"/>
              </w:rPr>
            </w:pPr>
            <w:r>
              <w:rPr>
                <w:bCs/>
                <w:szCs w:val="21"/>
              </w:rPr>
              <w:t>• Able to take oral medication;</w:t>
            </w:r>
          </w:p>
          <w:p w14:paraId="66665A21" w14:textId="77777777" w:rsidR="005D1745" w:rsidRDefault="004B6ABE">
            <w:pPr>
              <w:spacing w:afterLines="0" w:after="0"/>
              <w:rPr>
                <w:bCs/>
                <w:szCs w:val="21"/>
              </w:rPr>
            </w:pPr>
            <w:r>
              <w:rPr>
                <w:bCs/>
                <w:szCs w:val="21"/>
              </w:rPr>
              <w:t>• Male or female aged ≥ 18 years and &lt; 75 years;</w:t>
            </w:r>
          </w:p>
          <w:p w14:paraId="58E428E7" w14:textId="77777777" w:rsidR="005D1745" w:rsidRDefault="004B6ABE">
            <w:pPr>
              <w:spacing w:afterLines="0" w:after="0"/>
              <w:rPr>
                <w:bCs/>
                <w:szCs w:val="21"/>
              </w:rPr>
            </w:pPr>
            <w:r>
              <w:rPr>
                <w:bCs/>
                <w:szCs w:val="21"/>
              </w:rPr>
              <w:t>• ECOG performance status score 0-1, expected survival greater than 12 weeks;</w:t>
            </w:r>
          </w:p>
          <w:p w14:paraId="04180442" w14:textId="77777777" w:rsidR="005D1745" w:rsidRDefault="004B6ABE">
            <w:pPr>
              <w:tabs>
                <w:tab w:val="left" w:pos="284"/>
              </w:tabs>
              <w:spacing w:afterLines="0" w:after="0"/>
            </w:pPr>
            <w:r>
              <w:rPr>
                <w:bCs/>
                <w:szCs w:val="21"/>
              </w:rPr>
              <w:t>• Male and female patients of childbearing age agree to use reliable contraceptive methods before entering the trial, during the study, and until 8 weeks after discontinuation of the drug.</w:t>
            </w:r>
          </w:p>
        </w:tc>
      </w:tr>
    </w:tbl>
    <w:p w14:paraId="3A4D9AE6" w14:textId="77777777" w:rsidR="005D1745" w:rsidRDefault="005D1745">
      <w:pPr>
        <w:spacing w:afterLines="0" w:after="0"/>
        <w:jc w:val="center"/>
        <w:rPr>
          <w:b/>
          <w:sz w:val="32"/>
          <w:szCs w:val="32"/>
        </w:rPr>
      </w:pPr>
    </w:p>
    <w:tbl>
      <w:tblPr>
        <w:tblW w:w="0" w:type="auto"/>
        <w:jc w:val="center"/>
        <w:tblBorders>
          <w:insideH w:val="single" w:sz="4" w:space="0" w:color="auto"/>
        </w:tblBorders>
        <w:tblLayout w:type="fixed"/>
        <w:tblLook w:val="04A0" w:firstRow="1" w:lastRow="0" w:firstColumn="1" w:lastColumn="0" w:noHBand="0" w:noVBand="1"/>
      </w:tblPr>
      <w:tblGrid>
        <w:gridCol w:w="1178"/>
        <w:gridCol w:w="7930"/>
      </w:tblGrid>
      <w:tr w:rsidR="005D1745" w14:paraId="06469242" w14:textId="77777777">
        <w:trPr>
          <w:trHeight w:val="7371"/>
          <w:jc w:val="center"/>
        </w:trPr>
        <w:tc>
          <w:tcPr>
            <w:tcW w:w="1178" w:type="dxa"/>
            <w:tcBorders>
              <w:top w:val="single" w:sz="4" w:space="0" w:color="auto"/>
              <w:left w:val="single" w:sz="4" w:space="0" w:color="auto"/>
              <w:bottom w:val="single" w:sz="4" w:space="0" w:color="auto"/>
              <w:right w:val="single" w:sz="4" w:space="0" w:color="auto"/>
            </w:tcBorders>
            <w:vAlign w:val="center"/>
          </w:tcPr>
          <w:p w14:paraId="5082ED4B" w14:textId="77777777" w:rsidR="005D1745" w:rsidRDefault="004B6ABE">
            <w:pPr>
              <w:spacing w:afterLines="0" w:after="0"/>
              <w:rPr>
                <w:b/>
                <w:szCs w:val="21"/>
              </w:rPr>
            </w:pPr>
            <w:r>
              <w:rPr>
                <w:b/>
                <w:spacing w:val="3"/>
              </w:rPr>
              <w:lastRenderedPageBreak/>
              <w:t>Exclusion Criteria</w:t>
            </w:r>
          </w:p>
        </w:tc>
        <w:tc>
          <w:tcPr>
            <w:tcW w:w="7930" w:type="dxa"/>
            <w:tcBorders>
              <w:top w:val="single" w:sz="4" w:space="0" w:color="auto"/>
              <w:left w:val="single" w:sz="4" w:space="0" w:color="auto"/>
              <w:bottom w:val="single" w:sz="4" w:space="0" w:color="auto"/>
              <w:right w:val="single" w:sz="4" w:space="0" w:color="auto"/>
            </w:tcBorders>
            <w:vAlign w:val="center"/>
          </w:tcPr>
          <w:p w14:paraId="11F99C4C" w14:textId="77777777" w:rsidR="005D1745" w:rsidRDefault="004B6ABE">
            <w:pPr>
              <w:spacing w:afterLines="0" w:after="0"/>
              <w:rPr>
                <w:bCs/>
                <w:szCs w:val="21"/>
              </w:rPr>
            </w:pPr>
            <w:r>
              <w:rPr>
                <w:bCs/>
                <w:szCs w:val="21"/>
              </w:rPr>
              <w:t>• Received any systemic anticancer therapy other than 4 cycles of adjuvant chemotherapy for NSCLC, including cytotoxic drug therapy, targeted drug therapy (including tyrosine kinase inhibitors or monoclonal antibodies), experimental therapy;</w:t>
            </w:r>
          </w:p>
          <w:p w14:paraId="60728B47" w14:textId="77777777" w:rsidR="005D1745" w:rsidRDefault="004B6ABE">
            <w:pPr>
              <w:spacing w:afterLines="0" w:after="0"/>
              <w:rPr>
                <w:bCs/>
                <w:szCs w:val="21"/>
              </w:rPr>
            </w:pPr>
            <w:r>
              <w:rPr>
                <w:bCs/>
                <w:szCs w:val="21"/>
              </w:rPr>
              <w:t>• Received local radiotherapy for NSCLC;</w:t>
            </w:r>
          </w:p>
          <w:p w14:paraId="62209881" w14:textId="77777777" w:rsidR="005D1745" w:rsidRDefault="004B6ABE">
            <w:pPr>
              <w:spacing w:afterLines="0" w:after="0"/>
              <w:rPr>
                <w:bCs/>
                <w:szCs w:val="21"/>
              </w:rPr>
            </w:pPr>
            <w:r>
              <w:rPr>
                <w:bCs/>
                <w:szCs w:val="21"/>
              </w:rPr>
              <w:t>• Have physiological imperfections in the upper gastrointestinal tract, or malabsorption syndrome, or inability to tolerate oral medication, or active gastrointestinal ulcers;</w:t>
            </w:r>
          </w:p>
          <w:p w14:paraId="27AE58CE" w14:textId="77777777" w:rsidR="005D1745" w:rsidRDefault="004B6ABE">
            <w:pPr>
              <w:spacing w:afterLines="0" w:after="0"/>
              <w:rPr>
                <w:bCs/>
                <w:szCs w:val="21"/>
              </w:rPr>
            </w:pPr>
            <w:r>
              <w:rPr>
                <w:bCs/>
                <w:szCs w:val="21"/>
              </w:rPr>
              <w:t>• Have clinical objective evidence (pathological or imaging) confirming tumor recurrence before the start of treatment;</w:t>
            </w:r>
          </w:p>
          <w:p w14:paraId="035BD687" w14:textId="77777777" w:rsidR="005D1745" w:rsidRDefault="004B6ABE">
            <w:pPr>
              <w:spacing w:afterLines="0" w:after="0"/>
              <w:rPr>
                <w:bCs/>
                <w:szCs w:val="21"/>
              </w:rPr>
            </w:pPr>
            <w:r>
              <w:rPr>
                <w:bCs/>
                <w:szCs w:val="21"/>
              </w:rPr>
              <w:t>• Patients who have had other cancers within five years prior to the start of treatment in this study, excluding cervical carcinoma in situ, cured basal cell carcinoma, bladder epithelial tumors [including Ta and Tis];</w:t>
            </w:r>
          </w:p>
          <w:p w14:paraId="483EE4FD" w14:textId="33AD4A9A" w:rsidR="005D1745" w:rsidRDefault="004B6ABE">
            <w:pPr>
              <w:spacing w:afterLines="0" w:after="0"/>
              <w:rPr>
                <w:bCs/>
                <w:szCs w:val="21"/>
              </w:rPr>
            </w:pPr>
            <w:r>
              <w:rPr>
                <w:bCs/>
                <w:szCs w:val="21"/>
              </w:rPr>
              <w:t xml:space="preserve">• Unable to obtain sufficient tumor histological specimens (non-cytological) for </w:t>
            </w:r>
            <w:r w:rsidR="00716CBB">
              <w:rPr>
                <w:bCs/>
                <w:szCs w:val="21"/>
              </w:rPr>
              <w:t>biomarker</w:t>
            </w:r>
            <w:r>
              <w:rPr>
                <w:bCs/>
                <w:szCs w:val="21"/>
              </w:rPr>
              <w:t xml:space="preserve"> analysis;</w:t>
            </w:r>
          </w:p>
          <w:p w14:paraId="1CDC9B00" w14:textId="1128CBDB" w:rsidR="005D1745" w:rsidRDefault="004B6ABE">
            <w:pPr>
              <w:spacing w:afterLines="0" w:after="0"/>
              <w:rPr>
                <w:bCs/>
                <w:szCs w:val="21"/>
              </w:rPr>
            </w:pPr>
            <w:r>
              <w:rPr>
                <w:bCs/>
                <w:szCs w:val="21"/>
              </w:rPr>
              <w:t xml:space="preserve">• Known allergy to </w:t>
            </w:r>
            <w:r w:rsidR="000040AB">
              <w:rPr>
                <w:bCs/>
                <w:szCs w:val="21"/>
              </w:rPr>
              <w:t>icotinib</w:t>
            </w:r>
            <w:r>
              <w:rPr>
                <w:bCs/>
                <w:szCs w:val="21"/>
              </w:rPr>
              <w:t xml:space="preserve"> or any component of this product;</w:t>
            </w:r>
          </w:p>
          <w:p w14:paraId="2D35FAD8" w14:textId="77777777" w:rsidR="005D1745" w:rsidRDefault="004B6ABE">
            <w:pPr>
              <w:spacing w:afterLines="0" w:after="0"/>
              <w:rPr>
                <w:bCs/>
                <w:szCs w:val="21"/>
              </w:rPr>
            </w:pPr>
            <w:r>
              <w:rPr>
                <w:bCs/>
                <w:szCs w:val="21"/>
              </w:rPr>
              <w:t>• History of interstitial lung disease, drug-induced interstitial lung disease, radiation pneumonia requiring hormone treatment, or any clinically evident active interstitial lung disease;</w:t>
            </w:r>
          </w:p>
          <w:p w14:paraId="47534F42" w14:textId="77777777" w:rsidR="005D1745" w:rsidRDefault="004B6ABE">
            <w:pPr>
              <w:spacing w:afterLines="0" w:after="0"/>
              <w:rPr>
                <w:bCs/>
                <w:szCs w:val="21"/>
              </w:rPr>
            </w:pPr>
            <w:r>
              <w:rPr>
                <w:bCs/>
                <w:szCs w:val="21"/>
              </w:rPr>
              <w:t>• Idiopathic pulmonary fibrosis found on baseline CT scan;</w:t>
            </w:r>
          </w:p>
          <w:p w14:paraId="6116CD7D" w14:textId="204D85ED" w:rsidR="005D1745" w:rsidRDefault="004B6ABE">
            <w:pPr>
              <w:spacing w:afterLines="0" w:after="0"/>
              <w:rPr>
                <w:bCs/>
                <w:szCs w:val="21"/>
              </w:rPr>
            </w:pPr>
            <w:r>
              <w:rPr>
                <w:bCs/>
                <w:szCs w:val="21"/>
              </w:rPr>
              <w:t>• Uncontrolled ocular inflammation or infection, or any condition that may lead to the a</w:t>
            </w:r>
            <w:r w:rsidR="009808FC">
              <w:rPr>
                <w:bCs/>
                <w:szCs w:val="21"/>
              </w:rPr>
              <w:t xml:space="preserve"> </w:t>
            </w:r>
            <w:r>
              <w:rPr>
                <w:bCs/>
                <w:szCs w:val="21"/>
              </w:rPr>
              <w:t>forementioned eye diseases;</w:t>
            </w:r>
          </w:p>
          <w:p w14:paraId="18792372" w14:textId="77777777" w:rsidR="005D1745" w:rsidRDefault="004B6ABE">
            <w:pPr>
              <w:spacing w:afterLines="0" w:after="0"/>
              <w:rPr>
                <w:bCs/>
                <w:szCs w:val="21"/>
              </w:rPr>
            </w:pPr>
            <w:r>
              <w:rPr>
                <w:bCs/>
                <w:szCs w:val="21"/>
              </w:rPr>
              <w:t>• Any unstable systemic disease, including: active infection, uncontrolled hypertension, unstable angina, angina pectoris with onset within the last 3 months, congestive heart failure (≥ New York Heart Association [NYHA] II level), myocardial infarction (within 6 months before enrollment), severe arrhythmia requiring medication, liver, kidney or metabolic diseases;</w:t>
            </w:r>
          </w:p>
          <w:p w14:paraId="0C75D62B" w14:textId="77777777" w:rsidR="005D1745" w:rsidRDefault="004B6ABE">
            <w:pPr>
              <w:spacing w:afterLines="0" w:after="0"/>
              <w:rPr>
                <w:bCs/>
                <w:szCs w:val="21"/>
              </w:rPr>
            </w:pPr>
            <w:r>
              <w:rPr>
                <w:bCs/>
                <w:szCs w:val="21"/>
              </w:rPr>
              <w:t>• Known human immunodeficiency virus (HIV) infection;</w:t>
            </w:r>
          </w:p>
          <w:p w14:paraId="145AD2AF" w14:textId="77777777" w:rsidR="005D1745" w:rsidRDefault="004B6ABE">
            <w:pPr>
              <w:spacing w:afterLines="0" w:after="0"/>
              <w:rPr>
                <w:bCs/>
                <w:szCs w:val="21"/>
              </w:rPr>
            </w:pPr>
            <w:r>
              <w:rPr>
                <w:bCs/>
                <w:szCs w:val="21"/>
              </w:rPr>
              <w:t>• Patients with mixed small cell lung cancer components;</w:t>
            </w:r>
          </w:p>
          <w:p w14:paraId="1BA62D85" w14:textId="77777777" w:rsidR="005D1745" w:rsidRDefault="004B6ABE">
            <w:pPr>
              <w:spacing w:afterLines="0" w:after="0"/>
              <w:rPr>
                <w:bCs/>
                <w:szCs w:val="21"/>
              </w:rPr>
            </w:pPr>
            <w:r>
              <w:rPr>
                <w:bCs/>
                <w:szCs w:val="21"/>
              </w:rPr>
              <w:t>• Pregnant or breastfeeding women;</w:t>
            </w:r>
          </w:p>
          <w:p w14:paraId="6D2B269D" w14:textId="77777777" w:rsidR="005D1745" w:rsidRDefault="004B6ABE">
            <w:pPr>
              <w:spacing w:afterLines="0" w:after="0"/>
              <w:rPr>
                <w:bCs/>
                <w:szCs w:val="21"/>
              </w:rPr>
            </w:pPr>
            <w:r>
              <w:rPr>
                <w:bCs/>
                <w:szCs w:val="21"/>
              </w:rPr>
              <w:t>• History of definite neurological or psychiatric disorders, including epilepsy or dementia;</w:t>
            </w:r>
          </w:p>
          <w:p w14:paraId="2759829F" w14:textId="77777777" w:rsidR="005D1745" w:rsidRDefault="004B6ABE">
            <w:pPr>
              <w:spacing w:afterLines="0" w:after="0"/>
              <w:rPr>
                <w:szCs w:val="21"/>
              </w:rPr>
            </w:pPr>
            <w:r>
              <w:rPr>
                <w:bCs/>
                <w:szCs w:val="21"/>
              </w:rPr>
              <w:t>• Other conditions deemed unsuitable for enrollment by the investigator.</w:t>
            </w:r>
          </w:p>
        </w:tc>
      </w:tr>
      <w:tr w:rsidR="005D1745" w14:paraId="25B779A4" w14:textId="77777777">
        <w:trPr>
          <w:trHeight w:val="1586"/>
          <w:jc w:val="center"/>
        </w:trPr>
        <w:tc>
          <w:tcPr>
            <w:tcW w:w="1178" w:type="dxa"/>
            <w:tcBorders>
              <w:top w:val="single" w:sz="4" w:space="0" w:color="auto"/>
              <w:left w:val="single" w:sz="4" w:space="0" w:color="auto"/>
              <w:bottom w:val="single" w:sz="4" w:space="0" w:color="auto"/>
              <w:right w:val="single" w:sz="4" w:space="0" w:color="auto"/>
            </w:tcBorders>
            <w:vAlign w:val="center"/>
          </w:tcPr>
          <w:p w14:paraId="7B563663" w14:textId="77777777" w:rsidR="005D1745" w:rsidRDefault="004B6ABE">
            <w:pPr>
              <w:spacing w:after="240"/>
              <w:rPr>
                <w:b/>
              </w:rPr>
            </w:pPr>
            <w:r>
              <w:rPr>
                <w:b/>
              </w:rPr>
              <w:t>Study duration</w:t>
            </w:r>
          </w:p>
        </w:tc>
        <w:tc>
          <w:tcPr>
            <w:tcW w:w="7930" w:type="dxa"/>
            <w:tcBorders>
              <w:top w:val="single" w:sz="4" w:space="0" w:color="auto"/>
              <w:left w:val="single" w:sz="4" w:space="0" w:color="auto"/>
              <w:bottom w:val="single" w:sz="4" w:space="0" w:color="auto"/>
              <w:right w:val="single" w:sz="4" w:space="0" w:color="auto"/>
            </w:tcBorders>
            <w:vAlign w:val="center"/>
          </w:tcPr>
          <w:p w14:paraId="03A1FAC6" w14:textId="252AE665" w:rsidR="005D1745" w:rsidRDefault="004B6ABE" w:rsidP="005B42BE">
            <w:pPr>
              <w:spacing w:afterLines="0" w:after="0"/>
            </w:pPr>
            <w:r>
              <w:rPr>
                <w:bCs/>
                <w:szCs w:val="21"/>
              </w:rPr>
              <w:t xml:space="preserve">Based on an estimated enrollment of about </w:t>
            </w:r>
            <w:r w:rsidR="005B42BE">
              <w:rPr>
                <w:bCs/>
                <w:szCs w:val="21"/>
              </w:rPr>
              <w:t xml:space="preserve">5 </w:t>
            </w:r>
            <w:r>
              <w:rPr>
                <w:bCs/>
                <w:szCs w:val="21"/>
              </w:rPr>
              <w:t xml:space="preserve">patients per month, a total of </w:t>
            </w:r>
            <w:r w:rsidR="00E624CE">
              <w:rPr>
                <w:bCs/>
                <w:szCs w:val="21"/>
              </w:rPr>
              <w:t xml:space="preserve">318 </w:t>
            </w:r>
            <w:r>
              <w:rPr>
                <w:bCs/>
                <w:szCs w:val="21"/>
              </w:rPr>
              <w:t xml:space="preserve">patients are planned to be enrolled, which will take approximately </w:t>
            </w:r>
            <w:r w:rsidR="005B42BE">
              <w:rPr>
                <w:bCs/>
                <w:szCs w:val="21"/>
              </w:rPr>
              <w:t>64</w:t>
            </w:r>
            <w:r>
              <w:rPr>
                <w:bCs/>
                <w:szCs w:val="21"/>
              </w:rPr>
              <w:t xml:space="preserve"> months. The minimum survival follow-up period is 5 years, making the total study duration approximately </w:t>
            </w:r>
            <w:r w:rsidR="005B42BE">
              <w:rPr>
                <w:bCs/>
                <w:szCs w:val="21"/>
              </w:rPr>
              <w:t xml:space="preserve">124 </w:t>
            </w:r>
            <w:r>
              <w:rPr>
                <w:bCs/>
                <w:szCs w:val="21"/>
              </w:rPr>
              <w:t>months.</w:t>
            </w:r>
          </w:p>
        </w:tc>
      </w:tr>
      <w:tr w:rsidR="005D1745" w14:paraId="17A75F03" w14:textId="77777777">
        <w:trPr>
          <w:trHeight w:val="1483"/>
          <w:jc w:val="center"/>
        </w:trPr>
        <w:tc>
          <w:tcPr>
            <w:tcW w:w="1178" w:type="dxa"/>
            <w:tcBorders>
              <w:top w:val="single" w:sz="4" w:space="0" w:color="auto"/>
              <w:left w:val="single" w:sz="4" w:space="0" w:color="auto"/>
              <w:bottom w:val="single" w:sz="4" w:space="0" w:color="auto"/>
              <w:right w:val="single" w:sz="4" w:space="0" w:color="auto"/>
            </w:tcBorders>
            <w:vAlign w:val="center"/>
          </w:tcPr>
          <w:p w14:paraId="7939FFCD" w14:textId="77777777" w:rsidR="005D1745" w:rsidRDefault="004B6ABE">
            <w:pPr>
              <w:spacing w:after="240"/>
              <w:rPr>
                <w:b/>
              </w:rPr>
            </w:pPr>
            <w:r>
              <w:rPr>
                <w:b/>
              </w:rPr>
              <w:lastRenderedPageBreak/>
              <w:t>Study drug dosage/route of administration/regimen</w:t>
            </w:r>
          </w:p>
        </w:tc>
        <w:tc>
          <w:tcPr>
            <w:tcW w:w="7930" w:type="dxa"/>
            <w:tcBorders>
              <w:top w:val="single" w:sz="4" w:space="0" w:color="auto"/>
              <w:left w:val="single" w:sz="4" w:space="0" w:color="auto"/>
              <w:bottom w:val="single" w:sz="4" w:space="0" w:color="auto"/>
              <w:right w:val="single" w:sz="4" w:space="0" w:color="auto"/>
            </w:tcBorders>
            <w:vAlign w:val="center"/>
          </w:tcPr>
          <w:p w14:paraId="7B0F4718" w14:textId="723482DE" w:rsidR="005D1745" w:rsidRDefault="004B6ABE">
            <w:pPr>
              <w:spacing w:afterLines="0" w:after="0"/>
              <w:rPr>
                <w:b/>
                <w:szCs w:val="21"/>
              </w:rPr>
            </w:pPr>
            <w:r>
              <w:rPr>
                <w:b/>
                <w:szCs w:val="21"/>
              </w:rPr>
              <w:t>Group A (</w:t>
            </w:r>
            <w:r w:rsidR="0091315C">
              <w:rPr>
                <w:b/>
                <w:szCs w:val="21"/>
              </w:rPr>
              <w:t>12</w:t>
            </w:r>
            <w:r>
              <w:rPr>
                <w:b/>
                <w:szCs w:val="21"/>
              </w:rPr>
              <w:t xml:space="preserve">-month </w:t>
            </w:r>
            <w:r w:rsidR="0091315C">
              <w:rPr>
                <w:b/>
                <w:szCs w:val="21"/>
              </w:rPr>
              <w:t xml:space="preserve">icotinib </w:t>
            </w:r>
            <w:r>
              <w:rPr>
                <w:b/>
                <w:szCs w:val="21"/>
              </w:rPr>
              <w:t>group):</w:t>
            </w:r>
          </w:p>
          <w:p w14:paraId="417C81F7" w14:textId="722952D4" w:rsidR="005D1745" w:rsidRDefault="004B6ABE">
            <w:pPr>
              <w:spacing w:afterLines="0" w:after="0"/>
              <w:rPr>
                <w:bCs/>
                <w:szCs w:val="21"/>
              </w:rPr>
            </w:pPr>
            <w:r>
              <w:rPr>
                <w:bCs/>
                <w:szCs w:val="21"/>
              </w:rPr>
              <w:t xml:space="preserve">After R0 resection and </w:t>
            </w:r>
            <w:r w:rsidR="0098775A">
              <w:rPr>
                <w:bCs/>
                <w:szCs w:val="21"/>
              </w:rPr>
              <w:t>2-</w:t>
            </w:r>
            <w:r>
              <w:rPr>
                <w:bCs/>
                <w:szCs w:val="21"/>
              </w:rPr>
              <w:t xml:space="preserve">4 cycles of adjuvant chemotherapy, patients began to receive oral administration of </w:t>
            </w:r>
            <w:r w:rsidR="0098775A">
              <w:rPr>
                <w:bCs/>
                <w:szCs w:val="21"/>
              </w:rPr>
              <w:t>i</w:t>
            </w:r>
            <w:r w:rsidR="00237DE7">
              <w:rPr>
                <w:bCs/>
                <w:szCs w:val="21"/>
              </w:rPr>
              <w:t>cotinib</w:t>
            </w:r>
            <w:r>
              <w:rPr>
                <w:bCs/>
                <w:szCs w:val="21"/>
              </w:rPr>
              <w:t xml:space="preserve"> 125mg, </w:t>
            </w:r>
            <w:r w:rsidR="0098775A">
              <w:rPr>
                <w:bCs/>
                <w:szCs w:val="21"/>
              </w:rPr>
              <w:t>t</w:t>
            </w:r>
            <w:r>
              <w:rPr>
                <w:bCs/>
                <w:szCs w:val="21"/>
              </w:rPr>
              <w:t xml:space="preserve">id, for a duration of </w:t>
            </w:r>
            <w:r w:rsidR="0091315C">
              <w:rPr>
                <w:bCs/>
                <w:szCs w:val="21"/>
              </w:rPr>
              <w:t xml:space="preserve">12 </w:t>
            </w:r>
            <w:r>
              <w:rPr>
                <w:bCs/>
                <w:szCs w:val="21"/>
              </w:rPr>
              <w:t>months, or discontinued treatment due to tumor recurrence or intolerance.</w:t>
            </w:r>
          </w:p>
          <w:p w14:paraId="2C19229E" w14:textId="540DB35E" w:rsidR="005D1745" w:rsidRDefault="004B6ABE">
            <w:pPr>
              <w:spacing w:afterLines="0" w:after="0"/>
              <w:rPr>
                <w:b/>
                <w:szCs w:val="21"/>
              </w:rPr>
            </w:pPr>
            <w:r>
              <w:rPr>
                <w:b/>
                <w:szCs w:val="21"/>
              </w:rPr>
              <w:t>Group B (</w:t>
            </w:r>
            <w:r w:rsidR="0091315C">
              <w:rPr>
                <w:b/>
                <w:szCs w:val="21"/>
              </w:rPr>
              <w:t>6</w:t>
            </w:r>
            <w:r>
              <w:rPr>
                <w:b/>
                <w:szCs w:val="21"/>
              </w:rPr>
              <w:t xml:space="preserve">-month </w:t>
            </w:r>
            <w:r w:rsidR="0091315C">
              <w:rPr>
                <w:b/>
                <w:szCs w:val="21"/>
              </w:rPr>
              <w:t>icotinib</w:t>
            </w:r>
            <w:r>
              <w:rPr>
                <w:b/>
                <w:szCs w:val="21"/>
              </w:rPr>
              <w:t xml:space="preserve"> group):</w:t>
            </w:r>
          </w:p>
          <w:p w14:paraId="18E9A14E" w14:textId="47B9755F" w:rsidR="005D1745" w:rsidRDefault="004B6ABE">
            <w:pPr>
              <w:spacing w:afterLines="0" w:after="0"/>
              <w:rPr>
                <w:bCs/>
                <w:szCs w:val="21"/>
              </w:rPr>
            </w:pPr>
            <w:r>
              <w:rPr>
                <w:bCs/>
                <w:szCs w:val="21"/>
              </w:rPr>
              <w:t xml:space="preserve">After R0 resection and </w:t>
            </w:r>
            <w:r w:rsidR="0098775A">
              <w:rPr>
                <w:bCs/>
                <w:szCs w:val="21"/>
              </w:rPr>
              <w:t>2-</w:t>
            </w:r>
            <w:r>
              <w:rPr>
                <w:bCs/>
                <w:szCs w:val="21"/>
              </w:rPr>
              <w:t xml:space="preserve">4 cycles of adjuvant chemotherapy, patients began to receive oral administration of </w:t>
            </w:r>
            <w:r w:rsidR="0098775A">
              <w:rPr>
                <w:bCs/>
                <w:szCs w:val="21"/>
              </w:rPr>
              <w:t>i</w:t>
            </w:r>
            <w:r w:rsidR="00237DE7">
              <w:rPr>
                <w:bCs/>
                <w:szCs w:val="21"/>
              </w:rPr>
              <w:t>cotinib</w:t>
            </w:r>
            <w:r>
              <w:rPr>
                <w:bCs/>
                <w:szCs w:val="21"/>
              </w:rPr>
              <w:t xml:space="preserve"> 125mg, tid, for a duration of </w:t>
            </w:r>
            <w:r w:rsidR="0091315C">
              <w:rPr>
                <w:bCs/>
                <w:szCs w:val="21"/>
              </w:rPr>
              <w:t xml:space="preserve">6 </w:t>
            </w:r>
            <w:r>
              <w:rPr>
                <w:bCs/>
                <w:szCs w:val="21"/>
              </w:rPr>
              <w:t>months, or discontinued treatment due to tumor recurrence or intolerance.</w:t>
            </w:r>
          </w:p>
          <w:p w14:paraId="6B544EA5" w14:textId="253FB684" w:rsidR="005D1745" w:rsidRDefault="004B6ABE">
            <w:pPr>
              <w:spacing w:afterLines="0" w:after="0"/>
              <w:rPr>
                <w:b/>
                <w:szCs w:val="21"/>
              </w:rPr>
            </w:pPr>
            <w:r>
              <w:rPr>
                <w:b/>
                <w:szCs w:val="21"/>
              </w:rPr>
              <w:t>Group C (</w:t>
            </w:r>
            <w:r w:rsidR="0098775A">
              <w:rPr>
                <w:b/>
                <w:szCs w:val="21"/>
              </w:rPr>
              <w:t>Observation</w:t>
            </w:r>
            <w:r>
              <w:rPr>
                <w:b/>
                <w:szCs w:val="21"/>
              </w:rPr>
              <w:t xml:space="preserve"> group):</w:t>
            </w:r>
          </w:p>
          <w:p w14:paraId="13084F06" w14:textId="6482BA31" w:rsidR="005D1745" w:rsidRDefault="004B6ABE" w:rsidP="004412F2">
            <w:pPr>
              <w:spacing w:afterLines="0" w:after="0"/>
              <w:rPr>
                <w:bCs/>
                <w:szCs w:val="21"/>
              </w:rPr>
            </w:pPr>
            <w:r>
              <w:rPr>
                <w:bCs/>
                <w:szCs w:val="21"/>
              </w:rPr>
              <w:t>After R0 resection</w:t>
            </w:r>
            <w:r w:rsidR="0098775A">
              <w:rPr>
                <w:bCs/>
                <w:szCs w:val="21"/>
              </w:rPr>
              <w:t xml:space="preserve"> and 2-4 cycles of adjuvant chemotherapy, patients under</w:t>
            </w:r>
            <w:r w:rsidR="004412F2">
              <w:rPr>
                <w:bCs/>
                <w:szCs w:val="21"/>
              </w:rPr>
              <w:t>went</w:t>
            </w:r>
            <w:r w:rsidR="0098775A">
              <w:rPr>
                <w:bCs/>
                <w:szCs w:val="21"/>
              </w:rPr>
              <w:t xml:space="preserve"> observation</w:t>
            </w:r>
            <w:r>
              <w:rPr>
                <w:bCs/>
                <w:szCs w:val="21"/>
              </w:rPr>
              <w:t>.</w:t>
            </w:r>
          </w:p>
        </w:tc>
      </w:tr>
      <w:tr w:rsidR="005D1745" w14:paraId="5150B826" w14:textId="77777777">
        <w:trPr>
          <w:trHeight w:val="3393"/>
          <w:jc w:val="center"/>
        </w:trPr>
        <w:tc>
          <w:tcPr>
            <w:tcW w:w="1178" w:type="dxa"/>
            <w:tcBorders>
              <w:top w:val="single" w:sz="4" w:space="0" w:color="auto"/>
              <w:left w:val="single" w:sz="4" w:space="0" w:color="auto"/>
              <w:bottom w:val="single" w:sz="4" w:space="0" w:color="auto"/>
              <w:right w:val="single" w:sz="4" w:space="0" w:color="auto"/>
            </w:tcBorders>
            <w:vAlign w:val="center"/>
          </w:tcPr>
          <w:p w14:paraId="3EE99C9A" w14:textId="77777777" w:rsidR="005D1745" w:rsidRDefault="004B6ABE">
            <w:pPr>
              <w:pStyle w:val="Gliederung1"/>
              <w:widowControl w:val="0"/>
              <w:tabs>
                <w:tab w:val="clear" w:pos="709"/>
              </w:tabs>
              <w:suppressAutoHyphens w:val="0"/>
              <w:autoSpaceDE w:val="0"/>
              <w:autoSpaceDN w:val="0"/>
              <w:adjustRightInd w:val="0"/>
              <w:spacing w:after="240" w:line="360" w:lineRule="auto"/>
              <w:rPr>
                <w:b w:val="0"/>
                <w:szCs w:val="21"/>
              </w:rPr>
            </w:pPr>
            <w:r>
              <w:rPr>
                <w:kern w:val="2"/>
                <w:szCs w:val="21"/>
                <w:lang w:val="en-US"/>
              </w:rPr>
              <w:t>Treatment period &amp; Follow-up period</w:t>
            </w:r>
          </w:p>
        </w:tc>
        <w:tc>
          <w:tcPr>
            <w:tcW w:w="7930" w:type="dxa"/>
            <w:tcBorders>
              <w:top w:val="single" w:sz="4" w:space="0" w:color="auto"/>
              <w:left w:val="single" w:sz="4" w:space="0" w:color="auto"/>
              <w:bottom w:val="single" w:sz="4" w:space="0" w:color="auto"/>
              <w:right w:val="single" w:sz="4" w:space="0" w:color="auto"/>
            </w:tcBorders>
            <w:vAlign w:val="center"/>
          </w:tcPr>
          <w:p w14:paraId="525634C9" w14:textId="0D70414D" w:rsidR="00A634E0" w:rsidRDefault="00454A76">
            <w:pPr>
              <w:spacing w:afterLines="0" w:after="0"/>
              <w:rPr>
                <w:bCs/>
                <w:szCs w:val="21"/>
              </w:rPr>
            </w:pPr>
            <w:r>
              <w:rPr>
                <w:bCs/>
                <w:szCs w:val="21"/>
              </w:rPr>
              <w:t xml:space="preserve">    </w:t>
            </w:r>
            <w:r w:rsidR="004B6ABE">
              <w:rPr>
                <w:bCs/>
                <w:szCs w:val="21"/>
              </w:rPr>
              <w:t xml:space="preserve">After patients sign the informed consent form and meet the inclusion and exclusion criteria, they are randomly assigned to three groups: the </w:t>
            </w:r>
            <w:r w:rsidR="000040AB">
              <w:rPr>
                <w:bCs/>
                <w:szCs w:val="21"/>
              </w:rPr>
              <w:t>icotinib</w:t>
            </w:r>
            <w:r w:rsidR="004B6ABE">
              <w:rPr>
                <w:bCs/>
                <w:szCs w:val="21"/>
              </w:rPr>
              <w:t xml:space="preserve"> treatment group for 6 months, the </w:t>
            </w:r>
            <w:r w:rsidR="000040AB">
              <w:rPr>
                <w:bCs/>
                <w:szCs w:val="21"/>
              </w:rPr>
              <w:t>icotinib</w:t>
            </w:r>
            <w:r w:rsidR="004B6ABE">
              <w:rPr>
                <w:bCs/>
                <w:szCs w:val="21"/>
              </w:rPr>
              <w:t xml:space="preserve"> treatment group for 12 months, and the </w:t>
            </w:r>
            <w:r>
              <w:rPr>
                <w:bCs/>
                <w:szCs w:val="21"/>
              </w:rPr>
              <w:t>observation</w:t>
            </w:r>
            <w:r w:rsidR="004B6ABE">
              <w:rPr>
                <w:bCs/>
                <w:szCs w:val="21"/>
              </w:rPr>
              <w:t xml:space="preserve"> group, with </w:t>
            </w:r>
            <w:r>
              <w:rPr>
                <w:bCs/>
                <w:szCs w:val="21"/>
              </w:rPr>
              <w:t xml:space="preserve">106 </w:t>
            </w:r>
            <w:r w:rsidR="004B6ABE">
              <w:rPr>
                <w:bCs/>
                <w:szCs w:val="21"/>
              </w:rPr>
              <w:t>cases in each group.</w:t>
            </w:r>
            <w:r>
              <w:rPr>
                <w:bCs/>
                <w:szCs w:val="21"/>
              </w:rPr>
              <w:t xml:space="preserve"> </w:t>
            </w:r>
          </w:p>
          <w:p w14:paraId="53612D74" w14:textId="31754750" w:rsidR="005D1745" w:rsidRDefault="000D6DFC">
            <w:pPr>
              <w:spacing w:afterLines="0" w:after="0"/>
              <w:rPr>
                <w:bCs/>
                <w:szCs w:val="21"/>
              </w:rPr>
            </w:pPr>
            <w:r>
              <w:rPr>
                <w:bCs/>
                <w:szCs w:val="21"/>
              </w:rPr>
              <w:t xml:space="preserve">    </w:t>
            </w:r>
            <w:r w:rsidR="004B6ABE">
              <w:rPr>
                <w:bCs/>
                <w:szCs w:val="21"/>
              </w:rPr>
              <w:t>Patients are scheduled for visits of assessment once a month during the medication period</w:t>
            </w:r>
            <w:r>
              <w:rPr>
                <w:bCs/>
                <w:szCs w:val="21"/>
              </w:rPr>
              <w:t>,</w:t>
            </w:r>
            <w:r w:rsidR="004B6ABE">
              <w:rPr>
                <w:bCs/>
                <w:szCs w:val="21"/>
              </w:rPr>
              <w:t xml:space="preserve"> </w:t>
            </w:r>
            <w:r w:rsidR="004B6ABE" w:rsidRPr="00147639">
              <w:rPr>
                <w:bCs/>
                <w:szCs w:val="21"/>
              </w:rPr>
              <w:t xml:space="preserve">every 3 months </w:t>
            </w:r>
            <w:r>
              <w:rPr>
                <w:bCs/>
                <w:szCs w:val="21"/>
              </w:rPr>
              <w:t>for the first 2 years after randomization, every 6 months until 5 years, and every 12 months thereafter</w:t>
            </w:r>
            <w:r w:rsidR="004B6ABE">
              <w:rPr>
                <w:bCs/>
                <w:szCs w:val="21"/>
              </w:rPr>
              <w:t xml:space="preserve"> until disease </w:t>
            </w:r>
            <w:r>
              <w:rPr>
                <w:bCs/>
                <w:szCs w:val="21"/>
              </w:rPr>
              <w:t>recurrence or death</w:t>
            </w:r>
            <w:r w:rsidR="004B6ABE">
              <w:rPr>
                <w:bCs/>
                <w:szCs w:val="21"/>
              </w:rPr>
              <w:t>.</w:t>
            </w:r>
          </w:p>
          <w:p w14:paraId="5E5E3418" w14:textId="36479658" w:rsidR="005D1745" w:rsidRDefault="00454A76">
            <w:pPr>
              <w:spacing w:afterLines="0" w:after="0"/>
              <w:rPr>
                <w:szCs w:val="21"/>
              </w:rPr>
            </w:pPr>
            <w:r>
              <w:rPr>
                <w:bCs/>
                <w:szCs w:val="21"/>
              </w:rPr>
              <w:t xml:space="preserve">    </w:t>
            </w:r>
            <w:r w:rsidR="004B6ABE">
              <w:rPr>
                <w:bCs/>
                <w:szCs w:val="21"/>
              </w:rPr>
              <w:t xml:space="preserve">After disease progression, researchers need to contact the patients, their families, or their current treating physicians by phone at least once every 3 months to collect long-term follow-up information on survival. Patients who withdraw from the study treatment for reasons other than progression (excluding patients who withdraw consent, are lost to follow-up, or die) should continue to receive objective tumor assessments </w:t>
            </w:r>
            <w:r w:rsidR="004B6ABE" w:rsidRPr="00063453">
              <w:rPr>
                <w:bCs/>
                <w:szCs w:val="21"/>
              </w:rPr>
              <w:t xml:space="preserve">every </w:t>
            </w:r>
            <w:r w:rsidR="00147639" w:rsidRPr="00063453">
              <w:rPr>
                <w:bCs/>
                <w:szCs w:val="21"/>
              </w:rPr>
              <w:t>3</w:t>
            </w:r>
            <w:r w:rsidR="004B6ABE" w:rsidRPr="00063453">
              <w:rPr>
                <w:bCs/>
                <w:szCs w:val="21"/>
              </w:rPr>
              <w:t xml:space="preserve"> months </w:t>
            </w:r>
            <w:r w:rsidR="004B6ABE">
              <w:rPr>
                <w:bCs/>
                <w:szCs w:val="21"/>
              </w:rPr>
              <w:t>to collect information about disease progression.</w:t>
            </w:r>
          </w:p>
        </w:tc>
      </w:tr>
      <w:tr w:rsidR="005D1745" w14:paraId="1C323A1F" w14:textId="77777777">
        <w:trPr>
          <w:trHeight w:val="1902"/>
          <w:jc w:val="center"/>
        </w:trPr>
        <w:tc>
          <w:tcPr>
            <w:tcW w:w="1178" w:type="dxa"/>
            <w:tcBorders>
              <w:top w:val="single" w:sz="4" w:space="0" w:color="auto"/>
              <w:left w:val="single" w:sz="4" w:space="0" w:color="auto"/>
              <w:bottom w:val="single" w:sz="4" w:space="0" w:color="auto"/>
              <w:right w:val="single" w:sz="4" w:space="0" w:color="auto"/>
            </w:tcBorders>
            <w:vAlign w:val="center"/>
          </w:tcPr>
          <w:p w14:paraId="2A901898" w14:textId="77777777" w:rsidR="005D1745" w:rsidRDefault="004B6ABE">
            <w:pPr>
              <w:pStyle w:val="Gliederung1"/>
              <w:widowControl w:val="0"/>
              <w:tabs>
                <w:tab w:val="clear" w:pos="709"/>
              </w:tabs>
              <w:suppressAutoHyphens w:val="0"/>
              <w:autoSpaceDE w:val="0"/>
              <w:autoSpaceDN w:val="0"/>
              <w:adjustRightInd w:val="0"/>
              <w:spacing w:after="240" w:line="360" w:lineRule="auto"/>
              <w:rPr>
                <w:b w:val="0"/>
              </w:rPr>
            </w:pPr>
            <w:r>
              <w:rPr>
                <w:kern w:val="2"/>
                <w:szCs w:val="21"/>
                <w:lang w:val="en-US"/>
              </w:rPr>
              <w:t>Safety</w:t>
            </w:r>
          </w:p>
        </w:tc>
        <w:tc>
          <w:tcPr>
            <w:tcW w:w="7930" w:type="dxa"/>
            <w:tcBorders>
              <w:top w:val="single" w:sz="4" w:space="0" w:color="auto"/>
              <w:left w:val="single" w:sz="4" w:space="0" w:color="auto"/>
              <w:bottom w:val="single" w:sz="4" w:space="0" w:color="auto"/>
              <w:right w:val="single" w:sz="4" w:space="0" w:color="auto"/>
            </w:tcBorders>
            <w:vAlign w:val="center"/>
          </w:tcPr>
          <w:p w14:paraId="183DD954" w14:textId="0C1534F1" w:rsidR="005D1745" w:rsidRDefault="004B6ABE">
            <w:pPr>
              <w:spacing w:afterLines="0" w:after="0"/>
            </w:pPr>
            <w:r>
              <w:rPr>
                <w:bCs/>
                <w:szCs w:val="21"/>
              </w:rPr>
              <w:t xml:space="preserve">All patients who have </w:t>
            </w:r>
            <w:r w:rsidR="00337658" w:rsidRPr="00337658">
              <w:rPr>
                <w:bCs/>
                <w:szCs w:val="21"/>
              </w:rPr>
              <w:t xml:space="preserve">received icotinib and those in the observation </w:t>
            </w:r>
            <w:r w:rsidR="00CE7A5E" w:rsidRPr="00337658">
              <w:rPr>
                <w:bCs/>
                <w:szCs w:val="21"/>
              </w:rPr>
              <w:t>group will</w:t>
            </w:r>
            <w:r>
              <w:rPr>
                <w:bCs/>
                <w:szCs w:val="21"/>
              </w:rPr>
              <w:t xml:space="preserve"> be included in the safety analysis population. The physical examination results, vital signs, adverse events, and abnormal laboratory test values of the patients will be summarized. Adverse events should be reported and graded according to the National Cancer Institute's Common Terminology Criteria for Adverse Events (CTCAE) version 4.0.</w:t>
            </w:r>
          </w:p>
        </w:tc>
      </w:tr>
      <w:tr w:rsidR="005D1745" w14:paraId="39565042" w14:textId="77777777">
        <w:trPr>
          <w:trHeight w:val="1820"/>
          <w:jc w:val="center"/>
        </w:trPr>
        <w:tc>
          <w:tcPr>
            <w:tcW w:w="1178" w:type="dxa"/>
            <w:tcBorders>
              <w:top w:val="single" w:sz="4" w:space="0" w:color="auto"/>
              <w:left w:val="single" w:sz="4" w:space="0" w:color="auto"/>
              <w:bottom w:val="single" w:sz="4" w:space="0" w:color="auto"/>
              <w:right w:val="single" w:sz="4" w:space="0" w:color="auto"/>
            </w:tcBorders>
            <w:vAlign w:val="center"/>
          </w:tcPr>
          <w:p w14:paraId="360F65DF" w14:textId="77777777" w:rsidR="005D1745" w:rsidRDefault="004B6ABE">
            <w:pPr>
              <w:pStyle w:val="Gliederung1"/>
              <w:widowControl w:val="0"/>
              <w:tabs>
                <w:tab w:val="clear" w:pos="709"/>
              </w:tabs>
              <w:suppressAutoHyphens w:val="0"/>
              <w:autoSpaceDE w:val="0"/>
              <w:autoSpaceDN w:val="0"/>
              <w:adjustRightInd w:val="0"/>
              <w:spacing w:after="240" w:line="360" w:lineRule="auto"/>
              <w:rPr>
                <w:b w:val="0"/>
              </w:rPr>
            </w:pPr>
            <w:bookmarkStart w:id="51" w:name="_Toc294526050"/>
            <w:bookmarkStart w:id="52" w:name="_Toc290380375"/>
            <w:bookmarkStart w:id="53" w:name="_Toc290380685"/>
            <w:bookmarkStart w:id="54" w:name="_Toc302117795"/>
            <w:r>
              <w:rPr>
                <w:kern w:val="2"/>
                <w:szCs w:val="21"/>
                <w:lang w:val="en-US"/>
              </w:rPr>
              <w:t>Statistical methods</w:t>
            </w:r>
          </w:p>
        </w:tc>
        <w:tc>
          <w:tcPr>
            <w:tcW w:w="7930" w:type="dxa"/>
            <w:tcBorders>
              <w:top w:val="single" w:sz="4" w:space="0" w:color="auto"/>
              <w:left w:val="single" w:sz="4" w:space="0" w:color="auto"/>
              <w:bottom w:val="single" w:sz="4" w:space="0" w:color="auto"/>
              <w:right w:val="single" w:sz="4" w:space="0" w:color="auto"/>
            </w:tcBorders>
            <w:vAlign w:val="center"/>
          </w:tcPr>
          <w:p w14:paraId="5ABA7C91" w14:textId="4DC61FBA" w:rsidR="005D1745" w:rsidRDefault="004B6ABE" w:rsidP="007906ED">
            <w:pPr>
              <w:spacing w:afterLines="0" w:after="0"/>
              <w:rPr>
                <w:bCs/>
                <w:szCs w:val="21"/>
              </w:rPr>
            </w:pPr>
            <w:r>
              <w:rPr>
                <w:bCs/>
                <w:szCs w:val="21"/>
              </w:rPr>
              <w:t xml:space="preserve">Statistical hypothesis and sample size calculation: A sample size of </w:t>
            </w:r>
            <w:r w:rsidR="007906ED">
              <w:rPr>
                <w:bCs/>
                <w:szCs w:val="21"/>
              </w:rPr>
              <w:t xml:space="preserve">318 </w:t>
            </w:r>
            <w:r>
              <w:rPr>
                <w:bCs/>
                <w:szCs w:val="21"/>
              </w:rPr>
              <w:t xml:space="preserve">(requiring </w:t>
            </w:r>
            <w:r w:rsidR="007906ED">
              <w:rPr>
                <w:bCs/>
                <w:szCs w:val="21"/>
              </w:rPr>
              <w:t xml:space="preserve">198 </w:t>
            </w:r>
            <w:r>
              <w:rPr>
                <w:bCs/>
                <w:szCs w:val="21"/>
              </w:rPr>
              <w:t xml:space="preserve">events) is based on the following considerations: From previous studies, it is assumed that </w:t>
            </w:r>
            <w:r w:rsidR="007906ED" w:rsidRPr="007906ED">
              <w:rPr>
                <w:bCs/>
                <w:szCs w:val="21"/>
              </w:rPr>
              <w:t>the median DFS is 30 months for</w:t>
            </w:r>
            <w:r w:rsidR="007906ED">
              <w:rPr>
                <w:bCs/>
                <w:szCs w:val="21"/>
              </w:rPr>
              <w:t xml:space="preserve"> </w:t>
            </w:r>
            <w:r w:rsidR="007906ED" w:rsidRPr="007906ED">
              <w:rPr>
                <w:bCs/>
                <w:szCs w:val="21"/>
              </w:rPr>
              <w:t>patients with EGFR-mutated stage II-IIIA NSCLC following adjuvant chemotherapy</w:t>
            </w:r>
            <w:r>
              <w:rPr>
                <w:bCs/>
                <w:szCs w:val="21"/>
              </w:rPr>
              <w:t>, with a hazard ratio (HR) of 0.</w:t>
            </w:r>
            <w:r w:rsidR="007906ED">
              <w:rPr>
                <w:bCs/>
                <w:szCs w:val="21"/>
              </w:rPr>
              <w:t>6</w:t>
            </w:r>
            <w:r>
              <w:rPr>
                <w:bCs/>
                <w:szCs w:val="21"/>
              </w:rPr>
              <w:t xml:space="preserve">, a power of test (1-β) of </w:t>
            </w:r>
            <w:r w:rsidR="007906ED">
              <w:rPr>
                <w:bCs/>
                <w:szCs w:val="21"/>
              </w:rPr>
              <w:t>85</w:t>
            </w:r>
            <w:r>
              <w:rPr>
                <w:bCs/>
                <w:szCs w:val="21"/>
              </w:rPr>
              <w:t xml:space="preserve">%, a significance level (α) of 5% for a two-sided test, </w:t>
            </w:r>
            <w:r w:rsidR="007906ED" w:rsidRPr="007906ED">
              <w:rPr>
                <w:bCs/>
                <w:szCs w:val="21"/>
              </w:rPr>
              <w:t>and an overall dropout rate</w:t>
            </w:r>
            <w:r w:rsidR="007906ED">
              <w:rPr>
                <w:bCs/>
                <w:szCs w:val="21"/>
              </w:rPr>
              <w:t xml:space="preserve"> </w:t>
            </w:r>
            <w:r w:rsidR="007906ED" w:rsidRPr="007906ED">
              <w:rPr>
                <w:bCs/>
                <w:szCs w:val="21"/>
              </w:rPr>
              <w:t>of 5%.</w:t>
            </w:r>
          </w:p>
        </w:tc>
      </w:tr>
    </w:tbl>
    <w:p w14:paraId="696FFB6C" w14:textId="77777777" w:rsidR="005D1745" w:rsidRDefault="005D1745">
      <w:pPr>
        <w:spacing w:after="240"/>
        <w:ind w:firstLineChars="1190" w:firstLine="3345"/>
        <w:rPr>
          <w:b/>
          <w:sz w:val="28"/>
          <w:szCs w:val="28"/>
        </w:rPr>
      </w:pPr>
    </w:p>
    <w:p w14:paraId="38A88889" w14:textId="77777777" w:rsidR="005D1745" w:rsidRDefault="005D1745">
      <w:pPr>
        <w:spacing w:after="240"/>
        <w:ind w:firstLineChars="1190" w:firstLine="3345"/>
        <w:rPr>
          <w:b/>
          <w:sz w:val="28"/>
          <w:szCs w:val="28"/>
        </w:rPr>
      </w:pPr>
    </w:p>
    <w:p w14:paraId="53EE3941" w14:textId="77777777" w:rsidR="005D1745" w:rsidRDefault="005D1745">
      <w:pPr>
        <w:spacing w:after="240"/>
        <w:ind w:firstLineChars="1240" w:firstLine="3486"/>
        <w:rPr>
          <w:b/>
          <w:sz w:val="28"/>
          <w:szCs w:val="28"/>
        </w:rPr>
      </w:pPr>
    </w:p>
    <w:bookmarkStart w:id="55" w:name="_Toc4879"/>
    <w:bookmarkStart w:id="56" w:name="_Toc3334"/>
    <w:bookmarkStart w:id="57" w:name="_Toc24292"/>
    <w:bookmarkStart w:id="58" w:name="_Toc14355"/>
    <w:bookmarkStart w:id="59" w:name="_Toc18284"/>
    <w:bookmarkStart w:id="60" w:name="_Toc17806"/>
    <w:bookmarkStart w:id="61" w:name="_Toc9730"/>
    <w:bookmarkStart w:id="62" w:name="_Toc170380164"/>
    <w:p w14:paraId="1D5CB4BF" w14:textId="7471418E" w:rsidR="005D1745" w:rsidRDefault="00DC663B">
      <w:pPr>
        <w:pStyle w:val="1"/>
        <w:numPr>
          <w:ilvl w:val="0"/>
          <w:numId w:val="0"/>
        </w:numPr>
        <w:spacing w:before="240"/>
        <w:jc w:val="center"/>
        <w:sectPr w:rsidR="005D1745" w:rsidSect="00D17B3D">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18" w:right="1418" w:bottom="1418" w:left="1418" w:header="851" w:footer="850" w:gutter="0"/>
          <w:lnNumType w:countBy="1"/>
          <w:pgNumType w:start="1"/>
          <w:cols w:space="720"/>
          <w:titlePg/>
          <w:docGrid w:linePitch="312"/>
        </w:sectPr>
      </w:pPr>
      <w:r w:rsidRPr="00B5056C">
        <w:rPr>
          <w:noProof/>
          <w:lang w:val="en-GB" w:eastAsia="en-GB"/>
        </w:rPr>
        <mc:AlternateContent>
          <mc:Choice Requires="wps">
            <w:drawing>
              <wp:anchor distT="0" distB="0" distL="114300" distR="114300" simplePos="0" relativeHeight="251673600" behindDoc="0" locked="0" layoutInCell="1" allowOverlap="1" wp14:anchorId="0DD5D73B" wp14:editId="656E482F">
                <wp:simplePos x="0" y="0"/>
                <wp:positionH relativeFrom="column">
                  <wp:posOffset>1286815</wp:posOffset>
                </wp:positionH>
                <wp:positionV relativeFrom="paragraph">
                  <wp:posOffset>4873625</wp:posOffset>
                </wp:positionV>
                <wp:extent cx="2801137" cy="1581150"/>
                <wp:effectExtent l="0" t="0" r="18415" b="19050"/>
                <wp:wrapNone/>
                <wp:docPr id="14" name="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1137" cy="1581150"/>
                        </a:xfrm>
                        <a:prstGeom prst="rect">
                          <a:avLst/>
                        </a:prstGeom>
                        <a:solidFill>
                          <a:srgbClr val="FFFFFF"/>
                        </a:solidFill>
                        <a:ln w="9525">
                          <a:solidFill>
                            <a:srgbClr val="000000"/>
                          </a:solidFill>
                          <a:miter lim="800000"/>
                          <a:headEnd/>
                          <a:tailEnd/>
                        </a:ln>
                      </wps:spPr>
                      <wps:txbx>
                        <w:txbxContent>
                          <w:p w14:paraId="6DD781AB" w14:textId="77777777" w:rsidR="00CC7E60" w:rsidRPr="00F148FC" w:rsidRDefault="00CC7E60" w:rsidP="00B5056C">
                            <w:pPr>
                              <w:spacing w:afterLines="0" w:after="0" w:line="276" w:lineRule="auto"/>
                              <w:jc w:val="left"/>
                              <w:rPr>
                                <w:sz w:val="24"/>
                              </w:rPr>
                            </w:pPr>
                            <w:r w:rsidRPr="00F148FC">
                              <w:rPr>
                                <w:sz w:val="24"/>
                              </w:rPr>
                              <w:t>Primary endpoint</w:t>
                            </w:r>
                            <w:r w:rsidRPr="00F148FC">
                              <w:rPr>
                                <w:sz w:val="24"/>
                              </w:rPr>
                              <w:t>：</w:t>
                            </w:r>
                          </w:p>
                          <w:p w14:paraId="4BC2C5EE" w14:textId="7737EAB8" w:rsidR="00CC7E60" w:rsidRPr="00F148FC" w:rsidRDefault="00CC7E60" w:rsidP="00B5056C">
                            <w:pPr>
                              <w:spacing w:afterLines="0" w:after="0" w:line="276" w:lineRule="auto"/>
                              <w:jc w:val="left"/>
                              <w:rPr>
                                <w:sz w:val="24"/>
                              </w:rPr>
                            </w:pPr>
                            <w:r w:rsidRPr="00F148FC">
                              <w:rPr>
                                <w:sz w:val="24"/>
                              </w:rPr>
                              <w:t>DFS</w:t>
                            </w:r>
                            <w:r>
                              <w:rPr>
                                <w:sz w:val="24"/>
                              </w:rPr>
                              <w:t xml:space="preserve"> according to investigator assessment</w:t>
                            </w:r>
                          </w:p>
                          <w:p w14:paraId="0A301B99" w14:textId="77777777" w:rsidR="00CC7E60" w:rsidRPr="00F148FC" w:rsidRDefault="00CC7E60" w:rsidP="00B5056C">
                            <w:pPr>
                              <w:spacing w:afterLines="0" w:after="0" w:line="276" w:lineRule="auto"/>
                              <w:jc w:val="left"/>
                              <w:rPr>
                                <w:sz w:val="24"/>
                              </w:rPr>
                            </w:pPr>
                            <w:r w:rsidRPr="00F148FC">
                              <w:rPr>
                                <w:sz w:val="24"/>
                              </w:rPr>
                              <w:t>Secondary endpoints</w:t>
                            </w:r>
                            <w:r w:rsidRPr="00F148FC">
                              <w:rPr>
                                <w:sz w:val="24"/>
                              </w:rPr>
                              <w:t>：</w:t>
                            </w:r>
                          </w:p>
                          <w:p w14:paraId="729F71C7" w14:textId="78DDCD1F" w:rsidR="00CC7E60" w:rsidRDefault="00CC7E60" w:rsidP="00B5056C">
                            <w:pPr>
                              <w:spacing w:afterLines="0" w:after="0" w:line="276" w:lineRule="auto"/>
                              <w:jc w:val="left"/>
                              <w:rPr>
                                <w:sz w:val="24"/>
                              </w:rPr>
                            </w:pPr>
                            <w:r w:rsidRPr="00F148FC">
                              <w:rPr>
                                <w:sz w:val="24"/>
                              </w:rPr>
                              <w:t>OS</w:t>
                            </w:r>
                          </w:p>
                          <w:p w14:paraId="1FA167DE" w14:textId="77777777" w:rsidR="00CC7E60" w:rsidRPr="00F148FC" w:rsidRDefault="00CC7E60" w:rsidP="00BD767F">
                            <w:pPr>
                              <w:spacing w:afterLines="0" w:after="0" w:line="276" w:lineRule="auto"/>
                              <w:jc w:val="left"/>
                              <w:rPr>
                                <w:sz w:val="24"/>
                              </w:rPr>
                            </w:pPr>
                            <w:r w:rsidRPr="00F148FC">
                              <w:rPr>
                                <w:sz w:val="24"/>
                              </w:rPr>
                              <w:t>BMFS</w:t>
                            </w:r>
                          </w:p>
                          <w:p w14:paraId="59431F36" w14:textId="77777777" w:rsidR="00CC7E60" w:rsidRPr="00F148FC" w:rsidRDefault="00CC7E60" w:rsidP="00B5056C">
                            <w:pPr>
                              <w:spacing w:afterLines="0" w:after="0" w:line="276" w:lineRule="auto"/>
                              <w:jc w:val="left"/>
                              <w:rPr>
                                <w:sz w:val="24"/>
                              </w:rPr>
                            </w:pPr>
                            <w:r w:rsidRPr="00F148FC">
                              <w:rPr>
                                <w:sz w:val="24"/>
                              </w:rPr>
                              <w:t>Safety</w:t>
                            </w:r>
                          </w:p>
                          <w:p w14:paraId="7F11386D" w14:textId="77777777" w:rsidR="00CC7E60" w:rsidRPr="00F148FC" w:rsidRDefault="00CC7E60" w:rsidP="00B5056C">
                            <w:pPr>
                              <w:spacing w:afterLines="0" w:after="0" w:line="276" w:lineRule="auto"/>
                              <w:jc w:val="left"/>
                              <w:rPr>
                                <w:sz w:val="24"/>
                              </w:rPr>
                            </w:pPr>
                            <w:r w:rsidRPr="00F148FC">
                              <w:rPr>
                                <w:sz w:val="24"/>
                              </w:rPr>
                              <w:t>QoL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D5D73B" id="矩形 14" o:spid="_x0000_s1026" style="position:absolute;left:0;text-align:left;margin-left:101.3pt;margin-top:383.75pt;width:220.55pt;height:12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">
                <v:textbox>
                  <w:txbxContent>
                    <w:p w14:paraId="6DD781AB" w14:textId="77777777" w:rsidR="00CC7E60" w:rsidRPr="00F148FC" w:rsidRDefault="00CC7E60" w:rsidP="00B5056C">
                      <w:pPr>
                        <w:spacing w:afterLines="0" w:after="0" w:line="276" w:lineRule="auto"/>
                        <w:jc w:val="left"/>
                        <w:rPr>
                          <w:sz w:val="24"/>
                        </w:rPr>
                      </w:pPr>
                      <w:r w:rsidRPr="00F148FC">
                        <w:rPr>
                          <w:sz w:val="24"/>
                        </w:rPr>
                        <w:t>Primary endpoint</w:t>
                      </w:r>
                      <w:r w:rsidRPr="00F148FC">
                        <w:rPr>
                          <w:sz w:val="24"/>
                        </w:rPr>
                        <w:t>：</w:t>
                      </w:r>
                    </w:p>
                    <w:p w14:paraId="4BC2C5EE" w14:textId="7737EAB8" w:rsidR="00CC7E60" w:rsidRPr="00F148FC" w:rsidRDefault="00CC7E60" w:rsidP="00B5056C">
                      <w:pPr>
                        <w:spacing w:afterLines="0" w:after="0" w:line="276" w:lineRule="auto"/>
                        <w:jc w:val="left"/>
                        <w:rPr>
                          <w:sz w:val="24"/>
                        </w:rPr>
                      </w:pPr>
                      <w:r w:rsidRPr="00F148FC">
                        <w:rPr>
                          <w:sz w:val="24"/>
                        </w:rPr>
                        <w:t>DFS</w:t>
                      </w:r>
                      <w:r>
                        <w:rPr>
                          <w:sz w:val="24"/>
                        </w:rPr>
                        <w:t xml:space="preserve"> according to investigator assessment</w:t>
                      </w:r>
                    </w:p>
                    <w:p w14:paraId="0A301B99" w14:textId="77777777" w:rsidR="00CC7E60" w:rsidRPr="00F148FC" w:rsidRDefault="00CC7E60" w:rsidP="00B5056C">
                      <w:pPr>
                        <w:spacing w:afterLines="0" w:after="0" w:line="276" w:lineRule="auto"/>
                        <w:jc w:val="left"/>
                        <w:rPr>
                          <w:sz w:val="24"/>
                        </w:rPr>
                      </w:pPr>
                      <w:r w:rsidRPr="00F148FC">
                        <w:rPr>
                          <w:sz w:val="24"/>
                        </w:rPr>
                        <w:t>Secondary endpoints</w:t>
                      </w:r>
                      <w:r w:rsidRPr="00F148FC">
                        <w:rPr>
                          <w:sz w:val="24"/>
                        </w:rPr>
                        <w:t>：</w:t>
                      </w:r>
                    </w:p>
                    <w:p w14:paraId="729F71C7" w14:textId="78DDCD1F" w:rsidR="00CC7E60" w:rsidRDefault="00CC7E60" w:rsidP="00B5056C">
                      <w:pPr>
                        <w:spacing w:afterLines="0" w:after="0" w:line="276" w:lineRule="auto"/>
                        <w:jc w:val="left"/>
                        <w:rPr>
                          <w:sz w:val="24"/>
                        </w:rPr>
                      </w:pPr>
                      <w:r w:rsidRPr="00F148FC">
                        <w:rPr>
                          <w:sz w:val="24"/>
                        </w:rPr>
                        <w:t>OS</w:t>
                      </w:r>
                    </w:p>
                    <w:p w14:paraId="1FA167DE" w14:textId="77777777" w:rsidR="00CC7E60" w:rsidRPr="00F148FC" w:rsidRDefault="00CC7E60" w:rsidP="00BD767F">
                      <w:pPr>
                        <w:spacing w:afterLines="0" w:after="0" w:line="276" w:lineRule="auto"/>
                        <w:jc w:val="left"/>
                        <w:rPr>
                          <w:sz w:val="24"/>
                        </w:rPr>
                      </w:pPr>
                      <w:r w:rsidRPr="00F148FC">
                        <w:rPr>
                          <w:sz w:val="24"/>
                        </w:rPr>
                        <w:t>BMFS</w:t>
                      </w:r>
                    </w:p>
                    <w:p w14:paraId="59431F36" w14:textId="77777777" w:rsidR="00CC7E60" w:rsidRPr="00F148FC" w:rsidRDefault="00CC7E60" w:rsidP="00B5056C">
                      <w:pPr>
                        <w:spacing w:afterLines="0" w:after="0" w:line="276" w:lineRule="auto"/>
                        <w:jc w:val="left"/>
                        <w:rPr>
                          <w:sz w:val="24"/>
                        </w:rPr>
                      </w:pPr>
                      <w:r w:rsidRPr="00F148FC">
                        <w:rPr>
                          <w:sz w:val="24"/>
                        </w:rPr>
                        <w:t>Safety</w:t>
                      </w:r>
                    </w:p>
                    <w:p w14:paraId="7F11386D" w14:textId="77777777" w:rsidR="00CC7E60" w:rsidRPr="00F148FC" w:rsidRDefault="00CC7E60" w:rsidP="00B5056C">
                      <w:pPr>
                        <w:spacing w:afterLines="0" w:after="0" w:line="276" w:lineRule="auto"/>
                        <w:jc w:val="left"/>
                        <w:rPr>
                          <w:sz w:val="24"/>
                        </w:rPr>
                      </w:pPr>
                      <w:r w:rsidRPr="00F148FC">
                        <w:rPr>
                          <w:sz w:val="24"/>
                        </w:rPr>
                        <w:t>QoL</w:t>
                      </w:r>
                    </w:p>
                  </w:txbxContent>
                </v:textbox>
              </v:rect>
            </w:pict>
          </mc:Fallback>
        </mc:AlternateContent>
      </w:r>
      <w:r w:rsidR="00185B0A">
        <w:rPr>
          <w:noProof/>
          <w:lang w:val="en-GB" w:eastAsia="en-GB"/>
        </w:rPr>
        <mc:AlternateContent>
          <mc:Choice Requires="wps">
            <w:drawing>
              <wp:anchor distT="0" distB="0" distL="114300" distR="114300" simplePos="0" relativeHeight="251659264" behindDoc="0" locked="0" layoutInCell="1" allowOverlap="1" wp14:anchorId="11B874D1" wp14:editId="4E64FA82">
                <wp:simplePos x="0" y="0"/>
                <wp:positionH relativeFrom="column">
                  <wp:posOffset>3805250</wp:posOffset>
                </wp:positionH>
                <wp:positionV relativeFrom="paragraph">
                  <wp:posOffset>2291715</wp:posOffset>
                </wp:positionV>
                <wp:extent cx="1762760" cy="496570"/>
                <wp:effectExtent l="0" t="0" r="27940" b="17780"/>
                <wp:wrapNone/>
                <wp:docPr id="7" name="矩形 18"/>
                <wp:cNvGraphicFramePr/>
                <a:graphic xmlns:a="http://schemas.openxmlformats.org/drawingml/2006/main">
                  <a:graphicData uri="http://schemas.microsoft.com/office/word/2010/wordprocessingShape">
                    <wps:wsp>
                      <wps:cNvSpPr/>
                      <wps:spPr>
                        <a:xfrm>
                          <a:off x="0" y="0"/>
                          <a:ext cx="1762760" cy="4965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CEAF5E6" w14:textId="25BABB56" w:rsidR="00CC7E60" w:rsidRPr="00063453" w:rsidRDefault="00CC7E60" w:rsidP="00DF68F2">
                            <w:pPr>
                              <w:adjustRightInd w:val="0"/>
                              <w:snapToGrid w:val="0"/>
                              <w:spacing w:afterLines="0" w:after="0"/>
                              <w:jc w:val="center"/>
                              <w:rPr>
                                <w:bCs/>
                                <w:szCs w:val="21"/>
                              </w:rPr>
                            </w:pPr>
                            <w:bookmarkStart w:id="63" w:name="_Hlk170141283"/>
                            <w:bookmarkStart w:id="64" w:name="_Hlk170141285"/>
                            <w:bookmarkStart w:id="65" w:name="_Hlk170141286"/>
                            <w:bookmarkStart w:id="66" w:name="_Hlk170141284"/>
                            <w:r w:rsidRPr="00063453">
                              <w:rPr>
                                <w:rFonts w:hint="eastAsia"/>
                                <w:bCs/>
                                <w:szCs w:val="21"/>
                              </w:rPr>
                              <w:t>Observation</w:t>
                            </w:r>
                            <w:bookmarkEnd w:id="63"/>
                            <w:bookmarkEnd w:id="64"/>
                            <w:bookmarkEnd w:id="65"/>
                            <w:bookmarkEnd w:id="66"/>
                            <w:r>
                              <w:rPr>
                                <w:bCs/>
                                <w:szCs w:val="21"/>
                              </w:rPr>
                              <w:t xml:space="preserve"> group</w:t>
                            </w:r>
                          </w:p>
                          <w:p w14:paraId="007AAFB3" w14:textId="35CC9D9D" w:rsidR="00CC7E60" w:rsidRPr="00147639" w:rsidRDefault="00CC7E60" w:rsidP="00DF68F2">
                            <w:pPr>
                              <w:adjustRightInd w:val="0"/>
                              <w:snapToGrid w:val="0"/>
                              <w:spacing w:afterLines="0" w:after="0"/>
                              <w:jc w:val="center"/>
                              <w:rPr>
                                <w:rFonts w:ascii="Arial" w:hAnsi="Arial" w:cs="Arial"/>
                                <w:b/>
                                <w:szCs w:val="21"/>
                              </w:rPr>
                            </w:pPr>
                            <w:r w:rsidRPr="00147639">
                              <w:rPr>
                                <w:bCs/>
                                <w:szCs w:val="21"/>
                              </w:rPr>
                              <w:t>(N=</w:t>
                            </w:r>
                            <w:r>
                              <w:rPr>
                                <w:bCs/>
                                <w:szCs w:val="21"/>
                              </w:rPr>
                              <w:t>108</w:t>
                            </w:r>
                            <w:r w:rsidRPr="00147639">
                              <w:rPr>
                                <w:bCs/>
                                <w:szCs w:val="21"/>
                              </w:rPr>
                              <w:t>)</w:t>
                            </w:r>
                          </w:p>
                        </w:txbxContent>
                      </wps:txbx>
                      <wps:bodyPr wrap="square" upright="1"/>
                    </wps:wsp>
                  </a:graphicData>
                </a:graphic>
                <wp14:sizeRelH relativeFrom="margin">
                  <wp14:pctWidth>0</wp14:pctWidth>
                </wp14:sizeRelH>
              </wp:anchor>
            </w:drawing>
          </mc:Choice>
          <mc:Fallback>
            <w:pict>
              <v:rect w14:anchorId="11B874D1" id="矩形 18" o:spid="_x0000_s1027" style="position:absolute;left:0;text-align:left;margin-left:299.65pt;margin-top:180.45pt;width:138.8pt;height:39.1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">
                <v:textbox>
                  <w:txbxContent>
                    <w:p w14:paraId="7CEAF5E6" w14:textId="25BABB56" w:rsidR="00CC7E60" w:rsidRPr="00063453" w:rsidRDefault="00CC7E60" w:rsidP="00DF68F2">
                      <w:pPr>
                        <w:adjustRightInd w:val="0"/>
                        <w:snapToGrid w:val="0"/>
                        <w:spacing w:afterLines="0" w:after="0"/>
                        <w:jc w:val="center"/>
                        <w:rPr>
                          <w:bCs/>
                          <w:szCs w:val="21"/>
                        </w:rPr>
                      </w:pPr>
                      <w:bookmarkStart w:id="67" w:name="_Hlk170141283"/>
                      <w:bookmarkStart w:id="68" w:name="_Hlk170141285"/>
                      <w:bookmarkStart w:id="69" w:name="_Hlk170141286"/>
                      <w:bookmarkStart w:id="70" w:name="_Hlk170141284"/>
                      <w:r w:rsidRPr="00063453">
                        <w:rPr>
                          <w:rFonts w:hint="eastAsia"/>
                          <w:bCs/>
                          <w:szCs w:val="21"/>
                        </w:rPr>
                        <w:t>Observation</w:t>
                      </w:r>
                      <w:bookmarkEnd w:id="67"/>
                      <w:bookmarkEnd w:id="68"/>
                      <w:bookmarkEnd w:id="69"/>
                      <w:bookmarkEnd w:id="70"/>
                      <w:r>
                        <w:rPr>
                          <w:bCs/>
                          <w:szCs w:val="21"/>
                        </w:rPr>
                        <w:t xml:space="preserve"> group</w:t>
                      </w:r>
                    </w:p>
                    <w:p w14:paraId="007AAFB3" w14:textId="35CC9D9D" w:rsidR="00CC7E60" w:rsidRPr="00147639" w:rsidRDefault="00CC7E60" w:rsidP="00DF68F2">
                      <w:pPr>
                        <w:adjustRightInd w:val="0"/>
                        <w:snapToGrid w:val="0"/>
                        <w:spacing w:afterLines="0" w:after="0"/>
                        <w:jc w:val="center"/>
                        <w:rPr>
                          <w:rFonts w:ascii="Arial" w:hAnsi="Arial" w:cs="Arial"/>
                          <w:b/>
                          <w:szCs w:val="21"/>
                        </w:rPr>
                      </w:pPr>
                      <w:r w:rsidRPr="00147639">
                        <w:rPr>
                          <w:bCs/>
                          <w:szCs w:val="21"/>
                        </w:rPr>
                        <w:t>(N=</w:t>
                      </w:r>
                      <w:r>
                        <w:rPr>
                          <w:bCs/>
                          <w:szCs w:val="21"/>
                        </w:rPr>
                        <w:t>108</w:t>
                      </w:r>
                      <w:r w:rsidRPr="00147639">
                        <w:rPr>
                          <w:bCs/>
                          <w:szCs w:val="21"/>
                        </w:rPr>
                        <w:t>)</w:t>
                      </w:r>
                    </w:p>
                  </w:txbxContent>
                </v:textbox>
              </v:rect>
            </w:pict>
          </mc:Fallback>
        </mc:AlternateContent>
      </w:r>
      <w:r w:rsidR="00185B0A">
        <w:rPr>
          <w:noProof/>
          <w:lang w:val="en-GB" w:eastAsia="en-GB"/>
        </w:rPr>
        <mc:AlternateContent>
          <mc:Choice Requires="wps">
            <w:drawing>
              <wp:anchor distT="0" distB="0" distL="114300" distR="114300" simplePos="0" relativeHeight="251679744" behindDoc="0" locked="0" layoutInCell="1" allowOverlap="1" wp14:anchorId="200BAFC6" wp14:editId="01F5E375">
                <wp:simplePos x="0" y="0"/>
                <wp:positionH relativeFrom="margin">
                  <wp:posOffset>1766240</wp:posOffset>
                </wp:positionH>
                <wp:positionV relativeFrom="paragraph">
                  <wp:posOffset>2288540</wp:posOffset>
                </wp:positionV>
                <wp:extent cx="1846580" cy="496570"/>
                <wp:effectExtent l="0" t="0" r="20320" b="17780"/>
                <wp:wrapNone/>
                <wp:docPr id="15" name="矩形 18"/>
                <wp:cNvGraphicFramePr/>
                <a:graphic xmlns:a="http://schemas.openxmlformats.org/drawingml/2006/main">
                  <a:graphicData uri="http://schemas.microsoft.com/office/word/2010/wordprocessingShape">
                    <wps:wsp>
                      <wps:cNvSpPr/>
                      <wps:spPr>
                        <a:xfrm>
                          <a:off x="0" y="0"/>
                          <a:ext cx="1846580" cy="4965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336126A" w14:textId="2471D04B" w:rsidR="00CC7E60" w:rsidRPr="00063453" w:rsidRDefault="00CC7E60" w:rsidP="00185B0A">
                            <w:pPr>
                              <w:adjustRightInd w:val="0"/>
                              <w:snapToGrid w:val="0"/>
                              <w:spacing w:afterLines="0" w:after="0"/>
                              <w:jc w:val="center"/>
                              <w:rPr>
                                <w:bCs/>
                                <w:szCs w:val="21"/>
                              </w:rPr>
                            </w:pPr>
                            <w:r>
                              <w:rPr>
                                <w:bCs/>
                                <w:szCs w:val="21"/>
                              </w:rPr>
                              <w:t>Icotinib of 6 months group</w:t>
                            </w:r>
                          </w:p>
                          <w:p w14:paraId="3C6D4BD1" w14:textId="3C3A3B44" w:rsidR="00CC7E60" w:rsidRPr="00147639" w:rsidRDefault="00CC7E60" w:rsidP="00185B0A">
                            <w:pPr>
                              <w:adjustRightInd w:val="0"/>
                              <w:snapToGrid w:val="0"/>
                              <w:spacing w:afterLines="0" w:after="0"/>
                              <w:jc w:val="center"/>
                              <w:rPr>
                                <w:rFonts w:ascii="Arial" w:hAnsi="Arial" w:cs="Arial"/>
                                <w:b/>
                                <w:szCs w:val="21"/>
                              </w:rPr>
                            </w:pPr>
                            <w:r w:rsidRPr="00147639">
                              <w:rPr>
                                <w:bCs/>
                                <w:szCs w:val="21"/>
                              </w:rPr>
                              <w:t>(N=</w:t>
                            </w:r>
                            <w:r>
                              <w:rPr>
                                <w:bCs/>
                                <w:szCs w:val="21"/>
                              </w:rPr>
                              <w:t>108</w:t>
                            </w:r>
                            <w:r w:rsidRPr="00147639">
                              <w:rPr>
                                <w:bCs/>
                                <w:szCs w:val="21"/>
                              </w:rPr>
                              <w:t>)</w:t>
                            </w:r>
                          </w:p>
                        </w:txbxContent>
                      </wps:txbx>
                      <wps:bodyPr wrap="square" upright="1"/>
                    </wps:wsp>
                  </a:graphicData>
                </a:graphic>
                <wp14:sizeRelH relativeFrom="margin">
                  <wp14:pctWidth>0</wp14:pctWidth>
                </wp14:sizeRelH>
              </wp:anchor>
            </w:drawing>
          </mc:Choice>
          <mc:Fallback>
            <w:pict>
              <v:rect w14:anchorId="200BAFC6" id="_x0000_s1028" style="position:absolute;left:0;text-align:left;margin-left:139.05pt;margin-top:180.2pt;width:145.4pt;height:39.1pt;z-index:2516797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">
                <v:textbox>
                  <w:txbxContent>
                    <w:p w14:paraId="3336126A" w14:textId="2471D04B" w:rsidR="00CC7E60" w:rsidRPr="00063453" w:rsidRDefault="00CC7E60" w:rsidP="00185B0A">
                      <w:pPr>
                        <w:adjustRightInd w:val="0"/>
                        <w:snapToGrid w:val="0"/>
                        <w:spacing w:afterLines="0" w:after="0"/>
                        <w:jc w:val="center"/>
                        <w:rPr>
                          <w:bCs/>
                          <w:szCs w:val="21"/>
                        </w:rPr>
                      </w:pPr>
                      <w:r>
                        <w:rPr>
                          <w:bCs/>
                          <w:szCs w:val="21"/>
                        </w:rPr>
                        <w:t>Icotinib of 6 months group</w:t>
                      </w:r>
                    </w:p>
                    <w:p w14:paraId="3C6D4BD1" w14:textId="3C3A3B44" w:rsidR="00CC7E60" w:rsidRPr="00147639" w:rsidRDefault="00CC7E60" w:rsidP="00185B0A">
                      <w:pPr>
                        <w:adjustRightInd w:val="0"/>
                        <w:snapToGrid w:val="0"/>
                        <w:spacing w:afterLines="0" w:after="0"/>
                        <w:jc w:val="center"/>
                        <w:rPr>
                          <w:rFonts w:ascii="Arial" w:hAnsi="Arial" w:cs="Arial"/>
                          <w:b/>
                          <w:szCs w:val="21"/>
                        </w:rPr>
                      </w:pPr>
                      <w:r w:rsidRPr="00147639">
                        <w:rPr>
                          <w:bCs/>
                          <w:szCs w:val="21"/>
                        </w:rPr>
                        <w:t>(N=</w:t>
                      </w:r>
                      <w:r>
                        <w:rPr>
                          <w:bCs/>
                          <w:szCs w:val="21"/>
                        </w:rPr>
                        <w:t>108</w:t>
                      </w:r>
                      <w:r w:rsidRPr="00147639">
                        <w:rPr>
                          <w:bCs/>
                          <w:szCs w:val="21"/>
                        </w:rPr>
                        <w:t>)</w:t>
                      </w:r>
                    </w:p>
                  </w:txbxContent>
                </v:textbox>
                <w10:wrap anchorx="margin"/>
              </v:rect>
            </w:pict>
          </mc:Fallback>
        </mc:AlternateContent>
      </w:r>
      <w:r w:rsidR="00185B0A">
        <w:rPr>
          <w:noProof/>
          <w:lang w:val="en-GB" w:eastAsia="en-GB"/>
        </w:rPr>
        <mc:AlternateContent>
          <mc:Choice Requires="wps">
            <w:drawing>
              <wp:anchor distT="0" distB="0" distL="114300" distR="114300" simplePos="0" relativeHeight="251677696" behindDoc="0" locked="0" layoutInCell="1" allowOverlap="1" wp14:anchorId="09D6D6C8" wp14:editId="044A96CA">
                <wp:simplePos x="0" y="0"/>
                <wp:positionH relativeFrom="margin">
                  <wp:posOffset>-262001</wp:posOffset>
                </wp:positionH>
                <wp:positionV relativeFrom="paragraph">
                  <wp:posOffset>2291715</wp:posOffset>
                </wp:positionV>
                <wp:extent cx="1846580" cy="496570"/>
                <wp:effectExtent l="0" t="0" r="20320" b="17780"/>
                <wp:wrapNone/>
                <wp:docPr id="12" name="矩形 18"/>
                <wp:cNvGraphicFramePr/>
                <a:graphic xmlns:a="http://schemas.openxmlformats.org/drawingml/2006/main">
                  <a:graphicData uri="http://schemas.microsoft.com/office/word/2010/wordprocessingShape">
                    <wps:wsp>
                      <wps:cNvSpPr/>
                      <wps:spPr>
                        <a:xfrm>
                          <a:off x="0" y="0"/>
                          <a:ext cx="1846580" cy="4965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1BB348" w14:textId="39671760" w:rsidR="00CC7E60" w:rsidRPr="00063453" w:rsidRDefault="00CC7E60" w:rsidP="00DF68F2">
                            <w:pPr>
                              <w:adjustRightInd w:val="0"/>
                              <w:snapToGrid w:val="0"/>
                              <w:spacing w:afterLines="0" w:after="0"/>
                              <w:jc w:val="center"/>
                              <w:rPr>
                                <w:bCs/>
                                <w:szCs w:val="21"/>
                              </w:rPr>
                            </w:pPr>
                            <w:r>
                              <w:rPr>
                                <w:bCs/>
                                <w:szCs w:val="21"/>
                              </w:rPr>
                              <w:t>Icotinib of 12 months group</w:t>
                            </w:r>
                          </w:p>
                          <w:p w14:paraId="72B9B6E8" w14:textId="103B996D" w:rsidR="00CC7E60" w:rsidRPr="00147639" w:rsidRDefault="00CC7E60" w:rsidP="00DF68F2">
                            <w:pPr>
                              <w:adjustRightInd w:val="0"/>
                              <w:snapToGrid w:val="0"/>
                              <w:spacing w:afterLines="0" w:after="0"/>
                              <w:jc w:val="center"/>
                              <w:rPr>
                                <w:rFonts w:ascii="Arial" w:hAnsi="Arial" w:cs="Arial"/>
                                <w:b/>
                                <w:szCs w:val="21"/>
                              </w:rPr>
                            </w:pPr>
                            <w:r w:rsidRPr="00147639">
                              <w:rPr>
                                <w:bCs/>
                                <w:szCs w:val="21"/>
                              </w:rPr>
                              <w:t>(N=</w:t>
                            </w:r>
                            <w:r>
                              <w:rPr>
                                <w:bCs/>
                                <w:szCs w:val="21"/>
                              </w:rPr>
                              <w:t>108</w:t>
                            </w:r>
                            <w:r w:rsidRPr="00147639">
                              <w:rPr>
                                <w:bCs/>
                                <w:szCs w:val="21"/>
                              </w:rPr>
                              <w:t>)</w:t>
                            </w:r>
                          </w:p>
                        </w:txbxContent>
                      </wps:txbx>
                      <wps:bodyPr wrap="square" upright="1"/>
                    </wps:wsp>
                  </a:graphicData>
                </a:graphic>
                <wp14:sizeRelH relativeFrom="margin">
                  <wp14:pctWidth>0</wp14:pctWidth>
                </wp14:sizeRelH>
              </wp:anchor>
            </w:drawing>
          </mc:Choice>
          <mc:Fallback>
            <w:pict>
              <v:rect w14:anchorId="09D6D6C8" id="_x0000_s1029" style="position:absolute;left:0;text-align:left;margin-left:-20.65pt;margin-top:180.45pt;width:145.4pt;height:39.1pt;z-index:2516776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">
                <v:textbox>
                  <w:txbxContent>
                    <w:p w14:paraId="651BB348" w14:textId="39671760" w:rsidR="00CC7E60" w:rsidRPr="00063453" w:rsidRDefault="00CC7E60" w:rsidP="00DF68F2">
                      <w:pPr>
                        <w:adjustRightInd w:val="0"/>
                        <w:snapToGrid w:val="0"/>
                        <w:spacing w:afterLines="0" w:after="0"/>
                        <w:jc w:val="center"/>
                        <w:rPr>
                          <w:bCs/>
                          <w:szCs w:val="21"/>
                        </w:rPr>
                      </w:pPr>
                      <w:r>
                        <w:rPr>
                          <w:bCs/>
                          <w:szCs w:val="21"/>
                        </w:rPr>
                        <w:t>Icotinib of 12 months group</w:t>
                      </w:r>
                    </w:p>
                    <w:p w14:paraId="72B9B6E8" w14:textId="103B996D" w:rsidR="00CC7E60" w:rsidRPr="00147639" w:rsidRDefault="00CC7E60" w:rsidP="00DF68F2">
                      <w:pPr>
                        <w:adjustRightInd w:val="0"/>
                        <w:snapToGrid w:val="0"/>
                        <w:spacing w:afterLines="0" w:after="0"/>
                        <w:jc w:val="center"/>
                        <w:rPr>
                          <w:rFonts w:ascii="Arial" w:hAnsi="Arial" w:cs="Arial"/>
                          <w:b/>
                          <w:szCs w:val="21"/>
                        </w:rPr>
                      </w:pPr>
                      <w:r w:rsidRPr="00147639">
                        <w:rPr>
                          <w:bCs/>
                          <w:szCs w:val="21"/>
                        </w:rPr>
                        <w:t>(N=</w:t>
                      </w:r>
                      <w:r>
                        <w:rPr>
                          <w:bCs/>
                          <w:szCs w:val="21"/>
                        </w:rPr>
                        <w:t>108</w:t>
                      </w:r>
                      <w:r w:rsidRPr="00147639">
                        <w:rPr>
                          <w:bCs/>
                          <w:szCs w:val="21"/>
                        </w:rPr>
                        <w:t>)</w:t>
                      </w:r>
                    </w:p>
                  </w:txbxContent>
                </v:textbox>
                <w10:wrap anchorx="margin"/>
              </v:rect>
            </w:pict>
          </mc:Fallback>
        </mc:AlternateContent>
      </w:r>
      <w:r w:rsidR="00B5056C" w:rsidRPr="00B5056C">
        <w:rPr>
          <w:noProof/>
          <w:lang w:val="en-GB" w:eastAsia="en-GB"/>
        </w:rPr>
        <mc:AlternateContent>
          <mc:Choice Requires="wps">
            <w:drawing>
              <wp:anchor distT="0" distB="0" distL="114300" distR="114300" simplePos="0" relativeHeight="251675648" behindDoc="0" locked="0" layoutInCell="1" allowOverlap="1" wp14:anchorId="513F8126" wp14:editId="75FB7F54">
                <wp:simplePos x="0" y="0"/>
                <wp:positionH relativeFrom="column">
                  <wp:posOffset>1831340</wp:posOffset>
                </wp:positionH>
                <wp:positionV relativeFrom="paragraph">
                  <wp:posOffset>4047490</wp:posOffset>
                </wp:positionV>
                <wp:extent cx="1835785" cy="353695"/>
                <wp:effectExtent l="0" t="0" r="12065" b="27305"/>
                <wp:wrapNone/>
                <wp:docPr id="25"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785" cy="353695"/>
                        </a:xfrm>
                        <a:prstGeom prst="rect">
                          <a:avLst/>
                        </a:prstGeom>
                        <a:solidFill>
                          <a:srgbClr val="FFFFFF"/>
                        </a:solidFill>
                        <a:ln w="9525">
                          <a:solidFill>
                            <a:srgbClr val="000000"/>
                          </a:solidFill>
                          <a:miter lim="800000"/>
                          <a:headEnd/>
                          <a:tailEnd/>
                        </a:ln>
                      </wps:spPr>
                      <wps:txbx>
                        <w:txbxContent>
                          <w:p w14:paraId="0EF00A05" w14:textId="77777777" w:rsidR="00CC7E60" w:rsidRPr="00DA1575" w:rsidRDefault="00CC7E60" w:rsidP="00B5056C">
                            <w:pPr>
                              <w:spacing w:after="240"/>
                              <w:jc w:val="center"/>
                              <w:rPr>
                                <w:sz w:val="24"/>
                              </w:rPr>
                            </w:pPr>
                            <w:r>
                              <w:rPr>
                                <w:sz w:val="24"/>
                                <w:szCs w:val="21"/>
                              </w:rPr>
                              <w:t>Follow-up</w:t>
                            </w:r>
                          </w:p>
                          <w:p w14:paraId="29BD2481" w14:textId="77777777" w:rsidR="00CC7E60" w:rsidRPr="00DA1575" w:rsidRDefault="00CC7E60" w:rsidP="00B5056C">
                            <w:pPr>
                              <w:spacing w:after="240"/>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3F8126" id="矩形 25" o:spid="_x0000_s1030" style="position:absolute;left:0;text-align:left;margin-left:144.2pt;margin-top:318.7pt;width:144.55pt;height:27.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">
                <v:textbox>
                  <w:txbxContent>
                    <w:p w14:paraId="0EF00A05" w14:textId="77777777" w:rsidR="00CC7E60" w:rsidRPr="00DA1575" w:rsidRDefault="00CC7E60" w:rsidP="00B5056C">
                      <w:pPr>
                        <w:spacing w:after="240"/>
                        <w:jc w:val="center"/>
                        <w:rPr>
                          <w:sz w:val="24"/>
                        </w:rPr>
                      </w:pPr>
                      <w:r>
                        <w:rPr>
                          <w:sz w:val="24"/>
                          <w:szCs w:val="21"/>
                        </w:rPr>
                        <w:t>Follow-up</w:t>
                      </w:r>
                    </w:p>
                    <w:p w14:paraId="29BD2481" w14:textId="77777777" w:rsidR="00CC7E60" w:rsidRPr="00DA1575" w:rsidRDefault="00CC7E60" w:rsidP="00B5056C">
                      <w:pPr>
                        <w:spacing w:after="240"/>
                        <w:rPr>
                          <w:sz w:val="24"/>
                        </w:rPr>
                      </w:pPr>
                    </w:p>
                  </w:txbxContent>
                </v:textbox>
              </v:rect>
            </w:pict>
          </mc:Fallback>
        </mc:AlternateContent>
      </w:r>
      <w:r w:rsidR="00B5056C" w:rsidRPr="00B5056C">
        <w:rPr>
          <w:noProof/>
          <w:lang w:val="en-GB" w:eastAsia="en-GB"/>
        </w:rPr>
        <mc:AlternateContent>
          <mc:Choice Requires="wps">
            <w:drawing>
              <wp:anchor distT="0" distB="0" distL="114300" distR="114300" simplePos="0" relativeHeight="251674624" behindDoc="0" locked="0" layoutInCell="1" allowOverlap="1" wp14:anchorId="4A1FAD51" wp14:editId="0A9C59C5">
                <wp:simplePos x="0" y="0"/>
                <wp:positionH relativeFrom="column">
                  <wp:posOffset>2714625</wp:posOffset>
                </wp:positionH>
                <wp:positionV relativeFrom="paragraph">
                  <wp:posOffset>4410075</wp:posOffset>
                </wp:positionV>
                <wp:extent cx="0" cy="409575"/>
                <wp:effectExtent l="76200" t="0" r="57150" b="47625"/>
                <wp:wrapNone/>
                <wp:docPr id="26" name="直接箭头连接符 26"/>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34E0CC6D" id="_x0000_t32" coordsize="21600,21600" o:spt="32" o:oned="t" path="m,l21600,21600e" filled="f">
                <v:path arrowok="t" fillok="f" o:connecttype="none"/>
                <o:lock v:ext="edit" shapetype="t"/>
              </v:shapetype>
              <v:shape id="直接箭头连接符 26" o:spid="_x0000_s1026" type="#_x0000_t32" style="position:absolute;margin-left:213.75pt;margin-top:347.25pt;width:0;height:32.2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" strokecolor="black [3040]">
                <v:stroke endarrow="block"/>
              </v:shape>
            </w:pict>
          </mc:Fallback>
        </mc:AlternateContent>
      </w:r>
      <w:r w:rsidR="003230E9">
        <w:rPr>
          <w:noProof/>
          <w:lang w:val="en-GB" w:eastAsia="en-GB"/>
        </w:rPr>
        <mc:AlternateContent>
          <mc:Choice Requires="wps">
            <w:drawing>
              <wp:anchor distT="0" distB="0" distL="114300" distR="114300" simplePos="0" relativeHeight="251649024" behindDoc="0" locked="0" layoutInCell="1" allowOverlap="1" wp14:anchorId="5C7E5E42" wp14:editId="0FA9D5C0">
                <wp:simplePos x="0" y="0"/>
                <wp:positionH relativeFrom="column">
                  <wp:posOffset>3004820</wp:posOffset>
                </wp:positionH>
                <wp:positionV relativeFrom="paragraph">
                  <wp:posOffset>1360169</wp:posOffset>
                </wp:positionV>
                <wp:extent cx="1219200" cy="843915"/>
                <wp:effectExtent l="0" t="0" r="76200" b="51435"/>
                <wp:wrapNone/>
                <wp:docPr id="2" name="自选图形 13"/>
                <wp:cNvGraphicFramePr/>
                <a:graphic xmlns:a="http://schemas.openxmlformats.org/drawingml/2006/main">
                  <a:graphicData uri="http://schemas.microsoft.com/office/word/2010/wordprocessingShape">
                    <wps:wsp>
                      <wps:cNvCnPr/>
                      <wps:spPr>
                        <a:xfrm>
                          <a:off x="0" y="0"/>
                          <a:ext cx="1219200" cy="843915"/>
                        </a:xfrm>
                        <a:prstGeom prst="straightConnector1">
                          <a:avLst/>
                        </a:prstGeom>
                        <a:ln w="9525" cap="flat" cmpd="sng">
                          <a:solidFill>
                            <a:srgbClr val="000000"/>
                          </a:solidFill>
                          <a:prstDash val="solid"/>
                          <a:headEnd type="none" w="med" len="med"/>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 w14:anchorId="242897E3" id="自选图形 13" o:spid="_x0000_s1026" type="#_x0000_t32" style="position:absolute;margin-left:236.6pt;margin-top:107.1pt;width:96pt;height:66.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">
                <v:stroke endarrow="block"/>
              </v:shape>
            </w:pict>
          </mc:Fallback>
        </mc:AlternateContent>
      </w:r>
      <w:r w:rsidR="00DA2F5D">
        <w:rPr>
          <w:noProof/>
          <w:lang w:val="en-GB" w:eastAsia="en-GB"/>
        </w:rPr>
        <mc:AlternateContent>
          <mc:Choice Requires="wps">
            <w:drawing>
              <wp:anchor distT="0" distB="0" distL="114300" distR="114300" simplePos="0" relativeHeight="251667456" behindDoc="0" locked="0" layoutInCell="1" allowOverlap="1" wp14:anchorId="1BAA420D" wp14:editId="0179D6C8">
                <wp:simplePos x="0" y="0"/>
                <wp:positionH relativeFrom="column">
                  <wp:posOffset>3055620</wp:posOffset>
                </wp:positionH>
                <wp:positionV relativeFrom="paragraph">
                  <wp:posOffset>2853690</wp:posOffset>
                </wp:positionV>
                <wp:extent cx="1080770" cy="1014730"/>
                <wp:effectExtent l="38100" t="0" r="24130" b="52070"/>
                <wp:wrapNone/>
                <wp:docPr id="11" name="自选图形 22"/>
                <wp:cNvGraphicFramePr/>
                <a:graphic xmlns:a="http://schemas.openxmlformats.org/drawingml/2006/main">
                  <a:graphicData uri="http://schemas.microsoft.com/office/word/2010/wordprocessingShape">
                    <wps:wsp>
                      <wps:cNvCnPr/>
                      <wps:spPr>
                        <a:xfrm flipH="1">
                          <a:off x="0" y="0"/>
                          <a:ext cx="1080770" cy="10147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515C44D6" id="自选图形 22" o:spid="_x0000_s1026" type="#_x0000_t32" style="position:absolute;margin-left:240.6pt;margin-top:224.7pt;width:85.1pt;height:79.9pt;flip:x;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">
                <v:stroke endarrow="block"/>
              </v:shape>
            </w:pict>
          </mc:Fallback>
        </mc:AlternateContent>
      </w:r>
      <w:r w:rsidR="004B6ABE">
        <w:rPr>
          <w:noProof/>
          <w:lang w:val="en-GB" w:eastAsia="en-GB"/>
        </w:rPr>
        <mc:AlternateContent>
          <mc:Choice Requires="wps">
            <w:drawing>
              <wp:anchor distT="0" distB="0" distL="114300" distR="114300" simplePos="0" relativeHeight="251646976" behindDoc="0" locked="0" layoutInCell="1" allowOverlap="1" wp14:anchorId="60643236" wp14:editId="3A317AB1">
                <wp:simplePos x="0" y="0"/>
                <wp:positionH relativeFrom="column">
                  <wp:posOffset>1098550</wp:posOffset>
                </wp:positionH>
                <wp:positionV relativeFrom="paragraph">
                  <wp:posOffset>322580</wp:posOffset>
                </wp:positionV>
                <wp:extent cx="3091180" cy="1021080"/>
                <wp:effectExtent l="4445" t="5080" r="9525" b="12065"/>
                <wp:wrapNone/>
                <wp:docPr id="1" name="矩形 12"/>
                <wp:cNvGraphicFramePr/>
                <a:graphic xmlns:a="http://schemas.openxmlformats.org/drawingml/2006/main">
                  <a:graphicData uri="http://schemas.microsoft.com/office/word/2010/wordprocessingShape">
                    <wps:wsp>
                      <wps:cNvSpPr/>
                      <wps:spPr>
                        <a:xfrm>
                          <a:off x="0" y="0"/>
                          <a:ext cx="3091180" cy="10210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BBEC77" w14:textId="524FFFE2" w:rsidR="00CC7E60" w:rsidRDefault="00CC7E60">
                            <w:pPr>
                              <w:spacing w:after="240"/>
                            </w:pPr>
                            <w:r>
                              <w:t>Postoperative pathology confirmed R0 resection for NSCLC with stage IIA-IIIA and EGFR sensitive mutations</w:t>
                            </w:r>
                            <w:r w:rsidR="00725615">
                              <w:t xml:space="preserve"> following</w:t>
                            </w:r>
                            <w:r>
                              <w:t xml:space="preserve"> 2-4 cycles of standardized chemotherapy after surgery.</w:t>
                            </w:r>
                          </w:p>
                          <w:p w14:paraId="257AF09F" w14:textId="77777777" w:rsidR="00CC7E60" w:rsidRDefault="00CC7E60">
                            <w:pPr>
                              <w:spacing w:after="240"/>
                            </w:pPr>
                          </w:p>
                        </w:txbxContent>
                      </wps:txbx>
                      <wps:bodyPr vert="horz" wrap="square" anchor="t" anchorCtr="0" upright="1"/>
                    </wps:wsp>
                  </a:graphicData>
                </a:graphic>
              </wp:anchor>
            </w:drawing>
          </mc:Choice>
          <mc:Fallback>
            <w:pict>
              <v:rect w14:anchorId="60643236" id="矩形 12" o:spid="_x0000_s1031" style="position:absolute;left:0;text-align:left;margin-left:86.5pt;margin-top:25.4pt;width:243.4pt;height:80.4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">
                <v:textbox>
                  <w:txbxContent>
                    <w:p w14:paraId="18BBEC77" w14:textId="524FFFE2" w:rsidR="00CC7E60" w:rsidRDefault="00CC7E60">
                      <w:pPr>
                        <w:spacing w:after="240"/>
                      </w:pPr>
                      <w:r>
                        <w:t>Postoperative pathology confirmed R0 resection for NSCLC with stage IIA-IIIA and EGFR sensitive mutations</w:t>
                      </w:r>
                      <w:r w:rsidR="00725615">
                        <w:t xml:space="preserve"> following</w:t>
                      </w:r>
                      <w:r>
                        <w:t xml:space="preserve"> </w:t>
                      </w:r>
                      <w:r>
                        <w:t>2-</w:t>
                      </w:r>
                      <w:r>
                        <w:t>4 cycles of standardized chemotherapy after surgery.</w:t>
                      </w:r>
                    </w:p>
                    <w:p w14:paraId="257AF09F" w14:textId="77777777" w:rsidR="00CC7E60" w:rsidRDefault="00CC7E60">
                      <w:pPr>
                        <w:spacing w:after="240"/>
                      </w:pPr>
                    </w:p>
                  </w:txbxContent>
                </v:textbox>
              </v:rect>
            </w:pict>
          </mc:Fallback>
        </mc:AlternateContent>
      </w:r>
      <w:r w:rsidR="004B6ABE">
        <w:rPr>
          <w:noProof/>
          <w:lang w:val="en-GB" w:eastAsia="en-GB"/>
        </w:rPr>
        <mc:AlternateContent>
          <mc:Choice Requires="wps">
            <w:drawing>
              <wp:anchor distT="0" distB="0" distL="114300" distR="114300" simplePos="0" relativeHeight="251661312" behindDoc="0" locked="0" layoutInCell="1" allowOverlap="1" wp14:anchorId="07147B24" wp14:editId="698FB6B0">
                <wp:simplePos x="0" y="0"/>
                <wp:positionH relativeFrom="column">
                  <wp:posOffset>1640840</wp:posOffset>
                </wp:positionH>
                <wp:positionV relativeFrom="paragraph">
                  <wp:posOffset>1471930</wp:posOffset>
                </wp:positionV>
                <wp:extent cx="2058035" cy="409575"/>
                <wp:effectExtent l="4445" t="4445" r="13970" b="5080"/>
                <wp:wrapNone/>
                <wp:docPr id="8" name="椭圆 19"/>
                <wp:cNvGraphicFramePr/>
                <a:graphic xmlns:a="http://schemas.openxmlformats.org/drawingml/2006/main">
                  <a:graphicData uri="http://schemas.microsoft.com/office/word/2010/wordprocessingShape">
                    <wps:wsp>
                      <wps:cNvSpPr/>
                      <wps:spPr>
                        <a:xfrm>
                          <a:off x="0" y="0"/>
                          <a:ext cx="2058035" cy="409575"/>
                        </a:xfrm>
                        <a:prstGeom prst="ellipse">
                          <a:avLst/>
                        </a:prstGeom>
                        <a:solidFill>
                          <a:srgbClr val="FFFFFF"/>
                        </a:solidFill>
                        <a:ln w="9525" cap="flat" cmpd="sng">
                          <a:solidFill>
                            <a:srgbClr val="000000"/>
                          </a:solidFill>
                          <a:prstDash val="solid"/>
                          <a:headEnd type="none" w="med" len="med"/>
                          <a:tailEnd type="none" w="med" len="med"/>
                        </a:ln>
                      </wps:spPr>
                      <wps:txbx>
                        <w:txbxContent>
                          <w:p w14:paraId="295907BF" w14:textId="77777777" w:rsidR="00CC7E60" w:rsidRDefault="00CC7E60">
                            <w:pPr>
                              <w:spacing w:after="240"/>
                            </w:pPr>
                            <w:r>
                              <w:t>Random</w:t>
                            </w:r>
                            <w:r>
                              <w:rPr>
                                <w:rFonts w:hint="eastAsia"/>
                              </w:rPr>
                              <w:t>ization</w:t>
                            </w:r>
                            <w:r>
                              <w:t xml:space="preserve"> 1:1:1</w:t>
                            </w:r>
                          </w:p>
                        </w:txbxContent>
                      </wps:txbx>
                      <wps:bodyPr wrap="square" upright="1"/>
                    </wps:wsp>
                  </a:graphicData>
                </a:graphic>
              </wp:anchor>
            </w:drawing>
          </mc:Choice>
          <mc:Fallback>
            <w:pict>
              <v:oval w14:anchorId="07147B24" id="椭圆 19" o:spid="_x0000_s1032" style="position:absolute;left:0;text-align:left;margin-left:129.2pt;margin-top:115.9pt;width:162.05pt;height:32.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">
                <v:textbox>
                  <w:txbxContent>
                    <w:p w14:paraId="295907BF" w14:textId="77777777" w:rsidR="00CC7E60" w:rsidRDefault="00CC7E60">
                      <w:pPr>
                        <w:spacing w:after="240"/>
                      </w:pPr>
                      <w:r>
                        <w:t>Random</w:t>
                      </w:r>
                      <w:r>
                        <w:rPr>
                          <w:rFonts w:hint="eastAsia"/>
                        </w:rPr>
                        <w:t>ization</w:t>
                      </w:r>
                      <w:r>
                        <w:t xml:space="preserve"> 1:1:1</w:t>
                      </w:r>
                    </w:p>
                  </w:txbxContent>
                </v:textbox>
              </v:oval>
            </w:pict>
          </mc:Fallback>
        </mc:AlternateContent>
      </w:r>
      <w:r w:rsidR="004B6ABE">
        <w:rPr>
          <w:noProof/>
          <w:lang w:val="en-GB" w:eastAsia="en-GB"/>
        </w:rPr>
        <mc:AlternateContent>
          <mc:Choice Requires="wps">
            <w:drawing>
              <wp:anchor distT="0" distB="0" distL="114300" distR="114300" simplePos="0" relativeHeight="251663360" behindDoc="0" locked="0" layoutInCell="1" allowOverlap="1" wp14:anchorId="7E778770" wp14:editId="2A8ED847">
                <wp:simplePos x="0" y="0"/>
                <wp:positionH relativeFrom="column">
                  <wp:posOffset>1243965</wp:posOffset>
                </wp:positionH>
                <wp:positionV relativeFrom="paragraph">
                  <wp:posOffset>2896870</wp:posOffset>
                </wp:positionV>
                <wp:extent cx="1154430" cy="958850"/>
                <wp:effectExtent l="3175" t="3810" r="4445" b="8890"/>
                <wp:wrapNone/>
                <wp:docPr id="9" name="自选图形 20"/>
                <wp:cNvGraphicFramePr/>
                <a:graphic xmlns:a="http://schemas.openxmlformats.org/drawingml/2006/main">
                  <a:graphicData uri="http://schemas.microsoft.com/office/word/2010/wordprocessingShape">
                    <wps:wsp>
                      <wps:cNvCnPr/>
                      <wps:spPr>
                        <a:xfrm>
                          <a:off x="0" y="0"/>
                          <a:ext cx="1154430" cy="9588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5EC31797" id="自选图形 20" o:spid="_x0000_s1026" type="#_x0000_t32" style="position:absolute;margin-left:97.95pt;margin-top:228.1pt;width:90.9pt;height:75.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">
                <v:stroke endarrow="block"/>
              </v:shape>
            </w:pict>
          </mc:Fallback>
        </mc:AlternateContent>
      </w:r>
      <w:r w:rsidR="004B6ABE">
        <w:rPr>
          <w:noProof/>
          <w:lang w:val="en-GB" w:eastAsia="en-GB"/>
        </w:rPr>
        <mc:AlternateContent>
          <mc:Choice Requires="wps">
            <w:drawing>
              <wp:anchor distT="0" distB="0" distL="114300" distR="114300" simplePos="0" relativeHeight="251665408" behindDoc="0" locked="0" layoutInCell="1" allowOverlap="1" wp14:anchorId="23D2E7F9" wp14:editId="450BDFD4">
                <wp:simplePos x="0" y="0"/>
                <wp:positionH relativeFrom="column">
                  <wp:posOffset>2709545</wp:posOffset>
                </wp:positionH>
                <wp:positionV relativeFrom="paragraph">
                  <wp:posOffset>2857500</wp:posOffset>
                </wp:positionV>
                <wp:extent cx="24130" cy="1064895"/>
                <wp:effectExtent l="15875" t="0" r="36195" b="1905"/>
                <wp:wrapNone/>
                <wp:docPr id="10" name="自选图形 21"/>
                <wp:cNvGraphicFramePr/>
                <a:graphic xmlns:a="http://schemas.openxmlformats.org/drawingml/2006/main">
                  <a:graphicData uri="http://schemas.microsoft.com/office/word/2010/wordprocessingShape">
                    <wps:wsp>
                      <wps:cNvCnPr/>
                      <wps:spPr>
                        <a:xfrm>
                          <a:off x="0" y="0"/>
                          <a:ext cx="24130" cy="10648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4653B944" id="自选图形 21" o:spid="_x0000_s1026" type="#_x0000_t32" style="position:absolute;margin-left:213.35pt;margin-top:225pt;width:1.9pt;height:83.8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">
                <v:stroke endarrow="block"/>
              </v:shape>
            </w:pict>
          </mc:Fallback>
        </mc:AlternateContent>
      </w:r>
      <w:r w:rsidR="004B6ABE">
        <w:rPr>
          <w:noProof/>
          <w:lang w:val="en-GB" w:eastAsia="en-GB"/>
        </w:rPr>
        <mc:AlternateContent>
          <mc:Choice Requires="wps">
            <w:drawing>
              <wp:anchor distT="0" distB="0" distL="114300" distR="114300" simplePos="0" relativeHeight="251653120" behindDoc="0" locked="0" layoutInCell="1" allowOverlap="1" wp14:anchorId="12C5C3D3" wp14:editId="7CE01E99">
                <wp:simplePos x="0" y="0"/>
                <wp:positionH relativeFrom="column">
                  <wp:posOffset>1083945</wp:posOffset>
                </wp:positionH>
                <wp:positionV relativeFrom="paragraph">
                  <wp:posOffset>1352550</wp:posOffset>
                </wp:positionV>
                <wp:extent cx="1397000" cy="853440"/>
                <wp:effectExtent l="0" t="3810" r="3175" b="0"/>
                <wp:wrapNone/>
                <wp:docPr id="4" name="自选图形 15"/>
                <wp:cNvGraphicFramePr/>
                <a:graphic xmlns:a="http://schemas.openxmlformats.org/drawingml/2006/main">
                  <a:graphicData uri="http://schemas.microsoft.com/office/word/2010/wordprocessingShape">
                    <wps:wsp>
                      <wps:cNvCnPr/>
                      <wps:spPr>
                        <a:xfrm flipH="1">
                          <a:off x="0" y="0"/>
                          <a:ext cx="1397000" cy="8534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type w14:anchorId="1E9A17CF" id="_x0000_t32" coordsize="21600,21600" o:spt="32" o:oned="t" path="m,l21600,21600e" filled="f">
                <v:path arrowok="t" fillok="f" o:connecttype="none"/>
                <o:lock v:ext="edit" shapetype="t"/>
              </v:shapetype>
              <v:shape id="自选图形 15" o:spid="_x0000_s1026" type="#_x0000_t32" style="position:absolute;margin-left:85.35pt;margin-top:106.5pt;width:110pt;height:67.2pt;flip:x;z-index:25165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">
                <v:stroke endarrow="block"/>
              </v:shape>
            </w:pict>
          </mc:Fallback>
        </mc:AlternateContent>
      </w:r>
      <w:r w:rsidR="004B6ABE">
        <w:t>S</w:t>
      </w:r>
      <w:r w:rsidR="004B6ABE">
        <w:rPr>
          <w:noProof/>
          <w:lang w:val="en-GB" w:eastAsia="en-GB"/>
        </w:rPr>
        <mc:AlternateContent>
          <mc:Choice Requires="wps">
            <w:drawing>
              <wp:anchor distT="0" distB="0" distL="114300" distR="114300" simplePos="0" relativeHeight="251651072" behindDoc="0" locked="0" layoutInCell="1" allowOverlap="1" wp14:anchorId="609049C9" wp14:editId="6CC24176">
                <wp:simplePos x="0" y="0"/>
                <wp:positionH relativeFrom="column">
                  <wp:posOffset>2690495</wp:posOffset>
                </wp:positionH>
                <wp:positionV relativeFrom="paragraph">
                  <wp:posOffset>1352550</wp:posOffset>
                </wp:positionV>
                <wp:extent cx="19050" cy="838200"/>
                <wp:effectExtent l="20955" t="0" r="36195" b="0"/>
                <wp:wrapNone/>
                <wp:docPr id="3" name="自选图形 14"/>
                <wp:cNvGraphicFramePr/>
                <a:graphic xmlns:a="http://schemas.openxmlformats.org/drawingml/2006/main">
                  <a:graphicData uri="http://schemas.microsoft.com/office/word/2010/wordprocessingShape">
                    <wps:wsp>
                      <wps:cNvCnPr/>
                      <wps:spPr>
                        <a:xfrm>
                          <a:off x="0" y="0"/>
                          <a:ext cx="19050" cy="8382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19ED210E" id="自选图形 14" o:spid="_x0000_s1026" type="#_x0000_t32" style="position:absolute;margin-left:211.85pt;margin-top:106.5pt;width:1.5pt;height:66pt;z-index:251651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">
                <v:stroke endarrow="block"/>
              </v:shape>
            </w:pict>
          </mc:Fallback>
        </mc:AlternateContent>
      </w:r>
      <w:r w:rsidR="004B6ABE">
        <w:rPr>
          <w:rFonts w:hint="eastAsia"/>
        </w:rPr>
        <w:t>TUDY</w:t>
      </w:r>
      <w:r w:rsidR="004B6ABE">
        <w:t xml:space="preserve"> O</w:t>
      </w:r>
      <w:r w:rsidR="004B6ABE">
        <w:rPr>
          <w:rFonts w:hint="eastAsia"/>
        </w:rPr>
        <w:t>VER</w:t>
      </w:r>
      <w:bookmarkEnd w:id="51"/>
      <w:bookmarkEnd w:id="52"/>
      <w:bookmarkEnd w:id="53"/>
      <w:bookmarkEnd w:id="54"/>
      <w:bookmarkEnd w:id="55"/>
      <w:r w:rsidR="004B6ABE">
        <w:rPr>
          <w:rFonts w:hint="eastAsia"/>
        </w:rPr>
        <w:t>VIEW</w:t>
      </w:r>
      <w:bookmarkEnd w:id="56"/>
      <w:bookmarkEnd w:id="57"/>
      <w:bookmarkEnd w:id="58"/>
      <w:bookmarkEnd w:id="59"/>
      <w:bookmarkEnd w:id="60"/>
      <w:bookmarkEnd w:id="61"/>
      <w:bookmarkEnd w:id="62"/>
    </w:p>
    <w:p w14:paraId="032482BC" w14:textId="77777777" w:rsidR="005D1745" w:rsidRDefault="004B6ABE">
      <w:pPr>
        <w:pStyle w:val="1"/>
        <w:numPr>
          <w:ilvl w:val="0"/>
          <w:numId w:val="0"/>
        </w:numPr>
        <w:spacing w:before="240"/>
        <w:jc w:val="center"/>
      </w:pPr>
      <w:bookmarkStart w:id="67" w:name="_Toc6268"/>
      <w:bookmarkStart w:id="68" w:name="_Toc30205"/>
      <w:bookmarkStart w:id="69" w:name="_Toc1285"/>
      <w:bookmarkStart w:id="70" w:name="_Toc17844"/>
      <w:bookmarkStart w:id="71" w:name="_Toc12305"/>
      <w:bookmarkStart w:id="72" w:name="_Toc25183"/>
      <w:bookmarkStart w:id="73" w:name="_Toc5714"/>
      <w:bookmarkStart w:id="74" w:name="_Toc18583"/>
      <w:bookmarkStart w:id="75" w:name="_Toc15895"/>
      <w:bookmarkStart w:id="76" w:name="_Toc32322"/>
      <w:bookmarkStart w:id="77" w:name="_Toc21538"/>
      <w:bookmarkStart w:id="78" w:name="_Toc12884"/>
      <w:bookmarkStart w:id="79" w:name="_Toc28228"/>
      <w:bookmarkStart w:id="80" w:name="_Toc23053"/>
      <w:bookmarkStart w:id="81" w:name="_Toc5954"/>
      <w:bookmarkStart w:id="82" w:name="_Toc18572"/>
      <w:bookmarkStart w:id="83" w:name="_Toc21403"/>
      <w:bookmarkStart w:id="84" w:name="_Toc11720"/>
      <w:bookmarkStart w:id="85" w:name="_Toc21520"/>
      <w:bookmarkStart w:id="86" w:name="_Toc20739"/>
      <w:bookmarkStart w:id="87" w:name="_Toc9710"/>
      <w:bookmarkStart w:id="88" w:name="_Toc14445"/>
      <w:bookmarkStart w:id="89" w:name="_Toc8858"/>
      <w:bookmarkStart w:id="90" w:name="_Toc29163"/>
      <w:bookmarkStart w:id="91" w:name="_Toc25993"/>
      <w:bookmarkStart w:id="92" w:name="_Toc728"/>
      <w:bookmarkStart w:id="93" w:name="_Toc170380165"/>
      <w:bookmarkStart w:id="94" w:name="_Hlk170141489"/>
      <w:r>
        <w:lastRenderedPageBreak/>
        <w:t>Table 1 Study Plan</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bookmarkEnd w:id="9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1"/>
        <w:gridCol w:w="4410"/>
        <w:gridCol w:w="993"/>
        <w:gridCol w:w="945"/>
        <w:gridCol w:w="1094"/>
        <w:gridCol w:w="1056"/>
        <w:gridCol w:w="935"/>
        <w:gridCol w:w="1080"/>
        <w:gridCol w:w="1052"/>
        <w:gridCol w:w="1065"/>
      </w:tblGrid>
      <w:tr w:rsidR="009B6E23" w14:paraId="01D37924" w14:textId="77777777" w:rsidTr="00B6464E">
        <w:trPr>
          <w:trHeight w:hRule="exact" w:val="314"/>
        </w:trPr>
        <w:tc>
          <w:tcPr>
            <w:tcW w:w="0" w:type="auto"/>
            <w:vMerge w:val="restart"/>
            <w:vAlign w:val="center"/>
          </w:tcPr>
          <w:p w14:paraId="1E7DE713" w14:textId="77777777" w:rsidR="005D1745" w:rsidRDefault="005D1745">
            <w:pPr>
              <w:spacing w:after="240"/>
              <w:rPr>
                <w:sz w:val="15"/>
                <w:szCs w:val="18"/>
              </w:rPr>
            </w:pPr>
          </w:p>
        </w:tc>
        <w:tc>
          <w:tcPr>
            <w:tcW w:w="0" w:type="auto"/>
            <w:vMerge w:val="restart"/>
            <w:vAlign w:val="center"/>
          </w:tcPr>
          <w:p w14:paraId="02FF8B04" w14:textId="77777777" w:rsidR="005D1745" w:rsidRDefault="004B6ABE" w:rsidP="00B6464E">
            <w:pPr>
              <w:adjustRightInd w:val="0"/>
              <w:snapToGrid w:val="0"/>
              <w:spacing w:afterLines="0" w:after="0" w:line="192" w:lineRule="auto"/>
              <w:jc w:val="left"/>
              <w:rPr>
                <w:b/>
                <w:sz w:val="13"/>
                <w:szCs w:val="16"/>
              </w:rPr>
            </w:pPr>
            <w:r>
              <w:rPr>
                <w:b/>
                <w:sz w:val="15"/>
                <w:szCs w:val="16"/>
              </w:rPr>
              <w:t>Study stage</w:t>
            </w:r>
          </w:p>
        </w:tc>
        <w:tc>
          <w:tcPr>
            <w:tcW w:w="0" w:type="auto"/>
            <w:gridSpan w:val="2"/>
            <w:vMerge w:val="restart"/>
            <w:tcBorders>
              <w:right w:val="single" w:sz="8" w:space="0" w:color="auto"/>
            </w:tcBorders>
            <w:vAlign w:val="center"/>
          </w:tcPr>
          <w:p w14:paraId="3F94F6E2" w14:textId="77777777" w:rsidR="005D1745" w:rsidRDefault="004B6ABE" w:rsidP="00B6464E">
            <w:pPr>
              <w:adjustRightInd w:val="0"/>
              <w:snapToGrid w:val="0"/>
              <w:spacing w:afterLines="0" w:after="0" w:line="192" w:lineRule="auto"/>
              <w:jc w:val="center"/>
              <w:rPr>
                <w:b/>
                <w:sz w:val="13"/>
                <w:szCs w:val="16"/>
              </w:rPr>
            </w:pPr>
            <w:r>
              <w:rPr>
                <w:b/>
                <w:sz w:val="13"/>
                <w:szCs w:val="16"/>
              </w:rPr>
              <w:t>Screening</w:t>
            </w:r>
          </w:p>
        </w:tc>
        <w:tc>
          <w:tcPr>
            <w:tcW w:w="0" w:type="auto"/>
            <w:gridSpan w:val="5"/>
            <w:tcBorders>
              <w:top w:val="single" w:sz="8" w:space="0" w:color="auto"/>
              <w:left w:val="single" w:sz="8" w:space="0" w:color="auto"/>
              <w:bottom w:val="single" w:sz="8" w:space="0" w:color="auto"/>
              <w:right w:val="single" w:sz="8" w:space="0" w:color="auto"/>
            </w:tcBorders>
            <w:vAlign w:val="center"/>
          </w:tcPr>
          <w:p w14:paraId="37782E9B" w14:textId="77777777" w:rsidR="005D1745" w:rsidRDefault="004B6ABE" w:rsidP="00B6464E">
            <w:pPr>
              <w:adjustRightInd w:val="0"/>
              <w:snapToGrid w:val="0"/>
              <w:spacing w:afterLines="0" w:after="0" w:line="192" w:lineRule="auto"/>
              <w:jc w:val="center"/>
              <w:rPr>
                <w:b/>
                <w:sz w:val="13"/>
                <w:szCs w:val="16"/>
              </w:rPr>
            </w:pPr>
            <w:r>
              <w:rPr>
                <w:b/>
                <w:sz w:val="13"/>
                <w:szCs w:val="16"/>
              </w:rPr>
              <w:t>Treatment Period</w:t>
            </w:r>
          </w:p>
        </w:tc>
        <w:tc>
          <w:tcPr>
            <w:tcW w:w="0" w:type="auto"/>
            <w:vMerge w:val="restart"/>
            <w:tcBorders>
              <w:left w:val="single" w:sz="8" w:space="0" w:color="auto"/>
            </w:tcBorders>
            <w:vAlign w:val="center"/>
          </w:tcPr>
          <w:p w14:paraId="6742D78D" w14:textId="4AD2735D" w:rsidR="005D1745" w:rsidRDefault="004B6ABE" w:rsidP="00C30F28">
            <w:pPr>
              <w:adjustRightInd w:val="0"/>
              <w:snapToGrid w:val="0"/>
              <w:spacing w:afterLines="0" w:after="0" w:line="192" w:lineRule="auto"/>
              <w:jc w:val="center"/>
              <w:rPr>
                <w:b/>
                <w:sz w:val="13"/>
                <w:szCs w:val="16"/>
              </w:rPr>
            </w:pPr>
            <w:r>
              <w:rPr>
                <w:b/>
                <w:sz w:val="13"/>
                <w:szCs w:val="16"/>
              </w:rPr>
              <w:t>Post- Treatment</w:t>
            </w:r>
            <w:r w:rsidR="00B6464E">
              <w:rPr>
                <w:b/>
                <w:sz w:val="13"/>
                <w:szCs w:val="16"/>
              </w:rPr>
              <w:t xml:space="preserve"> </w:t>
            </w:r>
            <w:r>
              <w:rPr>
                <w:b/>
                <w:sz w:val="13"/>
                <w:szCs w:val="16"/>
                <w:vertAlign w:val="superscript"/>
              </w:rPr>
              <w:t>M</w:t>
            </w:r>
          </w:p>
        </w:tc>
      </w:tr>
      <w:tr w:rsidR="001463E7" w14:paraId="59D5AF89" w14:textId="77777777" w:rsidTr="00B6464E">
        <w:trPr>
          <w:trHeight w:val="299"/>
        </w:trPr>
        <w:tc>
          <w:tcPr>
            <w:tcW w:w="0" w:type="auto"/>
            <w:vMerge/>
            <w:vAlign w:val="center"/>
          </w:tcPr>
          <w:p w14:paraId="32A4F340" w14:textId="77777777" w:rsidR="005D1745" w:rsidRDefault="005D1745">
            <w:pPr>
              <w:spacing w:after="240"/>
              <w:rPr>
                <w:sz w:val="15"/>
                <w:szCs w:val="18"/>
              </w:rPr>
            </w:pPr>
          </w:p>
        </w:tc>
        <w:tc>
          <w:tcPr>
            <w:tcW w:w="0" w:type="auto"/>
            <w:vMerge/>
            <w:tcBorders>
              <w:bottom w:val="single" w:sz="4" w:space="0" w:color="auto"/>
            </w:tcBorders>
            <w:vAlign w:val="center"/>
          </w:tcPr>
          <w:p w14:paraId="70041223" w14:textId="77777777" w:rsidR="005D1745" w:rsidRDefault="005D1745" w:rsidP="00B6464E">
            <w:pPr>
              <w:adjustRightInd w:val="0"/>
              <w:snapToGrid w:val="0"/>
              <w:spacing w:afterLines="0" w:after="0" w:line="192" w:lineRule="auto"/>
              <w:jc w:val="left"/>
              <w:rPr>
                <w:sz w:val="13"/>
                <w:szCs w:val="16"/>
              </w:rPr>
            </w:pPr>
          </w:p>
        </w:tc>
        <w:tc>
          <w:tcPr>
            <w:tcW w:w="0" w:type="auto"/>
            <w:gridSpan w:val="2"/>
            <w:vMerge/>
            <w:vAlign w:val="center"/>
          </w:tcPr>
          <w:p w14:paraId="4989EBBA" w14:textId="77777777" w:rsidR="005D1745" w:rsidRDefault="005D1745" w:rsidP="00B6464E">
            <w:pPr>
              <w:adjustRightInd w:val="0"/>
              <w:snapToGrid w:val="0"/>
              <w:spacing w:afterLines="0" w:after="0" w:line="192" w:lineRule="auto"/>
              <w:jc w:val="center"/>
              <w:rPr>
                <w:b/>
                <w:sz w:val="13"/>
                <w:szCs w:val="16"/>
              </w:rPr>
            </w:pPr>
          </w:p>
        </w:tc>
        <w:tc>
          <w:tcPr>
            <w:tcW w:w="0" w:type="auto"/>
            <w:gridSpan w:val="2"/>
            <w:tcBorders>
              <w:top w:val="single" w:sz="8" w:space="0" w:color="auto"/>
            </w:tcBorders>
            <w:vAlign w:val="center"/>
          </w:tcPr>
          <w:p w14:paraId="2D8EE0D3" w14:textId="77777777" w:rsidR="005D1745" w:rsidRDefault="004B6ABE" w:rsidP="00B6464E">
            <w:pPr>
              <w:adjustRightInd w:val="0"/>
              <w:snapToGrid w:val="0"/>
              <w:spacing w:afterLines="0" w:after="0" w:line="192" w:lineRule="auto"/>
              <w:jc w:val="center"/>
              <w:rPr>
                <w:b/>
                <w:sz w:val="13"/>
                <w:szCs w:val="16"/>
              </w:rPr>
            </w:pPr>
            <w:r>
              <w:rPr>
                <w:b/>
                <w:sz w:val="13"/>
                <w:szCs w:val="16"/>
              </w:rPr>
              <w:t>Group A</w:t>
            </w:r>
          </w:p>
        </w:tc>
        <w:tc>
          <w:tcPr>
            <w:tcW w:w="0" w:type="auto"/>
            <w:gridSpan w:val="2"/>
            <w:tcBorders>
              <w:top w:val="single" w:sz="8" w:space="0" w:color="auto"/>
            </w:tcBorders>
            <w:vAlign w:val="center"/>
          </w:tcPr>
          <w:p w14:paraId="5D312400" w14:textId="77777777" w:rsidR="005D1745" w:rsidRDefault="004B6ABE" w:rsidP="00B6464E">
            <w:pPr>
              <w:adjustRightInd w:val="0"/>
              <w:snapToGrid w:val="0"/>
              <w:spacing w:afterLines="0" w:after="0" w:line="192" w:lineRule="auto"/>
              <w:jc w:val="center"/>
              <w:rPr>
                <w:b/>
                <w:sz w:val="13"/>
                <w:szCs w:val="16"/>
              </w:rPr>
            </w:pPr>
            <w:r>
              <w:rPr>
                <w:b/>
                <w:sz w:val="13"/>
                <w:szCs w:val="16"/>
              </w:rPr>
              <w:t>Group B</w:t>
            </w:r>
          </w:p>
        </w:tc>
        <w:tc>
          <w:tcPr>
            <w:tcW w:w="0" w:type="auto"/>
            <w:vAlign w:val="center"/>
          </w:tcPr>
          <w:p w14:paraId="43143F55" w14:textId="77777777" w:rsidR="005D1745" w:rsidRDefault="004B6ABE" w:rsidP="00B6464E">
            <w:pPr>
              <w:adjustRightInd w:val="0"/>
              <w:snapToGrid w:val="0"/>
              <w:spacing w:afterLines="0" w:after="0" w:line="192" w:lineRule="auto"/>
              <w:jc w:val="center"/>
              <w:rPr>
                <w:b/>
                <w:sz w:val="13"/>
                <w:szCs w:val="16"/>
              </w:rPr>
            </w:pPr>
            <w:r>
              <w:rPr>
                <w:b/>
                <w:sz w:val="13"/>
                <w:szCs w:val="16"/>
              </w:rPr>
              <w:t>Group C</w:t>
            </w:r>
          </w:p>
        </w:tc>
        <w:tc>
          <w:tcPr>
            <w:tcW w:w="0" w:type="auto"/>
            <w:vMerge/>
            <w:vAlign w:val="center"/>
          </w:tcPr>
          <w:p w14:paraId="446DF417" w14:textId="77777777" w:rsidR="005D1745" w:rsidRDefault="005D1745" w:rsidP="00B6464E">
            <w:pPr>
              <w:adjustRightInd w:val="0"/>
              <w:snapToGrid w:val="0"/>
              <w:spacing w:afterLines="0" w:after="0" w:line="192" w:lineRule="auto"/>
              <w:jc w:val="center"/>
              <w:rPr>
                <w:b/>
                <w:sz w:val="13"/>
                <w:szCs w:val="16"/>
              </w:rPr>
            </w:pPr>
          </w:p>
        </w:tc>
      </w:tr>
      <w:tr w:rsidR="001463E7" w14:paraId="18317B2B" w14:textId="77777777" w:rsidTr="00B6464E">
        <w:trPr>
          <w:trHeight w:val="440"/>
        </w:trPr>
        <w:tc>
          <w:tcPr>
            <w:tcW w:w="0" w:type="auto"/>
            <w:vMerge/>
            <w:vAlign w:val="center"/>
          </w:tcPr>
          <w:p w14:paraId="5C797260" w14:textId="77777777" w:rsidR="005D1745" w:rsidRDefault="005D1745">
            <w:pPr>
              <w:spacing w:after="240"/>
              <w:rPr>
                <w:sz w:val="15"/>
                <w:szCs w:val="18"/>
              </w:rPr>
            </w:pPr>
          </w:p>
        </w:tc>
        <w:tc>
          <w:tcPr>
            <w:tcW w:w="0" w:type="auto"/>
            <w:vMerge w:val="restart"/>
            <w:vAlign w:val="center"/>
          </w:tcPr>
          <w:p w14:paraId="71DBBEE7" w14:textId="77777777" w:rsidR="005D1745" w:rsidRDefault="005D1745" w:rsidP="00B6464E">
            <w:pPr>
              <w:adjustRightInd w:val="0"/>
              <w:snapToGrid w:val="0"/>
              <w:spacing w:afterLines="0" w:after="0" w:line="192" w:lineRule="auto"/>
              <w:jc w:val="left"/>
              <w:rPr>
                <w:sz w:val="13"/>
                <w:szCs w:val="16"/>
              </w:rPr>
            </w:pPr>
          </w:p>
        </w:tc>
        <w:tc>
          <w:tcPr>
            <w:tcW w:w="0" w:type="auto"/>
            <w:gridSpan w:val="2"/>
            <w:vAlign w:val="center"/>
          </w:tcPr>
          <w:p w14:paraId="4EBB11E5" w14:textId="77777777" w:rsidR="005D1745" w:rsidRDefault="005D1745" w:rsidP="00B6464E">
            <w:pPr>
              <w:adjustRightInd w:val="0"/>
              <w:snapToGrid w:val="0"/>
              <w:spacing w:afterLines="0" w:after="0" w:line="192" w:lineRule="auto"/>
              <w:jc w:val="center"/>
              <w:rPr>
                <w:b/>
                <w:sz w:val="13"/>
                <w:szCs w:val="16"/>
              </w:rPr>
            </w:pPr>
          </w:p>
        </w:tc>
        <w:tc>
          <w:tcPr>
            <w:tcW w:w="0" w:type="auto"/>
            <w:vAlign w:val="center"/>
          </w:tcPr>
          <w:p w14:paraId="2F5412DF" w14:textId="203241B6" w:rsidR="005D1745" w:rsidRDefault="004B6ABE" w:rsidP="007876DB">
            <w:pPr>
              <w:adjustRightInd w:val="0"/>
              <w:snapToGrid w:val="0"/>
              <w:spacing w:afterLines="0" w:after="0" w:line="192" w:lineRule="auto"/>
              <w:jc w:val="center"/>
              <w:rPr>
                <w:b/>
                <w:sz w:val="13"/>
                <w:szCs w:val="16"/>
              </w:rPr>
            </w:pPr>
            <w:r>
              <w:rPr>
                <w:b/>
                <w:sz w:val="13"/>
                <w:szCs w:val="16"/>
              </w:rPr>
              <w:t>C1-</w:t>
            </w:r>
            <w:r w:rsidR="005633B7">
              <w:rPr>
                <w:b/>
                <w:sz w:val="13"/>
                <w:szCs w:val="16"/>
              </w:rPr>
              <w:t>C12</w:t>
            </w:r>
          </w:p>
          <w:p w14:paraId="74B89E88" w14:textId="77777777" w:rsidR="005D1745" w:rsidRDefault="004B6ABE" w:rsidP="007876DB">
            <w:pPr>
              <w:adjustRightInd w:val="0"/>
              <w:snapToGrid w:val="0"/>
              <w:spacing w:afterLines="0" w:after="0" w:line="192" w:lineRule="auto"/>
              <w:jc w:val="center"/>
              <w:rPr>
                <w:b/>
                <w:sz w:val="13"/>
                <w:szCs w:val="16"/>
              </w:rPr>
            </w:pPr>
            <w:r>
              <w:rPr>
                <w:b/>
                <w:sz w:val="13"/>
                <w:szCs w:val="16"/>
              </w:rPr>
              <w:t>30 days as a cycle</w:t>
            </w:r>
          </w:p>
        </w:tc>
        <w:tc>
          <w:tcPr>
            <w:tcW w:w="0" w:type="auto"/>
            <w:vAlign w:val="center"/>
          </w:tcPr>
          <w:p w14:paraId="4E329F24" w14:textId="77777777" w:rsidR="005D1745" w:rsidRDefault="004B6ABE" w:rsidP="00B6464E">
            <w:pPr>
              <w:adjustRightInd w:val="0"/>
              <w:snapToGrid w:val="0"/>
              <w:spacing w:afterLines="0" w:after="0" w:line="192" w:lineRule="auto"/>
              <w:jc w:val="center"/>
              <w:rPr>
                <w:b/>
                <w:sz w:val="13"/>
                <w:szCs w:val="16"/>
              </w:rPr>
            </w:pPr>
            <w:r>
              <w:rPr>
                <w:b/>
                <w:sz w:val="13"/>
                <w:szCs w:val="16"/>
              </w:rPr>
              <w:t>Follow-up until</w:t>
            </w:r>
          </w:p>
          <w:p w14:paraId="60DEDF0D" w14:textId="77777777" w:rsidR="005D1745" w:rsidRDefault="004B6ABE" w:rsidP="00B6464E">
            <w:pPr>
              <w:adjustRightInd w:val="0"/>
              <w:snapToGrid w:val="0"/>
              <w:spacing w:afterLines="0" w:after="0" w:line="192" w:lineRule="auto"/>
              <w:jc w:val="center"/>
              <w:rPr>
                <w:b/>
                <w:sz w:val="13"/>
                <w:szCs w:val="16"/>
              </w:rPr>
            </w:pPr>
            <w:r>
              <w:rPr>
                <w:b/>
                <w:sz w:val="13"/>
                <w:szCs w:val="16"/>
              </w:rPr>
              <w:t xml:space="preserve">disease </w:t>
            </w:r>
          </w:p>
          <w:p w14:paraId="0730C1AF" w14:textId="77777777" w:rsidR="005D1745" w:rsidRDefault="004B6ABE" w:rsidP="00B6464E">
            <w:pPr>
              <w:adjustRightInd w:val="0"/>
              <w:snapToGrid w:val="0"/>
              <w:spacing w:afterLines="0" w:after="0" w:line="192" w:lineRule="auto"/>
              <w:jc w:val="center"/>
              <w:rPr>
                <w:b/>
                <w:sz w:val="13"/>
                <w:szCs w:val="16"/>
              </w:rPr>
            </w:pPr>
            <w:r>
              <w:rPr>
                <w:b/>
                <w:sz w:val="13"/>
                <w:szCs w:val="16"/>
              </w:rPr>
              <w:t>recurrence</w:t>
            </w:r>
          </w:p>
          <w:p w14:paraId="2FD06054" w14:textId="77777777" w:rsidR="005D1745" w:rsidRDefault="004B6ABE" w:rsidP="00B6464E">
            <w:pPr>
              <w:adjustRightInd w:val="0"/>
              <w:snapToGrid w:val="0"/>
              <w:spacing w:afterLines="0" w:after="0" w:line="192" w:lineRule="auto"/>
              <w:jc w:val="center"/>
              <w:rPr>
                <w:b/>
                <w:sz w:val="13"/>
                <w:szCs w:val="16"/>
              </w:rPr>
            </w:pPr>
            <w:r>
              <w:rPr>
                <w:b/>
                <w:sz w:val="13"/>
                <w:szCs w:val="16"/>
              </w:rPr>
              <w:t>90 days as a cycle</w:t>
            </w:r>
          </w:p>
        </w:tc>
        <w:tc>
          <w:tcPr>
            <w:tcW w:w="0" w:type="auto"/>
            <w:vAlign w:val="center"/>
          </w:tcPr>
          <w:p w14:paraId="3E6847B7" w14:textId="46BF072D" w:rsidR="005D1745" w:rsidRDefault="004B6ABE" w:rsidP="00B6464E">
            <w:pPr>
              <w:adjustRightInd w:val="0"/>
              <w:snapToGrid w:val="0"/>
              <w:spacing w:afterLines="0" w:after="0" w:line="192" w:lineRule="auto"/>
              <w:jc w:val="center"/>
              <w:rPr>
                <w:b/>
                <w:sz w:val="13"/>
                <w:szCs w:val="16"/>
              </w:rPr>
            </w:pPr>
            <w:r>
              <w:rPr>
                <w:b/>
                <w:sz w:val="13"/>
                <w:szCs w:val="16"/>
              </w:rPr>
              <w:t>C1-C</w:t>
            </w:r>
            <w:r w:rsidR="00EE1392">
              <w:rPr>
                <w:b/>
                <w:sz w:val="13"/>
                <w:szCs w:val="16"/>
              </w:rPr>
              <w:t>6</w:t>
            </w:r>
          </w:p>
          <w:p w14:paraId="25A28D57" w14:textId="77777777" w:rsidR="005D1745" w:rsidRDefault="004B6ABE" w:rsidP="00B6464E">
            <w:pPr>
              <w:adjustRightInd w:val="0"/>
              <w:snapToGrid w:val="0"/>
              <w:spacing w:afterLines="0" w:after="0" w:line="192" w:lineRule="auto"/>
              <w:jc w:val="center"/>
              <w:rPr>
                <w:b/>
                <w:sz w:val="13"/>
                <w:szCs w:val="16"/>
              </w:rPr>
            </w:pPr>
            <w:r>
              <w:rPr>
                <w:b/>
                <w:sz w:val="13"/>
                <w:szCs w:val="16"/>
              </w:rPr>
              <w:t>30 days as a cycle</w:t>
            </w:r>
          </w:p>
        </w:tc>
        <w:tc>
          <w:tcPr>
            <w:tcW w:w="0" w:type="auto"/>
            <w:vAlign w:val="center"/>
          </w:tcPr>
          <w:p w14:paraId="7D97227B" w14:textId="77777777" w:rsidR="005D1745" w:rsidRDefault="004B6ABE" w:rsidP="00B6464E">
            <w:pPr>
              <w:adjustRightInd w:val="0"/>
              <w:snapToGrid w:val="0"/>
              <w:spacing w:afterLines="0" w:after="0" w:line="192" w:lineRule="auto"/>
              <w:jc w:val="center"/>
              <w:rPr>
                <w:b/>
                <w:sz w:val="13"/>
                <w:szCs w:val="16"/>
              </w:rPr>
            </w:pPr>
            <w:r>
              <w:rPr>
                <w:b/>
                <w:sz w:val="13"/>
                <w:szCs w:val="16"/>
              </w:rPr>
              <w:t>Follow-up until</w:t>
            </w:r>
          </w:p>
          <w:p w14:paraId="6B04F860" w14:textId="77777777" w:rsidR="005D1745" w:rsidRDefault="004B6ABE" w:rsidP="00B6464E">
            <w:pPr>
              <w:adjustRightInd w:val="0"/>
              <w:snapToGrid w:val="0"/>
              <w:spacing w:afterLines="0" w:after="0" w:line="192" w:lineRule="auto"/>
              <w:jc w:val="center"/>
              <w:rPr>
                <w:b/>
                <w:sz w:val="13"/>
                <w:szCs w:val="16"/>
              </w:rPr>
            </w:pPr>
            <w:r>
              <w:rPr>
                <w:b/>
                <w:sz w:val="13"/>
                <w:szCs w:val="16"/>
              </w:rPr>
              <w:t xml:space="preserve">disease </w:t>
            </w:r>
          </w:p>
          <w:p w14:paraId="543E9F3A" w14:textId="77777777" w:rsidR="005D1745" w:rsidRDefault="004B6ABE" w:rsidP="00B6464E">
            <w:pPr>
              <w:adjustRightInd w:val="0"/>
              <w:snapToGrid w:val="0"/>
              <w:spacing w:afterLines="0" w:after="0" w:line="192" w:lineRule="auto"/>
              <w:jc w:val="center"/>
              <w:rPr>
                <w:b/>
                <w:sz w:val="13"/>
                <w:szCs w:val="16"/>
              </w:rPr>
            </w:pPr>
            <w:r>
              <w:rPr>
                <w:b/>
                <w:sz w:val="13"/>
                <w:szCs w:val="16"/>
              </w:rPr>
              <w:t>recurrence</w:t>
            </w:r>
          </w:p>
          <w:p w14:paraId="4491AAB2" w14:textId="77777777" w:rsidR="005D1745" w:rsidRDefault="004B6ABE" w:rsidP="00B6464E">
            <w:pPr>
              <w:adjustRightInd w:val="0"/>
              <w:snapToGrid w:val="0"/>
              <w:spacing w:afterLines="0" w:after="0" w:line="192" w:lineRule="auto"/>
              <w:jc w:val="center"/>
              <w:rPr>
                <w:b/>
                <w:sz w:val="13"/>
                <w:szCs w:val="16"/>
              </w:rPr>
            </w:pPr>
            <w:r>
              <w:rPr>
                <w:b/>
                <w:sz w:val="13"/>
                <w:szCs w:val="16"/>
              </w:rPr>
              <w:t>90 days as a cycle</w:t>
            </w:r>
          </w:p>
        </w:tc>
        <w:tc>
          <w:tcPr>
            <w:tcW w:w="0" w:type="auto"/>
            <w:vAlign w:val="center"/>
          </w:tcPr>
          <w:p w14:paraId="394050E8" w14:textId="77777777" w:rsidR="005D1745" w:rsidRDefault="004B6ABE" w:rsidP="00B6464E">
            <w:pPr>
              <w:adjustRightInd w:val="0"/>
              <w:snapToGrid w:val="0"/>
              <w:spacing w:afterLines="0" w:after="0" w:line="192" w:lineRule="auto"/>
              <w:jc w:val="center"/>
              <w:rPr>
                <w:b/>
                <w:sz w:val="13"/>
                <w:szCs w:val="16"/>
              </w:rPr>
            </w:pPr>
            <w:r>
              <w:rPr>
                <w:b/>
                <w:sz w:val="13"/>
                <w:szCs w:val="16"/>
              </w:rPr>
              <w:t>Follow-up until</w:t>
            </w:r>
          </w:p>
          <w:p w14:paraId="18BECD15" w14:textId="77777777" w:rsidR="005D1745" w:rsidRDefault="004B6ABE" w:rsidP="00B6464E">
            <w:pPr>
              <w:adjustRightInd w:val="0"/>
              <w:snapToGrid w:val="0"/>
              <w:spacing w:afterLines="0" w:after="0" w:line="192" w:lineRule="auto"/>
              <w:jc w:val="center"/>
              <w:rPr>
                <w:b/>
                <w:sz w:val="13"/>
                <w:szCs w:val="16"/>
              </w:rPr>
            </w:pPr>
            <w:r>
              <w:rPr>
                <w:b/>
                <w:sz w:val="13"/>
                <w:szCs w:val="16"/>
              </w:rPr>
              <w:t xml:space="preserve">disease </w:t>
            </w:r>
          </w:p>
          <w:p w14:paraId="785405D1" w14:textId="77777777" w:rsidR="005D1745" w:rsidRDefault="004B6ABE" w:rsidP="00B6464E">
            <w:pPr>
              <w:adjustRightInd w:val="0"/>
              <w:snapToGrid w:val="0"/>
              <w:spacing w:afterLines="0" w:after="0" w:line="192" w:lineRule="auto"/>
              <w:jc w:val="center"/>
              <w:rPr>
                <w:b/>
                <w:sz w:val="13"/>
                <w:szCs w:val="16"/>
              </w:rPr>
            </w:pPr>
            <w:r>
              <w:rPr>
                <w:b/>
                <w:sz w:val="13"/>
                <w:szCs w:val="16"/>
              </w:rPr>
              <w:t>recurrence</w:t>
            </w:r>
          </w:p>
          <w:p w14:paraId="6316B49B" w14:textId="77777777" w:rsidR="005D1745" w:rsidRDefault="004B6ABE" w:rsidP="00B6464E">
            <w:pPr>
              <w:adjustRightInd w:val="0"/>
              <w:snapToGrid w:val="0"/>
              <w:spacing w:afterLines="0" w:after="0" w:line="192" w:lineRule="auto"/>
              <w:jc w:val="center"/>
              <w:rPr>
                <w:b/>
                <w:sz w:val="13"/>
                <w:szCs w:val="16"/>
              </w:rPr>
            </w:pPr>
            <w:r>
              <w:rPr>
                <w:b/>
                <w:sz w:val="13"/>
                <w:szCs w:val="16"/>
              </w:rPr>
              <w:t>90 days as a cycle</w:t>
            </w:r>
          </w:p>
        </w:tc>
        <w:tc>
          <w:tcPr>
            <w:tcW w:w="0" w:type="auto"/>
            <w:vAlign w:val="center"/>
          </w:tcPr>
          <w:p w14:paraId="30F40A55" w14:textId="77777777" w:rsidR="005D1745" w:rsidRDefault="004B6ABE" w:rsidP="00B6464E">
            <w:pPr>
              <w:adjustRightInd w:val="0"/>
              <w:snapToGrid w:val="0"/>
              <w:spacing w:afterLines="0" w:after="0" w:line="192" w:lineRule="auto"/>
              <w:jc w:val="center"/>
              <w:rPr>
                <w:b/>
                <w:sz w:val="13"/>
                <w:szCs w:val="16"/>
              </w:rPr>
            </w:pPr>
            <w:r>
              <w:rPr>
                <w:b/>
                <w:sz w:val="13"/>
                <w:szCs w:val="16"/>
              </w:rPr>
              <w:t>Follow up</w:t>
            </w:r>
          </w:p>
          <w:p w14:paraId="760822FD" w14:textId="77777777" w:rsidR="005D1745" w:rsidRDefault="004B6ABE" w:rsidP="00B6464E">
            <w:pPr>
              <w:adjustRightInd w:val="0"/>
              <w:snapToGrid w:val="0"/>
              <w:spacing w:afterLines="0" w:after="0" w:line="192" w:lineRule="auto"/>
              <w:jc w:val="center"/>
              <w:rPr>
                <w:b/>
                <w:sz w:val="13"/>
                <w:szCs w:val="16"/>
              </w:rPr>
            </w:pPr>
            <w:r>
              <w:rPr>
                <w:b/>
                <w:sz w:val="13"/>
                <w:szCs w:val="16"/>
              </w:rPr>
              <w:t>for survival</w:t>
            </w:r>
          </w:p>
        </w:tc>
      </w:tr>
      <w:tr w:rsidR="001463E7" w14:paraId="5E7FB69B" w14:textId="77777777" w:rsidTr="00B6464E">
        <w:trPr>
          <w:trHeight w:val="177"/>
        </w:trPr>
        <w:tc>
          <w:tcPr>
            <w:tcW w:w="0" w:type="auto"/>
            <w:vMerge/>
            <w:tcBorders>
              <w:bottom w:val="single" w:sz="18" w:space="0" w:color="auto"/>
            </w:tcBorders>
            <w:vAlign w:val="center"/>
          </w:tcPr>
          <w:p w14:paraId="23C89F6B" w14:textId="77777777" w:rsidR="005D1745" w:rsidRDefault="005D1745">
            <w:pPr>
              <w:spacing w:after="240"/>
              <w:rPr>
                <w:sz w:val="15"/>
                <w:szCs w:val="18"/>
              </w:rPr>
            </w:pPr>
          </w:p>
        </w:tc>
        <w:tc>
          <w:tcPr>
            <w:tcW w:w="0" w:type="auto"/>
            <w:vMerge/>
            <w:tcBorders>
              <w:bottom w:val="single" w:sz="18" w:space="0" w:color="auto"/>
            </w:tcBorders>
            <w:vAlign w:val="center"/>
          </w:tcPr>
          <w:p w14:paraId="74C1D680" w14:textId="77777777" w:rsidR="005D1745" w:rsidRDefault="005D1745" w:rsidP="00B6464E">
            <w:pPr>
              <w:adjustRightInd w:val="0"/>
              <w:snapToGrid w:val="0"/>
              <w:spacing w:afterLines="0" w:after="0" w:line="192" w:lineRule="auto"/>
              <w:jc w:val="left"/>
              <w:rPr>
                <w:sz w:val="13"/>
                <w:szCs w:val="16"/>
              </w:rPr>
            </w:pPr>
          </w:p>
        </w:tc>
        <w:tc>
          <w:tcPr>
            <w:tcW w:w="0" w:type="auto"/>
            <w:tcBorders>
              <w:bottom w:val="single" w:sz="18" w:space="0" w:color="auto"/>
            </w:tcBorders>
            <w:vAlign w:val="center"/>
          </w:tcPr>
          <w:p w14:paraId="786A0372" w14:textId="06036174" w:rsidR="005D1745" w:rsidRDefault="004B6ABE" w:rsidP="00B6464E">
            <w:pPr>
              <w:adjustRightInd w:val="0"/>
              <w:snapToGrid w:val="0"/>
              <w:spacing w:afterLines="0" w:after="0" w:line="192" w:lineRule="auto"/>
              <w:jc w:val="center"/>
              <w:rPr>
                <w:b/>
                <w:sz w:val="13"/>
                <w:szCs w:val="16"/>
              </w:rPr>
            </w:pPr>
            <w:r>
              <w:rPr>
                <w:b/>
                <w:sz w:val="13"/>
                <w:szCs w:val="16"/>
              </w:rPr>
              <w:t xml:space="preserve">Day -28 to </w:t>
            </w:r>
            <w:r w:rsidR="00B6464E">
              <w:rPr>
                <w:rFonts w:hint="eastAsia"/>
                <w:b/>
                <w:sz w:val="13"/>
                <w:szCs w:val="16"/>
              </w:rPr>
              <w:t>Day</w:t>
            </w:r>
            <w:r w:rsidR="00B6464E">
              <w:rPr>
                <w:b/>
                <w:sz w:val="13"/>
                <w:szCs w:val="16"/>
              </w:rPr>
              <w:t xml:space="preserve"> </w:t>
            </w:r>
            <w:r>
              <w:rPr>
                <w:b/>
                <w:sz w:val="13"/>
                <w:szCs w:val="16"/>
              </w:rPr>
              <w:t>0</w:t>
            </w:r>
          </w:p>
        </w:tc>
        <w:tc>
          <w:tcPr>
            <w:tcW w:w="0" w:type="auto"/>
            <w:tcBorders>
              <w:bottom w:val="single" w:sz="18" w:space="0" w:color="auto"/>
            </w:tcBorders>
            <w:vAlign w:val="center"/>
          </w:tcPr>
          <w:p w14:paraId="08A0D4CD" w14:textId="4F7E9397" w:rsidR="005D1745" w:rsidRDefault="004B6ABE" w:rsidP="00B6464E">
            <w:pPr>
              <w:adjustRightInd w:val="0"/>
              <w:snapToGrid w:val="0"/>
              <w:spacing w:afterLines="0" w:after="0" w:line="192" w:lineRule="auto"/>
              <w:jc w:val="center"/>
              <w:rPr>
                <w:b/>
                <w:sz w:val="13"/>
                <w:szCs w:val="16"/>
              </w:rPr>
            </w:pPr>
            <w:r>
              <w:rPr>
                <w:b/>
                <w:sz w:val="13"/>
                <w:szCs w:val="16"/>
              </w:rPr>
              <w:t xml:space="preserve">Day -7 to </w:t>
            </w:r>
            <w:r w:rsidR="00B6464E">
              <w:rPr>
                <w:rFonts w:hint="eastAsia"/>
                <w:b/>
                <w:sz w:val="13"/>
                <w:szCs w:val="16"/>
              </w:rPr>
              <w:t>Day</w:t>
            </w:r>
            <w:r w:rsidR="00B6464E">
              <w:rPr>
                <w:b/>
                <w:sz w:val="13"/>
                <w:szCs w:val="16"/>
              </w:rPr>
              <w:t xml:space="preserve"> </w:t>
            </w:r>
            <w:r>
              <w:rPr>
                <w:b/>
                <w:sz w:val="13"/>
                <w:szCs w:val="16"/>
              </w:rPr>
              <w:t>0</w:t>
            </w:r>
          </w:p>
        </w:tc>
        <w:tc>
          <w:tcPr>
            <w:tcW w:w="0" w:type="auto"/>
            <w:tcBorders>
              <w:bottom w:val="single" w:sz="18" w:space="0" w:color="auto"/>
            </w:tcBorders>
            <w:vAlign w:val="center"/>
          </w:tcPr>
          <w:p w14:paraId="1DE7AE85" w14:textId="77777777" w:rsidR="005D1745" w:rsidRDefault="004B6ABE" w:rsidP="00B6464E">
            <w:pPr>
              <w:adjustRightInd w:val="0"/>
              <w:snapToGrid w:val="0"/>
              <w:spacing w:afterLines="0" w:after="0" w:line="192" w:lineRule="auto"/>
              <w:jc w:val="center"/>
              <w:rPr>
                <w:b/>
                <w:sz w:val="13"/>
                <w:szCs w:val="16"/>
              </w:rPr>
            </w:pPr>
            <w:r>
              <w:rPr>
                <w:b/>
                <w:sz w:val="13"/>
                <w:szCs w:val="16"/>
              </w:rPr>
              <w:t>Day 1</w:t>
            </w:r>
          </w:p>
        </w:tc>
        <w:tc>
          <w:tcPr>
            <w:tcW w:w="0" w:type="auto"/>
            <w:tcBorders>
              <w:bottom w:val="single" w:sz="18" w:space="0" w:color="auto"/>
            </w:tcBorders>
            <w:vAlign w:val="center"/>
          </w:tcPr>
          <w:p w14:paraId="65CE558B" w14:textId="77777777" w:rsidR="005D1745" w:rsidRDefault="005D1745" w:rsidP="00B6464E">
            <w:pPr>
              <w:adjustRightInd w:val="0"/>
              <w:snapToGrid w:val="0"/>
              <w:spacing w:afterLines="0" w:after="0" w:line="192" w:lineRule="auto"/>
              <w:jc w:val="center"/>
              <w:rPr>
                <w:b/>
                <w:sz w:val="13"/>
                <w:szCs w:val="16"/>
              </w:rPr>
            </w:pPr>
          </w:p>
        </w:tc>
        <w:tc>
          <w:tcPr>
            <w:tcW w:w="0" w:type="auto"/>
            <w:tcBorders>
              <w:bottom w:val="single" w:sz="18" w:space="0" w:color="auto"/>
            </w:tcBorders>
            <w:vAlign w:val="center"/>
          </w:tcPr>
          <w:p w14:paraId="6E0B7057" w14:textId="77777777" w:rsidR="005D1745" w:rsidRDefault="004B6ABE" w:rsidP="00B6464E">
            <w:pPr>
              <w:adjustRightInd w:val="0"/>
              <w:snapToGrid w:val="0"/>
              <w:spacing w:afterLines="0" w:after="0" w:line="192" w:lineRule="auto"/>
              <w:jc w:val="center"/>
              <w:rPr>
                <w:b/>
                <w:sz w:val="13"/>
                <w:szCs w:val="16"/>
              </w:rPr>
            </w:pPr>
            <w:r>
              <w:rPr>
                <w:b/>
                <w:sz w:val="13"/>
                <w:szCs w:val="16"/>
              </w:rPr>
              <w:t>Day 1</w:t>
            </w:r>
          </w:p>
        </w:tc>
        <w:tc>
          <w:tcPr>
            <w:tcW w:w="0" w:type="auto"/>
            <w:tcBorders>
              <w:bottom w:val="single" w:sz="18" w:space="0" w:color="auto"/>
            </w:tcBorders>
            <w:vAlign w:val="center"/>
          </w:tcPr>
          <w:p w14:paraId="2BD726A5" w14:textId="77777777" w:rsidR="005D1745" w:rsidRDefault="005D1745" w:rsidP="00B6464E">
            <w:pPr>
              <w:adjustRightInd w:val="0"/>
              <w:snapToGrid w:val="0"/>
              <w:spacing w:afterLines="0" w:after="0" w:line="192" w:lineRule="auto"/>
              <w:jc w:val="center"/>
              <w:rPr>
                <w:b/>
                <w:sz w:val="13"/>
                <w:szCs w:val="16"/>
              </w:rPr>
            </w:pPr>
          </w:p>
        </w:tc>
        <w:tc>
          <w:tcPr>
            <w:tcW w:w="0" w:type="auto"/>
            <w:tcBorders>
              <w:bottom w:val="single" w:sz="18" w:space="0" w:color="auto"/>
            </w:tcBorders>
            <w:vAlign w:val="center"/>
          </w:tcPr>
          <w:p w14:paraId="148E9E81" w14:textId="77777777" w:rsidR="005D1745" w:rsidRDefault="005D1745" w:rsidP="00B6464E">
            <w:pPr>
              <w:adjustRightInd w:val="0"/>
              <w:snapToGrid w:val="0"/>
              <w:spacing w:afterLines="0" w:after="0" w:line="192" w:lineRule="auto"/>
              <w:jc w:val="center"/>
              <w:rPr>
                <w:b/>
                <w:sz w:val="13"/>
                <w:szCs w:val="16"/>
              </w:rPr>
            </w:pPr>
          </w:p>
        </w:tc>
        <w:tc>
          <w:tcPr>
            <w:tcW w:w="0" w:type="auto"/>
            <w:tcBorders>
              <w:bottom w:val="single" w:sz="18" w:space="0" w:color="auto"/>
            </w:tcBorders>
            <w:vAlign w:val="center"/>
          </w:tcPr>
          <w:p w14:paraId="64EA7DA0" w14:textId="77777777" w:rsidR="005D1745" w:rsidRDefault="005D1745" w:rsidP="00B6464E">
            <w:pPr>
              <w:adjustRightInd w:val="0"/>
              <w:snapToGrid w:val="0"/>
              <w:spacing w:afterLines="0" w:after="0" w:line="192" w:lineRule="auto"/>
              <w:jc w:val="center"/>
              <w:rPr>
                <w:b/>
                <w:sz w:val="13"/>
                <w:szCs w:val="16"/>
              </w:rPr>
            </w:pPr>
          </w:p>
        </w:tc>
      </w:tr>
      <w:tr w:rsidR="001463E7" w14:paraId="5CF78B56" w14:textId="77777777" w:rsidTr="00B6464E">
        <w:trPr>
          <w:trHeight w:val="340"/>
        </w:trPr>
        <w:tc>
          <w:tcPr>
            <w:tcW w:w="0" w:type="auto"/>
            <w:vMerge w:val="restart"/>
            <w:tcBorders>
              <w:top w:val="single" w:sz="18" w:space="0" w:color="auto"/>
            </w:tcBorders>
            <w:vAlign w:val="center"/>
          </w:tcPr>
          <w:p w14:paraId="038D7354" w14:textId="77777777" w:rsidR="005D1745" w:rsidRDefault="004B6ABE">
            <w:pPr>
              <w:spacing w:after="240"/>
              <w:rPr>
                <w:sz w:val="15"/>
                <w:szCs w:val="18"/>
              </w:rPr>
            </w:pPr>
            <w:r>
              <w:rPr>
                <w:b/>
                <w:sz w:val="15"/>
                <w:szCs w:val="18"/>
              </w:rPr>
              <w:t>Screening stage</w:t>
            </w:r>
          </w:p>
        </w:tc>
        <w:tc>
          <w:tcPr>
            <w:tcW w:w="0" w:type="auto"/>
            <w:tcBorders>
              <w:top w:val="single" w:sz="18" w:space="0" w:color="auto"/>
            </w:tcBorders>
            <w:vAlign w:val="center"/>
          </w:tcPr>
          <w:p w14:paraId="051E779C" w14:textId="2C5DBFFF" w:rsidR="005D1745" w:rsidRDefault="004B6ABE" w:rsidP="001463E7">
            <w:pPr>
              <w:adjustRightInd w:val="0"/>
              <w:snapToGrid w:val="0"/>
              <w:spacing w:afterLines="0" w:after="0" w:line="192" w:lineRule="auto"/>
              <w:jc w:val="left"/>
              <w:rPr>
                <w:sz w:val="15"/>
                <w:szCs w:val="18"/>
              </w:rPr>
            </w:pPr>
            <w:r>
              <w:rPr>
                <w:sz w:val="15"/>
                <w:szCs w:val="18"/>
              </w:rPr>
              <w:t>Written informed consent /</w:t>
            </w:r>
            <w:r>
              <w:t xml:space="preserve"> </w:t>
            </w:r>
            <w:r>
              <w:rPr>
                <w:sz w:val="15"/>
                <w:szCs w:val="18"/>
              </w:rPr>
              <w:t>Demography /</w:t>
            </w:r>
            <w:r>
              <w:t xml:space="preserve"> </w:t>
            </w:r>
            <w:r>
              <w:rPr>
                <w:sz w:val="15"/>
                <w:szCs w:val="18"/>
              </w:rPr>
              <w:t xml:space="preserve">Medical </w:t>
            </w:r>
            <w:r w:rsidR="001463E7">
              <w:rPr>
                <w:sz w:val="15"/>
                <w:szCs w:val="18"/>
              </w:rPr>
              <w:t xml:space="preserve">history </w:t>
            </w:r>
            <w:r>
              <w:rPr>
                <w:b/>
                <w:sz w:val="15"/>
                <w:szCs w:val="18"/>
                <w:vertAlign w:val="superscript"/>
              </w:rPr>
              <w:t>A</w:t>
            </w:r>
            <w:r>
              <w:rPr>
                <w:sz w:val="15"/>
                <w:szCs w:val="18"/>
              </w:rPr>
              <w:t>/</w:t>
            </w:r>
            <w:r>
              <w:t xml:space="preserve"> </w:t>
            </w:r>
            <w:r>
              <w:rPr>
                <w:sz w:val="15"/>
                <w:szCs w:val="18"/>
              </w:rPr>
              <w:t>Previous treatment records</w:t>
            </w:r>
          </w:p>
        </w:tc>
        <w:tc>
          <w:tcPr>
            <w:tcW w:w="0" w:type="auto"/>
            <w:tcBorders>
              <w:top w:val="single" w:sz="18" w:space="0" w:color="auto"/>
            </w:tcBorders>
            <w:vAlign w:val="center"/>
          </w:tcPr>
          <w:p w14:paraId="38AD7895"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tcBorders>
              <w:top w:val="single" w:sz="18" w:space="0" w:color="auto"/>
            </w:tcBorders>
            <w:vAlign w:val="center"/>
          </w:tcPr>
          <w:p w14:paraId="134462B9" w14:textId="77777777" w:rsidR="005D1745" w:rsidRDefault="005D1745" w:rsidP="00B6464E">
            <w:pPr>
              <w:adjustRightInd w:val="0"/>
              <w:snapToGrid w:val="0"/>
              <w:spacing w:afterLines="0" w:after="0" w:line="192" w:lineRule="auto"/>
              <w:jc w:val="center"/>
              <w:rPr>
                <w:sz w:val="15"/>
                <w:szCs w:val="18"/>
              </w:rPr>
            </w:pPr>
          </w:p>
        </w:tc>
        <w:tc>
          <w:tcPr>
            <w:tcW w:w="0" w:type="auto"/>
            <w:tcBorders>
              <w:top w:val="single" w:sz="18" w:space="0" w:color="auto"/>
            </w:tcBorders>
            <w:vAlign w:val="center"/>
          </w:tcPr>
          <w:p w14:paraId="4863B5BC" w14:textId="77777777" w:rsidR="005D1745" w:rsidRDefault="005D1745" w:rsidP="00B6464E">
            <w:pPr>
              <w:adjustRightInd w:val="0"/>
              <w:snapToGrid w:val="0"/>
              <w:spacing w:afterLines="0" w:after="0" w:line="192" w:lineRule="auto"/>
              <w:jc w:val="center"/>
              <w:rPr>
                <w:sz w:val="15"/>
                <w:szCs w:val="18"/>
              </w:rPr>
            </w:pPr>
          </w:p>
        </w:tc>
        <w:tc>
          <w:tcPr>
            <w:tcW w:w="0" w:type="auto"/>
            <w:tcBorders>
              <w:top w:val="single" w:sz="18" w:space="0" w:color="auto"/>
            </w:tcBorders>
            <w:vAlign w:val="center"/>
          </w:tcPr>
          <w:p w14:paraId="75D662F2" w14:textId="77777777" w:rsidR="005D1745" w:rsidRDefault="005D1745" w:rsidP="00B6464E">
            <w:pPr>
              <w:adjustRightInd w:val="0"/>
              <w:snapToGrid w:val="0"/>
              <w:spacing w:afterLines="0" w:after="0" w:line="192" w:lineRule="auto"/>
              <w:jc w:val="center"/>
              <w:rPr>
                <w:sz w:val="15"/>
                <w:szCs w:val="18"/>
              </w:rPr>
            </w:pPr>
          </w:p>
        </w:tc>
        <w:tc>
          <w:tcPr>
            <w:tcW w:w="0" w:type="auto"/>
            <w:tcBorders>
              <w:top w:val="single" w:sz="18" w:space="0" w:color="auto"/>
            </w:tcBorders>
            <w:vAlign w:val="center"/>
          </w:tcPr>
          <w:p w14:paraId="738AC786" w14:textId="77777777" w:rsidR="005D1745" w:rsidRDefault="005D1745" w:rsidP="00B6464E">
            <w:pPr>
              <w:adjustRightInd w:val="0"/>
              <w:snapToGrid w:val="0"/>
              <w:spacing w:afterLines="0" w:after="0" w:line="192" w:lineRule="auto"/>
              <w:jc w:val="center"/>
              <w:rPr>
                <w:sz w:val="15"/>
                <w:szCs w:val="18"/>
              </w:rPr>
            </w:pPr>
          </w:p>
        </w:tc>
        <w:tc>
          <w:tcPr>
            <w:tcW w:w="0" w:type="auto"/>
            <w:tcBorders>
              <w:top w:val="single" w:sz="18" w:space="0" w:color="auto"/>
            </w:tcBorders>
            <w:vAlign w:val="center"/>
          </w:tcPr>
          <w:p w14:paraId="5C56377C" w14:textId="77777777" w:rsidR="005D1745" w:rsidRDefault="005D1745" w:rsidP="00B6464E">
            <w:pPr>
              <w:adjustRightInd w:val="0"/>
              <w:snapToGrid w:val="0"/>
              <w:spacing w:afterLines="0" w:after="0" w:line="192" w:lineRule="auto"/>
              <w:jc w:val="center"/>
              <w:rPr>
                <w:sz w:val="15"/>
                <w:szCs w:val="18"/>
              </w:rPr>
            </w:pPr>
          </w:p>
        </w:tc>
        <w:tc>
          <w:tcPr>
            <w:tcW w:w="0" w:type="auto"/>
            <w:tcBorders>
              <w:top w:val="single" w:sz="18" w:space="0" w:color="auto"/>
            </w:tcBorders>
            <w:vAlign w:val="center"/>
          </w:tcPr>
          <w:p w14:paraId="085E2578" w14:textId="77777777" w:rsidR="005D1745" w:rsidRDefault="005D1745" w:rsidP="00B6464E">
            <w:pPr>
              <w:adjustRightInd w:val="0"/>
              <w:snapToGrid w:val="0"/>
              <w:spacing w:afterLines="0" w:after="0" w:line="192" w:lineRule="auto"/>
              <w:jc w:val="center"/>
              <w:rPr>
                <w:sz w:val="15"/>
                <w:szCs w:val="18"/>
              </w:rPr>
            </w:pPr>
          </w:p>
        </w:tc>
        <w:tc>
          <w:tcPr>
            <w:tcW w:w="0" w:type="auto"/>
            <w:tcBorders>
              <w:top w:val="single" w:sz="18" w:space="0" w:color="auto"/>
            </w:tcBorders>
            <w:vAlign w:val="center"/>
          </w:tcPr>
          <w:p w14:paraId="471777F9" w14:textId="77777777" w:rsidR="005D1745" w:rsidRDefault="005D1745" w:rsidP="00B6464E">
            <w:pPr>
              <w:adjustRightInd w:val="0"/>
              <w:snapToGrid w:val="0"/>
              <w:spacing w:afterLines="0" w:after="0" w:line="192" w:lineRule="auto"/>
              <w:jc w:val="center"/>
              <w:rPr>
                <w:sz w:val="15"/>
                <w:szCs w:val="18"/>
              </w:rPr>
            </w:pPr>
          </w:p>
        </w:tc>
      </w:tr>
      <w:tr w:rsidR="001463E7" w14:paraId="7E09C10A" w14:textId="77777777" w:rsidTr="00B6464E">
        <w:trPr>
          <w:trHeight w:val="340"/>
        </w:trPr>
        <w:tc>
          <w:tcPr>
            <w:tcW w:w="0" w:type="auto"/>
            <w:vMerge/>
            <w:vAlign w:val="center"/>
          </w:tcPr>
          <w:p w14:paraId="682D83CD" w14:textId="77777777" w:rsidR="005D1745" w:rsidRDefault="005D1745">
            <w:pPr>
              <w:spacing w:after="240"/>
              <w:rPr>
                <w:sz w:val="15"/>
                <w:szCs w:val="18"/>
              </w:rPr>
            </w:pPr>
          </w:p>
        </w:tc>
        <w:tc>
          <w:tcPr>
            <w:tcW w:w="0" w:type="auto"/>
            <w:vAlign w:val="center"/>
          </w:tcPr>
          <w:p w14:paraId="26F46476" w14:textId="77777777" w:rsidR="005D1745" w:rsidRDefault="004B6ABE" w:rsidP="00B6464E">
            <w:pPr>
              <w:adjustRightInd w:val="0"/>
              <w:snapToGrid w:val="0"/>
              <w:spacing w:afterLines="0" w:after="0" w:line="192" w:lineRule="auto"/>
              <w:jc w:val="left"/>
              <w:rPr>
                <w:sz w:val="15"/>
                <w:szCs w:val="18"/>
              </w:rPr>
            </w:pPr>
            <w:r>
              <w:rPr>
                <w:sz w:val="15"/>
                <w:szCs w:val="18"/>
              </w:rPr>
              <w:t>Inclusion/exclusion criteria</w:t>
            </w:r>
          </w:p>
        </w:tc>
        <w:tc>
          <w:tcPr>
            <w:tcW w:w="0" w:type="auto"/>
            <w:vAlign w:val="center"/>
          </w:tcPr>
          <w:p w14:paraId="26C1BFAD"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3565D33D"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2F2B645B"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0FC6E780"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65422FA5" w14:textId="77777777" w:rsidR="005D1745" w:rsidRDefault="005D1745" w:rsidP="00B6464E">
            <w:pPr>
              <w:adjustRightInd w:val="0"/>
              <w:snapToGrid w:val="0"/>
              <w:spacing w:afterLines="0" w:after="0" w:line="192" w:lineRule="auto"/>
              <w:ind w:firstLine="360"/>
              <w:jc w:val="center"/>
              <w:rPr>
                <w:sz w:val="15"/>
                <w:szCs w:val="18"/>
              </w:rPr>
            </w:pPr>
          </w:p>
        </w:tc>
        <w:tc>
          <w:tcPr>
            <w:tcW w:w="0" w:type="auto"/>
            <w:vAlign w:val="center"/>
          </w:tcPr>
          <w:p w14:paraId="33CC346C"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10C54420"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67BAF5A2" w14:textId="77777777" w:rsidR="005D1745" w:rsidRDefault="005D1745" w:rsidP="00B6464E">
            <w:pPr>
              <w:adjustRightInd w:val="0"/>
              <w:snapToGrid w:val="0"/>
              <w:spacing w:afterLines="0" w:after="0" w:line="192" w:lineRule="auto"/>
              <w:jc w:val="center"/>
              <w:rPr>
                <w:sz w:val="15"/>
                <w:szCs w:val="18"/>
              </w:rPr>
            </w:pPr>
          </w:p>
        </w:tc>
      </w:tr>
      <w:tr w:rsidR="001463E7" w14:paraId="626E2162" w14:textId="77777777" w:rsidTr="00B6464E">
        <w:trPr>
          <w:trHeight w:val="340"/>
        </w:trPr>
        <w:tc>
          <w:tcPr>
            <w:tcW w:w="0" w:type="auto"/>
            <w:vMerge/>
            <w:vAlign w:val="center"/>
          </w:tcPr>
          <w:p w14:paraId="12835603" w14:textId="77777777" w:rsidR="005D1745" w:rsidRDefault="005D1745">
            <w:pPr>
              <w:spacing w:after="240"/>
              <w:rPr>
                <w:sz w:val="15"/>
                <w:szCs w:val="18"/>
              </w:rPr>
            </w:pPr>
          </w:p>
        </w:tc>
        <w:tc>
          <w:tcPr>
            <w:tcW w:w="0" w:type="auto"/>
            <w:vAlign w:val="center"/>
          </w:tcPr>
          <w:p w14:paraId="6C8ED52A" w14:textId="77777777" w:rsidR="005D1745" w:rsidRDefault="004B6ABE" w:rsidP="00B6464E">
            <w:pPr>
              <w:pStyle w:val="TableText"/>
              <w:tabs>
                <w:tab w:val="left" w:pos="5"/>
              </w:tabs>
              <w:adjustRightInd w:val="0"/>
              <w:snapToGrid w:val="0"/>
              <w:spacing w:line="192" w:lineRule="auto"/>
              <w:rPr>
                <w:sz w:val="15"/>
                <w:szCs w:val="18"/>
              </w:rPr>
            </w:pPr>
            <w:r>
              <w:rPr>
                <w:sz w:val="15"/>
                <w:szCs w:val="18"/>
                <w:lang w:eastAsia="zh-CN"/>
              </w:rPr>
              <w:t xml:space="preserve">Urine pregnancy test </w:t>
            </w:r>
            <w:r>
              <w:rPr>
                <w:b/>
                <w:sz w:val="15"/>
                <w:szCs w:val="18"/>
                <w:vertAlign w:val="superscript"/>
              </w:rPr>
              <w:t>B</w:t>
            </w:r>
            <w:r>
              <w:rPr>
                <w:sz w:val="15"/>
                <w:szCs w:val="18"/>
                <w:vertAlign w:val="superscript"/>
                <w:lang w:eastAsia="zh-CN"/>
              </w:rPr>
              <w:t xml:space="preserve"> </w:t>
            </w:r>
          </w:p>
        </w:tc>
        <w:tc>
          <w:tcPr>
            <w:tcW w:w="0" w:type="auto"/>
            <w:vAlign w:val="center"/>
          </w:tcPr>
          <w:p w14:paraId="377D7A31" w14:textId="77777777" w:rsidR="005D1745" w:rsidRDefault="005D1745" w:rsidP="00B6464E">
            <w:pPr>
              <w:adjustRightInd w:val="0"/>
              <w:snapToGrid w:val="0"/>
              <w:spacing w:afterLines="0" w:after="0" w:line="192" w:lineRule="auto"/>
              <w:ind w:firstLineChars="261" w:firstLine="391"/>
              <w:rPr>
                <w:sz w:val="15"/>
                <w:szCs w:val="18"/>
              </w:rPr>
            </w:pPr>
          </w:p>
        </w:tc>
        <w:tc>
          <w:tcPr>
            <w:tcW w:w="0" w:type="auto"/>
            <w:vAlign w:val="center"/>
          </w:tcPr>
          <w:p w14:paraId="5D645137"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5BACF5A0" w14:textId="77777777" w:rsidR="005D1745" w:rsidRDefault="005D1745" w:rsidP="00B6464E">
            <w:pPr>
              <w:adjustRightInd w:val="0"/>
              <w:snapToGrid w:val="0"/>
              <w:spacing w:afterLines="0" w:after="0" w:line="192" w:lineRule="auto"/>
              <w:ind w:firstLineChars="150" w:firstLine="225"/>
              <w:rPr>
                <w:sz w:val="15"/>
                <w:szCs w:val="18"/>
              </w:rPr>
            </w:pPr>
          </w:p>
        </w:tc>
        <w:tc>
          <w:tcPr>
            <w:tcW w:w="0" w:type="auto"/>
            <w:vAlign w:val="center"/>
          </w:tcPr>
          <w:p w14:paraId="1EB7DE1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5E60A071" w14:textId="77777777" w:rsidR="005D1745" w:rsidRDefault="005D1745" w:rsidP="00B6464E">
            <w:pPr>
              <w:adjustRightInd w:val="0"/>
              <w:snapToGrid w:val="0"/>
              <w:spacing w:afterLines="0" w:after="0" w:line="192" w:lineRule="auto"/>
              <w:ind w:firstLineChars="250" w:firstLine="375"/>
              <w:rPr>
                <w:sz w:val="15"/>
                <w:szCs w:val="18"/>
              </w:rPr>
            </w:pPr>
          </w:p>
        </w:tc>
        <w:tc>
          <w:tcPr>
            <w:tcW w:w="0" w:type="auto"/>
            <w:vAlign w:val="center"/>
          </w:tcPr>
          <w:p w14:paraId="5B87F095" w14:textId="77777777" w:rsidR="005D1745" w:rsidRDefault="005D1745" w:rsidP="00B6464E">
            <w:pPr>
              <w:adjustRightInd w:val="0"/>
              <w:snapToGrid w:val="0"/>
              <w:spacing w:afterLines="0" w:after="0" w:line="192" w:lineRule="auto"/>
              <w:ind w:firstLineChars="250" w:firstLine="375"/>
              <w:rPr>
                <w:sz w:val="15"/>
                <w:szCs w:val="18"/>
              </w:rPr>
            </w:pPr>
          </w:p>
        </w:tc>
        <w:tc>
          <w:tcPr>
            <w:tcW w:w="0" w:type="auto"/>
            <w:vAlign w:val="center"/>
          </w:tcPr>
          <w:p w14:paraId="0712F34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7A787889" w14:textId="77777777" w:rsidR="005D1745" w:rsidRDefault="005D1745" w:rsidP="00B6464E">
            <w:pPr>
              <w:adjustRightInd w:val="0"/>
              <w:snapToGrid w:val="0"/>
              <w:spacing w:afterLines="0" w:after="0" w:line="192" w:lineRule="auto"/>
              <w:jc w:val="center"/>
              <w:rPr>
                <w:sz w:val="15"/>
                <w:szCs w:val="18"/>
              </w:rPr>
            </w:pPr>
          </w:p>
        </w:tc>
      </w:tr>
      <w:tr w:rsidR="001463E7" w14:paraId="4A901D01" w14:textId="77777777" w:rsidTr="00B6464E">
        <w:trPr>
          <w:trHeight w:val="340"/>
        </w:trPr>
        <w:tc>
          <w:tcPr>
            <w:tcW w:w="0" w:type="auto"/>
            <w:vMerge w:val="restart"/>
            <w:vAlign w:val="center"/>
          </w:tcPr>
          <w:p w14:paraId="6528C48B" w14:textId="77777777" w:rsidR="005D1745" w:rsidRDefault="004B6ABE">
            <w:pPr>
              <w:spacing w:after="240"/>
              <w:ind w:left="75" w:hangingChars="50" w:hanging="75"/>
              <w:rPr>
                <w:sz w:val="15"/>
                <w:szCs w:val="18"/>
              </w:rPr>
            </w:pPr>
            <w:r>
              <w:rPr>
                <w:b/>
                <w:sz w:val="15"/>
                <w:szCs w:val="18"/>
              </w:rPr>
              <w:t>Safety data</w:t>
            </w:r>
          </w:p>
        </w:tc>
        <w:tc>
          <w:tcPr>
            <w:tcW w:w="0" w:type="auto"/>
            <w:vAlign w:val="center"/>
          </w:tcPr>
          <w:p w14:paraId="2399A3C5" w14:textId="77777777" w:rsidR="005D1745" w:rsidRDefault="004B6ABE" w:rsidP="00B6464E">
            <w:pPr>
              <w:pStyle w:val="TableText"/>
              <w:tabs>
                <w:tab w:val="left" w:pos="5"/>
              </w:tabs>
              <w:adjustRightInd w:val="0"/>
              <w:snapToGrid w:val="0"/>
              <w:spacing w:line="192" w:lineRule="auto"/>
              <w:rPr>
                <w:b/>
                <w:sz w:val="15"/>
                <w:szCs w:val="18"/>
                <w:lang w:eastAsia="zh-CN"/>
              </w:rPr>
            </w:pPr>
            <w:r>
              <w:rPr>
                <w:sz w:val="15"/>
                <w:szCs w:val="18"/>
              </w:rPr>
              <w:t>ECG</w:t>
            </w:r>
            <w:r>
              <w:rPr>
                <w:b/>
                <w:sz w:val="15"/>
                <w:szCs w:val="18"/>
              </w:rPr>
              <w:t xml:space="preserve"> </w:t>
            </w:r>
            <w:r>
              <w:rPr>
                <w:b/>
                <w:sz w:val="15"/>
                <w:szCs w:val="18"/>
                <w:vertAlign w:val="superscript"/>
              </w:rPr>
              <w:t>C</w:t>
            </w:r>
            <w:r>
              <w:rPr>
                <w:sz w:val="15"/>
                <w:szCs w:val="18"/>
                <w:vertAlign w:val="superscript"/>
                <w:lang w:eastAsia="zh-CN"/>
              </w:rPr>
              <w:t xml:space="preserve"> </w:t>
            </w:r>
            <w:r>
              <w:rPr>
                <w:sz w:val="15"/>
                <w:szCs w:val="18"/>
                <w:lang w:eastAsia="zh-CN"/>
              </w:rPr>
              <w:t xml:space="preserve"> </w:t>
            </w:r>
          </w:p>
        </w:tc>
        <w:tc>
          <w:tcPr>
            <w:tcW w:w="0" w:type="auto"/>
            <w:vAlign w:val="center"/>
          </w:tcPr>
          <w:p w14:paraId="1F6B810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39C400F1"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104DF40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242A43D8" w14:textId="77777777" w:rsidR="005D1745" w:rsidRDefault="005D1745" w:rsidP="00B6464E">
            <w:pPr>
              <w:adjustRightInd w:val="0"/>
              <w:snapToGrid w:val="0"/>
              <w:spacing w:afterLines="0" w:after="0" w:line="192" w:lineRule="auto"/>
              <w:ind w:firstLineChars="161" w:firstLine="241"/>
              <w:rPr>
                <w:sz w:val="15"/>
                <w:szCs w:val="18"/>
              </w:rPr>
            </w:pPr>
          </w:p>
        </w:tc>
        <w:tc>
          <w:tcPr>
            <w:tcW w:w="0" w:type="auto"/>
            <w:vAlign w:val="center"/>
          </w:tcPr>
          <w:p w14:paraId="58BCB57D"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78FC4D1F" w14:textId="77777777" w:rsidR="005D1745" w:rsidRDefault="005D1745" w:rsidP="00B6464E">
            <w:pPr>
              <w:adjustRightInd w:val="0"/>
              <w:snapToGrid w:val="0"/>
              <w:spacing w:afterLines="0" w:after="0" w:line="192" w:lineRule="auto"/>
              <w:ind w:firstLineChars="200" w:firstLine="300"/>
              <w:rPr>
                <w:sz w:val="15"/>
                <w:szCs w:val="18"/>
              </w:rPr>
            </w:pPr>
          </w:p>
        </w:tc>
        <w:tc>
          <w:tcPr>
            <w:tcW w:w="0" w:type="auto"/>
            <w:vAlign w:val="center"/>
          </w:tcPr>
          <w:p w14:paraId="3EC3697F"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496EC3CA" w14:textId="77777777" w:rsidR="005D1745" w:rsidRDefault="005D1745" w:rsidP="00B6464E">
            <w:pPr>
              <w:adjustRightInd w:val="0"/>
              <w:snapToGrid w:val="0"/>
              <w:spacing w:afterLines="0" w:after="0" w:line="192" w:lineRule="auto"/>
              <w:jc w:val="center"/>
              <w:rPr>
                <w:sz w:val="15"/>
                <w:szCs w:val="18"/>
              </w:rPr>
            </w:pPr>
          </w:p>
        </w:tc>
      </w:tr>
      <w:tr w:rsidR="001463E7" w14:paraId="18CB49CA" w14:textId="77777777" w:rsidTr="00B6464E">
        <w:trPr>
          <w:trHeight w:val="340"/>
        </w:trPr>
        <w:tc>
          <w:tcPr>
            <w:tcW w:w="0" w:type="auto"/>
            <w:vMerge/>
            <w:vAlign w:val="center"/>
          </w:tcPr>
          <w:p w14:paraId="2491E850" w14:textId="77777777" w:rsidR="005D1745" w:rsidRDefault="005D1745">
            <w:pPr>
              <w:spacing w:after="240"/>
              <w:rPr>
                <w:sz w:val="15"/>
                <w:szCs w:val="18"/>
              </w:rPr>
            </w:pPr>
          </w:p>
        </w:tc>
        <w:tc>
          <w:tcPr>
            <w:tcW w:w="0" w:type="auto"/>
            <w:vAlign w:val="center"/>
          </w:tcPr>
          <w:p w14:paraId="5329C28E" w14:textId="77777777" w:rsidR="005D1745" w:rsidRDefault="004B6ABE" w:rsidP="00B6464E">
            <w:pPr>
              <w:pStyle w:val="TableText"/>
              <w:keepNext w:val="0"/>
              <w:tabs>
                <w:tab w:val="left" w:pos="5"/>
              </w:tabs>
              <w:adjustRightInd w:val="0"/>
              <w:snapToGrid w:val="0"/>
              <w:spacing w:line="192" w:lineRule="auto"/>
              <w:rPr>
                <w:sz w:val="15"/>
                <w:szCs w:val="18"/>
                <w:lang w:eastAsia="zh-CN"/>
              </w:rPr>
            </w:pPr>
            <w:r>
              <w:rPr>
                <w:sz w:val="15"/>
                <w:szCs w:val="18"/>
                <w:lang w:eastAsia="zh-CN"/>
              </w:rPr>
              <w:t xml:space="preserve">ECOG performance status/height/weight/vital signs </w:t>
            </w:r>
            <w:r>
              <w:rPr>
                <w:b/>
                <w:sz w:val="15"/>
                <w:szCs w:val="18"/>
                <w:vertAlign w:val="superscript"/>
                <w:lang w:eastAsia="zh-CN"/>
              </w:rPr>
              <w:t>D</w:t>
            </w:r>
          </w:p>
        </w:tc>
        <w:tc>
          <w:tcPr>
            <w:tcW w:w="0" w:type="auto"/>
            <w:vAlign w:val="center"/>
          </w:tcPr>
          <w:p w14:paraId="3A5FCED0"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463DA91A"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736F6C96"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34AD1F3C"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1EF95C94"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3D6540CB" w14:textId="77777777" w:rsidR="005D1745" w:rsidRDefault="004B6ABE" w:rsidP="00B6464E">
            <w:pPr>
              <w:adjustRightInd w:val="0"/>
              <w:snapToGrid w:val="0"/>
              <w:spacing w:afterLines="0" w:after="0" w:line="192" w:lineRule="auto"/>
              <w:ind w:firstLineChars="250" w:firstLine="375"/>
              <w:rPr>
                <w:sz w:val="15"/>
                <w:szCs w:val="18"/>
              </w:rPr>
            </w:pPr>
            <w:r>
              <w:rPr>
                <w:sz w:val="15"/>
                <w:szCs w:val="18"/>
              </w:rPr>
              <w:sym w:font="Webdings" w:char="F072"/>
            </w:r>
          </w:p>
        </w:tc>
        <w:tc>
          <w:tcPr>
            <w:tcW w:w="0" w:type="auto"/>
            <w:vAlign w:val="center"/>
          </w:tcPr>
          <w:p w14:paraId="613548FB"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1482541B" w14:textId="77777777" w:rsidR="005D1745" w:rsidRDefault="005D1745" w:rsidP="00B6464E">
            <w:pPr>
              <w:adjustRightInd w:val="0"/>
              <w:snapToGrid w:val="0"/>
              <w:spacing w:afterLines="0" w:after="0" w:line="192" w:lineRule="auto"/>
              <w:jc w:val="center"/>
              <w:rPr>
                <w:sz w:val="15"/>
                <w:szCs w:val="18"/>
              </w:rPr>
            </w:pPr>
          </w:p>
        </w:tc>
      </w:tr>
      <w:tr w:rsidR="001463E7" w14:paraId="71CF1DBA" w14:textId="77777777" w:rsidTr="00B6464E">
        <w:trPr>
          <w:trHeight w:val="340"/>
        </w:trPr>
        <w:tc>
          <w:tcPr>
            <w:tcW w:w="0" w:type="auto"/>
            <w:vMerge/>
            <w:vAlign w:val="center"/>
          </w:tcPr>
          <w:p w14:paraId="07991E67" w14:textId="77777777" w:rsidR="005D1745" w:rsidRDefault="005D1745">
            <w:pPr>
              <w:spacing w:after="240"/>
              <w:rPr>
                <w:sz w:val="15"/>
                <w:szCs w:val="18"/>
              </w:rPr>
            </w:pPr>
          </w:p>
        </w:tc>
        <w:tc>
          <w:tcPr>
            <w:tcW w:w="0" w:type="auto"/>
            <w:vAlign w:val="center"/>
          </w:tcPr>
          <w:p w14:paraId="3DC75DE6" w14:textId="556A4D30" w:rsidR="005D1745" w:rsidRDefault="004B6ABE" w:rsidP="001463E7">
            <w:pPr>
              <w:pStyle w:val="TableText"/>
              <w:keepNext w:val="0"/>
              <w:tabs>
                <w:tab w:val="left" w:pos="209"/>
              </w:tabs>
              <w:adjustRightInd w:val="0"/>
              <w:snapToGrid w:val="0"/>
              <w:spacing w:line="192" w:lineRule="auto"/>
              <w:jc w:val="both"/>
              <w:rPr>
                <w:sz w:val="15"/>
                <w:szCs w:val="18"/>
                <w:lang w:eastAsia="zh-CN"/>
              </w:rPr>
            </w:pPr>
            <w:r>
              <w:rPr>
                <w:sz w:val="15"/>
                <w:szCs w:val="18"/>
                <w:lang w:eastAsia="zh-CN"/>
              </w:rPr>
              <w:t xml:space="preserve">Adverse </w:t>
            </w:r>
            <w:r w:rsidR="001463E7">
              <w:rPr>
                <w:sz w:val="15"/>
                <w:szCs w:val="18"/>
                <w:lang w:eastAsia="zh-CN"/>
              </w:rPr>
              <w:t xml:space="preserve">event </w:t>
            </w:r>
            <w:r>
              <w:rPr>
                <w:sz w:val="15"/>
                <w:szCs w:val="18"/>
                <w:vertAlign w:val="superscript"/>
                <w:lang w:eastAsia="zh-CN"/>
              </w:rPr>
              <w:t>E</w:t>
            </w:r>
          </w:p>
        </w:tc>
        <w:tc>
          <w:tcPr>
            <w:tcW w:w="0" w:type="auto"/>
            <w:gridSpan w:val="2"/>
            <w:vAlign w:val="center"/>
          </w:tcPr>
          <w:p w14:paraId="5981FAAB"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74C562FD"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13A4433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28509D34"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4C19A905"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2F9C1A81"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31938A60" w14:textId="77777777" w:rsidR="005D1745" w:rsidRDefault="005D1745" w:rsidP="00B6464E">
            <w:pPr>
              <w:adjustRightInd w:val="0"/>
              <w:snapToGrid w:val="0"/>
              <w:spacing w:afterLines="0" w:after="0" w:line="192" w:lineRule="auto"/>
              <w:jc w:val="center"/>
              <w:rPr>
                <w:sz w:val="15"/>
                <w:szCs w:val="18"/>
              </w:rPr>
            </w:pPr>
          </w:p>
        </w:tc>
      </w:tr>
      <w:tr w:rsidR="001463E7" w14:paraId="078F59FA" w14:textId="77777777" w:rsidTr="00B6464E">
        <w:trPr>
          <w:trHeight w:val="340"/>
        </w:trPr>
        <w:tc>
          <w:tcPr>
            <w:tcW w:w="0" w:type="auto"/>
            <w:vMerge/>
            <w:vAlign w:val="center"/>
          </w:tcPr>
          <w:p w14:paraId="147B4AE9" w14:textId="77777777" w:rsidR="005D1745" w:rsidRDefault="005D1745">
            <w:pPr>
              <w:spacing w:after="240"/>
              <w:rPr>
                <w:sz w:val="15"/>
                <w:szCs w:val="18"/>
              </w:rPr>
            </w:pPr>
          </w:p>
        </w:tc>
        <w:tc>
          <w:tcPr>
            <w:tcW w:w="0" w:type="auto"/>
            <w:vAlign w:val="center"/>
          </w:tcPr>
          <w:p w14:paraId="652BD5EF" w14:textId="77777777" w:rsidR="005D1745" w:rsidRDefault="004B6ABE" w:rsidP="00B6464E">
            <w:pPr>
              <w:pStyle w:val="TableText"/>
              <w:keepNext w:val="0"/>
              <w:tabs>
                <w:tab w:val="left" w:pos="5"/>
              </w:tabs>
              <w:adjustRightInd w:val="0"/>
              <w:snapToGrid w:val="0"/>
              <w:spacing w:line="192" w:lineRule="auto"/>
              <w:rPr>
                <w:sz w:val="15"/>
                <w:szCs w:val="18"/>
                <w:lang w:eastAsia="zh-CN"/>
              </w:rPr>
            </w:pPr>
            <w:r>
              <w:rPr>
                <w:sz w:val="15"/>
                <w:szCs w:val="18"/>
                <w:lang w:eastAsia="zh-CN"/>
              </w:rPr>
              <w:t>Follow-up treatment and survival status</w:t>
            </w:r>
          </w:p>
        </w:tc>
        <w:tc>
          <w:tcPr>
            <w:tcW w:w="0" w:type="auto"/>
            <w:vAlign w:val="center"/>
          </w:tcPr>
          <w:p w14:paraId="68D541DF"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662C38EF" w14:textId="77777777" w:rsidR="005D1745" w:rsidRDefault="005D1745" w:rsidP="00B6464E">
            <w:pPr>
              <w:adjustRightInd w:val="0"/>
              <w:snapToGrid w:val="0"/>
              <w:spacing w:afterLines="0" w:after="0" w:line="192" w:lineRule="auto"/>
              <w:jc w:val="center"/>
              <w:rPr>
                <w:sz w:val="15"/>
                <w:szCs w:val="18"/>
              </w:rPr>
            </w:pPr>
          </w:p>
        </w:tc>
        <w:tc>
          <w:tcPr>
            <w:tcW w:w="0" w:type="auto"/>
            <w:gridSpan w:val="2"/>
            <w:vAlign w:val="center"/>
          </w:tcPr>
          <w:p w14:paraId="10F04845" w14:textId="77777777" w:rsidR="005D1745" w:rsidRDefault="005D1745" w:rsidP="00B6464E">
            <w:pPr>
              <w:adjustRightInd w:val="0"/>
              <w:snapToGrid w:val="0"/>
              <w:spacing w:afterLines="0" w:after="0" w:line="192" w:lineRule="auto"/>
              <w:jc w:val="center"/>
              <w:rPr>
                <w:sz w:val="15"/>
                <w:szCs w:val="18"/>
              </w:rPr>
            </w:pPr>
          </w:p>
        </w:tc>
        <w:tc>
          <w:tcPr>
            <w:tcW w:w="0" w:type="auto"/>
            <w:gridSpan w:val="2"/>
            <w:vAlign w:val="center"/>
          </w:tcPr>
          <w:p w14:paraId="1555353A"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54A25F34" w14:textId="77777777" w:rsidR="005D1745" w:rsidRDefault="005D1745" w:rsidP="00B6464E">
            <w:pPr>
              <w:adjustRightInd w:val="0"/>
              <w:snapToGrid w:val="0"/>
              <w:spacing w:afterLines="0" w:after="0" w:line="192" w:lineRule="auto"/>
              <w:ind w:firstLineChars="250" w:firstLine="375"/>
              <w:rPr>
                <w:sz w:val="15"/>
                <w:szCs w:val="18"/>
              </w:rPr>
            </w:pPr>
          </w:p>
        </w:tc>
        <w:tc>
          <w:tcPr>
            <w:tcW w:w="0" w:type="auto"/>
            <w:vAlign w:val="center"/>
          </w:tcPr>
          <w:p w14:paraId="4883C544" w14:textId="77777777" w:rsidR="005D1745" w:rsidRDefault="004B6ABE" w:rsidP="00B6464E">
            <w:pPr>
              <w:adjustRightInd w:val="0"/>
              <w:snapToGrid w:val="0"/>
              <w:spacing w:afterLines="0" w:after="0" w:line="192" w:lineRule="auto"/>
              <w:ind w:firstLineChars="250" w:firstLine="375"/>
              <w:rPr>
                <w:sz w:val="15"/>
                <w:szCs w:val="18"/>
              </w:rPr>
            </w:pPr>
            <w:r>
              <w:rPr>
                <w:sz w:val="15"/>
                <w:szCs w:val="18"/>
              </w:rPr>
              <w:sym w:font="Webdings" w:char="F072"/>
            </w:r>
          </w:p>
        </w:tc>
      </w:tr>
      <w:tr w:rsidR="001463E7" w14:paraId="444EA624" w14:textId="77777777" w:rsidTr="00B6464E">
        <w:trPr>
          <w:trHeight w:val="340"/>
        </w:trPr>
        <w:tc>
          <w:tcPr>
            <w:tcW w:w="0" w:type="auto"/>
            <w:vAlign w:val="center"/>
          </w:tcPr>
          <w:p w14:paraId="1F1139FC" w14:textId="77777777" w:rsidR="005D1745" w:rsidRDefault="005D1745">
            <w:pPr>
              <w:spacing w:after="240"/>
              <w:rPr>
                <w:sz w:val="15"/>
                <w:szCs w:val="18"/>
              </w:rPr>
            </w:pPr>
          </w:p>
        </w:tc>
        <w:tc>
          <w:tcPr>
            <w:tcW w:w="0" w:type="auto"/>
            <w:vAlign w:val="center"/>
          </w:tcPr>
          <w:p w14:paraId="43FC1C41" w14:textId="72DD94DC" w:rsidR="005D1745" w:rsidRDefault="004B6ABE" w:rsidP="001463E7">
            <w:pPr>
              <w:adjustRightInd w:val="0"/>
              <w:snapToGrid w:val="0"/>
              <w:spacing w:afterLines="0" w:after="0" w:line="192" w:lineRule="auto"/>
              <w:jc w:val="left"/>
              <w:rPr>
                <w:sz w:val="15"/>
                <w:szCs w:val="18"/>
              </w:rPr>
            </w:pPr>
            <w:r>
              <w:rPr>
                <w:sz w:val="15"/>
                <w:szCs w:val="18"/>
              </w:rPr>
              <w:t xml:space="preserve">Drug </w:t>
            </w:r>
            <w:r w:rsidR="001463E7">
              <w:rPr>
                <w:sz w:val="15"/>
                <w:szCs w:val="18"/>
              </w:rPr>
              <w:t xml:space="preserve">usage record </w:t>
            </w:r>
            <w:r>
              <w:rPr>
                <w:sz w:val="15"/>
                <w:szCs w:val="18"/>
                <w:vertAlign w:val="superscript"/>
              </w:rPr>
              <w:t>F</w:t>
            </w:r>
          </w:p>
        </w:tc>
        <w:tc>
          <w:tcPr>
            <w:tcW w:w="0" w:type="auto"/>
            <w:vAlign w:val="center"/>
          </w:tcPr>
          <w:p w14:paraId="43D8C54A"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0358CF04" w14:textId="77777777" w:rsidR="005D1745" w:rsidRDefault="005D1745" w:rsidP="00B6464E">
            <w:pPr>
              <w:adjustRightInd w:val="0"/>
              <w:snapToGrid w:val="0"/>
              <w:spacing w:afterLines="0" w:after="0" w:line="192" w:lineRule="auto"/>
              <w:jc w:val="center"/>
              <w:rPr>
                <w:sz w:val="15"/>
                <w:szCs w:val="18"/>
              </w:rPr>
            </w:pPr>
          </w:p>
        </w:tc>
        <w:tc>
          <w:tcPr>
            <w:tcW w:w="0" w:type="auto"/>
            <w:gridSpan w:val="2"/>
            <w:vAlign w:val="center"/>
          </w:tcPr>
          <w:p w14:paraId="73F4D8AC" w14:textId="77777777" w:rsidR="005D1745" w:rsidRDefault="004B6ABE" w:rsidP="00B6464E">
            <w:pPr>
              <w:adjustRightInd w:val="0"/>
              <w:snapToGrid w:val="0"/>
              <w:spacing w:afterLines="0" w:after="0" w:line="192" w:lineRule="auto"/>
              <w:ind w:firstLineChars="750" w:firstLine="1125"/>
              <w:rPr>
                <w:sz w:val="15"/>
                <w:szCs w:val="18"/>
              </w:rPr>
            </w:pPr>
            <w:r>
              <w:rPr>
                <w:sz w:val="15"/>
                <w:szCs w:val="18"/>
              </w:rPr>
              <w:sym w:font="Webdings" w:char="F072"/>
            </w:r>
          </w:p>
        </w:tc>
        <w:tc>
          <w:tcPr>
            <w:tcW w:w="0" w:type="auto"/>
            <w:gridSpan w:val="2"/>
            <w:vAlign w:val="center"/>
          </w:tcPr>
          <w:p w14:paraId="710DCAE5" w14:textId="77777777" w:rsidR="005D1745" w:rsidRDefault="004B6ABE" w:rsidP="00B6464E">
            <w:pPr>
              <w:adjustRightInd w:val="0"/>
              <w:snapToGrid w:val="0"/>
              <w:spacing w:afterLines="0" w:after="0" w:line="192" w:lineRule="auto"/>
              <w:ind w:left="199" w:hangingChars="133" w:hanging="199"/>
              <w:jc w:val="center"/>
              <w:rPr>
                <w:sz w:val="15"/>
                <w:szCs w:val="18"/>
              </w:rPr>
            </w:pPr>
            <w:r>
              <w:rPr>
                <w:sz w:val="15"/>
                <w:szCs w:val="18"/>
              </w:rPr>
              <w:sym w:font="Webdings" w:char="F072"/>
            </w:r>
          </w:p>
        </w:tc>
        <w:tc>
          <w:tcPr>
            <w:tcW w:w="0" w:type="auto"/>
            <w:vAlign w:val="center"/>
          </w:tcPr>
          <w:p w14:paraId="582B649A" w14:textId="77777777" w:rsidR="005D1745" w:rsidRDefault="004B6ABE" w:rsidP="00B6464E">
            <w:pPr>
              <w:adjustRightInd w:val="0"/>
              <w:snapToGrid w:val="0"/>
              <w:spacing w:afterLines="0" w:after="0" w:line="192" w:lineRule="auto"/>
              <w:ind w:firstLineChars="50" w:firstLine="75"/>
              <w:jc w:val="distribute"/>
              <w:rPr>
                <w:sz w:val="15"/>
                <w:szCs w:val="18"/>
              </w:rPr>
            </w:pPr>
            <w:r>
              <w:rPr>
                <w:sz w:val="15"/>
                <w:szCs w:val="18"/>
              </w:rPr>
              <w:sym w:font="Webdings" w:char="F072"/>
            </w:r>
          </w:p>
        </w:tc>
        <w:tc>
          <w:tcPr>
            <w:tcW w:w="0" w:type="auto"/>
            <w:vAlign w:val="center"/>
          </w:tcPr>
          <w:p w14:paraId="76C8FCB4" w14:textId="77777777" w:rsidR="005D1745" w:rsidRDefault="005D1745" w:rsidP="00B6464E">
            <w:pPr>
              <w:adjustRightInd w:val="0"/>
              <w:snapToGrid w:val="0"/>
              <w:spacing w:afterLines="0" w:after="0" w:line="192" w:lineRule="auto"/>
              <w:jc w:val="center"/>
              <w:rPr>
                <w:sz w:val="15"/>
                <w:szCs w:val="18"/>
              </w:rPr>
            </w:pPr>
          </w:p>
        </w:tc>
      </w:tr>
      <w:tr w:rsidR="001463E7" w14:paraId="39DF55A3" w14:textId="77777777" w:rsidTr="00B6464E">
        <w:trPr>
          <w:trHeight w:val="340"/>
        </w:trPr>
        <w:tc>
          <w:tcPr>
            <w:tcW w:w="0" w:type="auto"/>
            <w:vMerge w:val="restart"/>
            <w:vAlign w:val="center"/>
          </w:tcPr>
          <w:p w14:paraId="44B88FD0" w14:textId="77777777" w:rsidR="005D1745" w:rsidRDefault="004B6ABE">
            <w:pPr>
              <w:spacing w:after="240"/>
              <w:rPr>
                <w:sz w:val="15"/>
                <w:szCs w:val="18"/>
              </w:rPr>
            </w:pPr>
            <w:r>
              <w:rPr>
                <w:b/>
                <w:sz w:val="15"/>
                <w:szCs w:val="18"/>
              </w:rPr>
              <w:t>follow-up examination</w:t>
            </w:r>
          </w:p>
        </w:tc>
        <w:tc>
          <w:tcPr>
            <w:tcW w:w="0" w:type="auto"/>
            <w:vAlign w:val="center"/>
          </w:tcPr>
          <w:p w14:paraId="7F62A25B" w14:textId="77777777" w:rsidR="005D1745" w:rsidRDefault="004B6ABE" w:rsidP="00B6464E">
            <w:pPr>
              <w:pStyle w:val="TableText"/>
              <w:keepNext w:val="0"/>
              <w:tabs>
                <w:tab w:val="left" w:pos="20"/>
              </w:tabs>
              <w:adjustRightInd w:val="0"/>
              <w:snapToGrid w:val="0"/>
              <w:spacing w:line="192" w:lineRule="auto"/>
              <w:rPr>
                <w:sz w:val="15"/>
                <w:szCs w:val="18"/>
                <w:lang w:eastAsia="zh-CN"/>
              </w:rPr>
            </w:pPr>
            <w:r>
              <w:rPr>
                <w:sz w:val="15"/>
                <w:szCs w:val="18"/>
                <w:lang w:eastAsia="zh-CN"/>
              </w:rPr>
              <w:t>Physical examination</w:t>
            </w:r>
          </w:p>
        </w:tc>
        <w:tc>
          <w:tcPr>
            <w:tcW w:w="0" w:type="auto"/>
            <w:vAlign w:val="center"/>
          </w:tcPr>
          <w:p w14:paraId="45732771"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409279CE"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3F6FA4A4"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760F0FB8"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7BB506FA"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62B18A2D"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28818DE4"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6CA63F12" w14:textId="77777777" w:rsidR="005D1745" w:rsidRDefault="005D1745" w:rsidP="00B6464E">
            <w:pPr>
              <w:adjustRightInd w:val="0"/>
              <w:snapToGrid w:val="0"/>
              <w:spacing w:afterLines="0" w:after="0" w:line="192" w:lineRule="auto"/>
              <w:jc w:val="center"/>
              <w:rPr>
                <w:sz w:val="15"/>
                <w:szCs w:val="18"/>
              </w:rPr>
            </w:pPr>
          </w:p>
        </w:tc>
      </w:tr>
      <w:tr w:rsidR="001463E7" w14:paraId="4F321F0C" w14:textId="77777777" w:rsidTr="00B6464E">
        <w:trPr>
          <w:trHeight w:val="340"/>
        </w:trPr>
        <w:tc>
          <w:tcPr>
            <w:tcW w:w="0" w:type="auto"/>
            <w:vMerge/>
            <w:vAlign w:val="center"/>
          </w:tcPr>
          <w:p w14:paraId="7EE823EC" w14:textId="77777777" w:rsidR="005D1745" w:rsidRDefault="005D1745">
            <w:pPr>
              <w:spacing w:after="240"/>
              <w:ind w:firstLine="360"/>
              <w:rPr>
                <w:sz w:val="15"/>
                <w:szCs w:val="18"/>
              </w:rPr>
            </w:pPr>
          </w:p>
        </w:tc>
        <w:tc>
          <w:tcPr>
            <w:tcW w:w="0" w:type="auto"/>
            <w:vAlign w:val="center"/>
          </w:tcPr>
          <w:p w14:paraId="12F31D7B" w14:textId="63E8DA83" w:rsidR="005D1745" w:rsidRDefault="004B6ABE" w:rsidP="001463E7">
            <w:pPr>
              <w:pStyle w:val="TableText"/>
              <w:keepNext w:val="0"/>
              <w:tabs>
                <w:tab w:val="left" w:pos="20"/>
              </w:tabs>
              <w:adjustRightInd w:val="0"/>
              <w:snapToGrid w:val="0"/>
              <w:spacing w:line="192" w:lineRule="auto"/>
              <w:rPr>
                <w:sz w:val="15"/>
                <w:szCs w:val="18"/>
                <w:lang w:eastAsia="zh-CN"/>
              </w:rPr>
            </w:pPr>
            <w:r>
              <w:rPr>
                <w:sz w:val="15"/>
                <w:szCs w:val="18"/>
                <w:lang w:eastAsia="zh-CN"/>
              </w:rPr>
              <w:t>Chest</w:t>
            </w:r>
            <w:r w:rsidR="001463E7">
              <w:rPr>
                <w:sz w:val="15"/>
                <w:szCs w:val="18"/>
                <w:lang w:eastAsia="zh-CN"/>
              </w:rPr>
              <w:t>+upper</w:t>
            </w:r>
            <w:r w:rsidR="00CE7A5E">
              <w:rPr>
                <w:sz w:val="15"/>
                <w:szCs w:val="18"/>
                <w:lang w:eastAsia="zh-CN"/>
              </w:rPr>
              <w:t xml:space="preserve"> </w:t>
            </w:r>
            <w:r w:rsidR="001463E7">
              <w:rPr>
                <w:sz w:val="15"/>
                <w:szCs w:val="18"/>
                <w:lang w:eastAsia="zh-CN"/>
              </w:rPr>
              <w:t>abdominal</w:t>
            </w:r>
            <w:r>
              <w:rPr>
                <w:sz w:val="15"/>
                <w:szCs w:val="18"/>
                <w:lang w:eastAsia="zh-CN"/>
              </w:rPr>
              <w:t xml:space="preserve"> enhanced CT </w:t>
            </w:r>
            <w:r>
              <w:rPr>
                <w:b/>
                <w:sz w:val="15"/>
                <w:szCs w:val="18"/>
                <w:vertAlign w:val="superscript"/>
                <w:lang w:eastAsia="zh-CN"/>
              </w:rPr>
              <w:t>G</w:t>
            </w:r>
          </w:p>
        </w:tc>
        <w:tc>
          <w:tcPr>
            <w:tcW w:w="0" w:type="auto"/>
            <w:vAlign w:val="center"/>
          </w:tcPr>
          <w:p w14:paraId="00E436A7" w14:textId="77777777" w:rsidR="005D1745" w:rsidRDefault="004B6ABE" w:rsidP="00B6464E">
            <w:pPr>
              <w:adjustRightInd w:val="0"/>
              <w:snapToGrid w:val="0"/>
              <w:spacing w:afterLines="0" w:after="0" w:line="192" w:lineRule="auto"/>
              <w:ind w:firstLineChars="240" w:firstLine="360"/>
              <w:rPr>
                <w:sz w:val="15"/>
                <w:szCs w:val="18"/>
              </w:rPr>
            </w:pPr>
            <w:r>
              <w:rPr>
                <w:sz w:val="15"/>
                <w:szCs w:val="18"/>
              </w:rPr>
              <w:sym w:font="Webdings" w:char="F072"/>
            </w:r>
          </w:p>
        </w:tc>
        <w:tc>
          <w:tcPr>
            <w:tcW w:w="0" w:type="auto"/>
            <w:vAlign w:val="center"/>
          </w:tcPr>
          <w:p w14:paraId="0D0921C2"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55B2E0F5" w14:textId="77777777" w:rsidR="005D1745" w:rsidRDefault="004B6ABE" w:rsidP="00B6464E">
            <w:pPr>
              <w:adjustRightInd w:val="0"/>
              <w:snapToGrid w:val="0"/>
              <w:spacing w:afterLines="0" w:after="0" w:line="192" w:lineRule="auto"/>
              <w:ind w:firstLineChars="326" w:firstLine="489"/>
              <w:rPr>
                <w:sz w:val="15"/>
                <w:szCs w:val="18"/>
              </w:rPr>
            </w:pPr>
            <w:r>
              <w:rPr>
                <w:sz w:val="15"/>
                <w:szCs w:val="18"/>
              </w:rPr>
              <w:sym w:font="Webdings" w:char="F072"/>
            </w:r>
            <w:r>
              <w:rPr>
                <w:b/>
                <w:sz w:val="15"/>
                <w:szCs w:val="18"/>
                <w:vertAlign w:val="superscript"/>
              </w:rPr>
              <w:t>G</w:t>
            </w:r>
          </w:p>
        </w:tc>
        <w:tc>
          <w:tcPr>
            <w:tcW w:w="0" w:type="auto"/>
            <w:vAlign w:val="center"/>
          </w:tcPr>
          <w:p w14:paraId="746BD83E" w14:textId="77777777" w:rsidR="005D1745" w:rsidRDefault="004B6ABE" w:rsidP="00B6464E">
            <w:pPr>
              <w:adjustRightInd w:val="0"/>
              <w:snapToGrid w:val="0"/>
              <w:spacing w:afterLines="0" w:after="0" w:line="192" w:lineRule="auto"/>
              <w:ind w:firstLineChars="255" w:firstLine="383"/>
              <w:rPr>
                <w:sz w:val="15"/>
                <w:szCs w:val="18"/>
              </w:rPr>
            </w:pPr>
            <w:r>
              <w:rPr>
                <w:sz w:val="15"/>
                <w:szCs w:val="18"/>
              </w:rPr>
              <w:sym w:font="Webdings" w:char="F072"/>
            </w:r>
            <w:r>
              <w:rPr>
                <w:b/>
                <w:sz w:val="15"/>
                <w:szCs w:val="18"/>
                <w:vertAlign w:val="superscript"/>
              </w:rPr>
              <w:t>G</w:t>
            </w:r>
          </w:p>
        </w:tc>
        <w:tc>
          <w:tcPr>
            <w:tcW w:w="0" w:type="auto"/>
            <w:vAlign w:val="center"/>
          </w:tcPr>
          <w:p w14:paraId="30FCA291"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r>
              <w:rPr>
                <w:b/>
                <w:sz w:val="15"/>
                <w:szCs w:val="18"/>
                <w:vertAlign w:val="subscript"/>
              </w:rPr>
              <w:t>G</w:t>
            </w:r>
          </w:p>
        </w:tc>
        <w:tc>
          <w:tcPr>
            <w:tcW w:w="0" w:type="auto"/>
            <w:vAlign w:val="center"/>
          </w:tcPr>
          <w:p w14:paraId="28749E90" w14:textId="77777777" w:rsidR="005D1745" w:rsidRDefault="004B6ABE" w:rsidP="00B6464E">
            <w:pPr>
              <w:adjustRightInd w:val="0"/>
              <w:snapToGrid w:val="0"/>
              <w:spacing w:afterLines="0" w:after="0" w:line="192" w:lineRule="auto"/>
              <w:ind w:firstLineChars="300" w:firstLine="450"/>
              <w:rPr>
                <w:sz w:val="15"/>
                <w:szCs w:val="18"/>
              </w:rPr>
            </w:pPr>
            <w:r>
              <w:rPr>
                <w:sz w:val="15"/>
                <w:szCs w:val="18"/>
              </w:rPr>
              <w:sym w:font="Webdings" w:char="F072"/>
            </w:r>
            <w:r>
              <w:rPr>
                <w:b/>
                <w:sz w:val="15"/>
                <w:szCs w:val="18"/>
                <w:vertAlign w:val="superscript"/>
              </w:rPr>
              <w:t>G</w:t>
            </w:r>
          </w:p>
        </w:tc>
        <w:tc>
          <w:tcPr>
            <w:tcW w:w="0" w:type="auto"/>
            <w:vAlign w:val="center"/>
          </w:tcPr>
          <w:p w14:paraId="2E2DD575"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0888FE6D" w14:textId="77777777" w:rsidR="005D1745" w:rsidRDefault="005D1745" w:rsidP="00B6464E">
            <w:pPr>
              <w:adjustRightInd w:val="0"/>
              <w:snapToGrid w:val="0"/>
              <w:spacing w:afterLines="0" w:after="0" w:line="192" w:lineRule="auto"/>
              <w:jc w:val="center"/>
              <w:rPr>
                <w:sz w:val="15"/>
                <w:szCs w:val="18"/>
              </w:rPr>
            </w:pPr>
          </w:p>
        </w:tc>
      </w:tr>
      <w:tr w:rsidR="001463E7" w14:paraId="4F8F70C6" w14:textId="77777777" w:rsidTr="00B6464E">
        <w:trPr>
          <w:trHeight w:val="340"/>
        </w:trPr>
        <w:tc>
          <w:tcPr>
            <w:tcW w:w="0" w:type="auto"/>
            <w:vMerge/>
            <w:vAlign w:val="center"/>
          </w:tcPr>
          <w:p w14:paraId="6AEE67DA" w14:textId="77777777" w:rsidR="005D1745" w:rsidRDefault="005D1745">
            <w:pPr>
              <w:spacing w:after="240"/>
              <w:ind w:firstLine="360"/>
              <w:rPr>
                <w:sz w:val="15"/>
                <w:szCs w:val="18"/>
                <w:highlight w:val="yellow"/>
              </w:rPr>
            </w:pPr>
          </w:p>
        </w:tc>
        <w:tc>
          <w:tcPr>
            <w:tcW w:w="0" w:type="auto"/>
            <w:vAlign w:val="center"/>
          </w:tcPr>
          <w:p w14:paraId="2C9B2E0B" w14:textId="77777777" w:rsidR="005D1745" w:rsidRDefault="004B6ABE" w:rsidP="00B6464E">
            <w:pPr>
              <w:pStyle w:val="TableText"/>
              <w:keepNext w:val="0"/>
              <w:tabs>
                <w:tab w:val="left" w:pos="20"/>
              </w:tabs>
              <w:adjustRightInd w:val="0"/>
              <w:snapToGrid w:val="0"/>
              <w:spacing w:line="192" w:lineRule="auto"/>
              <w:rPr>
                <w:sz w:val="15"/>
                <w:szCs w:val="18"/>
                <w:lang w:eastAsia="zh-CN"/>
              </w:rPr>
            </w:pPr>
            <w:r>
              <w:rPr>
                <w:sz w:val="15"/>
                <w:szCs w:val="18"/>
                <w:lang w:eastAsia="zh-CN"/>
              </w:rPr>
              <w:t xml:space="preserve">Assessment of other body parts </w:t>
            </w:r>
            <w:r>
              <w:rPr>
                <w:b/>
                <w:sz w:val="15"/>
                <w:szCs w:val="18"/>
                <w:vertAlign w:val="superscript"/>
                <w:lang w:eastAsia="zh-CN"/>
              </w:rPr>
              <w:t>H</w:t>
            </w:r>
          </w:p>
        </w:tc>
        <w:tc>
          <w:tcPr>
            <w:tcW w:w="0" w:type="auto"/>
            <w:vAlign w:val="center"/>
          </w:tcPr>
          <w:p w14:paraId="10763955" w14:textId="77777777" w:rsidR="005D1745" w:rsidRDefault="004B6ABE" w:rsidP="00B6464E">
            <w:pPr>
              <w:adjustRightInd w:val="0"/>
              <w:snapToGrid w:val="0"/>
              <w:spacing w:afterLines="0" w:after="0" w:line="192" w:lineRule="auto"/>
              <w:ind w:firstLineChars="240" w:firstLine="360"/>
              <w:rPr>
                <w:sz w:val="15"/>
                <w:szCs w:val="18"/>
              </w:rPr>
            </w:pPr>
            <w:r>
              <w:rPr>
                <w:sz w:val="15"/>
                <w:szCs w:val="18"/>
              </w:rPr>
              <w:sym w:font="Webdings" w:char="F072"/>
            </w:r>
          </w:p>
        </w:tc>
        <w:tc>
          <w:tcPr>
            <w:tcW w:w="0" w:type="auto"/>
            <w:vAlign w:val="center"/>
          </w:tcPr>
          <w:p w14:paraId="76CE7FA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79B6713D" w14:textId="77777777" w:rsidR="005D1745" w:rsidRDefault="005D1745" w:rsidP="00B6464E">
            <w:pPr>
              <w:adjustRightInd w:val="0"/>
              <w:snapToGrid w:val="0"/>
              <w:spacing w:afterLines="0" w:after="0" w:line="192" w:lineRule="auto"/>
              <w:ind w:firstLineChars="326" w:firstLine="489"/>
              <w:rPr>
                <w:sz w:val="15"/>
                <w:szCs w:val="18"/>
              </w:rPr>
            </w:pPr>
          </w:p>
        </w:tc>
        <w:tc>
          <w:tcPr>
            <w:tcW w:w="0" w:type="auto"/>
            <w:vAlign w:val="center"/>
          </w:tcPr>
          <w:p w14:paraId="0309F7F7" w14:textId="77777777" w:rsidR="005D1745" w:rsidRDefault="005D1745" w:rsidP="00B6464E">
            <w:pPr>
              <w:adjustRightInd w:val="0"/>
              <w:snapToGrid w:val="0"/>
              <w:spacing w:afterLines="0" w:after="0" w:line="192" w:lineRule="auto"/>
              <w:ind w:firstLineChars="255" w:firstLine="383"/>
              <w:rPr>
                <w:sz w:val="15"/>
                <w:szCs w:val="18"/>
              </w:rPr>
            </w:pPr>
          </w:p>
        </w:tc>
        <w:tc>
          <w:tcPr>
            <w:tcW w:w="0" w:type="auto"/>
            <w:vAlign w:val="center"/>
          </w:tcPr>
          <w:p w14:paraId="22E8DFE1"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049CC856" w14:textId="77777777" w:rsidR="005D1745" w:rsidRDefault="005D1745" w:rsidP="00B6464E">
            <w:pPr>
              <w:adjustRightInd w:val="0"/>
              <w:snapToGrid w:val="0"/>
              <w:spacing w:afterLines="0" w:after="0" w:line="192" w:lineRule="auto"/>
              <w:ind w:firstLineChars="300" w:firstLine="450"/>
              <w:rPr>
                <w:sz w:val="15"/>
                <w:szCs w:val="18"/>
              </w:rPr>
            </w:pPr>
          </w:p>
        </w:tc>
        <w:tc>
          <w:tcPr>
            <w:tcW w:w="0" w:type="auto"/>
            <w:vAlign w:val="center"/>
          </w:tcPr>
          <w:p w14:paraId="36CDD48C"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7A61C3F3" w14:textId="77777777" w:rsidR="005D1745" w:rsidRDefault="005D1745" w:rsidP="00B6464E">
            <w:pPr>
              <w:adjustRightInd w:val="0"/>
              <w:snapToGrid w:val="0"/>
              <w:spacing w:afterLines="0" w:after="0" w:line="192" w:lineRule="auto"/>
              <w:jc w:val="center"/>
              <w:rPr>
                <w:sz w:val="15"/>
                <w:szCs w:val="18"/>
              </w:rPr>
            </w:pPr>
          </w:p>
        </w:tc>
      </w:tr>
      <w:tr w:rsidR="001463E7" w14:paraId="68E15BE4" w14:textId="77777777" w:rsidTr="00B6464E">
        <w:trPr>
          <w:trHeight w:val="340"/>
        </w:trPr>
        <w:tc>
          <w:tcPr>
            <w:tcW w:w="0" w:type="auto"/>
            <w:vMerge/>
            <w:vAlign w:val="center"/>
          </w:tcPr>
          <w:p w14:paraId="06378E1F" w14:textId="77777777" w:rsidR="005D1745" w:rsidRDefault="005D1745">
            <w:pPr>
              <w:spacing w:after="240"/>
              <w:rPr>
                <w:sz w:val="15"/>
                <w:szCs w:val="18"/>
                <w:highlight w:val="yellow"/>
              </w:rPr>
            </w:pPr>
          </w:p>
        </w:tc>
        <w:tc>
          <w:tcPr>
            <w:tcW w:w="0" w:type="auto"/>
            <w:vAlign w:val="center"/>
          </w:tcPr>
          <w:p w14:paraId="4F84B416" w14:textId="77777777" w:rsidR="005D1745" w:rsidRDefault="004B6ABE" w:rsidP="00B6464E">
            <w:pPr>
              <w:pStyle w:val="TableText"/>
              <w:keepNext w:val="0"/>
              <w:tabs>
                <w:tab w:val="left" w:pos="20"/>
              </w:tabs>
              <w:adjustRightInd w:val="0"/>
              <w:snapToGrid w:val="0"/>
              <w:spacing w:line="192" w:lineRule="auto"/>
              <w:rPr>
                <w:sz w:val="15"/>
                <w:szCs w:val="18"/>
                <w:lang w:eastAsia="zh-CN"/>
              </w:rPr>
            </w:pPr>
            <w:r>
              <w:rPr>
                <w:sz w:val="15"/>
                <w:szCs w:val="18"/>
                <w:lang w:eastAsia="zh-CN"/>
              </w:rPr>
              <w:t xml:space="preserve">Clinical biochemistry/hematology/urinalysis </w:t>
            </w:r>
            <w:r>
              <w:rPr>
                <w:b/>
                <w:sz w:val="15"/>
                <w:szCs w:val="18"/>
                <w:vertAlign w:val="superscript"/>
                <w:lang w:eastAsia="zh-CN"/>
              </w:rPr>
              <w:t>I</w:t>
            </w:r>
          </w:p>
        </w:tc>
        <w:tc>
          <w:tcPr>
            <w:tcW w:w="0" w:type="auto"/>
            <w:vAlign w:val="center"/>
          </w:tcPr>
          <w:p w14:paraId="17AD08AA"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25CBCA62" w14:textId="77777777" w:rsidR="005D1745" w:rsidRDefault="004B6ABE" w:rsidP="00B6464E">
            <w:pPr>
              <w:adjustRightInd w:val="0"/>
              <w:snapToGrid w:val="0"/>
              <w:spacing w:afterLines="0" w:after="0" w:line="192" w:lineRule="auto"/>
              <w:ind w:firstLineChars="231" w:firstLine="346"/>
              <w:rPr>
                <w:sz w:val="15"/>
                <w:szCs w:val="18"/>
              </w:rPr>
            </w:pPr>
            <w:r>
              <w:rPr>
                <w:sz w:val="15"/>
                <w:szCs w:val="18"/>
              </w:rPr>
              <w:sym w:font="Webdings" w:char="F072"/>
            </w:r>
          </w:p>
        </w:tc>
        <w:tc>
          <w:tcPr>
            <w:tcW w:w="0" w:type="auto"/>
            <w:vAlign w:val="center"/>
          </w:tcPr>
          <w:p w14:paraId="66C9F36B"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1B5B1EF0"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49889670"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2DCEBC6C"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2FC72AFD"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32327336" w14:textId="77777777" w:rsidR="005D1745" w:rsidRDefault="005D1745" w:rsidP="00B6464E">
            <w:pPr>
              <w:adjustRightInd w:val="0"/>
              <w:snapToGrid w:val="0"/>
              <w:spacing w:afterLines="0" w:after="0" w:line="192" w:lineRule="auto"/>
              <w:jc w:val="center"/>
              <w:rPr>
                <w:sz w:val="15"/>
                <w:szCs w:val="18"/>
              </w:rPr>
            </w:pPr>
          </w:p>
        </w:tc>
      </w:tr>
      <w:tr w:rsidR="001463E7" w14:paraId="41C7ABF2" w14:textId="77777777" w:rsidTr="00B6464E">
        <w:trPr>
          <w:trHeight w:val="340"/>
        </w:trPr>
        <w:tc>
          <w:tcPr>
            <w:tcW w:w="0" w:type="auto"/>
            <w:vMerge/>
            <w:vAlign w:val="center"/>
          </w:tcPr>
          <w:p w14:paraId="01755F32" w14:textId="77777777" w:rsidR="005D1745" w:rsidRDefault="005D1745">
            <w:pPr>
              <w:spacing w:after="240"/>
              <w:rPr>
                <w:sz w:val="15"/>
                <w:szCs w:val="18"/>
                <w:highlight w:val="yellow"/>
              </w:rPr>
            </w:pPr>
          </w:p>
        </w:tc>
        <w:tc>
          <w:tcPr>
            <w:tcW w:w="0" w:type="auto"/>
            <w:vAlign w:val="center"/>
          </w:tcPr>
          <w:p w14:paraId="44FB3479" w14:textId="77777777" w:rsidR="005D1745" w:rsidRDefault="004B6ABE" w:rsidP="00B6464E">
            <w:pPr>
              <w:pStyle w:val="TableText"/>
              <w:keepNext w:val="0"/>
              <w:tabs>
                <w:tab w:val="left" w:pos="20"/>
              </w:tabs>
              <w:adjustRightInd w:val="0"/>
              <w:snapToGrid w:val="0"/>
              <w:spacing w:line="192" w:lineRule="auto"/>
              <w:rPr>
                <w:sz w:val="15"/>
                <w:szCs w:val="18"/>
                <w:lang w:eastAsia="zh-CN"/>
              </w:rPr>
            </w:pPr>
            <w:r>
              <w:rPr>
                <w:sz w:val="16"/>
              </w:rPr>
              <w:t xml:space="preserve">FACT-L and LCS questionnaires </w:t>
            </w:r>
            <w:r>
              <w:rPr>
                <w:b/>
                <w:snapToGrid w:val="0"/>
                <w:sz w:val="15"/>
                <w:szCs w:val="18"/>
                <w:vertAlign w:val="superscript"/>
                <w:lang w:eastAsia="zh-CN"/>
              </w:rPr>
              <w:t>J</w:t>
            </w:r>
          </w:p>
        </w:tc>
        <w:tc>
          <w:tcPr>
            <w:tcW w:w="0" w:type="auto"/>
            <w:vAlign w:val="center"/>
          </w:tcPr>
          <w:p w14:paraId="54E2757F"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3ED5C73B"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4DDB08A9"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13EF0D1F"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51E1F04C"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6B7A0455"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5DC23C0D"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71D003CB" w14:textId="77777777" w:rsidR="005D1745" w:rsidRDefault="005D1745" w:rsidP="00B6464E">
            <w:pPr>
              <w:adjustRightInd w:val="0"/>
              <w:snapToGrid w:val="0"/>
              <w:spacing w:afterLines="0" w:after="0" w:line="192" w:lineRule="auto"/>
              <w:jc w:val="center"/>
              <w:rPr>
                <w:sz w:val="15"/>
                <w:szCs w:val="18"/>
              </w:rPr>
            </w:pPr>
          </w:p>
        </w:tc>
      </w:tr>
      <w:tr w:rsidR="001463E7" w14:paraId="02B1FB96" w14:textId="77777777" w:rsidTr="00B6464E">
        <w:trPr>
          <w:trHeight w:val="340"/>
        </w:trPr>
        <w:tc>
          <w:tcPr>
            <w:tcW w:w="0" w:type="auto"/>
            <w:vMerge/>
            <w:vAlign w:val="center"/>
          </w:tcPr>
          <w:p w14:paraId="4F1AA2A1" w14:textId="77777777" w:rsidR="005D1745" w:rsidRDefault="005D1745">
            <w:pPr>
              <w:spacing w:after="240"/>
              <w:rPr>
                <w:sz w:val="15"/>
                <w:szCs w:val="18"/>
                <w:highlight w:val="yellow"/>
              </w:rPr>
            </w:pPr>
          </w:p>
        </w:tc>
        <w:tc>
          <w:tcPr>
            <w:tcW w:w="0" w:type="auto"/>
            <w:vAlign w:val="center"/>
          </w:tcPr>
          <w:p w14:paraId="1B2C66A1" w14:textId="1AF74FE7" w:rsidR="005D1745" w:rsidRDefault="004B6ABE" w:rsidP="00B6464E">
            <w:pPr>
              <w:pStyle w:val="TableText"/>
              <w:keepNext w:val="0"/>
              <w:tabs>
                <w:tab w:val="left" w:pos="20"/>
              </w:tabs>
              <w:adjustRightInd w:val="0"/>
              <w:snapToGrid w:val="0"/>
              <w:spacing w:line="192" w:lineRule="auto"/>
              <w:rPr>
                <w:sz w:val="15"/>
                <w:szCs w:val="18"/>
                <w:lang w:eastAsia="zh-CN"/>
              </w:rPr>
            </w:pPr>
            <w:r>
              <w:rPr>
                <w:sz w:val="15"/>
                <w:szCs w:val="18"/>
                <w:lang w:eastAsia="zh-CN"/>
              </w:rPr>
              <w:t xml:space="preserve">Tissue specimens or sections for biomarker </w:t>
            </w:r>
            <w:r w:rsidR="009808FC">
              <w:rPr>
                <w:sz w:val="15"/>
                <w:szCs w:val="18"/>
                <w:lang w:eastAsia="zh-CN"/>
              </w:rPr>
              <w:t>analysis</w:t>
            </w:r>
            <w:r>
              <w:rPr>
                <w:sz w:val="15"/>
                <w:szCs w:val="18"/>
                <w:lang w:eastAsia="zh-CN"/>
              </w:rPr>
              <w:t xml:space="preserve"> </w:t>
            </w:r>
            <w:r>
              <w:rPr>
                <w:b/>
                <w:sz w:val="15"/>
                <w:szCs w:val="18"/>
                <w:vertAlign w:val="superscript"/>
                <w:lang w:eastAsia="zh-CN"/>
              </w:rPr>
              <w:t>K</w:t>
            </w:r>
          </w:p>
        </w:tc>
        <w:tc>
          <w:tcPr>
            <w:tcW w:w="0" w:type="auto"/>
            <w:vAlign w:val="center"/>
          </w:tcPr>
          <w:p w14:paraId="2C1146AD"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75B8DCAD"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0E9FE8F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225056BF"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20BC8BA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2E0BA981"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14C98422"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6FA13C31" w14:textId="77777777" w:rsidR="005D1745" w:rsidRDefault="005D1745" w:rsidP="00B6464E">
            <w:pPr>
              <w:adjustRightInd w:val="0"/>
              <w:snapToGrid w:val="0"/>
              <w:spacing w:afterLines="0" w:after="0" w:line="192" w:lineRule="auto"/>
              <w:jc w:val="center"/>
              <w:rPr>
                <w:sz w:val="15"/>
                <w:szCs w:val="18"/>
              </w:rPr>
            </w:pPr>
          </w:p>
        </w:tc>
      </w:tr>
      <w:tr w:rsidR="001463E7" w14:paraId="2981ACF8" w14:textId="77777777" w:rsidTr="00B6464E">
        <w:trPr>
          <w:trHeight w:val="340"/>
        </w:trPr>
        <w:tc>
          <w:tcPr>
            <w:tcW w:w="0" w:type="auto"/>
            <w:vMerge/>
            <w:vAlign w:val="center"/>
          </w:tcPr>
          <w:p w14:paraId="7E13C53F" w14:textId="77777777" w:rsidR="005D1745" w:rsidRDefault="005D1745">
            <w:pPr>
              <w:spacing w:after="240"/>
              <w:rPr>
                <w:sz w:val="15"/>
                <w:szCs w:val="18"/>
                <w:highlight w:val="yellow"/>
              </w:rPr>
            </w:pPr>
          </w:p>
        </w:tc>
        <w:tc>
          <w:tcPr>
            <w:tcW w:w="0" w:type="auto"/>
            <w:vAlign w:val="center"/>
          </w:tcPr>
          <w:p w14:paraId="4E3D4703" w14:textId="5FC4D04A" w:rsidR="005D1745" w:rsidRDefault="004B6ABE" w:rsidP="00B6464E">
            <w:pPr>
              <w:pStyle w:val="TableText"/>
              <w:keepNext w:val="0"/>
              <w:tabs>
                <w:tab w:val="left" w:pos="20"/>
              </w:tabs>
              <w:adjustRightInd w:val="0"/>
              <w:snapToGrid w:val="0"/>
              <w:spacing w:line="192" w:lineRule="auto"/>
              <w:rPr>
                <w:sz w:val="15"/>
                <w:szCs w:val="18"/>
                <w:lang w:eastAsia="zh-CN"/>
              </w:rPr>
            </w:pPr>
            <w:r>
              <w:rPr>
                <w:sz w:val="15"/>
                <w:szCs w:val="18"/>
                <w:lang w:eastAsia="zh-CN"/>
              </w:rPr>
              <w:t xml:space="preserve">Blood for Biomarker </w:t>
            </w:r>
            <w:r w:rsidR="009808FC">
              <w:rPr>
                <w:sz w:val="15"/>
                <w:szCs w:val="18"/>
                <w:lang w:eastAsia="zh-CN"/>
              </w:rPr>
              <w:t>analysis</w:t>
            </w:r>
            <w:r>
              <w:rPr>
                <w:sz w:val="15"/>
                <w:szCs w:val="18"/>
                <w:lang w:eastAsia="zh-CN"/>
              </w:rPr>
              <w:t xml:space="preserve"> (optional) </w:t>
            </w:r>
            <w:r>
              <w:rPr>
                <w:b/>
                <w:sz w:val="15"/>
                <w:szCs w:val="18"/>
                <w:vertAlign w:val="superscript"/>
                <w:lang w:eastAsia="zh-CN"/>
              </w:rPr>
              <w:t>L</w:t>
            </w:r>
          </w:p>
        </w:tc>
        <w:tc>
          <w:tcPr>
            <w:tcW w:w="0" w:type="auto"/>
            <w:vAlign w:val="center"/>
          </w:tcPr>
          <w:p w14:paraId="492AB010" w14:textId="77777777" w:rsidR="005D1745" w:rsidRDefault="004B6ABE" w:rsidP="007876DB">
            <w:pPr>
              <w:adjustRightInd w:val="0"/>
              <w:snapToGrid w:val="0"/>
              <w:spacing w:afterLines="0" w:after="0" w:line="192" w:lineRule="auto"/>
              <w:ind w:firstLineChars="243" w:firstLine="364"/>
              <w:rPr>
                <w:sz w:val="15"/>
                <w:szCs w:val="18"/>
              </w:rPr>
            </w:pPr>
            <w:r>
              <w:rPr>
                <w:sz w:val="15"/>
                <w:szCs w:val="18"/>
              </w:rPr>
              <w:sym w:font="Webdings" w:char="F072"/>
            </w:r>
          </w:p>
        </w:tc>
        <w:tc>
          <w:tcPr>
            <w:tcW w:w="0" w:type="auto"/>
            <w:vAlign w:val="center"/>
          </w:tcPr>
          <w:p w14:paraId="72EEBC73"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4C6DA48F"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2D836B42"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42A2DE85"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0BA774B2"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2A4D2D05"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vAlign w:val="center"/>
          </w:tcPr>
          <w:p w14:paraId="68C82304" w14:textId="77777777" w:rsidR="005D1745" w:rsidRDefault="005D1745" w:rsidP="00B6464E">
            <w:pPr>
              <w:adjustRightInd w:val="0"/>
              <w:snapToGrid w:val="0"/>
              <w:spacing w:afterLines="0" w:after="0" w:line="192" w:lineRule="auto"/>
              <w:jc w:val="center"/>
              <w:rPr>
                <w:sz w:val="15"/>
                <w:szCs w:val="18"/>
              </w:rPr>
            </w:pPr>
          </w:p>
        </w:tc>
      </w:tr>
      <w:tr w:rsidR="001463E7" w14:paraId="551B5C55" w14:textId="77777777" w:rsidTr="00B6464E">
        <w:trPr>
          <w:trHeight w:val="340"/>
        </w:trPr>
        <w:tc>
          <w:tcPr>
            <w:tcW w:w="0" w:type="auto"/>
            <w:vMerge/>
            <w:vAlign w:val="center"/>
          </w:tcPr>
          <w:p w14:paraId="188171C3" w14:textId="77777777" w:rsidR="005D1745" w:rsidRDefault="005D1745">
            <w:pPr>
              <w:spacing w:after="240"/>
              <w:rPr>
                <w:sz w:val="15"/>
                <w:szCs w:val="18"/>
                <w:highlight w:val="yellow"/>
              </w:rPr>
            </w:pPr>
          </w:p>
        </w:tc>
        <w:tc>
          <w:tcPr>
            <w:tcW w:w="0" w:type="auto"/>
            <w:vAlign w:val="center"/>
          </w:tcPr>
          <w:p w14:paraId="1E4C6702" w14:textId="77777777" w:rsidR="005D1745" w:rsidRDefault="004B6ABE" w:rsidP="00B6464E">
            <w:pPr>
              <w:pStyle w:val="TableText"/>
              <w:keepNext w:val="0"/>
              <w:tabs>
                <w:tab w:val="left" w:pos="20"/>
              </w:tabs>
              <w:adjustRightInd w:val="0"/>
              <w:snapToGrid w:val="0"/>
              <w:spacing w:line="192" w:lineRule="auto"/>
              <w:rPr>
                <w:sz w:val="15"/>
                <w:szCs w:val="18"/>
                <w:lang w:eastAsia="zh-CN"/>
              </w:rPr>
            </w:pPr>
            <w:r>
              <w:rPr>
                <w:sz w:val="15"/>
                <w:szCs w:val="18"/>
                <w:lang w:eastAsia="zh-CN"/>
              </w:rPr>
              <w:t>Pulmonary function test/HIV antibody/tumor markers</w:t>
            </w:r>
          </w:p>
        </w:tc>
        <w:tc>
          <w:tcPr>
            <w:tcW w:w="0" w:type="auto"/>
            <w:vAlign w:val="center"/>
          </w:tcPr>
          <w:p w14:paraId="5087AD66" w14:textId="77777777" w:rsidR="005D1745" w:rsidRDefault="005D1745" w:rsidP="00B6464E">
            <w:pPr>
              <w:adjustRightInd w:val="0"/>
              <w:snapToGrid w:val="0"/>
              <w:spacing w:afterLines="0" w:after="0" w:line="192" w:lineRule="auto"/>
              <w:ind w:firstLineChars="250" w:firstLine="375"/>
              <w:rPr>
                <w:sz w:val="15"/>
                <w:szCs w:val="18"/>
              </w:rPr>
            </w:pPr>
          </w:p>
        </w:tc>
        <w:tc>
          <w:tcPr>
            <w:tcW w:w="0" w:type="auto"/>
            <w:vAlign w:val="center"/>
          </w:tcPr>
          <w:p w14:paraId="7CA92F6D" w14:textId="77777777" w:rsidR="005D1745" w:rsidRDefault="004B6ABE" w:rsidP="00B6464E">
            <w:pPr>
              <w:adjustRightInd w:val="0"/>
              <w:snapToGrid w:val="0"/>
              <w:spacing w:afterLines="0" w:after="0" w:line="192" w:lineRule="auto"/>
              <w:jc w:val="center"/>
              <w:rPr>
                <w:sz w:val="15"/>
                <w:szCs w:val="18"/>
              </w:rPr>
            </w:pPr>
            <w:r>
              <w:rPr>
                <w:sz w:val="15"/>
                <w:szCs w:val="18"/>
              </w:rPr>
              <w:sym w:font="Webdings" w:char="F072"/>
            </w:r>
          </w:p>
        </w:tc>
        <w:tc>
          <w:tcPr>
            <w:tcW w:w="0" w:type="auto"/>
            <w:gridSpan w:val="2"/>
            <w:vAlign w:val="center"/>
          </w:tcPr>
          <w:p w14:paraId="2A57A209" w14:textId="77777777" w:rsidR="005D1745" w:rsidRDefault="005D1745" w:rsidP="00B6464E">
            <w:pPr>
              <w:adjustRightInd w:val="0"/>
              <w:snapToGrid w:val="0"/>
              <w:spacing w:afterLines="0" w:after="0" w:line="192" w:lineRule="auto"/>
              <w:jc w:val="center"/>
              <w:rPr>
                <w:sz w:val="15"/>
                <w:szCs w:val="18"/>
              </w:rPr>
            </w:pPr>
          </w:p>
        </w:tc>
        <w:tc>
          <w:tcPr>
            <w:tcW w:w="0" w:type="auto"/>
            <w:gridSpan w:val="2"/>
            <w:vAlign w:val="center"/>
          </w:tcPr>
          <w:p w14:paraId="136359F9"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7F042C2D" w14:textId="77777777" w:rsidR="005D1745" w:rsidRDefault="005D1745" w:rsidP="00B6464E">
            <w:pPr>
              <w:adjustRightInd w:val="0"/>
              <w:snapToGrid w:val="0"/>
              <w:spacing w:afterLines="0" w:after="0" w:line="192" w:lineRule="auto"/>
              <w:jc w:val="center"/>
              <w:rPr>
                <w:sz w:val="15"/>
                <w:szCs w:val="18"/>
              </w:rPr>
            </w:pPr>
          </w:p>
        </w:tc>
        <w:tc>
          <w:tcPr>
            <w:tcW w:w="0" w:type="auto"/>
            <w:vAlign w:val="center"/>
          </w:tcPr>
          <w:p w14:paraId="1B9BF51C" w14:textId="77777777" w:rsidR="005D1745" w:rsidRDefault="005D1745" w:rsidP="00B6464E">
            <w:pPr>
              <w:adjustRightInd w:val="0"/>
              <w:snapToGrid w:val="0"/>
              <w:spacing w:afterLines="0" w:after="0" w:line="192" w:lineRule="auto"/>
              <w:jc w:val="center"/>
              <w:rPr>
                <w:sz w:val="15"/>
                <w:szCs w:val="18"/>
              </w:rPr>
            </w:pPr>
          </w:p>
        </w:tc>
      </w:tr>
    </w:tbl>
    <w:p w14:paraId="4B7E5EC4" w14:textId="77777777" w:rsidR="005D1745" w:rsidRDefault="005D1745">
      <w:pPr>
        <w:adjustRightInd w:val="0"/>
        <w:snapToGrid w:val="0"/>
        <w:spacing w:afterLines="50" w:after="120" w:line="276" w:lineRule="auto"/>
        <w:rPr>
          <w:sz w:val="16"/>
          <w:szCs w:val="16"/>
        </w:rPr>
      </w:pPr>
    </w:p>
    <w:p w14:paraId="01416084" w14:textId="77777777" w:rsidR="005D1745" w:rsidRDefault="004B6ABE">
      <w:pPr>
        <w:numPr>
          <w:ilvl w:val="0"/>
          <w:numId w:val="2"/>
        </w:numPr>
        <w:adjustRightInd w:val="0"/>
        <w:snapToGrid w:val="0"/>
        <w:spacing w:afterLines="50" w:after="120" w:line="276" w:lineRule="auto"/>
        <w:rPr>
          <w:sz w:val="16"/>
          <w:szCs w:val="16"/>
        </w:rPr>
      </w:pPr>
      <w:r>
        <w:rPr>
          <w:sz w:val="16"/>
          <w:szCs w:val="16"/>
        </w:rPr>
        <w:t>Complete medical history (including a complete history of internal and surgical diseases), demographics, past surgical history, concomitant medications, comorbidities, allergy history, and smoking history. Special attention to past and present lung diseases and/or systemic diseases involving the lungs (such as connective tissue diseases). Smoking status only inquired at screening.</w:t>
      </w:r>
    </w:p>
    <w:p w14:paraId="5A8CAC4D" w14:textId="77777777" w:rsidR="005D1745" w:rsidRDefault="004B6ABE">
      <w:pPr>
        <w:numPr>
          <w:ilvl w:val="0"/>
          <w:numId w:val="2"/>
        </w:numPr>
        <w:adjustRightInd w:val="0"/>
        <w:snapToGrid w:val="0"/>
        <w:spacing w:afterLines="50" w:after="120" w:line="276" w:lineRule="auto"/>
        <w:rPr>
          <w:sz w:val="16"/>
          <w:szCs w:val="16"/>
        </w:rPr>
      </w:pPr>
      <w:r>
        <w:rPr>
          <w:sz w:val="16"/>
          <w:szCs w:val="16"/>
        </w:rPr>
        <w:t>Premenopausal women of childbearing potential must test negative. If a suspicious pregnancy event occurs during the trial, a pregnancy test must be repeated, and if positive, it must be reported immediately.</w:t>
      </w:r>
    </w:p>
    <w:p w14:paraId="42CDC56E" w14:textId="77777777" w:rsidR="005D1745" w:rsidRDefault="004B6ABE">
      <w:pPr>
        <w:numPr>
          <w:ilvl w:val="0"/>
          <w:numId w:val="2"/>
        </w:numPr>
        <w:adjustRightInd w:val="0"/>
        <w:snapToGrid w:val="0"/>
        <w:spacing w:afterLines="50" w:after="120" w:line="276" w:lineRule="auto"/>
        <w:rPr>
          <w:sz w:val="16"/>
          <w:szCs w:val="16"/>
        </w:rPr>
      </w:pPr>
      <w:r>
        <w:rPr>
          <w:sz w:val="16"/>
          <w:szCs w:val="16"/>
        </w:rPr>
        <w:t>If there are electrocardiographic abnormalities and clinical symptoms, LVEF should be checked.</w:t>
      </w:r>
    </w:p>
    <w:p w14:paraId="48A04C01" w14:textId="77777777" w:rsidR="005D1745" w:rsidRDefault="004B6ABE">
      <w:pPr>
        <w:numPr>
          <w:ilvl w:val="0"/>
          <w:numId w:val="2"/>
        </w:numPr>
        <w:adjustRightInd w:val="0"/>
        <w:snapToGrid w:val="0"/>
        <w:spacing w:afterLines="50" w:after="120" w:line="276" w:lineRule="auto"/>
        <w:rPr>
          <w:sz w:val="16"/>
          <w:szCs w:val="16"/>
        </w:rPr>
      </w:pPr>
      <w:r>
        <w:rPr>
          <w:sz w:val="16"/>
          <w:szCs w:val="16"/>
        </w:rPr>
        <w:t>Vital signs include heart rate, blood pressure, respiratory rate, and temperature.</w:t>
      </w:r>
    </w:p>
    <w:p w14:paraId="1CD9482F" w14:textId="77777777" w:rsidR="005D1745" w:rsidRDefault="004B6ABE">
      <w:pPr>
        <w:numPr>
          <w:ilvl w:val="0"/>
          <w:numId w:val="2"/>
        </w:numPr>
        <w:adjustRightInd w:val="0"/>
        <w:snapToGrid w:val="0"/>
        <w:spacing w:afterLines="50" w:after="120" w:line="276" w:lineRule="auto"/>
        <w:rPr>
          <w:sz w:val="16"/>
          <w:szCs w:val="16"/>
        </w:rPr>
      </w:pPr>
      <w:r>
        <w:rPr>
          <w:sz w:val="16"/>
          <w:szCs w:val="16"/>
        </w:rPr>
        <w:t>If any subjective ocular symptoms or new or worsening respiratory symptoms (such as coughing, wheezing) occur, patients should be given appropriate medical assistance immediately. Any symptoms should be treated according to clinical routine, and if they meet the definition, they should also be reported as adverse events or serious adverse events (SAEs). The collection of adverse events starts from the patient signing the informed consent form. After the end of the study, all unresolved adverse events or serious adverse events must be followed up until resolution, unless the investigator believes that they are unlikely to resolve due to the patient's own disease. All new adverse events and serious adverse events occurring within 30 days after the last dose of the study drug must be reported (if serious adverse events, they must be reported to the ethics committee of the research center, Zhejiang Betta Pharmaceuticals Co., Ltd., and the National Medical Products Administration within 24 hours) and followed up as mentioned above until resolution. Record the most severe level of toxicity reactions for each cycle in the CRF.</w:t>
      </w:r>
    </w:p>
    <w:p w14:paraId="7618806C" w14:textId="77777777" w:rsidR="005D1745" w:rsidRDefault="004B6ABE">
      <w:pPr>
        <w:numPr>
          <w:ilvl w:val="0"/>
          <w:numId w:val="2"/>
        </w:numPr>
        <w:adjustRightInd w:val="0"/>
        <w:snapToGrid w:val="0"/>
        <w:spacing w:afterLines="50" w:after="120" w:line="276" w:lineRule="auto"/>
        <w:rPr>
          <w:sz w:val="16"/>
          <w:szCs w:val="16"/>
        </w:rPr>
      </w:pPr>
      <w:r>
        <w:rPr>
          <w:sz w:val="16"/>
          <w:szCs w:val="16"/>
        </w:rPr>
        <w:t>Collect data on concomitant medications, including drug dosage, route of administration, dosing schedule, start date, indication, end date, and reason for discontinuation, and record from the random use of study medication until one month after discontinuation. The treating physician obtains this information from the patient's hospital efficacy follow-up every 30 days. By the drugs routinely prescribed for patients, the treating physician will evaluate whether changes in concomitant medications over the past 30 days may lead to clinically significant improvement in pulmonary symptoms.</w:t>
      </w:r>
    </w:p>
    <w:p w14:paraId="0E340A30" w14:textId="665F09D3" w:rsidR="005D1745" w:rsidRDefault="004B6ABE">
      <w:pPr>
        <w:numPr>
          <w:ilvl w:val="0"/>
          <w:numId w:val="2"/>
        </w:numPr>
        <w:adjustRightInd w:val="0"/>
        <w:snapToGrid w:val="0"/>
        <w:spacing w:afterLines="50" w:after="120" w:line="276" w:lineRule="auto"/>
        <w:rPr>
          <w:sz w:val="16"/>
          <w:szCs w:val="16"/>
        </w:rPr>
      </w:pPr>
      <w:r>
        <w:rPr>
          <w:sz w:val="16"/>
          <w:szCs w:val="16"/>
        </w:rPr>
        <w:t xml:space="preserve">Pretreatment and evaluation of tumor recurrence imaging </w:t>
      </w:r>
      <w:r w:rsidR="009F4C3F">
        <w:rPr>
          <w:sz w:val="16"/>
          <w:szCs w:val="16"/>
        </w:rPr>
        <w:t xml:space="preserve">examinations </w:t>
      </w:r>
      <w:r>
        <w:rPr>
          <w:sz w:val="16"/>
          <w:szCs w:val="16"/>
        </w:rPr>
        <w:t xml:space="preserve">must include chest </w:t>
      </w:r>
      <w:r w:rsidR="00110468">
        <w:rPr>
          <w:sz w:val="16"/>
          <w:szCs w:val="16"/>
        </w:rPr>
        <w:t>and</w:t>
      </w:r>
      <w:r>
        <w:rPr>
          <w:sz w:val="16"/>
          <w:szCs w:val="16"/>
        </w:rPr>
        <w:t xml:space="preserve"> upper abdominal enhanced CT. Tumor assessment is conducted once every 3 months, with a window period of +/- 7 days, covering the chest and upper abdomen. </w:t>
      </w:r>
      <w:r w:rsidR="00110468">
        <w:rPr>
          <w:sz w:val="16"/>
          <w:szCs w:val="16"/>
        </w:rPr>
        <w:t>I</w:t>
      </w:r>
      <w:r>
        <w:rPr>
          <w:sz w:val="16"/>
          <w:szCs w:val="16"/>
        </w:rPr>
        <w:t xml:space="preserve">f new lesions are suspected in any area, CT scans should be performed until disease recurrence. All imaging </w:t>
      </w:r>
      <w:r w:rsidR="009F4C3F">
        <w:rPr>
          <w:sz w:val="16"/>
          <w:szCs w:val="16"/>
        </w:rPr>
        <w:t xml:space="preserve">examinations </w:t>
      </w:r>
      <w:r>
        <w:rPr>
          <w:sz w:val="16"/>
          <w:szCs w:val="16"/>
        </w:rPr>
        <w:t>can be replaced by PET/CT.</w:t>
      </w:r>
    </w:p>
    <w:p w14:paraId="672BC712" w14:textId="7D307111" w:rsidR="005D1745" w:rsidRPr="00DF68F2" w:rsidRDefault="00C83C9E" w:rsidP="00C83C9E">
      <w:pPr>
        <w:numPr>
          <w:ilvl w:val="0"/>
          <w:numId w:val="2"/>
        </w:numPr>
        <w:adjustRightInd w:val="0"/>
        <w:snapToGrid w:val="0"/>
        <w:spacing w:afterLines="50" w:after="120" w:line="276" w:lineRule="auto"/>
        <w:rPr>
          <w:sz w:val="16"/>
          <w:szCs w:val="16"/>
        </w:rPr>
      </w:pPr>
      <w:r w:rsidRPr="00C83C9E">
        <w:rPr>
          <w:sz w:val="16"/>
          <w:szCs w:val="16"/>
        </w:rPr>
        <w:t>Brain MRI and bone scans were scheduled every 12 months or performed as indicated based on symptoms</w:t>
      </w:r>
      <w:r w:rsidR="004B6ABE" w:rsidRPr="00DF68F2">
        <w:rPr>
          <w:sz w:val="16"/>
          <w:szCs w:val="16"/>
        </w:rPr>
        <w:t>.</w:t>
      </w:r>
    </w:p>
    <w:p w14:paraId="681449BF" w14:textId="77777777" w:rsidR="005D1745" w:rsidRDefault="004B6ABE">
      <w:pPr>
        <w:numPr>
          <w:ilvl w:val="0"/>
          <w:numId w:val="2"/>
        </w:numPr>
        <w:adjustRightInd w:val="0"/>
        <w:snapToGrid w:val="0"/>
        <w:spacing w:afterLines="50" w:after="120" w:line="276" w:lineRule="auto"/>
        <w:rPr>
          <w:sz w:val="16"/>
          <w:szCs w:val="16"/>
        </w:rPr>
      </w:pPr>
      <w:r>
        <w:rPr>
          <w:sz w:val="16"/>
          <w:szCs w:val="16"/>
        </w:rPr>
        <w:t>Hematology (hemoglobin, hematocrit, platelets, white blood cells, absolute neutrophil count, absolute lymphocyte count)/blood biochemistry (blood glucose, calcium, phosphorus, sodium, potassium, chlorine, creatinine, blood urea nitrogen, total protein, albumin, alanine aminotransferase, aspartate aminotransferase, alkaline phosphatase, total bilirubin, etc.)/urinalysis (urine specific gravity, pH value, urine sugar, urine protein, and occult blood) should be completed within 7 days before the first dose, at each follow-up, and within 7 days before and after exiting the study, as well as when clinically indicated, and the number of times can be increased according to the actual situation.</w:t>
      </w:r>
    </w:p>
    <w:p w14:paraId="4C017151" w14:textId="77777777" w:rsidR="005D1745" w:rsidRDefault="004B6ABE">
      <w:pPr>
        <w:numPr>
          <w:ilvl w:val="0"/>
          <w:numId w:val="2"/>
        </w:numPr>
        <w:adjustRightInd w:val="0"/>
        <w:snapToGrid w:val="0"/>
        <w:spacing w:afterLines="50" w:after="120" w:line="276" w:lineRule="auto"/>
        <w:rPr>
          <w:sz w:val="16"/>
          <w:szCs w:val="16"/>
        </w:rPr>
      </w:pPr>
      <w:r>
        <w:rPr>
          <w:sz w:val="16"/>
          <w:szCs w:val="16"/>
        </w:rPr>
        <w:t>The patient self-assessment questionnaire FACT-L and LCS version 4 should be completed at each efficacy evaluation.</w:t>
      </w:r>
    </w:p>
    <w:p w14:paraId="0AC496AF" w14:textId="6AFB1E7E" w:rsidR="005D1745" w:rsidRDefault="004B6ABE">
      <w:pPr>
        <w:numPr>
          <w:ilvl w:val="0"/>
          <w:numId w:val="2"/>
        </w:numPr>
        <w:adjustRightInd w:val="0"/>
        <w:snapToGrid w:val="0"/>
        <w:spacing w:afterLines="50" w:after="120" w:line="276" w:lineRule="auto"/>
        <w:rPr>
          <w:sz w:val="16"/>
          <w:szCs w:val="16"/>
        </w:rPr>
      </w:pPr>
      <w:r>
        <w:rPr>
          <w:sz w:val="16"/>
          <w:szCs w:val="16"/>
        </w:rPr>
        <w:t xml:space="preserve">Applicable for patients from whom tissue specimens can be obtained. </w:t>
      </w:r>
      <w:r w:rsidR="009F4C3F">
        <w:rPr>
          <w:sz w:val="16"/>
          <w:szCs w:val="16"/>
        </w:rPr>
        <w:t>P</w:t>
      </w:r>
      <w:r>
        <w:rPr>
          <w:sz w:val="16"/>
          <w:szCs w:val="16"/>
        </w:rPr>
        <w:t>araffin blocks (about one-third of the entire block) or paraffin sections (30 slices of 5 microns) of tumor lesions</w:t>
      </w:r>
      <w:r w:rsidR="009F4C3F">
        <w:rPr>
          <w:sz w:val="16"/>
          <w:szCs w:val="16"/>
        </w:rPr>
        <w:t xml:space="preserve"> will be collected from patients entering the study</w:t>
      </w:r>
      <w:r>
        <w:rPr>
          <w:sz w:val="16"/>
          <w:szCs w:val="16"/>
        </w:rPr>
        <w:t>.</w:t>
      </w:r>
    </w:p>
    <w:p w14:paraId="4651C5A7" w14:textId="35612CD3" w:rsidR="005D1745" w:rsidRDefault="004B6ABE">
      <w:pPr>
        <w:numPr>
          <w:ilvl w:val="0"/>
          <w:numId w:val="2"/>
        </w:numPr>
        <w:adjustRightInd w:val="0"/>
        <w:snapToGrid w:val="0"/>
        <w:spacing w:afterLines="50" w:after="120" w:line="276" w:lineRule="auto"/>
        <w:rPr>
          <w:sz w:val="16"/>
          <w:szCs w:val="16"/>
        </w:rPr>
      </w:pPr>
      <w:r>
        <w:rPr>
          <w:sz w:val="16"/>
          <w:szCs w:val="16"/>
        </w:rPr>
        <w:t>A 10ml whole blood sample for biomarker analysis should be taken before treatment at each efficacy visit cycle, and the handling, transportation, and storage of this blood sample are detailed in the attachment.</w:t>
      </w:r>
    </w:p>
    <w:p w14:paraId="0E752A19" w14:textId="77777777" w:rsidR="005D1745" w:rsidRDefault="004B6ABE">
      <w:pPr>
        <w:numPr>
          <w:ilvl w:val="0"/>
          <w:numId w:val="2"/>
        </w:numPr>
        <w:adjustRightInd w:val="0"/>
        <w:snapToGrid w:val="0"/>
        <w:spacing w:afterLines="50" w:after="120" w:line="276" w:lineRule="auto"/>
        <w:sectPr w:rsidR="005D1745" w:rsidSect="00D17B3D">
          <w:pgSz w:w="16897" w:h="11907" w:orient="landscape"/>
          <w:pgMar w:top="1418" w:right="1418" w:bottom="1418" w:left="1418" w:header="851" w:footer="992" w:gutter="0"/>
          <w:lnNumType w:countBy="1"/>
          <w:cols w:space="720"/>
          <w:docGrid w:linePitch="312"/>
        </w:sectPr>
      </w:pPr>
      <w:r>
        <w:rPr>
          <w:sz w:val="16"/>
          <w:szCs w:val="16"/>
        </w:rPr>
        <w:t>The follow-up time window after recurrence is every 90 days ± 7 days.</w:t>
      </w:r>
    </w:p>
    <w:p w14:paraId="6CF86BF6" w14:textId="1EF4B890" w:rsidR="00AD3B6F" w:rsidRDefault="00183976" w:rsidP="00B6464E">
      <w:pPr>
        <w:widowControl/>
        <w:spacing w:beforeLines="200" w:before="480" w:after="240"/>
        <w:jc w:val="left"/>
        <w:rPr>
          <w:b/>
          <w:bCs/>
          <w:color w:val="000000"/>
          <w:kern w:val="0"/>
          <w:sz w:val="27"/>
          <w:szCs w:val="27"/>
          <w:lang w:bidi="ar"/>
        </w:rPr>
      </w:pPr>
      <w:bookmarkStart w:id="95" w:name="_Toc22604"/>
      <w:bookmarkStart w:id="96" w:name="_Toc15389"/>
      <w:bookmarkStart w:id="97" w:name="_Toc9560"/>
      <w:bookmarkStart w:id="98" w:name="_Toc28539"/>
      <w:bookmarkStart w:id="99" w:name="_Toc290380377"/>
      <w:bookmarkStart w:id="100" w:name="_Toc290380687"/>
      <w:bookmarkStart w:id="101" w:name="_Toc288207662"/>
      <w:bookmarkStart w:id="102" w:name="_Toc267912742"/>
      <w:bookmarkStart w:id="103" w:name="_Toc352011992"/>
      <w:r w:rsidRPr="00183976">
        <w:rPr>
          <w:b/>
          <w:bCs/>
          <w:color w:val="000000"/>
          <w:kern w:val="0"/>
          <w:sz w:val="27"/>
          <w:szCs w:val="27"/>
          <w:lang w:bidi="ar"/>
        </w:rPr>
        <w:lastRenderedPageBreak/>
        <w:t xml:space="preserve">Table </w:t>
      </w:r>
      <w:r>
        <w:rPr>
          <w:b/>
          <w:bCs/>
          <w:color w:val="000000"/>
          <w:kern w:val="0"/>
          <w:sz w:val="27"/>
          <w:szCs w:val="27"/>
          <w:lang w:bidi="ar"/>
        </w:rPr>
        <w:t>2</w:t>
      </w:r>
      <w:r w:rsidRPr="00183976">
        <w:rPr>
          <w:b/>
          <w:bCs/>
          <w:color w:val="000000"/>
          <w:kern w:val="0"/>
          <w:sz w:val="27"/>
          <w:szCs w:val="27"/>
          <w:lang w:bidi="ar"/>
        </w:rPr>
        <w:t xml:space="preserve"> </w:t>
      </w:r>
      <w:r w:rsidR="00AD3B6F" w:rsidRPr="00AD3B6F">
        <w:rPr>
          <w:b/>
          <w:bCs/>
          <w:color w:val="000000"/>
          <w:kern w:val="0"/>
          <w:sz w:val="27"/>
          <w:szCs w:val="27"/>
          <w:lang w:bidi="ar"/>
        </w:rPr>
        <w:t>List of investigators</w:t>
      </w:r>
    </w:p>
    <w:tbl>
      <w:tblPr>
        <w:tblStyle w:val="afb"/>
        <w:tblW w:w="0" w:type="auto"/>
        <w:tblLook w:val="04A0" w:firstRow="1" w:lastRow="0" w:firstColumn="1" w:lastColumn="0" w:noHBand="0" w:noVBand="1"/>
      </w:tblPr>
      <w:tblGrid>
        <w:gridCol w:w="5098"/>
        <w:gridCol w:w="3198"/>
      </w:tblGrid>
      <w:tr w:rsidR="006D66E4" w:rsidRPr="00532D47" w14:paraId="6D92CD1B" w14:textId="77777777" w:rsidTr="00E21C49">
        <w:tc>
          <w:tcPr>
            <w:tcW w:w="5098" w:type="dxa"/>
          </w:tcPr>
          <w:p w14:paraId="0783725E" w14:textId="7E960F6D" w:rsidR="006D66E4" w:rsidRPr="00532D47" w:rsidRDefault="006D66E4" w:rsidP="006D66E4">
            <w:pPr>
              <w:spacing w:after="240"/>
              <w:rPr>
                <w:rFonts w:ascii="Times New Roman" w:hAnsi="Times New Roman" w:cs="Times New Roman"/>
                <w:sz w:val="24"/>
              </w:rPr>
            </w:pPr>
            <w:r w:rsidRPr="00532D47">
              <w:rPr>
                <w:rFonts w:ascii="Times New Roman" w:hAnsi="Times New Roman" w:cs="Times New Roman"/>
                <w:sz w:val="24"/>
              </w:rPr>
              <w:t>Site</w:t>
            </w:r>
          </w:p>
        </w:tc>
        <w:tc>
          <w:tcPr>
            <w:tcW w:w="3198" w:type="dxa"/>
          </w:tcPr>
          <w:p w14:paraId="58C736EB" w14:textId="5DDAB34B" w:rsidR="006D66E4" w:rsidRPr="00532D47" w:rsidRDefault="006D66E4" w:rsidP="006D66E4">
            <w:pPr>
              <w:spacing w:after="240"/>
              <w:rPr>
                <w:rFonts w:ascii="Times New Roman" w:hAnsi="Times New Roman" w:cs="Times New Roman"/>
                <w:sz w:val="24"/>
              </w:rPr>
            </w:pPr>
            <w:r w:rsidRPr="00532D47">
              <w:rPr>
                <w:rFonts w:ascii="Times New Roman" w:hAnsi="Times New Roman" w:cs="Times New Roman"/>
                <w:sz w:val="24"/>
              </w:rPr>
              <w:t>Investigator</w:t>
            </w:r>
          </w:p>
        </w:tc>
      </w:tr>
      <w:tr w:rsidR="006D66E4" w:rsidRPr="00532D47" w14:paraId="2862B86E" w14:textId="77777777" w:rsidTr="00E21C49">
        <w:tc>
          <w:tcPr>
            <w:tcW w:w="5098" w:type="dxa"/>
          </w:tcPr>
          <w:p w14:paraId="33D368B0" w14:textId="2A1D3743" w:rsidR="006D66E4" w:rsidRPr="00532D47" w:rsidRDefault="006D66E4" w:rsidP="006D66E4">
            <w:pPr>
              <w:spacing w:after="240"/>
              <w:rPr>
                <w:rFonts w:ascii="Times New Roman" w:hAnsi="Times New Roman" w:cs="Times New Roman"/>
                <w:sz w:val="24"/>
              </w:rPr>
            </w:pPr>
            <w:r>
              <w:rPr>
                <w:rFonts w:ascii="Times New Roman" w:hAnsi="Times New Roman" w:cs="Times New Roman"/>
                <w:sz w:val="24"/>
              </w:rPr>
              <w:t>Sun Yat-sen University Cancer Center</w:t>
            </w:r>
          </w:p>
        </w:tc>
        <w:tc>
          <w:tcPr>
            <w:tcW w:w="3198" w:type="dxa"/>
          </w:tcPr>
          <w:p w14:paraId="506406B9" w14:textId="3DDDD836" w:rsidR="006D66E4" w:rsidRPr="00532D47" w:rsidRDefault="006D66E4" w:rsidP="006D66E4">
            <w:pPr>
              <w:spacing w:after="240"/>
              <w:rPr>
                <w:rFonts w:ascii="Times New Roman" w:hAnsi="Times New Roman" w:cs="Times New Roman"/>
                <w:sz w:val="24"/>
              </w:rPr>
            </w:pPr>
            <w:r w:rsidRPr="00532D47">
              <w:rPr>
                <w:rFonts w:ascii="Times New Roman" w:hAnsi="Times New Roman" w:cs="Times New Roman"/>
                <w:sz w:val="24"/>
              </w:rPr>
              <w:t>Si-Yu Wang</w:t>
            </w:r>
            <w:r>
              <w:rPr>
                <w:rFonts w:ascii="Times New Roman" w:hAnsi="Times New Roman" w:cs="Times New Roman"/>
                <w:sz w:val="24"/>
              </w:rPr>
              <w:t xml:space="preserve"> (PI), </w:t>
            </w:r>
            <w:r w:rsidRPr="00135CFD">
              <w:rPr>
                <w:rFonts w:ascii="Times New Roman" w:hAnsi="Times New Roman" w:cs="Times New Roman"/>
                <w:sz w:val="24"/>
              </w:rPr>
              <w:t>Hao Long</w:t>
            </w:r>
            <w:r>
              <w:rPr>
                <w:rFonts w:ascii="Times New Roman" w:hAnsi="Times New Roman" w:cs="Times New Roman"/>
                <w:sz w:val="24"/>
              </w:rPr>
              <w:t xml:space="preserve"> (co-PI), Ning Li, Wei Ou</w:t>
            </w:r>
          </w:p>
        </w:tc>
      </w:tr>
      <w:tr w:rsidR="006D66E4" w:rsidRPr="00532D47" w14:paraId="788859AA" w14:textId="77777777" w:rsidTr="00E21C49">
        <w:tc>
          <w:tcPr>
            <w:tcW w:w="5098" w:type="dxa"/>
          </w:tcPr>
          <w:p w14:paraId="6E4A29E7" w14:textId="02BC656A" w:rsidR="006D66E4" w:rsidRPr="00532D47" w:rsidRDefault="006D66E4" w:rsidP="006D66E4">
            <w:pPr>
              <w:spacing w:after="240"/>
              <w:rPr>
                <w:rFonts w:ascii="Times New Roman" w:hAnsi="Times New Roman" w:cs="Times New Roman"/>
                <w:sz w:val="24"/>
              </w:rPr>
            </w:pPr>
            <w:r w:rsidRPr="00532D47">
              <w:rPr>
                <w:rFonts w:ascii="Times New Roman" w:hAnsi="Times New Roman" w:cs="Times New Roman"/>
                <w:sz w:val="24"/>
              </w:rPr>
              <w:t>The First Affiliated Hospital of Sun Yat-sen University</w:t>
            </w:r>
          </w:p>
        </w:tc>
        <w:tc>
          <w:tcPr>
            <w:tcW w:w="3198" w:type="dxa"/>
          </w:tcPr>
          <w:p w14:paraId="2E3669DF" w14:textId="108B462A" w:rsidR="006D66E4" w:rsidRPr="00532D47" w:rsidRDefault="006D66E4" w:rsidP="006D66E4">
            <w:pPr>
              <w:spacing w:after="240"/>
              <w:rPr>
                <w:rFonts w:ascii="Times New Roman" w:hAnsi="Times New Roman" w:cs="Times New Roman"/>
                <w:sz w:val="24"/>
              </w:rPr>
            </w:pPr>
            <w:r w:rsidRPr="00532D47">
              <w:rPr>
                <w:rFonts w:ascii="Times New Roman" w:hAnsi="Times New Roman" w:cs="Times New Roman"/>
                <w:sz w:val="24"/>
              </w:rPr>
              <w:t>Chao Cheng</w:t>
            </w:r>
            <w:r>
              <w:rPr>
                <w:rFonts w:ascii="Times New Roman" w:hAnsi="Times New Roman" w:cs="Times New Roman"/>
                <w:sz w:val="24"/>
              </w:rPr>
              <w:t xml:space="preserve"> (PI), Weixiong Yang</w:t>
            </w:r>
          </w:p>
        </w:tc>
      </w:tr>
      <w:tr w:rsidR="006D66E4" w:rsidRPr="00532D47" w14:paraId="71D9B0CD" w14:textId="77777777" w:rsidTr="00E21C49">
        <w:tc>
          <w:tcPr>
            <w:tcW w:w="5098" w:type="dxa"/>
          </w:tcPr>
          <w:p w14:paraId="21E4BDCE" w14:textId="4A0F64A5" w:rsidR="006D66E4" w:rsidRPr="00532D47" w:rsidRDefault="006D66E4" w:rsidP="006D66E4">
            <w:pPr>
              <w:spacing w:after="240"/>
              <w:rPr>
                <w:rFonts w:ascii="Times New Roman" w:hAnsi="Times New Roman" w:cs="Times New Roman"/>
                <w:sz w:val="24"/>
              </w:rPr>
            </w:pPr>
            <w:r w:rsidRPr="00CC188A">
              <w:rPr>
                <w:rFonts w:ascii="Times New Roman" w:hAnsi="Times New Roman" w:cs="Times New Roman"/>
                <w:sz w:val="24"/>
              </w:rPr>
              <w:t>Tianjin Medical University</w:t>
            </w:r>
            <w:r>
              <w:rPr>
                <w:rFonts w:ascii="Times New Roman" w:hAnsi="Times New Roman" w:cs="Times New Roman"/>
                <w:sz w:val="24"/>
              </w:rPr>
              <w:t xml:space="preserve"> </w:t>
            </w:r>
            <w:r w:rsidRPr="00CC188A">
              <w:rPr>
                <w:rFonts w:ascii="Times New Roman" w:hAnsi="Times New Roman" w:cs="Times New Roman"/>
                <w:sz w:val="24"/>
              </w:rPr>
              <w:t>Cancer Institute and Hospital</w:t>
            </w:r>
          </w:p>
        </w:tc>
        <w:tc>
          <w:tcPr>
            <w:tcW w:w="3198" w:type="dxa"/>
          </w:tcPr>
          <w:p w14:paraId="5F5242CE" w14:textId="4B94DEF0" w:rsidR="006D66E4" w:rsidRPr="00532D47" w:rsidRDefault="006D66E4" w:rsidP="006D66E4">
            <w:pPr>
              <w:spacing w:after="240"/>
              <w:rPr>
                <w:rFonts w:ascii="Times New Roman" w:hAnsi="Times New Roman" w:cs="Times New Roman"/>
                <w:sz w:val="24"/>
              </w:rPr>
            </w:pPr>
            <w:r w:rsidRPr="00CC188A">
              <w:rPr>
                <w:rFonts w:ascii="Times New Roman" w:hAnsi="Times New Roman" w:cs="Times New Roman"/>
                <w:sz w:val="24"/>
              </w:rPr>
              <w:t>Jian You</w:t>
            </w:r>
            <w:r>
              <w:rPr>
                <w:rFonts w:ascii="Times New Roman" w:hAnsi="Times New Roman" w:cs="Times New Roman"/>
                <w:sz w:val="24"/>
              </w:rPr>
              <w:t xml:space="preserve"> (PI), Feng Xu</w:t>
            </w:r>
          </w:p>
        </w:tc>
      </w:tr>
      <w:tr w:rsidR="006D66E4" w:rsidRPr="00532D47" w14:paraId="312AEBC8" w14:textId="77777777" w:rsidTr="00E21C49">
        <w:tc>
          <w:tcPr>
            <w:tcW w:w="5098" w:type="dxa"/>
          </w:tcPr>
          <w:p w14:paraId="47608BC1" w14:textId="29398497" w:rsidR="006D66E4" w:rsidRPr="00532D47" w:rsidRDefault="006D66E4" w:rsidP="006D66E4">
            <w:pPr>
              <w:spacing w:after="240"/>
              <w:rPr>
                <w:rFonts w:ascii="Times New Roman" w:hAnsi="Times New Roman" w:cs="Times New Roman"/>
                <w:sz w:val="24"/>
              </w:rPr>
            </w:pPr>
            <w:r w:rsidRPr="00CC188A">
              <w:rPr>
                <w:rFonts w:ascii="Times New Roman" w:hAnsi="Times New Roman" w:cs="Times New Roman"/>
                <w:sz w:val="24"/>
              </w:rPr>
              <w:t>Shenzhen People’s Hospital</w:t>
            </w:r>
          </w:p>
        </w:tc>
        <w:tc>
          <w:tcPr>
            <w:tcW w:w="3198" w:type="dxa"/>
          </w:tcPr>
          <w:p w14:paraId="5DDE3883" w14:textId="1EA061CF" w:rsidR="006D66E4" w:rsidRPr="00532D47" w:rsidRDefault="006D66E4" w:rsidP="006D66E4">
            <w:pPr>
              <w:spacing w:after="240"/>
              <w:rPr>
                <w:rFonts w:ascii="Times New Roman" w:hAnsi="Times New Roman" w:cs="Times New Roman"/>
                <w:sz w:val="24"/>
              </w:rPr>
            </w:pPr>
            <w:r w:rsidRPr="00CC188A">
              <w:rPr>
                <w:rFonts w:ascii="Times New Roman" w:hAnsi="Times New Roman" w:cs="Times New Roman"/>
                <w:sz w:val="24"/>
              </w:rPr>
              <w:t>Lin Yang</w:t>
            </w:r>
            <w:r>
              <w:rPr>
                <w:rFonts w:ascii="Times New Roman" w:hAnsi="Times New Roman" w:cs="Times New Roman"/>
                <w:sz w:val="24"/>
              </w:rPr>
              <w:t xml:space="preserve"> (PI), Guanggui Ding</w:t>
            </w:r>
          </w:p>
        </w:tc>
      </w:tr>
      <w:tr w:rsidR="006D66E4" w:rsidRPr="00532D47" w14:paraId="5CBD1EA5" w14:textId="77777777" w:rsidTr="00E21C49">
        <w:tc>
          <w:tcPr>
            <w:tcW w:w="5098" w:type="dxa"/>
          </w:tcPr>
          <w:p w14:paraId="56A42A9A" w14:textId="09D50A95" w:rsidR="006D66E4" w:rsidRPr="00532D47" w:rsidRDefault="006D66E4" w:rsidP="006D66E4">
            <w:pPr>
              <w:spacing w:after="240"/>
              <w:rPr>
                <w:rFonts w:ascii="Times New Roman" w:hAnsi="Times New Roman" w:cs="Times New Roman"/>
                <w:sz w:val="24"/>
              </w:rPr>
            </w:pPr>
            <w:r w:rsidRPr="002B6335">
              <w:rPr>
                <w:rFonts w:ascii="Times New Roman" w:hAnsi="Times New Roman" w:cs="Times New Roman"/>
                <w:sz w:val="24"/>
              </w:rPr>
              <w:t>Hainan General Hospital</w:t>
            </w:r>
          </w:p>
        </w:tc>
        <w:tc>
          <w:tcPr>
            <w:tcW w:w="3198" w:type="dxa"/>
          </w:tcPr>
          <w:p w14:paraId="730332B4" w14:textId="4D03BB70" w:rsidR="006D66E4" w:rsidRPr="00532D47" w:rsidRDefault="006D66E4" w:rsidP="006D66E4">
            <w:pPr>
              <w:spacing w:after="240"/>
              <w:rPr>
                <w:rFonts w:ascii="Times New Roman" w:hAnsi="Times New Roman" w:cs="Times New Roman"/>
                <w:sz w:val="24"/>
              </w:rPr>
            </w:pPr>
            <w:r w:rsidRPr="002B6335">
              <w:rPr>
                <w:rFonts w:ascii="Times New Roman" w:hAnsi="Times New Roman" w:cs="Times New Roman"/>
                <w:sz w:val="24"/>
              </w:rPr>
              <w:t>Feng-Xia Chen</w:t>
            </w:r>
            <w:r>
              <w:rPr>
                <w:rFonts w:ascii="Times New Roman" w:hAnsi="Times New Roman" w:cs="Times New Roman"/>
                <w:sz w:val="24"/>
              </w:rPr>
              <w:t xml:space="preserve"> (PI), </w:t>
            </w:r>
            <w:r w:rsidRPr="002B6335">
              <w:rPr>
                <w:rFonts w:ascii="Times New Roman" w:hAnsi="Times New Roman" w:cs="Times New Roman"/>
                <w:sz w:val="24"/>
                <w:lang w:val="en-US"/>
              </w:rPr>
              <w:t>Xian-Shan Chen</w:t>
            </w:r>
          </w:p>
        </w:tc>
      </w:tr>
      <w:tr w:rsidR="006D66E4" w:rsidRPr="00532D47" w14:paraId="55EC4104" w14:textId="77777777" w:rsidTr="00E21C49">
        <w:tc>
          <w:tcPr>
            <w:tcW w:w="5098" w:type="dxa"/>
          </w:tcPr>
          <w:p w14:paraId="597AD8F0" w14:textId="233A9234" w:rsidR="006D66E4" w:rsidRPr="00532D47" w:rsidRDefault="006D66E4" w:rsidP="006D66E4">
            <w:pPr>
              <w:spacing w:after="240"/>
              <w:rPr>
                <w:sz w:val="24"/>
              </w:rPr>
            </w:pPr>
            <w:r w:rsidRPr="00CC188A">
              <w:rPr>
                <w:rFonts w:ascii="Times New Roman" w:hAnsi="Times New Roman" w:cs="Times New Roman"/>
                <w:sz w:val="24"/>
              </w:rPr>
              <w:t xml:space="preserve">Zhongshan </w:t>
            </w:r>
            <w:r>
              <w:rPr>
                <w:rFonts w:ascii="Times New Roman" w:hAnsi="Times New Roman" w:cs="Times New Roman"/>
                <w:sz w:val="24"/>
              </w:rPr>
              <w:t>C</w:t>
            </w:r>
            <w:r w:rsidRPr="00CC188A">
              <w:rPr>
                <w:rFonts w:ascii="Times New Roman" w:hAnsi="Times New Roman" w:cs="Times New Roman"/>
                <w:sz w:val="24"/>
              </w:rPr>
              <w:t xml:space="preserve">ity </w:t>
            </w:r>
            <w:r>
              <w:rPr>
                <w:rFonts w:ascii="Times New Roman" w:hAnsi="Times New Roman" w:cs="Times New Roman"/>
                <w:sz w:val="24"/>
              </w:rPr>
              <w:t>P</w:t>
            </w:r>
            <w:r w:rsidRPr="00CC188A">
              <w:rPr>
                <w:rFonts w:ascii="Times New Roman" w:hAnsi="Times New Roman" w:cs="Times New Roman"/>
                <w:sz w:val="24"/>
              </w:rPr>
              <w:t xml:space="preserve">eople's </w:t>
            </w:r>
            <w:r>
              <w:rPr>
                <w:rFonts w:ascii="Times New Roman" w:hAnsi="Times New Roman" w:cs="Times New Roman"/>
                <w:sz w:val="24"/>
              </w:rPr>
              <w:t>H</w:t>
            </w:r>
            <w:r w:rsidRPr="00CC188A">
              <w:rPr>
                <w:rFonts w:ascii="Times New Roman" w:hAnsi="Times New Roman" w:cs="Times New Roman"/>
                <w:sz w:val="24"/>
              </w:rPr>
              <w:t>ospital</w:t>
            </w:r>
          </w:p>
        </w:tc>
        <w:tc>
          <w:tcPr>
            <w:tcW w:w="3198" w:type="dxa"/>
          </w:tcPr>
          <w:p w14:paraId="58E14A4D" w14:textId="1907988E" w:rsidR="006D66E4" w:rsidRPr="00532D47" w:rsidRDefault="006D66E4" w:rsidP="006D66E4">
            <w:pPr>
              <w:spacing w:after="240"/>
              <w:rPr>
                <w:sz w:val="24"/>
              </w:rPr>
            </w:pPr>
            <w:r w:rsidRPr="002545F1">
              <w:rPr>
                <w:rFonts w:ascii="Times New Roman" w:hAnsi="Times New Roman" w:cs="Times New Roman"/>
                <w:sz w:val="24"/>
              </w:rPr>
              <w:t>Yi Liang</w:t>
            </w:r>
            <w:r>
              <w:rPr>
                <w:rFonts w:ascii="Times New Roman" w:hAnsi="Times New Roman" w:cs="Times New Roman"/>
                <w:sz w:val="24"/>
              </w:rPr>
              <w:t xml:space="preserve"> (PI), Ronggui Hu</w:t>
            </w:r>
          </w:p>
        </w:tc>
      </w:tr>
      <w:tr w:rsidR="006D66E4" w:rsidRPr="00532D47" w14:paraId="4BCF0819" w14:textId="77777777" w:rsidTr="00E21C49">
        <w:tc>
          <w:tcPr>
            <w:tcW w:w="5098" w:type="dxa"/>
          </w:tcPr>
          <w:p w14:paraId="4B7082D0" w14:textId="537433E3" w:rsidR="006D66E4" w:rsidRPr="00532D47" w:rsidRDefault="006D66E4" w:rsidP="006D66E4">
            <w:pPr>
              <w:spacing w:after="240"/>
              <w:rPr>
                <w:sz w:val="24"/>
              </w:rPr>
            </w:pPr>
            <w:r w:rsidRPr="000D0B77">
              <w:rPr>
                <w:rFonts w:ascii="Times New Roman" w:hAnsi="Times New Roman" w:cs="Times New Roman"/>
                <w:sz w:val="24"/>
              </w:rPr>
              <w:t>Affiliated Hospital of Guangdong Medical Universit</w:t>
            </w:r>
            <w:r>
              <w:rPr>
                <w:rFonts w:ascii="Times New Roman" w:hAnsi="Times New Roman" w:cs="Times New Roman"/>
                <w:sz w:val="24"/>
              </w:rPr>
              <w:t>y</w:t>
            </w:r>
          </w:p>
        </w:tc>
        <w:tc>
          <w:tcPr>
            <w:tcW w:w="3198" w:type="dxa"/>
          </w:tcPr>
          <w:p w14:paraId="36573D14" w14:textId="2BF75D10" w:rsidR="006D66E4" w:rsidRPr="00532D47" w:rsidRDefault="006D66E4" w:rsidP="006D66E4">
            <w:pPr>
              <w:spacing w:after="240"/>
              <w:rPr>
                <w:sz w:val="24"/>
              </w:rPr>
            </w:pPr>
            <w:r w:rsidRPr="000D0B77">
              <w:rPr>
                <w:rFonts w:ascii="Times New Roman" w:hAnsi="Times New Roman" w:cs="Times New Roman"/>
                <w:sz w:val="24"/>
              </w:rPr>
              <w:t>Zhixiong Yang</w:t>
            </w:r>
            <w:r>
              <w:rPr>
                <w:rFonts w:ascii="Times New Roman" w:hAnsi="Times New Roman" w:cs="Times New Roman"/>
                <w:sz w:val="24"/>
              </w:rPr>
              <w:t xml:space="preserve"> (PI), </w:t>
            </w:r>
            <w:r w:rsidRPr="000D0B77">
              <w:rPr>
                <w:rFonts w:ascii="Times New Roman" w:hAnsi="Times New Roman" w:cs="Times New Roman"/>
                <w:sz w:val="24"/>
              </w:rPr>
              <w:t>Shujun Li</w:t>
            </w:r>
          </w:p>
        </w:tc>
      </w:tr>
    </w:tbl>
    <w:p w14:paraId="67A70ED8" w14:textId="7C0A8891" w:rsidR="00AD3B6F" w:rsidRDefault="00AD3B6F" w:rsidP="00B6464E">
      <w:pPr>
        <w:widowControl/>
        <w:spacing w:beforeLines="200" w:before="480" w:after="240"/>
        <w:jc w:val="left"/>
        <w:rPr>
          <w:b/>
          <w:bCs/>
          <w:color w:val="000000"/>
          <w:kern w:val="0"/>
          <w:sz w:val="27"/>
          <w:szCs w:val="27"/>
          <w:lang w:bidi="ar"/>
        </w:rPr>
      </w:pPr>
    </w:p>
    <w:p w14:paraId="3B2623B4" w14:textId="13E141AD" w:rsidR="00AD3B6F" w:rsidRDefault="00AD3B6F" w:rsidP="00B6464E">
      <w:pPr>
        <w:widowControl/>
        <w:spacing w:beforeLines="200" w:before="480" w:after="240"/>
        <w:jc w:val="left"/>
        <w:rPr>
          <w:b/>
          <w:bCs/>
          <w:color w:val="000000"/>
          <w:kern w:val="0"/>
          <w:sz w:val="27"/>
          <w:szCs w:val="27"/>
          <w:lang w:bidi="ar"/>
        </w:rPr>
      </w:pPr>
    </w:p>
    <w:p w14:paraId="43A13A1A" w14:textId="1587430E" w:rsidR="00AD3B6F" w:rsidRDefault="00AD3B6F" w:rsidP="00B6464E">
      <w:pPr>
        <w:widowControl/>
        <w:spacing w:beforeLines="200" w:before="480" w:after="240"/>
        <w:jc w:val="left"/>
        <w:rPr>
          <w:b/>
          <w:bCs/>
          <w:color w:val="000000"/>
          <w:kern w:val="0"/>
          <w:sz w:val="27"/>
          <w:szCs w:val="27"/>
          <w:lang w:bidi="ar"/>
        </w:rPr>
      </w:pPr>
    </w:p>
    <w:p w14:paraId="01241DB9" w14:textId="24E4308C" w:rsidR="00AD3B6F" w:rsidRDefault="00AD3B6F" w:rsidP="00B6464E">
      <w:pPr>
        <w:widowControl/>
        <w:spacing w:beforeLines="200" w:before="480" w:after="240"/>
        <w:jc w:val="left"/>
        <w:rPr>
          <w:b/>
          <w:bCs/>
          <w:color w:val="000000"/>
          <w:kern w:val="0"/>
          <w:sz w:val="27"/>
          <w:szCs w:val="27"/>
          <w:lang w:bidi="ar"/>
        </w:rPr>
      </w:pPr>
    </w:p>
    <w:p w14:paraId="61273BEE" w14:textId="2CDDCA18" w:rsidR="00AD3B6F" w:rsidRDefault="00AD3B6F" w:rsidP="00B6464E">
      <w:pPr>
        <w:widowControl/>
        <w:spacing w:beforeLines="200" w:before="480" w:after="240"/>
        <w:jc w:val="left"/>
        <w:rPr>
          <w:b/>
          <w:bCs/>
          <w:color w:val="000000"/>
          <w:kern w:val="0"/>
          <w:sz w:val="27"/>
          <w:szCs w:val="27"/>
          <w:lang w:bidi="ar"/>
        </w:rPr>
      </w:pPr>
    </w:p>
    <w:p w14:paraId="56531CA8" w14:textId="6D623E2E" w:rsidR="005D1745" w:rsidRDefault="004B6ABE" w:rsidP="00B6464E">
      <w:pPr>
        <w:widowControl/>
        <w:spacing w:beforeLines="200" w:before="480" w:after="240"/>
        <w:jc w:val="left"/>
      </w:pPr>
      <w:r>
        <w:rPr>
          <w:b/>
          <w:bCs/>
          <w:color w:val="000000"/>
          <w:kern w:val="0"/>
          <w:sz w:val="27"/>
          <w:szCs w:val="27"/>
          <w:lang w:bidi="ar"/>
        </w:rPr>
        <w:lastRenderedPageBreak/>
        <w:t>TABLE OF CONTENTS</w:t>
      </w:r>
      <w:r>
        <w:rPr>
          <w:rFonts w:hint="eastAsia"/>
          <w:b/>
          <w:bCs/>
          <w:color w:val="000000"/>
          <w:kern w:val="0"/>
          <w:sz w:val="27"/>
          <w:szCs w:val="27"/>
          <w:lang w:bidi="ar"/>
        </w:rPr>
        <w:t xml:space="preserve">                                       </w:t>
      </w:r>
      <w:r>
        <w:rPr>
          <w:b/>
          <w:bCs/>
          <w:color w:val="000000"/>
          <w:kern w:val="0"/>
          <w:sz w:val="27"/>
          <w:szCs w:val="27"/>
          <w:lang w:bidi="ar"/>
        </w:rPr>
        <w:t>PAGE</w:t>
      </w:r>
    </w:p>
    <w:p w14:paraId="60D7CD78" w14:textId="650C687B" w:rsidR="005404D6" w:rsidRPr="005404D6" w:rsidRDefault="004B6ABE" w:rsidP="005404D6">
      <w:pPr>
        <w:pStyle w:val="11"/>
        <w:tabs>
          <w:tab w:val="right" w:leader="dot" w:pos="9060"/>
        </w:tabs>
        <w:spacing w:line="240" w:lineRule="auto"/>
        <w:rPr>
          <w:rFonts w:eastAsiaTheme="minorEastAsia"/>
          <w:b w:val="0"/>
          <w:bCs w:val="0"/>
          <w:noProof/>
          <w14:ligatures w14:val="standardContextual"/>
        </w:rPr>
      </w:pPr>
      <w:r w:rsidRPr="005404D6">
        <w:rPr>
          <w:b w:val="0"/>
          <w:bCs w:val="0"/>
          <w:kern w:val="0"/>
        </w:rPr>
        <w:fldChar w:fldCharType="begin"/>
      </w:r>
      <w:r w:rsidRPr="005404D6">
        <w:rPr>
          <w:b w:val="0"/>
          <w:bCs w:val="0"/>
        </w:rPr>
        <w:instrText xml:space="preserve">TOC \o "1-3" \h \u </w:instrText>
      </w:r>
      <w:r w:rsidRPr="005404D6">
        <w:rPr>
          <w:b w:val="0"/>
          <w:bCs w:val="0"/>
          <w:kern w:val="0"/>
        </w:rPr>
        <w:fldChar w:fldCharType="separate"/>
      </w:r>
      <w:hyperlink w:anchor="_Toc170380163" w:history="1">
        <w:r w:rsidR="005404D6" w:rsidRPr="005404D6">
          <w:rPr>
            <w:rStyle w:val="af6"/>
            <w:rFonts w:eastAsia="微软雅黑"/>
            <w:b w:val="0"/>
            <w:bCs w:val="0"/>
            <w:noProof/>
            <w:kern w:val="44"/>
          </w:rPr>
          <w:t>PROTOCOL SYNOPSIS</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_Toc170380163 \h </w:instrText>
        </w:r>
        <w:r w:rsidR="005404D6" w:rsidRPr="005404D6">
          <w:rPr>
            <w:b w:val="0"/>
            <w:bCs w:val="0"/>
            <w:noProof/>
          </w:rPr>
        </w:r>
        <w:r w:rsidR="005404D6" w:rsidRPr="005404D6">
          <w:rPr>
            <w:b w:val="0"/>
            <w:bCs w:val="0"/>
            <w:noProof/>
          </w:rPr>
          <w:fldChar w:fldCharType="separate"/>
        </w:r>
        <w:r w:rsidR="004F38A3">
          <w:rPr>
            <w:b w:val="0"/>
            <w:bCs w:val="0"/>
            <w:noProof/>
          </w:rPr>
          <w:t>2</w:t>
        </w:r>
        <w:r w:rsidR="005404D6" w:rsidRPr="005404D6">
          <w:rPr>
            <w:b w:val="0"/>
            <w:bCs w:val="0"/>
            <w:noProof/>
          </w:rPr>
          <w:fldChar w:fldCharType="end"/>
        </w:r>
      </w:hyperlink>
    </w:p>
    <w:p w14:paraId="51F25CBE" w14:textId="77704266" w:rsidR="005404D6" w:rsidRPr="005404D6" w:rsidRDefault="00D64A22" w:rsidP="005404D6">
      <w:pPr>
        <w:pStyle w:val="11"/>
        <w:tabs>
          <w:tab w:val="right" w:leader="dot" w:pos="9060"/>
        </w:tabs>
        <w:spacing w:line="240" w:lineRule="auto"/>
        <w:rPr>
          <w:rFonts w:eastAsiaTheme="minorEastAsia"/>
          <w:b w:val="0"/>
          <w:bCs w:val="0"/>
          <w:noProof/>
          <w14:ligatures w14:val="standardContextual"/>
        </w:rPr>
      </w:pPr>
      <w:hyperlink w:anchor="_Toc170380164" w:history="1">
        <w:r w:rsidR="005404D6" w:rsidRPr="005404D6">
          <w:rPr>
            <w:rStyle w:val="af6"/>
            <w:b w:val="0"/>
            <w:bCs w:val="0"/>
            <w:noProof/>
          </w:rPr>
          <w:t>STUDY OVERVIEW</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_Toc170380164 \h </w:instrText>
        </w:r>
        <w:r w:rsidR="005404D6" w:rsidRPr="005404D6">
          <w:rPr>
            <w:b w:val="0"/>
            <w:bCs w:val="0"/>
            <w:noProof/>
          </w:rPr>
        </w:r>
        <w:r w:rsidR="005404D6" w:rsidRPr="005404D6">
          <w:rPr>
            <w:b w:val="0"/>
            <w:bCs w:val="0"/>
            <w:noProof/>
          </w:rPr>
          <w:fldChar w:fldCharType="separate"/>
        </w:r>
        <w:r w:rsidR="004F38A3">
          <w:rPr>
            <w:b w:val="0"/>
            <w:bCs w:val="0"/>
            <w:noProof/>
          </w:rPr>
          <w:t>6</w:t>
        </w:r>
        <w:r w:rsidR="005404D6" w:rsidRPr="005404D6">
          <w:rPr>
            <w:b w:val="0"/>
            <w:bCs w:val="0"/>
            <w:noProof/>
          </w:rPr>
          <w:fldChar w:fldCharType="end"/>
        </w:r>
      </w:hyperlink>
    </w:p>
    <w:p w14:paraId="59DCD14B" w14:textId="0D086D0A" w:rsidR="005404D6" w:rsidRDefault="00D64A22" w:rsidP="005404D6">
      <w:pPr>
        <w:pStyle w:val="11"/>
        <w:tabs>
          <w:tab w:val="right" w:leader="dot" w:pos="9060"/>
        </w:tabs>
        <w:spacing w:line="240" w:lineRule="auto"/>
        <w:rPr>
          <w:b w:val="0"/>
          <w:bCs w:val="0"/>
          <w:noProof/>
        </w:rPr>
      </w:pPr>
      <w:hyperlink w:anchor="_Toc170380165" w:history="1">
        <w:r w:rsidR="005404D6" w:rsidRPr="005404D6">
          <w:rPr>
            <w:rStyle w:val="af6"/>
            <w:b w:val="0"/>
            <w:bCs w:val="0"/>
            <w:noProof/>
          </w:rPr>
          <w:t>Table 1 Study Plan</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_Toc170380165 \h </w:instrText>
        </w:r>
        <w:r w:rsidR="005404D6" w:rsidRPr="005404D6">
          <w:rPr>
            <w:b w:val="0"/>
            <w:bCs w:val="0"/>
            <w:noProof/>
          </w:rPr>
        </w:r>
        <w:r w:rsidR="005404D6" w:rsidRPr="005404D6">
          <w:rPr>
            <w:b w:val="0"/>
            <w:bCs w:val="0"/>
            <w:noProof/>
          </w:rPr>
          <w:fldChar w:fldCharType="separate"/>
        </w:r>
        <w:r w:rsidR="004F38A3">
          <w:rPr>
            <w:b w:val="0"/>
            <w:bCs w:val="0"/>
            <w:noProof/>
          </w:rPr>
          <w:t>7</w:t>
        </w:r>
        <w:r w:rsidR="005404D6" w:rsidRPr="005404D6">
          <w:rPr>
            <w:b w:val="0"/>
            <w:bCs w:val="0"/>
            <w:noProof/>
          </w:rPr>
          <w:fldChar w:fldCharType="end"/>
        </w:r>
      </w:hyperlink>
    </w:p>
    <w:p w14:paraId="7B574680" w14:textId="0A2970DF" w:rsidR="00AD3B6F" w:rsidRPr="005404D6" w:rsidRDefault="00D64A22" w:rsidP="00AD3B6F">
      <w:pPr>
        <w:pStyle w:val="11"/>
        <w:tabs>
          <w:tab w:val="right" w:leader="dot" w:pos="9060"/>
        </w:tabs>
        <w:spacing w:line="240" w:lineRule="auto"/>
        <w:rPr>
          <w:rFonts w:eastAsiaTheme="minorEastAsia"/>
          <w:b w:val="0"/>
          <w:bCs w:val="0"/>
          <w:noProof/>
          <w14:ligatures w14:val="standardContextual"/>
        </w:rPr>
      </w:pPr>
      <w:hyperlink w:anchor="_Toc170380165" w:history="1">
        <w:r w:rsidR="00AD3B6F" w:rsidRPr="005404D6">
          <w:rPr>
            <w:rStyle w:val="af6"/>
            <w:b w:val="0"/>
            <w:bCs w:val="0"/>
            <w:noProof/>
          </w:rPr>
          <w:t xml:space="preserve">Table </w:t>
        </w:r>
        <w:r w:rsidR="00AD3B6F">
          <w:rPr>
            <w:rStyle w:val="af6"/>
            <w:b w:val="0"/>
            <w:bCs w:val="0"/>
            <w:noProof/>
          </w:rPr>
          <w:t>2</w:t>
        </w:r>
        <w:r w:rsidR="00AD3B6F" w:rsidRPr="005404D6">
          <w:rPr>
            <w:rStyle w:val="af6"/>
            <w:b w:val="0"/>
            <w:bCs w:val="0"/>
            <w:noProof/>
          </w:rPr>
          <w:t xml:space="preserve"> </w:t>
        </w:r>
        <w:r w:rsidR="00AD3B6F">
          <w:rPr>
            <w:rStyle w:val="af6"/>
            <w:b w:val="0"/>
            <w:bCs w:val="0"/>
            <w:noProof/>
          </w:rPr>
          <w:t>List of investigators</w:t>
        </w:r>
        <w:r w:rsidR="00AD3B6F" w:rsidRPr="005404D6">
          <w:rPr>
            <w:b w:val="0"/>
            <w:bCs w:val="0"/>
            <w:noProof/>
          </w:rPr>
          <w:tab/>
        </w:r>
        <w:r w:rsidR="00AD3B6F">
          <w:rPr>
            <w:b w:val="0"/>
            <w:bCs w:val="0"/>
            <w:noProof/>
          </w:rPr>
          <w:t>9</w:t>
        </w:r>
      </w:hyperlink>
    </w:p>
    <w:p w14:paraId="07561626" w14:textId="53AB2B48"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166" w:history="1">
        <w:r w:rsidR="005404D6" w:rsidRPr="005404D6">
          <w:rPr>
            <w:rStyle w:val="af6"/>
            <w:b w:val="0"/>
            <w:bCs w:val="0"/>
            <w:noProof/>
          </w:rPr>
          <w:t>1.</w:t>
        </w:r>
        <w:r w:rsidR="005404D6" w:rsidRPr="005404D6">
          <w:rPr>
            <w:rFonts w:eastAsiaTheme="minorEastAsia"/>
            <w:b w:val="0"/>
            <w:bCs w:val="0"/>
            <w:noProof/>
            <w14:ligatures w14:val="standardContextual"/>
          </w:rPr>
          <w:tab/>
        </w:r>
        <w:r w:rsidR="005404D6" w:rsidRPr="005404D6">
          <w:rPr>
            <w:rStyle w:val="af6"/>
            <w:b w:val="0"/>
            <w:bCs w:val="0"/>
            <w:noProof/>
          </w:rPr>
          <w:t>INTRODUCTION</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_Toc170380166 \h </w:instrText>
        </w:r>
        <w:r w:rsidR="005404D6" w:rsidRPr="005404D6">
          <w:rPr>
            <w:b w:val="0"/>
            <w:bCs w:val="0"/>
            <w:noProof/>
          </w:rPr>
        </w:r>
        <w:r w:rsidR="005404D6" w:rsidRPr="005404D6">
          <w:rPr>
            <w:b w:val="0"/>
            <w:bCs w:val="0"/>
            <w:noProof/>
          </w:rPr>
          <w:fldChar w:fldCharType="separate"/>
        </w:r>
        <w:r w:rsidR="004F38A3">
          <w:rPr>
            <w:b w:val="0"/>
            <w:bCs w:val="0"/>
            <w:noProof/>
          </w:rPr>
          <w:t>13</w:t>
        </w:r>
        <w:r w:rsidR="005404D6" w:rsidRPr="005404D6">
          <w:rPr>
            <w:b w:val="0"/>
            <w:bCs w:val="0"/>
            <w:noProof/>
          </w:rPr>
          <w:fldChar w:fldCharType="end"/>
        </w:r>
      </w:hyperlink>
    </w:p>
    <w:p w14:paraId="6415AFCC" w14:textId="1997E864"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168" w:history="1">
        <w:r w:rsidR="005404D6" w:rsidRPr="005404D6">
          <w:rPr>
            <w:rStyle w:val="af6"/>
            <w:b w:val="0"/>
            <w:bCs w:val="0"/>
            <w:noProof/>
          </w:rPr>
          <w:t>2.</w:t>
        </w:r>
        <w:r w:rsidR="005404D6" w:rsidRPr="005404D6">
          <w:rPr>
            <w:rFonts w:eastAsiaTheme="minorEastAsia"/>
            <w:b w:val="0"/>
            <w:bCs w:val="0"/>
            <w:noProof/>
            <w14:ligatures w14:val="standardContextual"/>
          </w:rPr>
          <w:tab/>
        </w:r>
        <w:r w:rsidR="005404D6" w:rsidRPr="005404D6">
          <w:rPr>
            <w:rStyle w:val="af6"/>
            <w:b w:val="0"/>
            <w:bCs w:val="0"/>
            <w:noProof/>
          </w:rPr>
          <w:t>STUDY OBJECTIVES</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_Toc170380168 \h </w:instrText>
        </w:r>
        <w:r w:rsidR="005404D6" w:rsidRPr="005404D6">
          <w:rPr>
            <w:b w:val="0"/>
            <w:bCs w:val="0"/>
            <w:noProof/>
          </w:rPr>
        </w:r>
        <w:r w:rsidR="005404D6" w:rsidRPr="005404D6">
          <w:rPr>
            <w:b w:val="0"/>
            <w:bCs w:val="0"/>
            <w:noProof/>
          </w:rPr>
          <w:fldChar w:fldCharType="separate"/>
        </w:r>
        <w:r w:rsidR="004F38A3">
          <w:rPr>
            <w:b w:val="0"/>
            <w:bCs w:val="0"/>
            <w:noProof/>
          </w:rPr>
          <w:t>15</w:t>
        </w:r>
        <w:r w:rsidR="005404D6" w:rsidRPr="005404D6">
          <w:rPr>
            <w:b w:val="0"/>
            <w:bCs w:val="0"/>
            <w:noProof/>
          </w:rPr>
          <w:fldChar w:fldCharType="end"/>
        </w:r>
      </w:hyperlink>
    </w:p>
    <w:p w14:paraId="2F0600E6" w14:textId="66F8090C"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69" w:history="1">
        <w:r w:rsidR="005404D6" w:rsidRPr="005404D6">
          <w:rPr>
            <w:rStyle w:val="af6"/>
            <w:noProof/>
          </w:rPr>
          <w:t>2.1.</w:t>
        </w:r>
        <w:r w:rsidR="005404D6" w:rsidRPr="005404D6">
          <w:rPr>
            <w:rFonts w:eastAsiaTheme="minorEastAsia"/>
            <w:i w:val="0"/>
            <w:iCs w:val="0"/>
            <w:noProof/>
            <w14:ligatures w14:val="standardContextual"/>
          </w:rPr>
          <w:tab/>
        </w:r>
        <w:r w:rsidR="005404D6" w:rsidRPr="005404D6">
          <w:rPr>
            <w:rStyle w:val="af6"/>
            <w:noProof/>
          </w:rPr>
          <w:t>Primary objective</w:t>
        </w:r>
        <w:r w:rsidR="005404D6" w:rsidRPr="005404D6">
          <w:rPr>
            <w:noProof/>
          </w:rPr>
          <w:tab/>
        </w:r>
        <w:r w:rsidR="005404D6" w:rsidRPr="005404D6">
          <w:rPr>
            <w:noProof/>
          </w:rPr>
          <w:fldChar w:fldCharType="begin"/>
        </w:r>
        <w:r w:rsidR="005404D6" w:rsidRPr="005404D6">
          <w:rPr>
            <w:noProof/>
          </w:rPr>
          <w:instrText xml:space="preserve"> PAGEREF _Toc170380169 \h </w:instrText>
        </w:r>
        <w:r w:rsidR="005404D6" w:rsidRPr="005404D6">
          <w:rPr>
            <w:noProof/>
          </w:rPr>
        </w:r>
        <w:r w:rsidR="005404D6" w:rsidRPr="005404D6">
          <w:rPr>
            <w:noProof/>
          </w:rPr>
          <w:fldChar w:fldCharType="separate"/>
        </w:r>
        <w:r w:rsidR="004F38A3">
          <w:rPr>
            <w:noProof/>
          </w:rPr>
          <w:t>15</w:t>
        </w:r>
        <w:r w:rsidR="005404D6" w:rsidRPr="005404D6">
          <w:rPr>
            <w:noProof/>
          </w:rPr>
          <w:fldChar w:fldCharType="end"/>
        </w:r>
      </w:hyperlink>
    </w:p>
    <w:p w14:paraId="145D3E97" w14:textId="4FE3D659"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70" w:history="1">
        <w:r w:rsidR="005404D6" w:rsidRPr="005404D6">
          <w:rPr>
            <w:rStyle w:val="af6"/>
            <w:noProof/>
          </w:rPr>
          <w:t>2.2.</w:t>
        </w:r>
        <w:r w:rsidR="005404D6" w:rsidRPr="005404D6">
          <w:rPr>
            <w:rFonts w:eastAsiaTheme="minorEastAsia"/>
            <w:i w:val="0"/>
            <w:iCs w:val="0"/>
            <w:noProof/>
            <w14:ligatures w14:val="standardContextual"/>
          </w:rPr>
          <w:tab/>
        </w:r>
        <w:r w:rsidR="005404D6" w:rsidRPr="005404D6">
          <w:rPr>
            <w:rStyle w:val="af6"/>
            <w:noProof/>
          </w:rPr>
          <w:t>Secondary objectives</w:t>
        </w:r>
        <w:r w:rsidR="005404D6" w:rsidRPr="005404D6">
          <w:rPr>
            <w:noProof/>
          </w:rPr>
          <w:tab/>
        </w:r>
        <w:r w:rsidR="005404D6" w:rsidRPr="005404D6">
          <w:rPr>
            <w:noProof/>
          </w:rPr>
          <w:fldChar w:fldCharType="begin"/>
        </w:r>
        <w:r w:rsidR="005404D6" w:rsidRPr="005404D6">
          <w:rPr>
            <w:noProof/>
          </w:rPr>
          <w:instrText xml:space="preserve"> PAGEREF _Toc170380170 \h </w:instrText>
        </w:r>
        <w:r w:rsidR="005404D6" w:rsidRPr="005404D6">
          <w:rPr>
            <w:noProof/>
          </w:rPr>
        </w:r>
        <w:r w:rsidR="005404D6" w:rsidRPr="005404D6">
          <w:rPr>
            <w:noProof/>
          </w:rPr>
          <w:fldChar w:fldCharType="separate"/>
        </w:r>
        <w:r w:rsidR="004F38A3">
          <w:rPr>
            <w:noProof/>
          </w:rPr>
          <w:t>15</w:t>
        </w:r>
        <w:r w:rsidR="005404D6" w:rsidRPr="005404D6">
          <w:rPr>
            <w:noProof/>
          </w:rPr>
          <w:fldChar w:fldCharType="end"/>
        </w:r>
      </w:hyperlink>
    </w:p>
    <w:p w14:paraId="5836E1D3" w14:textId="6E55EE23"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71" w:history="1">
        <w:r w:rsidR="005404D6" w:rsidRPr="005404D6">
          <w:rPr>
            <w:rStyle w:val="af6"/>
            <w:noProof/>
          </w:rPr>
          <w:t>2.3.</w:t>
        </w:r>
        <w:r w:rsidR="005404D6" w:rsidRPr="005404D6">
          <w:rPr>
            <w:rFonts w:eastAsiaTheme="minorEastAsia"/>
            <w:i w:val="0"/>
            <w:iCs w:val="0"/>
            <w:noProof/>
            <w14:ligatures w14:val="standardContextual"/>
          </w:rPr>
          <w:tab/>
        </w:r>
        <w:r w:rsidR="005404D6" w:rsidRPr="005404D6">
          <w:rPr>
            <w:rStyle w:val="af6"/>
            <w:noProof/>
          </w:rPr>
          <w:t>Exploratory objectives</w:t>
        </w:r>
        <w:r w:rsidR="005404D6" w:rsidRPr="005404D6">
          <w:rPr>
            <w:noProof/>
          </w:rPr>
          <w:tab/>
        </w:r>
        <w:r w:rsidR="005404D6" w:rsidRPr="005404D6">
          <w:rPr>
            <w:noProof/>
          </w:rPr>
          <w:fldChar w:fldCharType="begin"/>
        </w:r>
        <w:r w:rsidR="005404D6" w:rsidRPr="005404D6">
          <w:rPr>
            <w:noProof/>
          </w:rPr>
          <w:instrText xml:space="preserve"> PAGEREF _Toc170380171 \h </w:instrText>
        </w:r>
        <w:r w:rsidR="005404D6" w:rsidRPr="005404D6">
          <w:rPr>
            <w:noProof/>
          </w:rPr>
        </w:r>
        <w:r w:rsidR="005404D6" w:rsidRPr="005404D6">
          <w:rPr>
            <w:noProof/>
          </w:rPr>
          <w:fldChar w:fldCharType="separate"/>
        </w:r>
        <w:r w:rsidR="004F38A3">
          <w:rPr>
            <w:noProof/>
          </w:rPr>
          <w:t>15</w:t>
        </w:r>
        <w:r w:rsidR="005404D6" w:rsidRPr="005404D6">
          <w:rPr>
            <w:noProof/>
          </w:rPr>
          <w:fldChar w:fldCharType="end"/>
        </w:r>
      </w:hyperlink>
    </w:p>
    <w:p w14:paraId="4C82339E" w14:textId="4A54EB91"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172" w:history="1">
        <w:r w:rsidR="005404D6" w:rsidRPr="005404D6">
          <w:rPr>
            <w:rStyle w:val="af6"/>
            <w:b w:val="0"/>
            <w:bCs w:val="0"/>
            <w:noProof/>
          </w:rPr>
          <w:t>3.</w:t>
        </w:r>
        <w:r w:rsidR="005404D6" w:rsidRPr="005404D6">
          <w:rPr>
            <w:rFonts w:eastAsiaTheme="minorEastAsia"/>
            <w:b w:val="0"/>
            <w:bCs w:val="0"/>
            <w:noProof/>
            <w14:ligatures w14:val="standardContextual"/>
          </w:rPr>
          <w:tab/>
        </w:r>
        <w:r w:rsidR="005404D6" w:rsidRPr="005404D6">
          <w:rPr>
            <w:rStyle w:val="af6"/>
            <w:b w:val="0"/>
            <w:bCs w:val="0"/>
            <w:noProof/>
          </w:rPr>
          <w:t>STUDY DESIGN</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_Toc170380172 \h </w:instrText>
        </w:r>
        <w:r w:rsidR="005404D6" w:rsidRPr="005404D6">
          <w:rPr>
            <w:b w:val="0"/>
            <w:bCs w:val="0"/>
            <w:noProof/>
          </w:rPr>
        </w:r>
        <w:r w:rsidR="005404D6" w:rsidRPr="005404D6">
          <w:rPr>
            <w:b w:val="0"/>
            <w:bCs w:val="0"/>
            <w:noProof/>
          </w:rPr>
          <w:fldChar w:fldCharType="separate"/>
        </w:r>
        <w:r w:rsidR="004F38A3">
          <w:rPr>
            <w:b w:val="0"/>
            <w:bCs w:val="0"/>
            <w:noProof/>
          </w:rPr>
          <w:t>16</w:t>
        </w:r>
        <w:r w:rsidR="005404D6" w:rsidRPr="005404D6">
          <w:rPr>
            <w:b w:val="0"/>
            <w:bCs w:val="0"/>
            <w:noProof/>
          </w:rPr>
          <w:fldChar w:fldCharType="end"/>
        </w:r>
      </w:hyperlink>
    </w:p>
    <w:p w14:paraId="3A0317AE" w14:textId="7B276862"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73" w:history="1">
        <w:r w:rsidR="005404D6" w:rsidRPr="005404D6">
          <w:rPr>
            <w:rStyle w:val="af6"/>
            <w:noProof/>
          </w:rPr>
          <w:t>3.1.</w:t>
        </w:r>
        <w:r w:rsidR="005404D6" w:rsidRPr="005404D6">
          <w:rPr>
            <w:rFonts w:eastAsiaTheme="minorEastAsia"/>
            <w:i w:val="0"/>
            <w:iCs w:val="0"/>
            <w:noProof/>
            <w14:ligatures w14:val="standardContextual"/>
          </w:rPr>
          <w:tab/>
        </w:r>
        <w:r w:rsidR="005404D6" w:rsidRPr="005404D6">
          <w:rPr>
            <w:rStyle w:val="af6"/>
            <w:noProof/>
          </w:rPr>
          <w:t>Study design and plan</w:t>
        </w:r>
        <w:r w:rsidR="005404D6" w:rsidRPr="005404D6">
          <w:rPr>
            <w:noProof/>
          </w:rPr>
          <w:tab/>
        </w:r>
        <w:r w:rsidR="005404D6" w:rsidRPr="005404D6">
          <w:rPr>
            <w:noProof/>
          </w:rPr>
          <w:fldChar w:fldCharType="begin"/>
        </w:r>
        <w:r w:rsidR="005404D6" w:rsidRPr="005404D6">
          <w:rPr>
            <w:noProof/>
          </w:rPr>
          <w:instrText xml:space="preserve"> PAGEREF _Toc170380173 \h </w:instrText>
        </w:r>
        <w:r w:rsidR="005404D6" w:rsidRPr="005404D6">
          <w:rPr>
            <w:noProof/>
          </w:rPr>
        </w:r>
        <w:r w:rsidR="005404D6" w:rsidRPr="005404D6">
          <w:rPr>
            <w:noProof/>
          </w:rPr>
          <w:fldChar w:fldCharType="separate"/>
        </w:r>
        <w:r w:rsidR="004F38A3">
          <w:rPr>
            <w:noProof/>
          </w:rPr>
          <w:t>16</w:t>
        </w:r>
        <w:r w:rsidR="005404D6" w:rsidRPr="005404D6">
          <w:rPr>
            <w:noProof/>
          </w:rPr>
          <w:fldChar w:fldCharType="end"/>
        </w:r>
      </w:hyperlink>
    </w:p>
    <w:p w14:paraId="23B03B8A" w14:textId="6EAB5116"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74" w:history="1">
        <w:r w:rsidR="005404D6" w:rsidRPr="005404D6">
          <w:rPr>
            <w:rStyle w:val="af6"/>
            <w:noProof/>
          </w:rPr>
          <w:t>3.2.</w:t>
        </w:r>
        <w:r w:rsidR="005404D6" w:rsidRPr="005404D6">
          <w:rPr>
            <w:rFonts w:eastAsiaTheme="minorEastAsia"/>
            <w:i w:val="0"/>
            <w:iCs w:val="0"/>
            <w:noProof/>
            <w14:ligatures w14:val="standardContextual"/>
          </w:rPr>
          <w:tab/>
        </w:r>
        <w:r w:rsidR="005404D6" w:rsidRPr="005404D6">
          <w:rPr>
            <w:rStyle w:val="af6"/>
            <w:noProof/>
          </w:rPr>
          <w:t>Subject selection</w:t>
        </w:r>
        <w:r w:rsidR="005404D6" w:rsidRPr="005404D6">
          <w:rPr>
            <w:noProof/>
          </w:rPr>
          <w:tab/>
        </w:r>
        <w:r w:rsidR="005404D6" w:rsidRPr="005404D6">
          <w:rPr>
            <w:noProof/>
          </w:rPr>
          <w:fldChar w:fldCharType="begin"/>
        </w:r>
        <w:r w:rsidR="005404D6" w:rsidRPr="005404D6">
          <w:rPr>
            <w:noProof/>
          </w:rPr>
          <w:instrText xml:space="preserve"> PAGEREF _Toc170380174 \h </w:instrText>
        </w:r>
        <w:r w:rsidR="005404D6" w:rsidRPr="005404D6">
          <w:rPr>
            <w:noProof/>
          </w:rPr>
        </w:r>
        <w:r w:rsidR="005404D6" w:rsidRPr="005404D6">
          <w:rPr>
            <w:noProof/>
          </w:rPr>
          <w:fldChar w:fldCharType="separate"/>
        </w:r>
        <w:r w:rsidR="004F38A3">
          <w:rPr>
            <w:noProof/>
          </w:rPr>
          <w:t>16</w:t>
        </w:r>
        <w:r w:rsidR="005404D6" w:rsidRPr="005404D6">
          <w:rPr>
            <w:noProof/>
          </w:rPr>
          <w:fldChar w:fldCharType="end"/>
        </w:r>
      </w:hyperlink>
    </w:p>
    <w:p w14:paraId="3AE8E1FE" w14:textId="25B211B7"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75" w:history="1">
        <w:r w:rsidR="005404D6" w:rsidRPr="005404D6">
          <w:rPr>
            <w:rStyle w:val="af6"/>
            <w:b w:val="0"/>
            <w:noProof/>
            <w:sz w:val="20"/>
            <w:szCs w:val="20"/>
          </w:rPr>
          <w:t>3.2.1.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Inclusion criteria</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_Toc170380175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16</w:t>
        </w:r>
        <w:r w:rsidR="005404D6" w:rsidRPr="005404D6">
          <w:rPr>
            <w:b w:val="0"/>
            <w:noProof/>
            <w:sz w:val="20"/>
            <w:szCs w:val="20"/>
          </w:rPr>
          <w:fldChar w:fldCharType="end"/>
        </w:r>
      </w:hyperlink>
    </w:p>
    <w:p w14:paraId="1332A458" w14:textId="2D3F3338" w:rsidR="005404D6" w:rsidRDefault="00D64A22" w:rsidP="005404D6">
      <w:pPr>
        <w:pStyle w:val="32"/>
        <w:tabs>
          <w:tab w:val="left" w:pos="1260"/>
        </w:tabs>
        <w:spacing w:after="240" w:line="240" w:lineRule="auto"/>
        <w:rPr>
          <w:b w:val="0"/>
          <w:noProof/>
          <w:sz w:val="20"/>
          <w:szCs w:val="20"/>
        </w:rPr>
      </w:pPr>
      <w:hyperlink w:anchor="_Toc170380176" w:history="1">
        <w:r w:rsidR="005404D6" w:rsidRPr="005404D6">
          <w:rPr>
            <w:rStyle w:val="af6"/>
            <w:b w:val="0"/>
            <w:noProof/>
            <w:sz w:val="20"/>
            <w:szCs w:val="20"/>
          </w:rPr>
          <w:t>3.2.2.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Exclusion criteria</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_Toc170380176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17</w:t>
        </w:r>
        <w:r w:rsidR="005404D6" w:rsidRPr="005404D6">
          <w:rPr>
            <w:b w:val="0"/>
            <w:noProof/>
            <w:sz w:val="20"/>
            <w:szCs w:val="20"/>
          </w:rPr>
          <w:fldChar w:fldCharType="end"/>
        </w:r>
      </w:hyperlink>
    </w:p>
    <w:p w14:paraId="200EC2D4" w14:textId="06DD562A" w:rsidR="00697D3D" w:rsidRPr="005404D6" w:rsidRDefault="00D64A22" w:rsidP="00697D3D">
      <w:pPr>
        <w:pStyle w:val="32"/>
        <w:tabs>
          <w:tab w:val="left" w:pos="1260"/>
        </w:tabs>
        <w:spacing w:after="240" w:line="240" w:lineRule="auto"/>
        <w:rPr>
          <w:rFonts w:eastAsiaTheme="minorEastAsia"/>
          <w:b w:val="0"/>
          <w:noProof/>
          <w:sz w:val="20"/>
          <w:szCs w:val="20"/>
          <w14:ligatures w14:val="standardContextual"/>
        </w:rPr>
      </w:pPr>
      <w:hyperlink w:anchor="_Toc170380176" w:history="1">
        <w:r w:rsidR="00BA03F9" w:rsidRPr="00050D0F">
          <w:rPr>
            <w:b w:val="0"/>
            <w:sz w:val="20"/>
            <w:szCs w:val="20"/>
          </w:rPr>
          <w:t>3.2.3.</w:t>
        </w:r>
        <w:r w:rsidR="00BA03F9" w:rsidRPr="00050D0F">
          <w:rPr>
            <w:b w:val="0"/>
            <w:sz w:val="20"/>
            <w:szCs w:val="20"/>
          </w:rPr>
          <w:tab/>
          <w:t>Defin</w:t>
        </w:r>
        <w:r w:rsidR="0002040B">
          <w:rPr>
            <w:b w:val="0"/>
            <w:sz w:val="20"/>
            <w:szCs w:val="20"/>
          </w:rPr>
          <w:t>i</w:t>
        </w:r>
        <w:r w:rsidR="00BA03F9" w:rsidRPr="00050D0F">
          <w:rPr>
            <w:b w:val="0"/>
            <w:sz w:val="20"/>
            <w:szCs w:val="20"/>
          </w:rPr>
          <w:t>tion of R0 resection</w:t>
        </w:r>
        <w:r w:rsidR="00697D3D" w:rsidRPr="005404D6">
          <w:rPr>
            <w:b w:val="0"/>
            <w:noProof/>
            <w:sz w:val="20"/>
            <w:szCs w:val="20"/>
          </w:rPr>
          <w:tab/>
        </w:r>
        <w:r w:rsidR="00697D3D" w:rsidRPr="005404D6">
          <w:rPr>
            <w:b w:val="0"/>
            <w:noProof/>
            <w:sz w:val="20"/>
            <w:szCs w:val="20"/>
          </w:rPr>
          <w:fldChar w:fldCharType="begin"/>
        </w:r>
        <w:r w:rsidR="00697D3D" w:rsidRPr="005404D6">
          <w:rPr>
            <w:b w:val="0"/>
            <w:noProof/>
            <w:sz w:val="20"/>
            <w:szCs w:val="20"/>
          </w:rPr>
          <w:instrText xml:space="preserve"> PAGEREF _Toc170380176 \h </w:instrText>
        </w:r>
        <w:r w:rsidR="00697D3D" w:rsidRPr="005404D6">
          <w:rPr>
            <w:b w:val="0"/>
            <w:noProof/>
            <w:sz w:val="20"/>
            <w:szCs w:val="20"/>
          </w:rPr>
        </w:r>
        <w:r w:rsidR="00697D3D" w:rsidRPr="005404D6">
          <w:rPr>
            <w:b w:val="0"/>
            <w:noProof/>
            <w:sz w:val="20"/>
            <w:szCs w:val="20"/>
          </w:rPr>
          <w:fldChar w:fldCharType="separate"/>
        </w:r>
        <w:r w:rsidR="004F38A3">
          <w:rPr>
            <w:b w:val="0"/>
            <w:noProof/>
            <w:sz w:val="20"/>
            <w:szCs w:val="20"/>
          </w:rPr>
          <w:t>18</w:t>
        </w:r>
        <w:r w:rsidR="00697D3D" w:rsidRPr="005404D6">
          <w:rPr>
            <w:b w:val="0"/>
            <w:noProof/>
            <w:sz w:val="20"/>
            <w:szCs w:val="20"/>
          </w:rPr>
          <w:fldChar w:fldCharType="end"/>
        </w:r>
      </w:hyperlink>
    </w:p>
    <w:p w14:paraId="18D779FF" w14:textId="45A34810"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77" w:history="1">
        <w:r w:rsidR="005404D6" w:rsidRPr="005404D6">
          <w:rPr>
            <w:rStyle w:val="af6"/>
            <w:noProof/>
          </w:rPr>
          <w:t>3.3.</w:t>
        </w:r>
        <w:r w:rsidR="005404D6" w:rsidRPr="005404D6">
          <w:rPr>
            <w:rFonts w:eastAsiaTheme="minorEastAsia"/>
            <w:i w:val="0"/>
            <w:iCs w:val="0"/>
            <w:noProof/>
            <w14:ligatures w14:val="standardContextual"/>
          </w:rPr>
          <w:tab/>
        </w:r>
        <w:r w:rsidR="005404D6" w:rsidRPr="005404D6">
          <w:rPr>
            <w:rStyle w:val="af6"/>
            <w:noProof/>
          </w:rPr>
          <w:t>Study duration</w:t>
        </w:r>
        <w:r w:rsidR="005404D6" w:rsidRPr="005404D6">
          <w:rPr>
            <w:noProof/>
          </w:rPr>
          <w:tab/>
        </w:r>
        <w:r w:rsidR="005404D6" w:rsidRPr="005404D6">
          <w:rPr>
            <w:noProof/>
          </w:rPr>
          <w:fldChar w:fldCharType="begin"/>
        </w:r>
        <w:r w:rsidR="005404D6" w:rsidRPr="005404D6">
          <w:rPr>
            <w:noProof/>
          </w:rPr>
          <w:instrText xml:space="preserve"> PAGEREF _Toc170380177 \h </w:instrText>
        </w:r>
        <w:r w:rsidR="005404D6" w:rsidRPr="005404D6">
          <w:rPr>
            <w:noProof/>
          </w:rPr>
        </w:r>
        <w:r w:rsidR="005404D6" w:rsidRPr="005404D6">
          <w:rPr>
            <w:noProof/>
          </w:rPr>
          <w:fldChar w:fldCharType="separate"/>
        </w:r>
        <w:r w:rsidR="004F38A3">
          <w:rPr>
            <w:noProof/>
          </w:rPr>
          <w:t>18</w:t>
        </w:r>
        <w:r w:rsidR="005404D6" w:rsidRPr="005404D6">
          <w:rPr>
            <w:noProof/>
          </w:rPr>
          <w:fldChar w:fldCharType="end"/>
        </w:r>
      </w:hyperlink>
    </w:p>
    <w:p w14:paraId="1D6FDDB1" w14:textId="227C9954"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78" w:history="1">
        <w:r w:rsidR="005404D6" w:rsidRPr="005404D6">
          <w:rPr>
            <w:rStyle w:val="af6"/>
            <w:noProof/>
          </w:rPr>
          <w:t>3.4.</w:t>
        </w:r>
        <w:r w:rsidR="005404D6" w:rsidRPr="005404D6">
          <w:rPr>
            <w:rFonts w:eastAsiaTheme="minorEastAsia"/>
            <w:i w:val="0"/>
            <w:iCs w:val="0"/>
            <w:noProof/>
            <w14:ligatures w14:val="standardContextual"/>
          </w:rPr>
          <w:tab/>
        </w:r>
        <w:r w:rsidR="005404D6" w:rsidRPr="005404D6">
          <w:rPr>
            <w:rStyle w:val="af6"/>
            <w:noProof/>
          </w:rPr>
          <w:t>Withdrawal from study</w:t>
        </w:r>
        <w:r w:rsidR="005404D6" w:rsidRPr="005404D6">
          <w:rPr>
            <w:noProof/>
          </w:rPr>
          <w:tab/>
        </w:r>
        <w:r w:rsidR="005404D6" w:rsidRPr="005404D6">
          <w:rPr>
            <w:noProof/>
          </w:rPr>
          <w:fldChar w:fldCharType="begin"/>
        </w:r>
        <w:r w:rsidR="005404D6" w:rsidRPr="005404D6">
          <w:rPr>
            <w:noProof/>
          </w:rPr>
          <w:instrText xml:space="preserve"> PAGEREF _Toc170380178 \h </w:instrText>
        </w:r>
        <w:r w:rsidR="005404D6" w:rsidRPr="005404D6">
          <w:rPr>
            <w:noProof/>
          </w:rPr>
        </w:r>
        <w:r w:rsidR="005404D6" w:rsidRPr="005404D6">
          <w:rPr>
            <w:noProof/>
          </w:rPr>
          <w:fldChar w:fldCharType="separate"/>
        </w:r>
        <w:r w:rsidR="004F38A3">
          <w:rPr>
            <w:noProof/>
          </w:rPr>
          <w:t>18</w:t>
        </w:r>
        <w:r w:rsidR="005404D6" w:rsidRPr="005404D6">
          <w:rPr>
            <w:noProof/>
          </w:rPr>
          <w:fldChar w:fldCharType="end"/>
        </w:r>
      </w:hyperlink>
    </w:p>
    <w:p w14:paraId="67988FA9" w14:textId="6D717764"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79" w:history="1">
        <w:r w:rsidR="005404D6" w:rsidRPr="005404D6">
          <w:rPr>
            <w:rStyle w:val="af6"/>
            <w:b w:val="0"/>
            <w:noProof/>
            <w:sz w:val="20"/>
            <w:szCs w:val="20"/>
          </w:rPr>
          <w:t>3.4.1.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Withdrawal criteria</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_Toc170380179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18</w:t>
        </w:r>
        <w:r w:rsidR="005404D6" w:rsidRPr="005404D6">
          <w:rPr>
            <w:b w:val="0"/>
            <w:noProof/>
            <w:sz w:val="20"/>
            <w:szCs w:val="20"/>
          </w:rPr>
          <w:fldChar w:fldCharType="end"/>
        </w:r>
      </w:hyperlink>
    </w:p>
    <w:p w14:paraId="62CC47B8" w14:textId="13442098"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80" w:history="1">
        <w:r w:rsidR="005404D6" w:rsidRPr="005404D6">
          <w:rPr>
            <w:rStyle w:val="af6"/>
            <w:noProof/>
          </w:rPr>
          <w:t>3.5.</w:t>
        </w:r>
        <w:r w:rsidR="005404D6" w:rsidRPr="005404D6">
          <w:rPr>
            <w:rFonts w:eastAsiaTheme="minorEastAsia"/>
            <w:i w:val="0"/>
            <w:iCs w:val="0"/>
            <w:noProof/>
            <w14:ligatures w14:val="standardContextual"/>
          </w:rPr>
          <w:tab/>
        </w:r>
        <w:r w:rsidR="005404D6" w:rsidRPr="005404D6">
          <w:rPr>
            <w:rStyle w:val="af6"/>
            <w:noProof/>
          </w:rPr>
          <w:t>Study plan</w:t>
        </w:r>
        <w:r w:rsidR="005404D6" w:rsidRPr="005404D6">
          <w:rPr>
            <w:noProof/>
          </w:rPr>
          <w:tab/>
        </w:r>
        <w:r w:rsidR="005404D6" w:rsidRPr="005404D6">
          <w:rPr>
            <w:noProof/>
          </w:rPr>
          <w:fldChar w:fldCharType="begin"/>
        </w:r>
        <w:r w:rsidR="005404D6" w:rsidRPr="005404D6">
          <w:rPr>
            <w:noProof/>
          </w:rPr>
          <w:instrText xml:space="preserve"> PAGEREF _Toc170380180 \h </w:instrText>
        </w:r>
        <w:r w:rsidR="005404D6" w:rsidRPr="005404D6">
          <w:rPr>
            <w:noProof/>
          </w:rPr>
        </w:r>
        <w:r w:rsidR="005404D6" w:rsidRPr="005404D6">
          <w:rPr>
            <w:noProof/>
          </w:rPr>
          <w:fldChar w:fldCharType="separate"/>
        </w:r>
        <w:r w:rsidR="004F38A3">
          <w:rPr>
            <w:noProof/>
          </w:rPr>
          <w:t>20</w:t>
        </w:r>
        <w:r w:rsidR="005404D6" w:rsidRPr="005404D6">
          <w:rPr>
            <w:noProof/>
          </w:rPr>
          <w:fldChar w:fldCharType="end"/>
        </w:r>
      </w:hyperlink>
    </w:p>
    <w:p w14:paraId="51E84B50" w14:textId="07A2CC12"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81" w:history="1">
        <w:r w:rsidR="005404D6" w:rsidRPr="005404D6">
          <w:rPr>
            <w:rStyle w:val="af6"/>
            <w:b w:val="0"/>
            <w:noProof/>
            <w:sz w:val="20"/>
            <w:szCs w:val="20"/>
          </w:rPr>
          <w:t>3.5.1.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Methods for assigning treatment groups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_Toc170380181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20</w:t>
        </w:r>
        <w:r w:rsidR="005404D6" w:rsidRPr="005404D6">
          <w:rPr>
            <w:b w:val="0"/>
            <w:noProof/>
            <w:sz w:val="20"/>
            <w:szCs w:val="20"/>
          </w:rPr>
          <w:fldChar w:fldCharType="end"/>
        </w:r>
      </w:hyperlink>
    </w:p>
    <w:p w14:paraId="579E245D" w14:textId="1EC427C5"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82" w:history="1">
        <w:r w:rsidR="005404D6" w:rsidRPr="005404D6">
          <w:rPr>
            <w:rStyle w:val="af6"/>
            <w:b w:val="0"/>
            <w:noProof/>
            <w:sz w:val="20"/>
            <w:szCs w:val="20"/>
          </w:rPr>
          <w:t>3.5.2.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 xml:space="preserve">Withdrawal of </w:t>
        </w:r>
        <w:r w:rsidR="000040AB">
          <w:rPr>
            <w:rStyle w:val="af6"/>
            <w:b w:val="0"/>
            <w:noProof/>
            <w:sz w:val="20"/>
            <w:szCs w:val="20"/>
          </w:rPr>
          <w:t>icotinib</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_Toc170380182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20</w:t>
        </w:r>
        <w:r w:rsidR="005404D6" w:rsidRPr="005404D6">
          <w:rPr>
            <w:b w:val="0"/>
            <w:noProof/>
            <w:sz w:val="20"/>
            <w:szCs w:val="20"/>
          </w:rPr>
          <w:fldChar w:fldCharType="end"/>
        </w:r>
      </w:hyperlink>
    </w:p>
    <w:p w14:paraId="68E5D7A1" w14:textId="532103B5"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83" w:history="1">
        <w:r w:rsidR="005404D6" w:rsidRPr="005404D6">
          <w:rPr>
            <w:rStyle w:val="af6"/>
            <w:b w:val="0"/>
            <w:noProof/>
            <w:sz w:val="20"/>
            <w:szCs w:val="20"/>
          </w:rPr>
          <w:t>3.5.3.</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Combined therapy and smoking</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_Toc170380183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20</w:t>
        </w:r>
        <w:r w:rsidR="005404D6" w:rsidRPr="005404D6">
          <w:rPr>
            <w:b w:val="0"/>
            <w:noProof/>
            <w:sz w:val="20"/>
            <w:szCs w:val="20"/>
          </w:rPr>
          <w:fldChar w:fldCharType="end"/>
        </w:r>
      </w:hyperlink>
    </w:p>
    <w:p w14:paraId="548E1F24" w14:textId="47939678"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84" w:history="1">
        <w:r w:rsidR="005404D6" w:rsidRPr="005404D6">
          <w:rPr>
            <w:rStyle w:val="af6"/>
            <w:b w:val="0"/>
            <w:noProof/>
            <w:sz w:val="20"/>
            <w:szCs w:val="20"/>
          </w:rPr>
          <w:t>3.5.4.</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Concomitant medication</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_Toc170380184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20</w:t>
        </w:r>
        <w:r w:rsidR="005404D6" w:rsidRPr="005404D6">
          <w:rPr>
            <w:b w:val="0"/>
            <w:noProof/>
            <w:sz w:val="20"/>
            <w:szCs w:val="20"/>
          </w:rPr>
          <w:fldChar w:fldCharType="end"/>
        </w:r>
      </w:hyperlink>
    </w:p>
    <w:p w14:paraId="6B4D983E" w14:textId="1D176948"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85" w:history="1">
        <w:r w:rsidR="005404D6" w:rsidRPr="005404D6">
          <w:rPr>
            <w:rStyle w:val="af6"/>
            <w:b w:val="0"/>
            <w:noProof/>
            <w:sz w:val="20"/>
            <w:szCs w:val="20"/>
          </w:rPr>
          <w:t>3.5.5.</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Compliance</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_Toc170380185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21</w:t>
        </w:r>
        <w:r w:rsidR="005404D6" w:rsidRPr="005404D6">
          <w:rPr>
            <w:b w:val="0"/>
            <w:noProof/>
            <w:sz w:val="20"/>
            <w:szCs w:val="20"/>
          </w:rPr>
          <w:fldChar w:fldCharType="end"/>
        </w:r>
      </w:hyperlink>
    </w:p>
    <w:p w14:paraId="1AD67F82" w14:textId="67B1808C"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86" w:history="1">
        <w:r w:rsidR="005404D6" w:rsidRPr="005404D6">
          <w:rPr>
            <w:rStyle w:val="af6"/>
            <w:noProof/>
          </w:rPr>
          <w:t>3.6.</w:t>
        </w:r>
        <w:r w:rsidR="005404D6" w:rsidRPr="005404D6">
          <w:rPr>
            <w:rFonts w:eastAsiaTheme="minorEastAsia"/>
            <w:i w:val="0"/>
            <w:iCs w:val="0"/>
            <w:noProof/>
            <w14:ligatures w14:val="standardContextual"/>
          </w:rPr>
          <w:tab/>
        </w:r>
        <w:r w:rsidR="005404D6" w:rsidRPr="005404D6">
          <w:rPr>
            <w:rStyle w:val="af6"/>
            <w:noProof/>
          </w:rPr>
          <w:t>Study endpoint</w:t>
        </w:r>
        <w:r w:rsidR="005404D6" w:rsidRPr="005404D6">
          <w:rPr>
            <w:noProof/>
          </w:rPr>
          <w:tab/>
        </w:r>
        <w:r w:rsidR="005404D6" w:rsidRPr="005404D6">
          <w:rPr>
            <w:noProof/>
          </w:rPr>
          <w:fldChar w:fldCharType="begin"/>
        </w:r>
        <w:r w:rsidR="005404D6" w:rsidRPr="005404D6">
          <w:rPr>
            <w:noProof/>
          </w:rPr>
          <w:instrText xml:space="preserve"> PAGEREF _Toc170380186 \h </w:instrText>
        </w:r>
        <w:r w:rsidR="005404D6" w:rsidRPr="005404D6">
          <w:rPr>
            <w:noProof/>
          </w:rPr>
        </w:r>
        <w:r w:rsidR="005404D6" w:rsidRPr="005404D6">
          <w:rPr>
            <w:noProof/>
          </w:rPr>
          <w:fldChar w:fldCharType="separate"/>
        </w:r>
        <w:r w:rsidR="004F38A3">
          <w:rPr>
            <w:noProof/>
          </w:rPr>
          <w:t>21</w:t>
        </w:r>
        <w:r w:rsidR="005404D6" w:rsidRPr="005404D6">
          <w:rPr>
            <w:noProof/>
          </w:rPr>
          <w:fldChar w:fldCharType="end"/>
        </w:r>
      </w:hyperlink>
    </w:p>
    <w:p w14:paraId="31E650CE" w14:textId="721A84F2"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87" w:history="1">
        <w:r w:rsidR="005404D6" w:rsidRPr="005404D6">
          <w:rPr>
            <w:rStyle w:val="af6"/>
            <w:b w:val="0"/>
            <w:noProof/>
            <w:sz w:val="20"/>
            <w:szCs w:val="20"/>
          </w:rPr>
          <w:t>3.6.1.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Efficacy endpoint</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_Toc170380187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21</w:t>
        </w:r>
        <w:r w:rsidR="005404D6" w:rsidRPr="005404D6">
          <w:rPr>
            <w:b w:val="0"/>
            <w:noProof/>
            <w:sz w:val="20"/>
            <w:szCs w:val="20"/>
          </w:rPr>
          <w:fldChar w:fldCharType="end"/>
        </w:r>
      </w:hyperlink>
    </w:p>
    <w:p w14:paraId="6BB6B99D" w14:textId="7199D120"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88" w:history="1">
        <w:r w:rsidR="005404D6" w:rsidRPr="005404D6">
          <w:rPr>
            <w:rStyle w:val="af6"/>
            <w:b w:val="0"/>
            <w:noProof/>
            <w:sz w:val="20"/>
            <w:szCs w:val="20"/>
          </w:rPr>
          <w:t>3.6.2.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Security specifications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_Toc170380188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22</w:t>
        </w:r>
        <w:r w:rsidR="005404D6" w:rsidRPr="005404D6">
          <w:rPr>
            <w:b w:val="0"/>
            <w:noProof/>
            <w:sz w:val="20"/>
            <w:szCs w:val="20"/>
          </w:rPr>
          <w:fldChar w:fldCharType="end"/>
        </w:r>
      </w:hyperlink>
    </w:p>
    <w:p w14:paraId="5BFBA083" w14:textId="41061ABC"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89" w:history="1">
        <w:r w:rsidR="005404D6" w:rsidRPr="005404D6">
          <w:rPr>
            <w:rStyle w:val="af6"/>
            <w:noProof/>
          </w:rPr>
          <w:t>3.7.</w:t>
        </w:r>
        <w:r w:rsidR="005404D6" w:rsidRPr="005404D6">
          <w:rPr>
            <w:rFonts w:eastAsiaTheme="minorEastAsia"/>
            <w:i w:val="0"/>
            <w:iCs w:val="0"/>
            <w:noProof/>
            <w14:ligatures w14:val="standardContextual"/>
          </w:rPr>
          <w:tab/>
        </w:r>
        <w:r w:rsidR="005404D6" w:rsidRPr="005404D6">
          <w:rPr>
            <w:rStyle w:val="af6"/>
            <w:noProof/>
          </w:rPr>
          <w:t>Research process (See Table 1 for the flow chart)</w:t>
        </w:r>
        <w:r w:rsidR="005404D6" w:rsidRPr="005404D6">
          <w:rPr>
            <w:noProof/>
          </w:rPr>
          <w:tab/>
        </w:r>
        <w:r w:rsidR="005404D6" w:rsidRPr="005404D6">
          <w:rPr>
            <w:noProof/>
          </w:rPr>
          <w:fldChar w:fldCharType="begin"/>
        </w:r>
        <w:r w:rsidR="005404D6" w:rsidRPr="005404D6">
          <w:rPr>
            <w:noProof/>
          </w:rPr>
          <w:instrText xml:space="preserve"> PAGEREF _Toc170380189 \h </w:instrText>
        </w:r>
        <w:r w:rsidR="005404D6" w:rsidRPr="005404D6">
          <w:rPr>
            <w:noProof/>
          </w:rPr>
        </w:r>
        <w:r w:rsidR="005404D6" w:rsidRPr="005404D6">
          <w:rPr>
            <w:noProof/>
          </w:rPr>
          <w:fldChar w:fldCharType="separate"/>
        </w:r>
        <w:r w:rsidR="004F38A3">
          <w:rPr>
            <w:noProof/>
          </w:rPr>
          <w:t>22</w:t>
        </w:r>
        <w:r w:rsidR="005404D6" w:rsidRPr="005404D6">
          <w:rPr>
            <w:noProof/>
          </w:rPr>
          <w:fldChar w:fldCharType="end"/>
        </w:r>
      </w:hyperlink>
    </w:p>
    <w:p w14:paraId="5F49B1C2" w14:textId="03165CB2"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90" w:history="1">
        <w:r w:rsidR="005404D6" w:rsidRPr="005404D6">
          <w:rPr>
            <w:rStyle w:val="af6"/>
            <w:b w:val="0"/>
            <w:noProof/>
            <w:sz w:val="20"/>
            <w:szCs w:val="20"/>
          </w:rPr>
          <w:t>3.7.1.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Screening period</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_Toc170380190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22</w:t>
        </w:r>
        <w:r w:rsidR="005404D6" w:rsidRPr="005404D6">
          <w:rPr>
            <w:b w:val="0"/>
            <w:noProof/>
            <w:sz w:val="20"/>
            <w:szCs w:val="20"/>
          </w:rPr>
          <w:fldChar w:fldCharType="end"/>
        </w:r>
      </w:hyperlink>
    </w:p>
    <w:p w14:paraId="29353618" w14:textId="6242BC73"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91" w:history="1">
        <w:r w:rsidR="005404D6" w:rsidRPr="005404D6">
          <w:rPr>
            <w:rStyle w:val="af6"/>
            <w:b w:val="0"/>
            <w:noProof/>
            <w:sz w:val="20"/>
            <w:szCs w:val="20"/>
          </w:rPr>
          <w:t>3.7.2.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Treatment period</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_Toc170380191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23</w:t>
        </w:r>
        <w:r w:rsidR="005404D6" w:rsidRPr="005404D6">
          <w:rPr>
            <w:b w:val="0"/>
            <w:noProof/>
            <w:sz w:val="20"/>
            <w:szCs w:val="20"/>
          </w:rPr>
          <w:fldChar w:fldCharType="end"/>
        </w:r>
      </w:hyperlink>
    </w:p>
    <w:p w14:paraId="79690FA8" w14:textId="1F15F562"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92" w:history="1">
        <w:r w:rsidR="005404D6" w:rsidRPr="005404D6">
          <w:rPr>
            <w:rStyle w:val="af6"/>
            <w:b w:val="0"/>
            <w:noProof/>
            <w:sz w:val="20"/>
            <w:szCs w:val="20"/>
          </w:rPr>
          <w:t>3.7.3.</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Survival follow-up</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_Toc170380192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24</w:t>
        </w:r>
        <w:r w:rsidR="005404D6" w:rsidRPr="005404D6">
          <w:rPr>
            <w:b w:val="0"/>
            <w:noProof/>
            <w:sz w:val="20"/>
            <w:szCs w:val="20"/>
          </w:rPr>
          <w:fldChar w:fldCharType="end"/>
        </w:r>
      </w:hyperlink>
    </w:p>
    <w:p w14:paraId="4E8A912C" w14:textId="709C04DD"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93" w:history="1">
        <w:r w:rsidR="005404D6" w:rsidRPr="005404D6">
          <w:rPr>
            <w:rStyle w:val="af6"/>
            <w:b w:val="0"/>
            <w:noProof/>
            <w:sz w:val="20"/>
            <w:szCs w:val="20"/>
          </w:rPr>
          <w:t>3.7.4.</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Temporary visit</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_Toc170380193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24</w:t>
        </w:r>
        <w:r w:rsidR="005404D6" w:rsidRPr="005404D6">
          <w:rPr>
            <w:b w:val="0"/>
            <w:noProof/>
            <w:sz w:val="20"/>
            <w:szCs w:val="20"/>
          </w:rPr>
          <w:fldChar w:fldCharType="end"/>
        </w:r>
      </w:hyperlink>
    </w:p>
    <w:p w14:paraId="34F0299D" w14:textId="6507825A"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94" w:history="1">
        <w:r w:rsidR="005404D6" w:rsidRPr="005404D6">
          <w:rPr>
            <w:rStyle w:val="af6"/>
            <w:noProof/>
          </w:rPr>
          <w:t>3.8.</w:t>
        </w:r>
        <w:r w:rsidR="005404D6" w:rsidRPr="005404D6">
          <w:rPr>
            <w:rFonts w:eastAsiaTheme="minorEastAsia"/>
            <w:i w:val="0"/>
            <w:iCs w:val="0"/>
            <w:noProof/>
            <w14:ligatures w14:val="standardContextual"/>
          </w:rPr>
          <w:tab/>
        </w:r>
        <w:r w:rsidR="005404D6" w:rsidRPr="005404D6">
          <w:rPr>
            <w:rStyle w:val="af6"/>
            <w:noProof/>
          </w:rPr>
          <w:t>Quality of data</w:t>
        </w:r>
        <w:r w:rsidR="005404D6" w:rsidRPr="005404D6">
          <w:rPr>
            <w:noProof/>
          </w:rPr>
          <w:tab/>
        </w:r>
        <w:r w:rsidR="005404D6" w:rsidRPr="005404D6">
          <w:rPr>
            <w:noProof/>
          </w:rPr>
          <w:fldChar w:fldCharType="begin"/>
        </w:r>
        <w:r w:rsidR="005404D6" w:rsidRPr="005404D6">
          <w:rPr>
            <w:noProof/>
          </w:rPr>
          <w:instrText xml:space="preserve"> PAGEREF _Toc170380194 \h </w:instrText>
        </w:r>
        <w:r w:rsidR="005404D6" w:rsidRPr="005404D6">
          <w:rPr>
            <w:noProof/>
          </w:rPr>
        </w:r>
        <w:r w:rsidR="005404D6" w:rsidRPr="005404D6">
          <w:rPr>
            <w:noProof/>
          </w:rPr>
          <w:fldChar w:fldCharType="separate"/>
        </w:r>
        <w:r w:rsidR="004F38A3">
          <w:rPr>
            <w:noProof/>
          </w:rPr>
          <w:t>25</w:t>
        </w:r>
        <w:r w:rsidR="005404D6" w:rsidRPr="005404D6">
          <w:rPr>
            <w:noProof/>
          </w:rPr>
          <w:fldChar w:fldCharType="end"/>
        </w:r>
      </w:hyperlink>
    </w:p>
    <w:p w14:paraId="7C7943B3" w14:textId="389D8636"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95" w:history="1">
        <w:r w:rsidR="005404D6" w:rsidRPr="005404D6">
          <w:rPr>
            <w:rStyle w:val="af6"/>
            <w:noProof/>
          </w:rPr>
          <w:t>3.9.</w:t>
        </w:r>
        <w:r w:rsidR="005404D6" w:rsidRPr="005404D6">
          <w:rPr>
            <w:rFonts w:eastAsiaTheme="minorEastAsia"/>
            <w:i w:val="0"/>
            <w:iCs w:val="0"/>
            <w:noProof/>
            <w14:ligatures w14:val="standardContextual"/>
          </w:rPr>
          <w:tab/>
        </w:r>
        <w:r w:rsidR="005404D6" w:rsidRPr="005404D6">
          <w:rPr>
            <w:rStyle w:val="af6"/>
            <w:noProof/>
          </w:rPr>
          <w:t>Archiving</w:t>
        </w:r>
        <w:r w:rsidR="005404D6" w:rsidRPr="005404D6">
          <w:rPr>
            <w:noProof/>
          </w:rPr>
          <w:tab/>
        </w:r>
        <w:r w:rsidR="005404D6" w:rsidRPr="005404D6">
          <w:rPr>
            <w:noProof/>
          </w:rPr>
          <w:fldChar w:fldCharType="begin"/>
        </w:r>
        <w:r w:rsidR="005404D6" w:rsidRPr="005404D6">
          <w:rPr>
            <w:noProof/>
          </w:rPr>
          <w:instrText xml:space="preserve"> PAGEREF _Toc170380195 \h </w:instrText>
        </w:r>
        <w:r w:rsidR="005404D6" w:rsidRPr="005404D6">
          <w:rPr>
            <w:noProof/>
          </w:rPr>
        </w:r>
        <w:r w:rsidR="005404D6" w:rsidRPr="005404D6">
          <w:rPr>
            <w:noProof/>
          </w:rPr>
          <w:fldChar w:fldCharType="separate"/>
        </w:r>
        <w:r w:rsidR="004F38A3">
          <w:rPr>
            <w:noProof/>
          </w:rPr>
          <w:t>25</w:t>
        </w:r>
        <w:r w:rsidR="005404D6" w:rsidRPr="005404D6">
          <w:rPr>
            <w:noProof/>
          </w:rPr>
          <w:fldChar w:fldCharType="end"/>
        </w:r>
      </w:hyperlink>
    </w:p>
    <w:p w14:paraId="532717CC" w14:textId="431CCB37"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196" w:history="1">
        <w:r w:rsidR="005404D6" w:rsidRPr="005404D6">
          <w:rPr>
            <w:rStyle w:val="af6"/>
            <w:b w:val="0"/>
            <w:bCs w:val="0"/>
            <w:noProof/>
          </w:rPr>
          <w:t>4.</w:t>
        </w:r>
        <w:r w:rsidR="005404D6" w:rsidRPr="005404D6">
          <w:rPr>
            <w:rFonts w:eastAsiaTheme="minorEastAsia"/>
            <w:b w:val="0"/>
            <w:bCs w:val="0"/>
            <w:noProof/>
            <w14:ligatures w14:val="standardContextual"/>
          </w:rPr>
          <w:tab/>
        </w:r>
        <w:r w:rsidR="005404D6" w:rsidRPr="005404D6">
          <w:rPr>
            <w:rStyle w:val="af6"/>
            <w:b w:val="0"/>
            <w:bCs w:val="0"/>
            <w:noProof/>
          </w:rPr>
          <w:t>INVESTIGATIONAL DRUG</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_Toc170380196 \h </w:instrText>
        </w:r>
        <w:r w:rsidR="005404D6" w:rsidRPr="005404D6">
          <w:rPr>
            <w:b w:val="0"/>
            <w:bCs w:val="0"/>
            <w:noProof/>
          </w:rPr>
        </w:r>
        <w:r w:rsidR="005404D6" w:rsidRPr="005404D6">
          <w:rPr>
            <w:b w:val="0"/>
            <w:bCs w:val="0"/>
            <w:noProof/>
          </w:rPr>
          <w:fldChar w:fldCharType="separate"/>
        </w:r>
        <w:r w:rsidR="004F38A3">
          <w:rPr>
            <w:b w:val="0"/>
            <w:bCs w:val="0"/>
            <w:noProof/>
          </w:rPr>
          <w:t>25</w:t>
        </w:r>
        <w:r w:rsidR="005404D6" w:rsidRPr="005404D6">
          <w:rPr>
            <w:b w:val="0"/>
            <w:bCs w:val="0"/>
            <w:noProof/>
          </w:rPr>
          <w:fldChar w:fldCharType="end"/>
        </w:r>
      </w:hyperlink>
    </w:p>
    <w:p w14:paraId="1DC8CAFF" w14:textId="7D0D38B2"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197" w:history="1">
        <w:r w:rsidR="005404D6" w:rsidRPr="005404D6">
          <w:rPr>
            <w:rStyle w:val="af6"/>
            <w:noProof/>
          </w:rPr>
          <w:t>4.1.</w:t>
        </w:r>
        <w:r w:rsidR="005404D6" w:rsidRPr="005404D6">
          <w:rPr>
            <w:rFonts w:eastAsiaTheme="minorEastAsia"/>
            <w:i w:val="0"/>
            <w:iCs w:val="0"/>
            <w:noProof/>
            <w14:ligatures w14:val="standardContextual"/>
          </w:rPr>
          <w:tab/>
        </w:r>
        <w:r w:rsidR="005404D6" w:rsidRPr="005404D6">
          <w:rPr>
            <w:rStyle w:val="af6"/>
            <w:noProof/>
          </w:rPr>
          <w:t>Icotinib</w:t>
        </w:r>
        <w:r w:rsidR="005404D6" w:rsidRPr="005404D6">
          <w:rPr>
            <w:noProof/>
          </w:rPr>
          <w:tab/>
        </w:r>
        <w:r w:rsidR="005404D6" w:rsidRPr="005404D6">
          <w:rPr>
            <w:noProof/>
          </w:rPr>
          <w:fldChar w:fldCharType="begin"/>
        </w:r>
        <w:r w:rsidR="005404D6" w:rsidRPr="005404D6">
          <w:rPr>
            <w:noProof/>
          </w:rPr>
          <w:instrText xml:space="preserve"> PAGEREF _Toc170380197 \h </w:instrText>
        </w:r>
        <w:r w:rsidR="005404D6" w:rsidRPr="005404D6">
          <w:rPr>
            <w:noProof/>
          </w:rPr>
        </w:r>
        <w:r w:rsidR="005404D6" w:rsidRPr="005404D6">
          <w:rPr>
            <w:noProof/>
          </w:rPr>
          <w:fldChar w:fldCharType="separate"/>
        </w:r>
        <w:r w:rsidR="004F38A3">
          <w:rPr>
            <w:noProof/>
          </w:rPr>
          <w:t>25</w:t>
        </w:r>
        <w:r w:rsidR="005404D6" w:rsidRPr="005404D6">
          <w:rPr>
            <w:noProof/>
          </w:rPr>
          <w:fldChar w:fldCharType="end"/>
        </w:r>
      </w:hyperlink>
    </w:p>
    <w:p w14:paraId="3B2062F7" w14:textId="17A475B5" w:rsidR="005404D6" w:rsidRPr="005404D6" w:rsidRDefault="00D64A22" w:rsidP="005404D6">
      <w:pPr>
        <w:pStyle w:val="32"/>
        <w:tabs>
          <w:tab w:val="left" w:pos="1470"/>
        </w:tabs>
        <w:spacing w:after="240" w:line="240" w:lineRule="auto"/>
        <w:rPr>
          <w:rFonts w:eastAsiaTheme="minorEastAsia"/>
          <w:b w:val="0"/>
          <w:noProof/>
          <w:sz w:val="20"/>
          <w:szCs w:val="20"/>
          <w14:ligatures w14:val="standardContextual"/>
        </w:rPr>
      </w:pPr>
      <w:hyperlink w:anchor="_Toc170380198" w:history="1">
        <w:r w:rsidR="005404D6" w:rsidRPr="005404D6">
          <w:rPr>
            <w:rStyle w:val="af6"/>
            <w:b w:val="0"/>
            <w:noProof/>
            <w:sz w:val="20"/>
            <w:szCs w:val="20"/>
          </w:rPr>
          <w:t>4.1.1.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Clinical trial drug name, physicochemical properties, appearance, specifications, composition, usage, storage</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_Toc170380198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25</w:t>
        </w:r>
        <w:r w:rsidR="005404D6" w:rsidRPr="005404D6">
          <w:rPr>
            <w:b w:val="0"/>
            <w:noProof/>
            <w:sz w:val="20"/>
            <w:szCs w:val="20"/>
          </w:rPr>
          <w:fldChar w:fldCharType="end"/>
        </w:r>
      </w:hyperlink>
    </w:p>
    <w:p w14:paraId="64817EC3" w14:textId="27492E24"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199" w:history="1">
        <w:r w:rsidR="005404D6" w:rsidRPr="005404D6">
          <w:rPr>
            <w:rStyle w:val="af6"/>
            <w:b w:val="0"/>
            <w:noProof/>
            <w:sz w:val="20"/>
            <w:szCs w:val="20"/>
          </w:rPr>
          <w:t>4.1.2.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Drug packaging and labeling</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_Toc170380199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26</w:t>
        </w:r>
        <w:r w:rsidR="005404D6" w:rsidRPr="005404D6">
          <w:rPr>
            <w:b w:val="0"/>
            <w:noProof/>
            <w:sz w:val="20"/>
            <w:szCs w:val="20"/>
          </w:rPr>
          <w:fldChar w:fldCharType="end"/>
        </w:r>
      </w:hyperlink>
    </w:p>
    <w:p w14:paraId="56E8E14B" w14:textId="568F7721"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00" w:history="1">
        <w:r w:rsidR="005404D6" w:rsidRPr="005404D6">
          <w:rPr>
            <w:rStyle w:val="af6"/>
            <w:b w:val="0"/>
            <w:noProof/>
            <w:sz w:val="20"/>
            <w:szCs w:val="20"/>
          </w:rPr>
          <w:t>4.1.3.</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Drug distribution and inventory</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_Toc170380200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26</w:t>
        </w:r>
        <w:r w:rsidR="005404D6" w:rsidRPr="005404D6">
          <w:rPr>
            <w:b w:val="0"/>
            <w:noProof/>
            <w:sz w:val="20"/>
            <w:szCs w:val="20"/>
          </w:rPr>
          <w:fldChar w:fldCharType="end"/>
        </w:r>
      </w:hyperlink>
    </w:p>
    <w:p w14:paraId="3F17EE03" w14:textId="41612C60"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201" w:history="1">
        <w:r w:rsidR="005404D6" w:rsidRPr="005404D6">
          <w:rPr>
            <w:rStyle w:val="af6"/>
            <w:b w:val="0"/>
            <w:bCs w:val="0"/>
            <w:noProof/>
          </w:rPr>
          <w:t>5.</w:t>
        </w:r>
        <w:r w:rsidR="005404D6" w:rsidRPr="005404D6">
          <w:rPr>
            <w:rFonts w:eastAsiaTheme="minorEastAsia"/>
            <w:b w:val="0"/>
            <w:bCs w:val="0"/>
            <w:noProof/>
            <w14:ligatures w14:val="standardContextual"/>
          </w:rPr>
          <w:tab/>
        </w:r>
        <w:r w:rsidR="005404D6" w:rsidRPr="005404D6">
          <w:rPr>
            <w:rStyle w:val="af6"/>
            <w:b w:val="0"/>
            <w:bCs w:val="0"/>
            <w:noProof/>
          </w:rPr>
          <w:t>ETHICAL AND LEGAL ASPECTS</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_Toc170380201 \h </w:instrText>
        </w:r>
        <w:r w:rsidR="005404D6" w:rsidRPr="005404D6">
          <w:rPr>
            <w:b w:val="0"/>
            <w:bCs w:val="0"/>
            <w:noProof/>
          </w:rPr>
        </w:r>
        <w:r w:rsidR="005404D6" w:rsidRPr="005404D6">
          <w:rPr>
            <w:b w:val="0"/>
            <w:bCs w:val="0"/>
            <w:noProof/>
          </w:rPr>
          <w:fldChar w:fldCharType="separate"/>
        </w:r>
        <w:r w:rsidR="004F38A3">
          <w:rPr>
            <w:b w:val="0"/>
            <w:bCs w:val="0"/>
            <w:noProof/>
          </w:rPr>
          <w:t>27</w:t>
        </w:r>
        <w:r w:rsidR="005404D6" w:rsidRPr="005404D6">
          <w:rPr>
            <w:b w:val="0"/>
            <w:bCs w:val="0"/>
            <w:noProof/>
          </w:rPr>
          <w:fldChar w:fldCharType="end"/>
        </w:r>
      </w:hyperlink>
    </w:p>
    <w:p w14:paraId="1412B4EC" w14:textId="648BE3DC"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02" w:history="1">
        <w:r w:rsidR="005404D6" w:rsidRPr="005404D6">
          <w:rPr>
            <w:rStyle w:val="af6"/>
            <w:noProof/>
          </w:rPr>
          <w:t>5.1.</w:t>
        </w:r>
        <w:r w:rsidR="005404D6" w:rsidRPr="005404D6">
          <w:rPr>
            <w:rFonts w:eastAsiaTheme="minorEastAsia"/>
            <w:i w:val="0"/>
            <w:iCs w:val="0"/>
            <w:noProof/>
            <w14:ligatures w14:val="standardContextual"/>
          </w:rPr>
          <w:tab/>
        </w:r>
        <w:r w:rsidR="005404D6" w:rsidRPr="005404D6">
          <w:rPr>
            <w:rStyle w:val="af6"/>
            <w:noProof/>
          </w:rPr>
          <w:t>Independent ethics committee (IEC)</w:t>
        </w:r>
        <w:r w:rsidR="005404D6" w:rsidRPr="005404D6">
          <w:rPr>
            <w:noProof/>
          </w:rPr>
          <w:tab/>
        </w:r>
        <w:r w:rsidR="005404D6" w:rsidRPr="005404D6">
          <w:rPr>
            <w:noProof/>
          </w:rPr>
          <w:fldChar w:fldCharType="begin"/>
        </w:r>
        <w:r w:rsidR="005404D6" w:rsidRPr="005404D6">
          <w:rPr>
            <w:noProof/>
          </w:rPr>
          <w:instrText xml:space="preserve"> PAGEREF _Toc170380202 \h </w:instrText>
        </w:r>
        <w:r w:rsidR="005404D6" w:rsidRPr="005404D6">
          <w:rPr>
            <w:noProof/>
          </w:rPr>
        </w:r>
        <w:r w:rsidR="005404D6" w:rsidRPr="005404D6">
          <w:rPr>
            <w:noProof/>
          </w:rPr>
          <w:fldChar w:fldCharType="separate"/>
        </w:r>
        <w:r w:rsidR="004F38A3">
          <w:rPr>
            <w:noProof/>
          </w:rPr>
          <w:t>27</w:t>
        </w:r>
        <w:r w:rsidR="005404D6" w:rsidRPr="005404D6">
          <w:rPr>
            <w:noProof/>
          </w:rPr>
          <w:fldChar w:fldCharType="end"/>
        </w:r>
      </w:hyperlink>
    </w:p>
    <w:p w14:paraId="2CB36E51" w14:textId="5F6919AE"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03" w:history="1">
        <w:r w:rsidR="005404D6" w:rsidRPr="005404D6">
          <w:rPr>
            <w:rStyle w:val="af6"/>
            <w:noProof/>
          </w:rPr>
          <w:t>5.2.</w:t>
        </w:r>
        <w:r w:rsidR="005404D6" w:rsidRPr="005404D6">
          <w:rPr>
            <w:rFonts w:eastAsiaTheme="minorEastAsia"/>
            <w:i w:val="0"/>
            <w:iCs w:val="0"/>
            <w:noProof/>
            <w14:ligatures w14:val="standardContextual"/>
          </w:rPr>
          <w:tab/>
        </w:r>
        <w:r w:rsidR="005404D6" w:rsidRPr="005404D6">
          <w:rPr>
            <w:rStyle w:val="af6"/>
            <w:noProof/>
          </w:rPr>
          <w:t>Ethical guidelines for this study</w:t>
        </w:r>
        <w:r w:rsidR="005404D6" w:rsidRPr="005404D6">
          <w:rPr>
            <w:noProof/>
          </w:rPr>
          <w:tab/>
        </w:r>
        <w:r w:rsidR="005404D6" w:rsidRPr="005404D6">
          <w:rPr>
            <w:noProof/>
          </w:rPr>
          <w:fldChar w:fldCharType="begin"/>
        </w:r>
        <w:r w:rsidR="005404D6" w:rsidRPr="005404D6">
          <w:rPr>
            <w:noProof/>
          </w:rPr>
          <w:instrText xml:space="preserve"> PAGEREF _Toc170380203 \h </w:instrText>
        </w:r>
        <w:r w:rsidR="005404D6" w:rsidRPr="005404D6">
          <w:rPr>
            <w:noProof/>
          </w:rPr>
        </w:r>
        <w:r w:rsidR="005404D6" w:rsidRPr="005404D6">
          <w:rPr>
            <w:noProof/>
          </w:rPr>
          <w:fldChar w:fldCharType="separate"/>
        </w:r>
        <w:r w:rsidR="004F38A3">
          <w:rPr>
            <w:noProof/>
          </w:rPr>
          <w:t>27</w:t>
        </w:r>
        <w:r w:rsidR="005404D6" w:rsidRPr="005404D6">
          <w:rPr>
            <w:noProof/>
          </w:rPr>
          <w:fldChar w:fldCharType="end"/>
        </w:r>
      </w:hyperlink>
    </w:p>
    <w:p w14:paraId="7A9BF62F" w14:textId="69712656"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04" w:history="1">
        <w:r w:rsidR="005404D6" w:rsidRPr="005404D6">
          <w:rPr>
            <w:rStyle w:val="af6"/>
            <w:noProof/>
          </w:rPr>
          <w:t>5.3.</w:t>
        </w:r>
        <w:r w:rsidR="005404D6" w:rsidRPr="005404D6">
          <w:rPr>
            <w:rFonts w:eastAsiaTheme="minorEastAsia"/>
            <w:i w:val="0"/>
            <w:iCs w:val="0"/>
            <w:noProof/>
            <w14:ligatures w14:val="standardContextual"/>
          </w:rPr>
          <w:tab/>
        </w:r>
        <w:r w:rsidR="005404D6" w:rsidRPr="005404D6">
          <w:rPr>
            <w:rStyle w:val="af6"/>
            <w:noProof/>
          </w:rPr>
          <w:t>Patient information and informed consent</w:t>
        </w:r>
        <w:r w:rsidR="005404D6" w:rsidRPr="005404D6">
          <w:rPr>
            <w:noProof/>
          </w:rPr>
          <w:tab/>
        </w:r>
        <w:r w:rsidR="005404D6" w:rsidRPr="005404D6">
          <w:rPr>
            <w:noProof/>
          </w:rPr>
          <w:fldChar w:fldCharType="begin"/>
        </w:r>
        <w:r w:rsidR="005404D6" w:rsidRPr="005404D6">
          <w:rPr>
            <w:noProof/>
          </w:rPr>
          <w:instrText xml:space="preserve"> PAGEREF _Toc170380204 \h </w:instrText>
        </w:r>
        <w:r w:rsidR="005404D6" w:rsidRPr="005404D6">
          <w:rPr>
            <w:noProof/>
          </w:rPr>
        </w:r>
        <w:r w:rsidR="005404D6" w:rsidRPr="005404D6">
          <w:rPr>
            <w:noProof/>
          </w:rPr>
          <w:fldChar w:fldCharType="separate"/>
        </w:r>
        <w:r w:rsidR="004F38A3">
          <w:rPr>
            <w:noProof/>
          </w:rPr>
          <w:t>27</w:t>
        </w:r>
        <w:r w:rsidR="005404D6" w:rsidRPr="005404D6">
          <w:rPr>
            <w:noProof/>
          </w:rPr>
          <w:fldChar w:fldCharType="end"/>
        </w:r>
      </w:hyperlink>
    </w:p>
    <w:p w14:paraId="4C406455" w14:textId="7827B391"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05" w:history="1">
        <w:r w:rsidR="005404D6" w:rsidRPr="005404D6">
          <w:rPr>
            <w:rStyle w:val="af6"/>
            <w:noProof/>
          </w:rPr>
          <w:t>5.4.</w:t>
        </w:r>
        <w:r w:rsidR="005404D6" w:rsidRPr="005404D6">
          <w:rPr>
            <w:rFonts w:eastAsiaTheme="minorEastAsia"/>
            <w:i w:val="0"/>
            <w:iCs w:val="0"/>
            <w:noProof/>
            <w14:ligatures w14:val="standardContextual"/>
          </w:rPr>
          <w:tab/>
        </w:r>
        <w:r w:rsidR="005404D6" w:rsidRPr="005404D6">
          <w:rPr>
            <w:rStyle w:val="af6"/>
            <w:noProof/>
          </w:rPr>
          <w:t>Confidentiality</w:t>
        </w:r>
        <w:r w:rsidR="005404D6" w:rsidRPr="005404D6">
          <w:rPr>
            <w:noProof/>
          </w:rPr>
          <w:tab/>
        </w:r>
        <w:r w:rsidR="005404D6" w:rsidRPr="005404D6">
          <w:rPr>
            <w:noProof/>
          </w:rPr>
          <w:fldChar w:fldCharType="begin"/>
        </w:r>
        <w:r w:rsidR="005404D6" w:rsidRPr="005404D6">
          <w:rPr>
            <w:noProof/>
          </w:rPr>
          <w:instrText xml:space="preserve"> PAGEREF _Toc170380205 \h </w:instrText>
        </w:r>
        <w:r w:rsidR="005404D6" w:rsidRPr="005404D6">
          <w:rPr>
            <w:noProof/>
          </w:rPr>
        </w:r>
        <w:r w:rsidR="005404D6" w:rsidRPr="005404D6">
          <w:rPr>
            <w:noProof/>
          </w:rPr>
          <w:fldChar w:fldCharType="separate"/>
        </w:r>
        <w:r w:rsidR="004F38A3">
          <w:rPr>
            <w:noProof/>
          </w:rPr>
          <w:t>27</w:t>
        </w:r>
        <w:r w:rsidR="005404D6" w:rsidRPr="005404D6">
          <w:rPr>
            <w:noProof/>
          </w:rPr>
          <w:fldChar w:fldCharType="end"/>
        </w:r>
      </w:hyperlink>
    </w:p>
    <w:p w14:paraId="5D55E313" w14:textId="4F3103B6"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06" w:history="1">
        <w:r w:rsidR="005404D6" w:rsidRPr="005404D6">
          <w:rPr>
            <w:rStyle w:val="af6"/>
            <w:noProof/>
          </w:rPr>
          <w:t>5.5.</w:t>
        </w:r>
        <w:r w:rsidR="005404D6" w:rsidRPr="005404D6">
          <w:rPr>
            <w:rFonts w:eastAsiaTheme="minorEastAsia"/>
            <w:i w:val="0"/>
            <w:iCs w:val="0"/>
            <w:noProof/>
            <w14:ligatures w14:val="standardContextual"/>
          </w:rPr>
          <w:tab/>
        </w:r>
        <w:r w:rsidR="005404D6" w:rsidRPr="005404D6">
          <w:rPr>
            <w:rStyle w:val="af6"/>
            <w:noProof/>
          </w:rPr>
          <w:t>Conditions for amending the study protocol</w:t>
        </w:r>
        <w:r w:rsidR="005404D6" w:rsidRPr="005404D6">
          <w:rPr>
            <w:noProof/>
          </w:rPr>
          <w:tab/>
        </w:r>
        <w:r w:rsidR="005404D6" w:rsidRPr="005404D6">
          <w:rPr>
            <w:noProof/>
          </w:rPr>
          <w:fldChar w:fldCharType="begin"/>
        </w:r>
        <w:r w:rsidR="005404D6" w:rsidRPr="005404D6">
          <w:rPr>
            <w:noProof/>
          </w:rPr>
          <w:instrText xml:space="preserve"> PAGEREF _Toc170380206 \h </w:instrText>
        </w:r>
        <w:r w:rsidR="005404D6" w:rsidRPr="005404D6">
          <w:rPr>
            <w:noProof/>
          </w:rPr>
        </w:r>
        <w:r w:rsidR="005404D6" w:rsidRPr="005404D6">
          <w:rPr>
            <w:noProof/>
          </w:rPr>
          <w:fldChar w:fldCharType="separate"/>
        </w:r>
        <w:r w:rsidR="004F38A3">
          <w:rPr>
            <w:noProof/>
          </w:rPr>
          <w:t>28</w:t>
        </w:r>
        <w:r w:rsidR="005404D6" w:rsidRPr="005404D6">
          <w:rPr>
            <w:noProof/>
          </w:rPr>
          <w:fldChar w:fldCharType="end"/>
        </w:r>
      </w:hyperlink>
    </w:p>
    <w:p w14:paraId="42F533B5" w14:textId="09A36910"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07" w:history="1">
        <w:r w:rsidR="005404D6" w:rsidRPr="005404D6">
          <w:rPr>
            <w:rStyle w:val="af6"/>
            <w:noProof/>
          </w:rPr>
          <w:t>5.6.</w:t>
        </w:r>
        <w:r w:rsidR="005404D6" w:rsidRPr="005404D6">
          <w:rPr>
            <w:rFonts w:eastAsiaTheme="minorEastAsia"/>
            <w:i w:val="0"/>
            <w:iCs w:val="0"/>
            <w:noProof/>
            <w14:ligatures w14:val="standardContextual"/>
          </w:rPr>
          <w:tab/>
        </w:r>
        <w:r w:rsidR="005404D6" w:rsidRPr="005404D6">
          <w:rPr>
            <w:rStyle w:val="af6"/>
            <w:noProof/>
          </w:rPr>
          <w:t>Conditions for terminating the study</w:t>
        </w:r>
        <w:r w:rsidR="005404D6" w:rsidRPr="005404D6">
          <w:rPr>
            <w:noProof/>
          </w:rPr>
          <w:tab/>
        </w:r>
        <w:r w:rsidR="005404D6" w:rsidRPr="005404D6">
          <w:rPr>
            <w:noProof/>
          </w:rPr>
          <w:fldChar w:fldCharType="begin"/>
        </w:r>
        <w:r w:rsidR="005404D6" w:rsidRPr="005404D6">
          <w:rPr>
            <w:noProof/>
          </w:rPr>
          <w:instrText xml:space="preserve"> PAGEREF _Toc170380207 \h </w:instrText>
        </w:r>
        <w:r w:rsidR="005404D6" w:rsidRPr="005404D6">
          <w:rPr>
            <w:noProof/>
          </w:rPr>
        </w:r>
        <w:r w:rsidR="005404D6" w:rsidRPr="005404D6">
          <w:rPr>
            <w:noProof/>
          </w:rPr>
          <w:fldChar w:fldCharType="separate"/>
        </w:r>
        <w:r w:rsidR="004F38A3">
          <w:rPr>
            <w:noProof/>
          </w:rPr>
          <w:t>28</w:t>
        </w:r>
        <w:r w:rsidR="005404D6" w:rsidRPr="005404D6">
          <w:rPr>
            <w:noProof/>
          </w:rPr>
          <w:fldChar w:fldCharType="end"/>
        </w:r>
      </w:hyperlink>
    </w:p>
    <w:p w14:paraId="53CD7E7E" w14:textId="3C5874D2"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08" w:history="1">
        <w:r w:rsidR="005404D6" w:rsidRPr="005404D6">
          <w:rPr>
            <w:rStyle w:val="af6"/>
            <w:noProof/>
          </w:rPr>
          <w:t>5.7.</w:t>
        </w:r>
        <w:r w:rsidR="005404D6" w:rsidRPr="005404D6">
          <w:rPr>
            <w:rFonts w:eastAsiaTheme="minorEastAsia"/>
            <w:i w:val="0"/>
            <w:iCs w:val="0"/>
            <w:noProof/>
            <w14:ligatures w14:val="standardContextual"/>
          </w:rPr>
          <w:tab/>
        </w:r>
        <w:r w:rsidR="005404D6" w:rsidRPr="005404D6">
          <w:rPr>
            <w:rStyle w:val="af6"/>
            <w:noProof/>
          </w:rPr>
          <w:t>Preservation of study documents, case report forms, and records</w:t>
        </w:r>
        <w:r w:rsidR="005404D6" w:rsidRPr="005404D6">
          <w:rPr>
            <w:noProof/>
          </w:rPr>
          <w:tab/>
        </w:r>
        <w:r w:rsidR="005404D6" w:rsidRPr="005404D6">
          <w:rPr>
            <w:noProof/>
          </w:rPr>
          <w:fldChar w:fldCharType="begin"/>
        </w:r>
        <w:r w:rsidR="005404D6" w:rsidRPr="005404D6">
          <w:rPr>
            <w:noProof/>
          </w:rPr>
          <w:instrText xml:space="preserve"> PAGEREF _Toc170380208 \h </w:instrText>
        </w:r>
        <w:r w:rsidR="005404D6" w:rsidRPr="005404D6">
          <w:rPr>
            <w:noProof/>
          </w:rPr>
        </w:r>
        <w:r w:rsidR="005404D6" w:rsidRPr="005404D6">
          <w:rPr>
            <w:noProof/>
          </w:rPr>
          <w:fldChar w:fldCharType="separate"/>
        </w:r>
        <w:r w:rsidR="004F38A3">
          <w:rPr>
            <w:noProof/>
          </w:rPr>
          <w:t>28</w:t>
        </w:r>
        <w:r w:rsidR="005404D6" w:rsidRPr="005404D6">
          <w:rPr>
            <w:noProof/>
          </w:rPr>
          <w:fldChar w:fldCharType="end"/>
        </w:r>
      </w:hyperlink>
    </w:p>
    <w:p w14:paraId="0D7A9C84" w14:textId="47329B65"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09" w:history="1">
        <w:r w:rsidR="005404D6" w:rsidRPr="005404D6">
          <w:rPr>
            <w:rStyle w:val="af6"/>
            <w:b w:val="0"/>
            <w:noProof/>
            <w:sz w:val="20"/>
            <w:szCs w:val="20"/>
          </w:rPr>
          <w:t>5.7.1.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Preservation of investigator documents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_Toc170380209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28</w:t>
        </w:r>
        <w:r w:rsidR="005404D6" w:rsidRPr="005404D6">
          <w:rPr>
            <w:b w:val="0"/>
            <w:noProof/>
            <w:sz w:val="20"/>
            <w:szCs w:val="20"/>
          </w:rPr>
          <w:fldChar w:fldCharType="end"/>
        </w:r>
      </w:hyperlink>
    </w:p>
    <w:p w14:paraId="33D32748" w14:textId="05F7F9E6"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10" w:history="1">
        <w:r w:rsidR="005404D6" w:rsidRPr="005404D6">
          <w:rPr>
            <w:rStyle w:val="af6"/>
            <w:b w:val="0"/>
            <w:noProof/>
            <w:sz w:val="20"/>
            <w:szCs w:val="20"/>
          </w:rPr>
          <w:t>5.7.2.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Original records and background data information</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_Toc170380210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29</w:t>
        </w:r>
        <w:r w:rsidR="005404D6" w:rsidRPr="005404D6">
          <w:rPr>
            <w:b w:val="0"/>
            <w:noProof/>
            <w:sz w:val="20"/>
            <w:szCs w:val="20"/>
          </w:rPr>
          <w:fldChar w:fldCharType="end"/>
        </w:r>
      </w:hyperlink>
    </w:p>
    <w:p w14:paraId="4696B8E4" w14:textId="048A6B0C"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11" w:history="1">
        <w:r w:rsidR="005404D6" w:rsidRPr="005404D6">
          <w:rPr>
            <w:rStyle w:val="af6"/>
            <w:b w:val="0"/>
            <w:noProof/>
            <w:sz w:val="20"/>
            <w:szCs w:val="20"/>
          </w:rPr>
          <w:t>5.7.3.</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Audit and inspection</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_Toc170380211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29</w:t>
        </w:r>
        <w:r w:rsidR="005404D6" w:rsidRPr="005404D6">
          <w:rPr>
            <w:b w:val="0"/>
            <w:noProof/>
            <w:sz w:val="20"/>
            <w:szCs w:val="20"/>
          </w:rPr>
          <w:fldChar w:fldCharType="end"/>
        </w:r>
      </w:hyperlink>
    </w:p>
    <w:p w14:paraId="1F3FE476" w14:textId="2F08F19F"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12" w:history="1">
        <w:r w:rsidR="005404D6" w:rsidRPr="005404D6">
          <w:rPr>
            <w:rStyle w:val="af6"/>
            <w:b w:val="0"/>
            <w:noProof/>
            <w:sz w:val="20"/>
            <w:szCs w:val="20"/>
          </w:rPr>
          <w:t>5.7.4.</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Case report forms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_Toc170380212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29</w:t>
        </w:r>
        <w:r w:rsidR="005404D6" w:rsidRPr="005404D6">
          <w:rPr>
            <w:b w:val="0"/>
            <w:noProof/>
            <w:sz w:val="20"/>
            <w:szCs w:val="20"/>
          </w:rPr>
          <w:fldChar w:fldCharType="end"/>
        </w:r>
      </w:hyperlink>
    </w:p>
    <w:p w14:paraId="712C5057" w14:textId="3B9EEB17"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213" w:history="1">
        <w:r w:rsidR="005404D6" w:rsidRPr="005404D6">
          <w:rPr>
            <w:rStyle w:val="af6"/>
            <w:b w:val="0"/>
            <w:bCs w:val="0"/>
            <w:noProof/>
          </w:rPr>
          <w:t>6.</w:t>
        </w:r>
        <w:r w:rsidR="005404D6" w:rsidRPr="005404D6">
          <w:rPr>
            <w:rFonts w:eastAsiaTheme="minorEastAsia"/>
            <w:b w:val="0"/>
            <w:bCs w:val="0"/>
            <w:noProof/>
            <w14:ligatures w14:val="standardContextual"/>
          </w:rPr>
          <w:tab/>
        </w:r>
        <w:r w:rsidR="005404D6" w:rsidRPr="005404D6">
          <w:rPr>
            <w:rStyle w:val="af6"/>
            <w:b w:val="0"/>
            <w:bCs w:val="0"/>
            <w:noProof/>
          </w:rPr>
          <w:t>MONITORING OF THE STUDY</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_Toc170380213 \h </w:instrText>
        </w:r>
        <w:r w:rsidR="005404D6" w:rsidRPr="005404D6">
          <w:rPr>
            <w:b w:val="0"/>
            <w:bCs w:val="0"/>
            <w:noProof/>
          </w:rPr>
        </w:r>
        <w:r w:rsidR="005404D6" w:rsidRPr="005404D6">
          <w:rPr>
            <w:b w:val="0"/>
            <w:bCs w:val="0"/>
            <w:noProof/>
          </w:rPr>
          <w:fldChar w:fldCharType="separate"/>
        </w:r>
        <w:r w:rsidR="004F38A3">
          <w:rPr>
            <w:b w:val="0"/>
            <w:bCs w:val="0"/>
            <w:noProof/>
          </w:rPr>
          <w:t>30</w:t>
        </w:r>
        <w:r w:rsidR="005404D6" w:rsidRPr="005404D6">
          <w:rPr>
            <w:b w:val="0"/>
            <w:bCs w:val="0"/>
            <w:noProof/>
          </w:rPr>
          <w:fldChar w:fldCharType="end"/>
        </w:r>
      </w:hyperlink>
    </w:p>
    <w:p w14:paraId="4C1312C4" w14:textId="5211FFE8"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214" w:history="1">
        <w:r w:rsidR="005404D6" w:rsidRPr="005404D6">
          <w:rPr>
            <w:rStyle w:val="af6"/>
            <w:b w:val="0"/>
            <w:bCs w:val="0"/>
            <w:noProof/>
          </w:rPr>
          <w:t>7.</w:t>
        </w:r>
        <w:r w:rsidR="005404D6" w:rsidRPr="005404D6">
          <w:rPr>
            <w:rFonts w:eastAsiaTheme="minorEastAsia"/>
            <w:b w:val="0"/>
            <w:bCs w:val="0"/>
            <w:noProof/>
            <w14:ligatures w14:val="standardContextual"/>
          </w:rPr>
          <w:tab/>
        </w:r>
        <w:r w:rsidR="005404D6" w:rsidRPr="005404D6">
          <w:rPr>
            <w:rStyle w:val="af6"/>
            <w:b w:val="0"/>
            <w:bCs w:val="0"/>
            <w:noProof/>
          </w:rPr>
          <w:t>PUBLICATION OF RESEARCH DETA AND PROTECTION OF TRADE SECRRTS</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_Toc170380214 \h </w:instrText>
        </w:r>
        <w:r w:rsidR="005404D6" w:rsidRPr="005404D6">
          <w:rPr>
            <w:b w:val="0"/>
            <w:bCs w:val="0"/>
            <w:noProof/>
          </w:rPr>
        </w:r>
        <w:r w:rsidR="005404D6" w:rsidRPr="005404D6">
          <w:rPr>
            <w:b w:val="0"/>
            <w:bCs w:val="0"/>
            <w:noProof/>
          </w:rPr>
          <w:fldChar w:fldCharType="separate"/>
        </w:r>
        <w:r w:rsidR="004F38A3">
          <w:rPr>
            <w:b w:val="0"/>
            <w:bCs w:val="0"/>
            <w:noProof/>
          </w:rPr>
          <w:t>30</w:t>
        </w:r>
        <w:r w:rsidR="005404D6" w:rsidRPr="005404D6">
          <w:rPr>
            <w:b w:val="0"/>
            <w:bCs w:val="0"/>
            <w:noProof/>
          </w:rPr>
          <w:fldChar w:fldCharType="end"/>
        </w:r>
      </w:hyperlink>
    </w:p>
    <w:p w14:paraId="12C3B81B" w14:textId="082D48D1"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215" w:history="1">
        <w:r w:rsidR="005404D6" w:rsidRPr="005404D6">
          <w:rPr>
            <w:rStyle w:val="af6"/>
            <w:b w:val="0"/>
            <w:bCs w:val="0"/>
            <w:noProof/>
          </w:rPr>
          <w:t>8.</w:t>
        </w:r>
        <w:r w:rsidR="005404D6" w:rsidRPr="005404D6">
          <w:rPr>
            <w:rFonts w:eastAsiaTheme="minorEastAsia"/>
            <w:b w:val="0"/>
            <w:bCs w:val="0"/>
            <w:noProof/>
            <w14:ligatures w14:val="standardContextual"/>
          </w:rPr>
          <w:tab/>
        </w:r>
        <w:r w:rsidR="005404D6" w:rsidRPr="005404D6">
          <w:rPr>
            <w:rStyle w:val="af6"/>
            <w:b w:val="0"/>
            <w:bCs w:val="0"/>
            <w:noProof/>
          </w:rPr>
          <w:t>STATISTICAL AND ANALYSIS PLAN</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_Toc170380215 \h </w:instrText>
        </w:r>
        <w:r w:rsidR="005404D6" w:rsidRPr="005404D6">
          <w:rPr>
            <w:b w:val="0"/>
            <w:bCs w:val="0"/>
            <w:noProof/>
          </w:rPr>
        </w:r>
        <w:r w:rsidR="005404D6" w:rsidRPr="005404D6">
          <w:rPr>
            <w:b w:val="0"/>
            <w:bCs w:val="0"/>
            <w:noProof/>
          </w:rPr>
          <w:fldChar w:fldCharType="separate"/>
        </w:r>
        <w:r w:rsidR="004F38A3">
          <w:rPr>
            <w:b w:val="0"/>
            <w:bCs w:val="0"/>
            <w:noProof/>
          </w:rPr>
          <w:t>30</w:t>
        </w:r>
        <w:r w:rsidR="005404D6" w:rsidRPr="005404D6">
          <w:rPr>
            <w:b w:val="0"/>
            <w:bCs w:val="0"/>
            <w:noProof/>
          </w:rPr>
          <w:fldChar w:fldCharType="end"/>
        </w:r>
      </w:hyperlink>
    </w:p>
    <w:p w14:paraId="797AA18C" w14:textId="131DAAA6"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16" w:history="1">
        <w:r w:rsidR="005404D6" w:rsidRPr="005404D6">
          <w:rPr>
            <w:rStyle w:val="af6"/>
            <w:noProof/>
          </w:rPr>
          <w:t>8.1.</w:t>
        </w:r>
        <w:r w:rsidR="005404D6" w:rsidRPr="005404D6">
          <w:rPr>
            <w:rFonts w:eastAsiaTheme="minorEastAsia"/>
            <w:i w:val="0"/>
            <w:iCs w:val="0"/>
            <w:noProof/>
            <w14:ligatures w14:val="standardContextual"/>
          </w:rPr>
          <w:tab/>
        </w:r>
        <w:r w:rsidR="005404D6" w:rsidRPr="005404D6">
          <w:rPr>
            <w:rStyle w:val="af6"/>
            <w:noProof/>
          </w:rPr>
          <w:t>Primary and secondary variables</w:t>
        </w:r>
        <w:r w:rsidR="005404D6" w:rsidRPr="005404D6">
          <w:rPr>
            <w:noProof/>
          </w:rPr>
          <w:tab/>
        </w:r>
        <w:r w:rsidR="005404D6" w:rsidRPr="005404D6">
          <w:rPr>
            <w:noProof/>
          </w:rPr>
          <w:fldChar w:fldCharType="begin"/>
        </w:r>
        <w:r w:rsidR="005404D6" w:rsidRPr="005404D6">
          <w:rPr>
            <w:noProof/>
          </w:rPr>
          <w:instrText xml:space="preserve"> PAGEREF _Toc170380216 \h </w:instrText>
        </w:r>
        <w:r w:rsidR="005404D6" w:rsidRPr="005404D6">
          <w:rPr>
            <w:noProof/>
          </w:rPr>
        </w:r>
        <w:r w:rsidR="005404D6" w:rsidRPr="005404D6">
          <w:rPr>
            <w:noProof/>
          </w:rPr>
          <w:fldChar w:fldCharType="separate"/>
        </w:r>
        <w:r w:rsidR="004F38A3">
          <w:rPr>
            <w:noProof/>
          </w:rPr>
          <w:t>30</w:t>
        </w:r>
        <w:r w:rsidR="005404D6" w:rsidRPr="005404D6">
          <w:rPr>
            <w:noProof/>
          </w:rPr>
          <w:fldChar w:fldCharType="end"/>
        </w:r>
      </w:hyperlink>
    </w:p>
    <w:p w14:paraId="70946B79" w14:textId="48EE7CA8"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17" w:history="1">
        <w:r w:rsidR="005404D6" w:rsidRPr="005404D6">
          <w:rPr>
            <w:rStyle w:val="af6"/>
            <w:b w:val="0"/>
            <w:noProof/>
            <w:sz w:val="20"/>
            <w:szCs w:val="20"/>
          </w:rPr>
          <w:t>8.1.1.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Primary variables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_Toc170380217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30</w:t>
        </w:r>
        <w:r w:rsidR="005404D6" w:rsidRPr="005404D6">
          <w:rPr>
            <w:b w:val="0"/>
            <w:noProof/>
            <w:sz w:val="20"/>
            <w:szCs w:val="20"/>
          </w:rPr>
          <w:fldChar w:fldCharType="end"/>
        </w:r>
      </w:hyperlink>
    </w:p>
    <w:p w14:paraId="08EBE54A" w14:textId="77E12D55"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18" w:history="1">
        <w:r w:rsidR="005404D6" w:rsidRPr="005404D6">
          <w:rPr>
            <w:rStyle w:val="af6"/>
            <w:b w:val="0"/>
            <w:noProof/>
            <w:sz w:val="20"/>
            <w:szCs w:val="20"/>
          </w:rPr>
          <w:t>8.1.2.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Secondary variable</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_Toc170380218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30</w:t>
        </w:r>
        <w:r w:rsidR="005404D6" w:rsidRPr="005404D6">
          <w:rPr>
            <w:b w:val="0"/>
            <w:noProof/>
            <w:sz w:val="20"/>
            <w:szCs w:val="20"/>
          </w:rPr>
          <w:fldChar w:fldCharType="end"/>
        </w:r>
      </w:hyperlink>
    </w:p>
    <w:p w14:paraId="5CC803C0" w14:textId="361B4829"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19" w:history="1">
        <w:r w:rsidR="005404D6" w:rsidRPr="005404D6">
          <w:rPr>
            <w:rStyle w:val="af6"/>
            <w:noProof/>
          </w:rPr>
          <w:t>8.2.</w:t>
        </w:r>
        <w:r w:rsidR="005404D6" w:rsidRPr="005404D6">
          <w:rPr>
            <w:rFonts w:eastAsiaTheme="minorEastAsia"/>
            <w:i w:val="0"/>
            <w:iCs w:val="0"/>
            <w:noProof/>
            <w14:ligatures w14:val="standardContextual"/>
          </w:rPr>
          <w:tab/>
        </w:r>
        <w:r w:rsidR="005404D6" w:rsidRPr="005404D6">
          <w:rPr>
            <w:rStyle w:val="af6"/>
            <w:noProof/>
          </w:rPr>
          <w:t>Statistical analysis</w:t>
        </w:r>
        <w:r w:rsidR="005404D6" w:rsidRPr="005404D6">
          <w:rPr>
            <w:noProof/>
          </w:rPr>
          <w:tab/>
        </w:r>
        <w:r w:rsidR="005404D6" w:rsidRPr="005404D6">
          <w:rPr>
            <w:noProof/>
          </w:rPr>
          <w:fldChar w:fldCharType="begin"/>
        </w:r>
        <w:r w:rsidR="005404D6" w:rsidRPr="005404D6">
          <w:rPr>
            <w:noProof/>
          </w:rPr>
          <w:instrText xml:space="preserve"> PAGEREF _Toc170380219 \h </w:instrText>
        </w:r>
        <w:r w:rsidR="005404D6" w:rsidRPr="005404D6">
          <w:rPr>
            <w:noProof/>
          </w:rPr>
        </w:r>
        <w:r w:rsidR="005404D6" w:rsidRPr="005404D6">
          <w:rPr>
            <w:noProof/>
          </w:rPr>
          <w:fldChar w:fldCharType="separate"/>
        </w:r>
        <w:r w:rsidR="004F38A3">
          <w:rPr>
            <w:noProof/>
          </w:rPr>
          <w:t>31</w:t>
        </w:r>
        <w:r w:rsidR="005404D6" w:rsidRPr="005404D6">
          <w:rPr>
            <w:noProof/>
          </w:rPr>
          <w:fldChar w:fldCharType="end"/>
        </w:r>
      </w:hyperlink>
    </w:p>
    <w:p w14:paraId="0044BB9D" w14:textId="18994004"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20" w:history="1">
        <w:r w:rsidR="005404D6" w:rsidRPr="005404D6">
          <w:rPr>
            <w:rStyle w:val="af6"/>
            <w:b w:val="0"/>
            <w:noProof/>
            <w:sz w:val="20"/>
            <w:szCs w:val="20"/>
          </w:rPr>
          <w:t>8.2.1.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Baseline and demographic characteristics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_Toc170380220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31</w:t>
        </w:r>
        <w:r w:rsidR="005404D6" w:rsidRPr="005404D6">
          <w:rPr>
            <w:b w:val="0"/>
            <w:noProof/>
            <w:sz w:val="20"/>
            <w:szCs w:val="20"/>
          </w:rPr>
          <w:fldChar w:fldCharType="end"/>
        </w:r>
      </w:hyperlink>
    </w:p>
    <w:p w14:paraId="67DE27DC" w14:textId="208C4DD8"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21" w:history="1">
        <w:r w:rsidR="005404D6" w:rsidRPr="005404D6">
          <w:rPr>
            <w:rStyle w:val="af6"/>
            <w:b w:val="0"/>
            <w:noProof/>
            <w:sz w:val="20"/>
            <w:szCs w:val="20"/>
          </w:rPr>
          <w:t>8.2.2.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Primary efficacy</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_Toc170380221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31</w:t>
        </w:r>
        <w:r w:rsidR="005404D6" w:rsidRPr="005404D6">
          <w:rPr>
            <w:b w:val="0"/>
            <w:noProof/>
            <w:sz w:val="20"/>
            <w:szCs w:val="20"/>
          </w:rPr>
          <w:fldChar w:fldCharType="end"/>
        </w:r>
      </w:hyperlink>
    </w:p>
    <w:p w14:paraId="50AC1B1C" w14:textId="460B5E8E"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22" w:history="1">
        <w:r w:rsidR="005404D6" w:rsidRPr="005404D6">
          <w:rPr>
            <w:rStyle w:val="af6"/>
            <w:b w:val="0"/>
            <w:noProof/>
            <w:sz w:val="20"/>
            <w:szCs w:val="20"/>
          </w:rPr>
          <w:t>8.2.3.</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Secondary efficacy</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_Toc170380222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31</w:t>
        </w:r>
        <w:r w:rsidR="005404D6" w:rsidRPr="005404D6">
          <w:rPr>
            <w:b w:val="0"/>
            <w:noProof/>
            <w:sz w:val="20"/>
            <w:szCs w:val="20"/>
          </w:rPr>
          <w:fldChar w:fldCharType="end"/>
        </w:r>
      </w:hyperlink>
    </w:p>
    <w:p w14:paraId="7598D085" w14:textId="0A85ABC0"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23" w:history="1">
        <w:r w:rsidR="005404D6" w:rsidRPr="005404D6">
          <w:rPr>
            <w:rStyle w:val="af6"/>
            <w:b w:val="0"/>
            <w:noProof/>
            <w:sz w:val="20"/>
            <w:szCs w:val="20"/>
          </w:rPr>
          <w:t>8.2.4.</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Exploratory analysis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_Toc170380223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31</w:t>
        </w:r>
        <w:r w:rsidR="005404D6" w:rsidRPr="005404D6">
          <w:rPr>
            <w:b w:val="0"/>
            <w:noProof/>
            <w:sz w:val="20"/>
            <w:szCs w:val="20"/>
          </w:rPr>
          <w:fldChar w:fldCharType="end"/>
        </w:r>
      </w:hyperlink>
    </w:p>
    <w:p w14:paraId="028465DF" w14:textId="292C10C9"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24" w:history="1">
        <w:r w:rsidR="005404D6" w:rsidRPr="005404D6">
          <w:rPr>
            <w:rStyle w:val="af6"/>
            <w:noProof/>
          </w:rPr>
          <w:t>8.3.</w:t>
        </w:r>
        <w:r w:rsidR="005404D6" w:rsidRPr="005404D6">
          <w:rPr>
            <w:rFonts w:eastAsiaTheme="minorEastAsia"/>
            <w:i w:val="0"/>
            <w:iCs w:val="0"/>
            <w:noProof/>
            <w14:ligatures w14:val="standardContextual"/>
          </w:rPr>
          <w:tab/>
        </w:r>
        <w:r w:rsidR="005404D6" w:rsidRPr="005404D6">
          <w:rPr>
            <w:rStyle w:val="af6"/>
            <w:noProof/>
          </w:rPr>
          <w:t>Type of analysis</w:t>
        </w:r>
        <w:r w:rsidR="005404D6" w:rsidRPr="005404D6">
          <w:rPr>
            <w:noProof/>
          </w:rPr>
          <w:tab/>
        </w:r>
        <w:r w:rsidR="005404D6" w:rsidRPr="005404D6">
          <w:rPr>
            <w:noProof/>
          </w:rPr>
          <w:fldChar w:fldCharType="begin"/>
        </w:r>
        <w:r w:rsidR="005404D6" w:rsidRPr="005404D6">
          <w:rPr>
            <w:noProof/>
          </w:rPr>
          <w:instrText xml:space="preserve"> PAGEREF _Toc170380224 \h </w:instrText>
        </w:r>
        <w:r w:rsidR="005404D6" w:rsidRPr="005404D6">
          <w:rPr>
            <w:noProof/>
          </w:rPr>
        </w:r>
        <w:r w:rsidR="005404D6" w:rsidRPr="005404D6">
          <w:rPr>
            <w:noProof/>
          </w:rPr>
          <w:fldChar w:fldCharType="separate"/>
        </w:r>
        <w:r w:rsidR="004F38A3">
          <w:rPr>
            <w:noProof/>
          </w:rPr>
          <w:t>32</w:t>
        </w:r>
        <w:r w:rsidR="005404D6" w:rsidRPr="005404D6">
          <w:rPr>
            <w:noProof/>
          </w:rPr>
          <w:fldChar w:fldCharType="end"/>
        </w:r>
      </w:hyperlink>
    </w:p>
    <w:p w14:paraId="2C44D0B0" w14:textId="2461A459"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25" w:history="1">
        <w:r w:rsidR="005404D6" w:rsidRPr="005404D6">
          <w:rPr>
            <w:rStyle w:val="af6"/>
            <w:noProof/>
          </w:rPr>
          <w:t>8.4.</w:t>
        </w:r>
        <w:r w:rsidR="005404D6" w:rsidRPr="005404D6">
          <w:rPr>
            <w:rFonts w:eastAsiaTheme="minorEastAsia"/>
            <w:i w:val="0"/>
            <w:iCs w:val="0"/>
            <w:noProof/>
            <w14:ligatures w14:val="standardContextual"/>
          </w:rPr>
          <w:tab/>
        </w:r>
        <w:r w:rsidR="005404D6" w:rsidRPr="005404D6">
          <w:rPr>
            <w:rStyle w:val="af6"/>
            <w:noProof/>
          </w:rPr>
          <w:t>Interim analysis</w:t>
        </w:r>
        <w:r w:rsidR="005404D6" w:rsidRPr="005404D6">
          <w:rPr>
            <w:noProof/>
          </w:rPr>
          <w:tab/>
        </w:r>
        <w:r w:rsidR="005404D6" w:rsidRPr="005404D6">
          <w:rPr>
            <w:noProof/>
          </w:rPr>
          <w:fldChar w:fldCharType="begin"/>
        </w:r>
        <w:r w:rsidR="005404D6" w:rsidRPr="005404D6">
          <w:rPr>
            <w:noProof/>
          </w:rPr>
          <w:instrText xml:space="preserve"> PAGEREF _Toc170380225 \h </w:instrText>
        </w:r>
        <w:r w:rsidR="005404D6" w:rsidRPr="005404D6">
          <w:rPr>
            <w:noProof/>
          </w:rPr>
        </w:r>
        <w:r w:rsidR="005404D6" w:rsidRPr="005404D6">
          <w:rPr>
            <w:noProof/>
          </w:rPr>
          <w:fldChar w:fldCharType="separate"/>
        </w:r>
        <w:r w:rsidR="004F38A3">
          <w:rPr>
            <w:noProof/>
          </w:rPr>
          <w:t>32</w:t>
        </w:r>
        <w:r w:rsidR="005404D6" w:rsidRPr="005404D6">
          <w:rPr>
            <w:noProof/>
          </w:rPr>
          <w:fldChar w:fldCharType="end"/>
        </w:r>
      </w:hyperlink>
    </w:p>
    <w:p w14:paraId="6706BE03" w14:textId="56F39A7F"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26" w:history="1">
        <w:r w:rsidR="005404D6" w:rsidRPr="005404D6">
          <w:rPr>
            <w:rStyle w:val="af6"/>
            <w:noProof/>
          </w:rPr>
          <w:t>8.5.</w:t>
        </w:r>
        <w:r w:rsidR="005404D6" w:rsidRPr="005404D6">
          <w:rPr>
            <w:rFonts w:eastAsiaTheme="minorEastAsia"/>
            <w:i w:val="0"/>
            <w:iCs w:val="0"/>
            <w:noProof/>
            <w14:ligatures w14:val="standardContextual"/>
          </w:rPr>
          <w:tab/>
        </w:r>
        <w:r w:rsidR="005404D6" w:rsidRPr="005404D6">
          <w:rPr>
            <w:rStyle w:val="af6"/>
            <w:noProof/>
          </w:rPr>
          <w:t>Safety analysis</w:t>
        </w:r>
        <w:r w:rsidR="005404D6" w:rsidRPr="005404D6">
          <w:rPr>
            <w:noProof/>
          </w:rPr>
          <w:tab/>
        </w:r>
        <w:r w:rsidR="005404D6" w:rsidRPr="005404D6">
          <w:rPr>
            <w:noProof/>
          </w:rPr>
          <w:fldChar w:fldCharType="begin"/>
        </w:r>
        <w:r w:rsidR="005404D6" w:rsidRPr="005404D6">
          <w:rPr>
            <w:noProof/>
          </w:rPr>
          <w:instrText xml:space="preserve"> PAGEREF _Toc170380226 \h </w:instrText>
        </w:r>
        <w:r w:rsidR="005404D6" w:rsidRPr="005404D6">
          <w:rPr>
            <w:noProof/>
          </w:rPr>
        </w:r>
        <w:r w:rsidR="005404D6" w:rsidRPr="005404D6">
          <w:rPr>
            <w:noProof/>
          </w:rPr>
          <w:fldChar w:fldCharType="separate"/>
        </w:r>
        <w:r w:rsidR="004F38A3">
          <w:rPr>
            <w:noProof/>
          </w:rPr>
          <w:t>32</w:t>
        </w:r>
        <w:r w:rsidR="005404D6" w:rsidRPr="005404D6">
          <w:rPr>
            <w:noProof/>
          </w:rPr>
          <w:fldChar w:fldCharType="end"/>
        </w:r>
      </w:hyperlink>
    </w:p>
    <w:p w14:paraId="08B47447" w14:textId="34CF933E" w:rsidR="005404D6" w:rsidRPr="005404D6" w:rsidRDefault="00D64A22" w:rsidP="005404D6">
      <w:pPr>
        <w:pStyle w:val="11"/>
        <w:tabs>
          <w:tab w:val="left" w:pos="420"/>
          <w:tab w:val="right" w:leader="dot" w:pos="9060"/>
        </w:tabs>
        <w:spacing w:line="240" w:lineRule="auto"/>
        <w:rPr>
          <w:rFonts w:eastAsiaTheme="minorEastAsia"/>
          <w:b w:val="0"/>
          <w:bCs w:val="0"/>
          <w:noProof/>
          <w14:ligatures w14:val="standardContextual"/>
        </w:rPr>
      </w:pPr>
      <w:hyperlink w:anchor="_Toc170380227" w:history="1">
        <w:r w:rsidR="005404D6" w:rsidRPr="005404D6">
          <w:rPr>
            <w:rStyle w:val="af6"/>
            <w:b w:val="0"/>
            <w:bCs w:val="0"/>
            <w:noProof/>
          </w:rPr>
          <w:t>9.</w:t>
        </w:r>
        <w:r w:rsidR="005404D6" w:rsidRPr="005404D6">
          <w:rPr>
            <w:rFonts w:eastAsiaTheme="minorEastAsia"/>
            <w:b w:val="0"/>
            <w:bCs w:val="0"/>
            <w:noProof/>
            <w14:ligatures w14:val="standardContextual"/>
          </w:rPr>
          <w:tab/>
        </w:r>
        <w:r w:rsidR="005404D6" w:rsidRPr="005404D6">
          <w:rPr>
            <w:rStyle w:val="af6"/>
            <w:b w:val="0"/>
            <w:bCs w:val="0"/>
            <w:noProof/>
          </w:rPr>
          <w:t>PRINCIPLE OF SAFETY</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_Toc170380227 \h </w:instrText>
        </w:r>
        <w:r w:rsidR="005404D6" w:rsidRPr="005404D6">
          <w:rPr>
            <w:b w:val="0"/>
            <w:bCs w:val="0"/>
            <w:noProof/>
          </w:rPr>
        </w:r>
        <w:r w:rsidR="005404D6" w:rsidRPr="005404D6">
          <w:rPr>
            <w:b w:val="0"/>
            <w:bCs w:val="0"/>
            <w:noProof/>
          </w:rPr>
          <w:fldChar w:fldCharType="separate"/>
        </w:r>
        <w:r w:rsidR="004F38A3">
          <w:rPr>
            <w:b w:val="0"/>
            <w:bCs w:val="0"/>
            <w:noProof/>
          </w:rPr>
          <w:t>32</w:t>
        </w:r>
        <w:r w:rsidR="005404D6" w:rsidRPr="005404D6">
          <w:rPr>
            <w:b w:val="0"/>
            <w:bCs w:val="0"/>
            <w:noProof/>
          </w:rPr>
          <w:fldChar w:fldCharType="end"/>
        </w:r>
      </w:hyperlink>
    </w:p>
    <w:p w14:paraId="0DDD6C96" w14:textId="1F97999B"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28" w:history="1">
        <w:r w:rsidR="005404D6" w:rsidRPr="005404D6">
          <w:rPr>
            <w:rStyle w:val="af6"/>
            <w:noProof/>
          </w:rPr>
          <w:t>9.1.</w:t>
        </w:r>
        <w:r w:rsidR="005404D6" w:rsidRPr="005404D6">
          <w:rPr>
            <w:rFonts w:eastAsiaTheme="minorEastAsia"/>
            <w:i w:val="0"/>
            <w:iCs w:val="0"/>
            <w:noProof/>
            <w14:ligatures w14:val="standardContextual"/>
          </w:rPr>
          <w:tab/>
        </w:r>
        <w:r w:rsidR="005404D6" w:rsidRPr="005404D6">
          <w:rPr>
            <w:rStyle w:val="af6"/>
            <w:noProof/>
          </w:rPr>
          <w:t>Precautions/Warnings</w:t>
        </w:r>
        <w:r w:rsidR="005404D6" w:rsidRPr="005404D6">
          <w:rPr>
            <w:noProof/>
          </w:rPr>
          <w:tab/>
        </w:r>
        <w:r w:rsidR="005404D6" w:rsidRPr="005404D6">
          <w:rPr>
            <w:noProof/>
          </w:rPr>
          <w:fldChar w:fldCharType="begin"/>
        </w:r>
        <w:r w:rsidR="005404D6" w:rsidRPr="005404D6">
          <w:rPr>
            <w:noProof/>
          </w:rPr>
          <w:instrText xml:space="preserve"> PAGEREF _Toc170380228 \h </w:instrText>
        </w:r>
        <w:r w:rsidR="005404D6" w:rsidRPr="005404D6">
          <w:rPr>
            <w:noProof/>
          </w:rPr>
        </w:r>
        <w:r w:rsidR="005404D6" w:rsidRPr="005404D6">
          <w:rPr>
            <w:noProof/>
          </w:rPr>
          <w:fldChar w:fldCharType="separate"/>
        </w:r>
        <w:r w:rsidR="004F38A3">
          <w:rPr>
            <w:noProof/>
          </w:rPr>
          <w:t>32</w:t>
        </w:r>
        <w:r w:rsidR="005404D6" w:rsidRPr="005404D6">
          <w:rPr>
            <w:noProof/>
          </w:rPr>
          <w:fldChar w:fldCharType="end"/>
        </w:r>
      </w:hyperlink>
    </w:p>
    <w:p w14:paraId="029B7117" w14:textId="2F14372A"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29" w:history="1">
        <w:r w:rsidR="005404D6" w:rsidRPr="005404D6">
          <w:rPr>
            <w:rStyle w:val="af6"/>
            <w:noProof/>
          </w:rPr>
          <w:t>9.2.</w:t>
        </w:r>
        <w:r w:rsidR="005404D6" w:rsidRPr="005404D6">
          <w:rPr>
            <w:rFonts w:eastAsiaTheme="minorEastAsia"/>
            <w:i w:val="0"/>
            <w:iCs w:val="0"/>
            <w:noProof/>
            <w14:ligatures w14:val="standardContextual"/>
          </w:rPr>
          <w:tab/>
        </w:r>
        <w:r w:rsidR="005404D6" w:rsidRPr="005404D6">
          <w:rPr>
            <w:rStyle w:val="af6"/>
            <w:noProof/>
          </w:rPr>
          <w:t>Adverse events</w:t>
        </w:r>
        <w:r w:rsidR="005404D6" w:rsidRPr="005404D6">
          <w:rPr>
            <w:noProof/>
          </w:rPr>
          <w:tab/>
        </w:r>
        <w:r w:rsidR="005404D6" w:rsidRPr="005404D6">
          <w:rPr>
            <w:noProof/>
          </w:rPr>
          <w:fldChar w:fldCharType="begin"/>
        </w:r>
        <w:r w:rsidR="005404D6" w:rsidRPr="005404D6">
          <w:rPr>
            <w:noProof/>
          </w:rPr>
          <w:instrText xml:space="preserve"> PAGEREF _Toc170380229 \h </w:instrText>
        </w:r>
        <w:r w:rsidR="005404D6" w:rsidRPr="005404D6">
          <w:rPr>
            <w:noProof/>
          </w:rPr>
        </w:r>
        <w:r w:rsidR="005404D6" w:rsidRPr="005404D6">
          <w:rPr>
            <w:noProof/>
          </w:rPr>
          <w:fldChar w:fldCharType="separate"/>
        </w:r>
        <w:r w:rsidR="004F38A3">
          <w:rPr>
            <w:noProof/>
          </w:rPr>
          <w:t>33</w:t>
        </w:r>
        <w:r w:rsidR="005404D6" w:rsidRPr="005404D6">
          <w:rPr>
            <w:noProof/>
          </w:rPr>
          <w:fldChar w:fldCharType="end"/>
        </w:r>
      </w:hyperlink>
    </w:p>
    <w:p w14:paraId="204E347B" w14:textId="33A72025"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0" w:history="1">
        <w:r w:rsidR="005404D6" w:rsidRPr="005404D6">
          <w:rPr>
            <w:rStyle w:val="af6"/>
            <w:b w:val="0"/>
            <w:noProof/>
            <w:sz w:val="20"/>
            <w:szCs w:val="20"/>
          </w:rPr>
          <w:t>9.2.1.</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Definition of adverse events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_Toc170380230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33</w:t>
        </w:r>
        <w:r w:rsidR="005404D6" w:rsidRPr="005404D6">
          <w:rPr>
            <w:b w:val="0"/>
            <w:noProof/>
            <w:sz w:val="20"/>
            <w:szCs w:val="20"/>
          </w:rPr>
          <w:fldChar w:fldCharType="end"/>
        </w:r>
      </w:hyperlink>
    </w:p>
    <w:p w14:paraId="73402435" w14:textId="7B4C1BF5"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1" w:history="1">
        <w:r w:rsidR="005404D6" w:rsidRPr="005404D6">
          <w:rPr>
            <w:rStyle w:val="af6"/>
            <w:b w:val="0"/>
            <w:noProof/>
            <w:sz w:val="20"/>
            <w:szCs w:val="20"/>
          </w:rPr>
          <w:t>9.2.2.</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Adverse event grading</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_Toc170380231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34</w:t>
        </w:r>
        <w:r w:rsidR="005404D6" w:rsidRPr="005404D6">
          <w:rPr>
            <w:b w:val="0"/>
            <w:noProof/>
            <w:sz w:val="20"/>
            <w:szCs w:val="20"/>
          </w:rPr>
          <w:fldChar w:fldCharType="end"/>
        </w:r>
      </w:hyperlink>
    </w:p>
    <w:p w14:paraId="7EB9E7B5" w14:textId="7E71EE47"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2" w:history="1">
        <w:r w:rsidR="005404D6" w:rsidRPr="005404D6">
          <w:rPr>
            <w:rStyle w:val="af6"/>
            <w:b w:val="0"/>
            <w:noProof/>
            <w:sz w:val="20"/>
            <w:szCs w:val="20"/>
          </w:rPr>
          <w:t>9.2.3.</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Monitoring of adverse events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_Toc170380232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34</w:t>
        </w:r>
        <w:r w:rsidR="005404D6" w:rsidRPr="005404D6">
          <w:rPr>
            <w:b w:val="0"/>
            <w:noProof/>
            <w:sz w:val="20"/>
            <w:szCs w:val="20"/>
          </w:rPr>
          <w:fldChar w:fldCharType="end"/>
        </w:r>
      </w:hyperlink>
    </w:p>
    <w:p w14:paraId="3CFAFEAB" w14:textId="6D4A24C1"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3" w:history="1">
        <w:r w:rsidR="005404D6" w:rsidRPr="005404D6">
          <w:rPr>
            <w:rStyle w:val="af6"/>
            <w:b w:val="0"/>
            <w:noProof/>
            <w:sz w:val="20"/>
            <w:szCs w:val="20"/>
          </w:rPr>
          <w:t>9.2.4.</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 xml:space="preserve">Relationship between adverse events and </w:t>
        </w:r>
        <w:r w:rsidR="008E777B">
          <w:rPr>
            <w:rStyle w:val="af6"/>
            <w:b w:val="0"/>
            <w:noProof/>
            <w:sz w:val="20"/>
            <w:szCs w:val="20"/>
          </w:rPr>
          <w:t xml:space="preserve">the </w:t>
        </w:r>
        <w:r w:rsidR="005404D6" w:rsidRPr="005404D6">
          <w:rPr>
            <w:rStyle w:val="af6"/>
            <w:b w:val="0"/>
            <w:noProof/>
            <w:sz w:val="20"/>
            <w:szCs w:val="20"/>
          </w:rPr>
          <w:t>study drug</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_Toc170380233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34</w:t>
        </w:r>
        <w:r w:rsidR="005404D6" w:rsidRPr="005404D6">
          <w:rPr>
            <w:b w:val="0"/>
            <w:noProof/>
            <w:sz w:val="20"/>
            <w:szCs w:val="20"/>
          </w:rPr>
          <w:fldChar w:fldCharType="end"/>
        </w:r>
      </w:hyperlink>
    </w:p>
    <w:p w14:paraId="0408BFF7" w14:textId="1934800A"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4" w:history="1">
        <w:r w:rsidR="005404D6" w:rsidRPr="005404D6">
          <w:rPr>
            <w:rStyle w:val="af6"/>
            <w:b w:val="0"/>
            <w:noProof/>
            <w:sz w:val="20"/>
            <w:szCs w:val="20"/>
          </w:rPr>
          <w:t>9.2.5.</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Definitions of serious adverse event</w:t>
        </w:r>
        <w:r w:rsidR="008E777B">
          <w:rPr>
            <w:rStyle w:val="af6"/>
            <w:b w:val="0"/>
            <w:noProof/>
            <w:sz w:val="20"/>
            <w:szCs w:val="20"/>
          </w:rPr>
          <w:t>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_Toc170380234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35</w:t>
        </w:r>
        <w:r w:rsidR="005404D6" w:rsidRPr="005404D6">
          <w:rPr>
            <w:b w:val="0"/>
            <w:noProof/>
            <w:sz w:val="20"/>
            <w:szCs w:val="20"/>
          </w:rPr>
          <w:fldChar w:fldCharType="end"/>
        </w:r>
      </w:hyperlink>
    </w:p>
    <w:p w14:paraId="5EB9120A" w14:textId="18A09E0B"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5" w:history="1">
        <w:r w:rsidR="005404D6" w:rsidRPr="005404D6">
          <w:rPr>
            <w:rStyle w:val="af6"/>
            <w:b w:val="0"/>
            <w:noProof/>
            <w:sz w:val="20"/>
            <w:szCs w:val="20"/>
          </w:rPr>
          <w:t>9.2.6.</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Malignant tumor progression</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_Toc170380235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36</w:t>
        </w:r>
        <w:r w:rsidR="005404D6" w:rsidRPr="005404D6">
          <w:rPr>
            <w:b w:val="0"/>
            <w:noProof/>
            <w:sz w:val="20"/>
            <w:szCs w:val="20"/>
          </w:rPr>
          <w:fldChar w:fldCharType="end"/>
        </w:r>
      </w:hyperlink>
    </w:p>
    <w:p w14:paraId="7CF5E305" w14:textId="5F559F38"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6" w:history="1">
        <w:r w:rsidR="005404D6" w:rsidRPr="005404D6">
          <w:rPr>
            <w:rStyle w:val="af6"/>
            <w:b w:val="0"/>
            <w:noProof/>
            <w:sz w:val="20"/>
            <w:szCs w:val="20"/>
          </w:rPr>
          <w:t>9.2.7.</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Unexpected adverse events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_Toc170380236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37</w:t>
        </w:r>
        <w:r w:rsidR="005404D6" w:rsidRPr="005404D6">
          <w:rPr>
            <w:b w:val="0"/>
            <w:noProof/>
            <w:sz w:val="20"/>
            <w:szCs w:val="20"/>
          </w:rPr>
          <w:fldChar w:fldCharType="end"/>
        </w:r>
      </w:hyperlink>
    </w:p>
    <w:p w14:paraId="00132B69" w14:textId="4DBE35AA"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7" w:history="1">
        <w:r w:rsidR="005404D6" w:rsidRPr="005404D6">
          <w:rPr>
            <w:rStyle w:val="af6"/>
            <w:b w:val="0"/>
            <w:noProof/>
            <w:sz w:val="20"/>
            <w:szCs w:val="20"/>
          </w:rPr>
          <w:t>9.2.8.</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Reporting of adverse events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_Toc170380237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37</w:t>
        </w:r>
        <w:r w:rsidR="005404D6" w:rsidRPr="005404D6">
          <w:rPr>
            <w:b w:val="0"/>
            <w:noProof/>
            <w:sz w:val="20"/>
            <w:szCs w:val="20"/>
          </w:rPr>
          <w:fldChar w:fldCharType="end"/>
        </w:r>
      </w:hyperlink>
    </w:p>
    <w:p w14:paraId="7A750088" w14:textId="2AF741F6" w:rsidR="005404D6" w:rsidRPr="005404D6" w:rsidRDefault="00D64A22" w:rsidP="005404D6">
      <w:pPr>
        <w:pStyle w:val="32"/>
        <w:tabs>
          <w:tab w:val="left" w:pos="1260"/>
        </w:tabs>
        <w:spacing w:after="240" w:line="240" w:lineRule="auto"/>
        <w:rPr>
          <w:rFonts w:eastAsiaTheme="minorEastAsia"/>
          <w:b w:val="0"/>
          <w:noProof/>
          <w:sz w:val="20"/>
          <w:szCs w:val="20"/>
          <w14:ligatures w14:val="standardContextual"/>
        </w:rPr>
      </w:pPr>
      <w:hyperlink w:anchor="_Toc170380238" w:history="1">
        <w:r w:rsidR="005404D6" w:rsidRPr="005404D6">
          <w:rPr>
            <w:rStyle w:val="af6"/>
            <w:b w:val="0"/>
            <w:noProof/>
            <w:sz w:val="20"/>
            <w:szCs w:val="20"/>
          </w:rPr>
          <w:t>9.2.9.</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Treatment and follow-up of adverse events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_Toc170380238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38</w:t>
        </w:r>
        <w:r w:rsidR="005404D6" w:rsidRPr="005404D6">
          <w:rPr>
            <w:b w:val="0"/>
            <w:noProof/>
            <w:sz w:val="20"/>
            <w:szCs w:val="20"/>
          </w:rPr>
          <w:fldChar w:fldCharType="end"/>
        </w:r>
      </w:hyperlink>
    </w:p>
    <w:p w14:paraId="75A253BF" w14:textId="22EECC9E" w:rsidR="005404D6" w:rsidRPr="005404D6" w:rsidRDefault="00D64A22" w:rsidP="005404D6">
      <w:pPr>
        <w:pStyle w:val="32"/>
        <w:tabs>
          <w:tab w:val="left" w:pos="1470"/>
        </w:tabs>
        <w:spacing w:after="240" w:line="240" w:lineRule="auto"/>
        <w:rPr>
          <w:rFonts w:eastAsiaTheme="minorEastAsia"/>
          <w:b w:val="0"/>
          <w:noProof/>
          <w:sz w:val="20"/>
          <w:szCs w:val="20"/>
          <w14:ligatures w14:val="standardContextual"/>
        </w:rPr>
      </w:pPr>
      <w:hyperlink w:anchor="_Toc170380239" w:history="1">
        <w:r w:rsidR="005404D6" w:rsidRPr="005404D6">
          <w:rPr>
            <w:rStyle w:val="af6"/>
            <w:b w:val="0"/>
            <w:noProof/>
            <w:sz w:val="20"/>
            <w:szCs w:val="20"/>
          </w:rPr>
          <w:t>9.2.10.</w:t>
        </w:r>
        <w:r w:rsidR="005404D6" w:rsidRPr="005404D6">
          <w:rPr>
            <w:rFonts w:eastAsiaTheme="minorEastAsia"/>
            <w:b w:val="0"/>
            <w:noProof/>
            <w:sz w:val="20"/>
            <w:szCs w:val="20"/>
            <w14:ligatures w14:val="standardContextual"/>
          </w:rPr>
          <w:tab/>
        </w:r>
        <w:r w:rsidR="005404D6" w:rsidRPr="005404D6">
          <w:rPr>
            <w:rStyle w:val="af6"/>
            <w:b w:val="0"/>
            <w:noProof/>
            <w:sz w:val="20"/>
            <w:szCs w:val="20"/>
          </w:rPr>
          <w:t>Laboratory test value abnormalities</w:t>
        </w:r>
        <w:r w:rsidR="005404D6" w:rsidRPr="005404D6">
          <w:rPr>
            <w:b w:val="0"/>
            <w:noProof/>
            <w:sz w:val="20"/>
            <w:szCs w:val="20"/>
          </w:rPr>
          <w:tab/>
        </w:r>
        <w:r w:rsidR="005404D6" w:rsidRPr="005404D6">
          <w:rPr>
            <w:b w:val="0"/>
            <w:noProof/>
            <w:sz w:val="20"/>
            <w:szCs w:val="20"/>
          </w:rPr>
          <w:fldChar w:fldCharType="begin"/>
        </w:r>
        <w:r w:rsidR="005404D6" w:rsidRPr="005404D6">
          <w:rPr>
            <w:b w:val="0"/>
            <w:noProof/>
            <w:sz w:val="20"/>
            <w:szCs w:val="20"/>
          </w:rPr>
          <w:instrText xml:space="preserve"> PAGEREF _Toc170380239 \h </w:instrText>
        </w:r>
        <w:r w:rsidR="005404D6" w:rsidRPr="005404D6">
          <w:rPr>
            <w:b w:val="0"/>
            <w:noProof/>
            <w:sz w:val="20"/>
            <w:szCs w:val="20"/>
          </w:rPr>
        </w:r>
        <w:r w:rsidR="005404D6" w:rsidRPr="005404D6">
          <w:rPr>
            <w:b w:val="0"/>
            <w:noProof/>
            <w:sz w:val="20"/>
            <w:szCs w:val="20"/>
          </w:rPr>
          <w:fldChar w:fldCharType="separate"/>
        </w:r>
        <w:r w:rsidR="004F38A3">
          <w:rPr>
            <w:b w:val="0"/>
            <w:noProof/>
            <w:sz w:val="20"/>
            <w:szCs w:val="20"/>
          </w:rPr>
          <w:t>39</w:t>
        </w:r>
        <w:r w:rsidR="005404D6" w:rsidRPr="005404D6">
          <w:rPr>
            <w:b w:val="0"/>
            <w:noProof/>
            <w:sz w:val="20"/>
            <w:szCs w:val="20"/>
          </w:rPr>
          <w:fldChar w:fldCharType="end"/>
        </w:r>
      </w:hyperlink>
    </w:p>
    <w:p w14:paraId="6F73B50E" w14:textId="4FDB7FB7" w:rsidR="005404D6" w:rsidRPr="005404D6" w:rsidRDefault="00D64A22" w:rsidP="005404D6">
      <w:pPr>
        <w:pStyle w:val="21"/>
        <w:tabs>
          <w:tab w:val="left" w:pos="840"/>
          <w:tab w:val="right" w:leader="dot" w:pos="9060"/>
        </w:tabs>
        <w:spacing w:after="240" w:line="240" w:lineRule="auto"/>
        <w:rPr>
          <w:rFonts w:eastAsiaTheme="minorEastAsia"/>
          <w:i w:val="0"/>
          <w:iCs w:val="0"/>
          <w:noProof/>
          <w14:ligatures w14:val="standardContextual"/>
        </w:rPr>
      </w:pPr>
      <w:hyperlink w:anchor="_Toc170380240" w:history="1">
        <w:r w:rsidR="005404D6" w:rsidRPr="005404D6">
          <w:rPr>
            <w:rStyle w:val="af6"/>
            <w:noProof/>
          </w:rPr>
          <w:t>9.3.</w:t>
        </w:r>
        <w:r w:rsidR="005404D6" w:rsidRPr="005404D6">
          <w:rPr>
            <w:rFonts w:eastAsiaTheme="minorEastAsia"/>
            <w:i w:val="0"/>
            <w:iCs w:val="0"/>
            <w:noProof/>
            <w14:ligatures w14:val="standardContextual"/>
          </w:rPr>
          <w:tab/>
        </w:r>
        <w:r w:rsidR="005404D6" w:rsidRPr="005404D6">
          <w:rPr>
            <w:rStyle w:val="af6"/>
            <w:noProof/>
          </w:rPr>
          <w:t>Pregnancy</w:t>
        </w:r>
        <w:r w:rsidR="005404D6" w:rsidRPr="005404D6">
          <w:rPr>
            <w:noProof/>
          </w:rPr>
          <w:tab/>
        </w:r>
        <w:r w:rsidR="005404D6" w:rsidRPr="005404D6">
          <w:rPr>
            <w:noProof/>
          </w:rPr>
          <w:fldChar w:fldCharType="begin"/>
        </w:r>
        <w:r w:rsidR="005404D6" w:rsidRPr="005404D6">
          <w:rPr>
            <w:noProof/>
          </w:rPr>
          <w:instrText xml:space="preserve"> PAGEREF _Toc170380240 \h </w:instrText>
        </w:r>
        <w:r w:rsidR="005404D6" w:rsidRPr="005404D6">
          <w:rPr>
            <w:noProof/>
          </w:rPr>
        </w:r>
        <w:r w:rsidR="005404D6" w:rsidRPr="005404D6">
          <w:rPr>
            <w:noProof/>
          </w:rPr>
          <w:fldChar w:fldCharType="separate"/>
        </w:r>
        <w:r w:rsidR="004F38A3">
          <w:rPr>
            <w:noProof/>
          </w:rPr>
          <w:t>39</w:t>
        </w:r>
        <w:r w:rsidR="005404D6" w:rsidRPr="005404D6">
          <w:rPr>
            <w:noProof/>
          </w:rPr>
          <w:fldChar w:fldCharType="end"/>
        </w:r>
      </w:hyperlink>
    </w:p>
    <w:p w14:paraId="44F5BEDD" w14:textId="7255562F" w:rsidR="005404D6" w:rsidRPr="005404D6" w:rsidRDefault="00D64A22" w:rsidP="005404D6">
      <w:pPr>
        <w:pStyle w:val="11"/>
        <w:tabs>
          <w:tab w:val="left" w:pos="630"/>
          <w:tab w:val="right" w:leader="dot" w:pos="9060"/>
        </w:tabs>
        <w:spacing w:line="240" w:lineRule="auto"/>
        <w:rPr>
          <w:rFonts w:eastAsiaTheme="minorEastAsia"/>
          <w:b w:val="0"/>
          <w:bCs w:val="0"/>
          <w:noProof/>
          <w14:ligatures w14:val="standardContextual"/>
        </w:rPr>
      </w:pPr>
      <w:hyperlink w:anchor="_Toc170380241" w:history="1">
        <w:r w:rsidR="005404D6" w:rsidRPr="005404D6">
          <w:rPr>
            <w:rStyle w:val="af6"/>
            <w:b w:val="0"/>
            <w:bCs w:val="0"/>
            <w:noProof/>
          </w:rPr>
          <w:t>10.</w:t>
        </w:r>
        <w:r w:rsidR="005404D6" w:rsidRPr="005404D6">
          <w:rPr>
            <w:rFonts w:eastAsiaTheme="minorEastAsia"/>
            <w:b w:val="0"/>
            <w:bCs w:val="0"/>
            <w:noProof/>
            <w14:ligatures w14:val="standardContextual"/>
          </w:rPr>
          <w:tab/>
        </w:r>
        <w:r w:rsidR="005404D6" w:rsidRPr="005404D6">
          <w:rPr>
            <w:rStyle w:val="af6"/>
            <w:b w:val="0"/>
            <w:bCs w:val="0"/>
            <w:noProof/>
          </w:rPr>
          <w:t xml:space="preserve">INDEPENDENT </w:t>
        </w:r>
        <w:r w:rsidR="00234242">
          <w:rPr>
            <w:rStyle w:val="af6"/>
            <w:b w:val="0"/>
            <w:bCs w:val="0"/>
            <w:noProof/>
          </w:rPr>
          <w:t>DATA</w:t>
        </w:r>
        <w:r w:rsidR="00234242" w:rsidRPr="005404D6">
          <w:rPr>
            <w:rStyle w:val="af6"/>
            <w:b w:val="0"/>
            <w:bCs w:val="0"/>
            <w:noProof/>
          </w:rPr>
          <w:t xml:space="preserve"> </w:t>
        </w:r>
        <w:r w:rsidR="00234242">
          <w:rPr>
            <w:rStyle w:val="af6"/>
            <w:b w:val="0"/>
            <w:bCs w:val="0"/>
            <w:noProof/>
          </w:rPr>
          <w:t xml:space="preserve">MONITORING </w:t>
        </w:r>
        <w:r w:rsidR="005404D6" w:rsidRPr="005404D6">
          <w:rPr>
            <w:rStyle w:val="af6"/>
            <w:b w:val="0"/>
            <w:bCs w:val="0"/>
            <w:noProof/>
          </w:rPr>
          <w:t>COMMITTEE (I</w:t>
        </w:r>
        <w:r w:rsidR="00234242">
          <w:rPr>
            <w:rStyle w:val="af6"/>
            <w:b w:val="0"/>
            <w:bCs w:val="0"/>
            <w:noProof/>
          </w:rPr>
          <w:t>DM</w:t>
        </w:r>
        <w:r w:rsidR="005404D6" w:rsidRPr="005404D6">
          <w:rPr>
            <w:rStyle w:val="af6"/>
            <w:b w:val="0"/>
            <w:bCs w:val="0"/>
            <w:noProof/>
          </w:rPr>
          <w:t>C)</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_Toc170380241 \h </w:instrText>
        </w:r>
        <w:r w:rsidR="005404D6" w:rsidRPr="005404D6">
          <w:rPr>
            <w:b w:val="0"/>
            <w:bCs w:val="0"/>
            <w:noProof/>
          </w:rPr>
        </w:r>
        <w:r w:rsidR="005404D6" w:rsidRPr="005404D6">
          <w:rPr>
            <w:b w:val="0"/>
            <w:bCs w:val="0"/>
            <w:noProof/>
          </w:rPr>
          <w:fldChar w:fldCharType="separate"/>
        </w:r>
        <w:r w:rsidR="004F38A3">
          <w:rPr>
            <w:b w:val="0"/>
            <w:bCs w:val="0"/>
            <w:noProof/>
          </w:rPr>
          <w:t>40</w:t>
        </w:r>
        <w:r w:rsidR="005404D6" w:rsidRPr="005404D6">
          <w:rPr>
            <w:b w:val="0"/>
            <w:bCs w:val="0"/>
            <w:noProof/>
          </w:rPr>
          <w:fldChar w:fldCharType="end"/>
        </w:r>
      </w:hyperlink>
    </w:p>
    <w:p w14:paraId="22A809F7" w14:textId="5AB3B836" w:rsidR="005404D6" w:rsidRPr="005404D6" w:rsidRDefault="00D64A22" w:rsidP="005404D6">
      <w:pPr>
        <w:pStyle w:val="11"/>
        <w:tabs>
          <w:tab w:val="left" w:pos="630"/>
          <w:tab w:val="right" w:leader="dot" w:pos="9060"/>
        </w:tabs>
        <w:spacing w:line="240" w:lineRule="auto"/>
        <w:rPr>
          <w:rFonts w:eastAsiaTheme="minorEastAsia"/>
          <w:b w:val="0"/>
          <w:bCs w:val="0"/>
          <w:noProof/>
          <w14:ligatures w14:val="standardContextual"/>
        </w:rPr>
      </w:pPr>
      <w:hyperlink w:anchor="_Toc170380242" w:history="1">
        <w:r w:rsidR="005404D6" w:rsidRPr="005404D6">
          <w:rPr>
            <w:rStyle w:val="af6"/>
            <w:b w:val="0"/>
            <w:bCs w:val="0"/>
            <w:noProof/>
          </w:rPr>
          <w:t>11.</w:t>
        </w:r>
        <w:r w:rsidR="005404D6" w:rsidRPr="005404D6">
          <w:rPr>
            <w:rFonts w:eastAsiaTheme="minorEastAsia"/>
            <w:b w:val="0"/>
            <w:bCs w:val="0"/>
            <w:noProof/>
            <w14:ligatures w14:val="standardContextual"/>
          </w:rPr>
          <w:tab/>
        </w:r>
        <w:r w:rsidR="005404D6" w:rsidRPr="005404D6">
          <w:rPr>
            <w:rStyle w:val="af6"/>
            <w:b w:val="0"/>
            <w:bCs w:val="0"/>
            <w:noProof/>
          </w:rPr>
          <w:t>REFERENCES</w:t>
        </w:r>
        <w:r w:rsidR="005404D6" w:rsidRPr="005404D6">
          <w:rPr>
            <w:b w:val="0"/>
            <w:bCs w:val="0"/>
            <w:noProof/>
          </w:rPr>
          <w:tab/>
        </w:r>
        <w:r w:rsidR="005404D6" w:rsidRPr="005404D6">
          <w:rPr>
            <w:b w:val="0"/>
            <w:bCs w:val="0"/>
            <w:noProof/>
          </w:rPr>
          <w:fldChar w:fldCharType="begin"/>
        </w:r>
        <w:r w:rsidR="005404D6" w:rsidRPr="005404D6">
          <w:rPr>
            <w:b w:val="0"/>
            <w:bCs w:val="0"/>
            <w:noProof/>
          </w:rPr>
          <w:instrText xml:space="preserve"> PAGEREF _Toc170380242 \h </w:instrText>
        </w:r>
        <w:r w:rsidR="005404D6" w:rsidRPr="005404D6">
          <w:rPr>
            <w:b w:val="0"/>
            <w:bCs w:val="0"/>
            <w:noProof/>
          </w:rPr>
        </w:r>
        <w:r w:rsidR="005404D6" w:rsidRPr="005404D6">
          <w:rPr>
            <w:b w:val="0"/>
            <w:bCs w:val="0"/>
            <w:noProof/>
          </w:rPr>
          <w:fldChar w:fldCharType="separate"/>
        </w:r>
        <w:r w:rsidR="004F38A3">
          <w:rPr>
            <w:b w:val="0"/>
            <w:bCs w:val="0"/>
            <w:noProof/>
          </w:rPr>
          <w:t>41</w:t>
        </w:r>
        <w:r w:rsidR="005404D6" w:rsidRPr="005404D6">
          <w:rPr>
            <w:b w:val="0"/>
            <w:bCs w:val="0"/>
            <w:noProof/>
          </w:rPr>
          <w:fldChar w:fldCharType="end"/>
        </w:r>
      </w:hyperlink>
    </w:p>
    <w:p w14:paraId="23930EDE" w14:textId="2997F710" w:rsidR="005404D6" w:rsidRDefault="00D64A22" w:rsidP="005404D6">
      <w:pPr>
        <w:pStyle w:val="11"/>
        <w:tabs>
          <w:tab w:val="right" w:leader="dot" w:pos="9060"/>
        </w:tabs>
        <w:spacing w:line="240" w:lineRule="auto"/>
        <w:rPr>
          <w:b w:val="0"/>
          <w:bCs w:val="0"/>
          <w:noProof/>
        </w:rPr>
      </w:pPr>
      <w:hyperlink w:anchor="_Toc170380243" w:history="1">
        <w:r w:rsidR="005404D6" w:rsidRPr="005404D6">
          <w:rPr>
            <w:rStyle w:val="af6"/>
            <w:b w:val="0"/>
            <w:bCs w:val="0"/>
            <w:noProof/>
          </w:rPr>
          <w:t>Investigator's Statement</w:t>
        </w:r>
        <w:r w:rsidR="005404D6" w:rsidRPr="005404D6">
          <w:rPr>
            <w:b w:val="0"/>
            <w:bCs w:val="0"/>
            <w:noProof/>
          </w:rPr>
          <w:tab/>
        </w:r>
        <w:r w:rsidR="00145C48">
          <w:rPr>
            <w:b w:val="0"/>
            <w:bCs w:val="0"/>
            <w:noProof/>
          </w:rPr>
          <w:t>43</w:t>
        </w:r>
      </w:hyperlink>
    </w:p>
    <w:p w14:paraId="2F7F15E5" w14:textId="0302B904" w:rsidR="0065360F" w:rsidRDefault="00D64A22" w:rsidP="0065360F">
      <w:pPr>
        <w:pStyle w:val="11"/>
        <w:tabs>
          <w:tab w:val="right" w:leader="dot" w:pos="9060"/>
        </w:tabs>
        <w:spacing w:line="240" w:lineRule="auto"/>
        <w:rPr>
          <w:b w:val="0"/>
          <w:bCs w:val="0"/>
          <w:noProof/>
        </w:rPr>
      </w:pPr>
      <w:hyperlink w:anchor="_Toc170380243" w:history="1">
        <w:r w:rsidR="0065360F" w:rsidRPr="0065360F">
          <w:rPr>
            <w:rStyle w:val="af6"/>
            <w:b w:val="0"/>
            <w:bCs w:val="0"/>
            <w:noProof/>
          </w:rPr>
          <w:t>Summary of changes of th</w:t>
        </w:r>
        <w:r w:rsidR="0065360F">
          <w:rPr>
            <w:rStyle w:val="af6"/>
            <w:rFonts w:hint="eastAsia"/>
            <w:b w:val="0"/>
            <w:bCs w:val="0"/>
            <w:noProof/>
          </w:rPr>
          <w:t>e</w:t>
        </w:r>
        <w:r w:rsidR="0065360F">
          <w:rPr>
            <w:rStyle w:val="af6"/>
            <w:b w:val="0"/>
            <w:bCs w:val="0"/>
            <w:noProof/>
          </w:rPr>
          <w:t xml:space="preserve"> protocol</w:t>
        </w:r>
        <w:r w:rsidR="0065360F" w:rsidRPr="005404D6">
          <w:rPr>
            <w:b w:val="0"/>
            <w:bCs w:val="0"/>
            <w:noProof/>
          </w:rPr>
          <w:tab/>
        </w:r>
        <w:r w:rsidR="0065360F" w:rsidRPr="005404D6">
          <w:rPr>
            <w:b w:val="0"/>
            <w:bCs w:val="0"/>
            <w:noProof/>
          </w:rPr>
          <w:fldChar w:fldCharType="begin"/>
        </w:r>
        <w:r w:rsidR="0065360F" w:rsidRPr="005404D6">
          <w:rPr>
            <w:b w:val="0"/>
            <w:bCs w:val="0"/>
            <w:noProof/>
          </w:rPr>
          <w:instrText xml:space="preserve"> PAGEREF _Toc170380243 \h </w:instrText>
        </w:r>
        <w:r w:rsidR="0065360F" w:rsidRPr="005404D6">
          <w:rPr>
            <w:b w:val="0"/>
            <w:bCs w:val="0"/>
            <w:noProof/>
          </w:rPr>
        </w:r>
        <w:r w:rsidR="0065360F" w:rsidRPr="005404D6">
          <w:rPr>
            <w:b w:val="0"/>
            <w:bCs w:val="0"/>
            <w:noProof/>
          </w:rPr>
          <w:fldChar w:fldCharType="separate"/>
        </w:r>
        <w:r w:rsidR="004F38A3">
          <w:rPr>
            <w:b w:val="0"/>
            <w:bCs w:val="0"/>
            <w:noProof/>
          </w:rPr>
          <w:t>44</w:t>
        </w:r>
        <w:r w:rsidR="0065360F" w:rsidRPr="005404D6">
          <w:rPr>
            <w:b w:val="0"/>
            <w:bCs w:val="0"/>
            <w:noProof/>
          </w:rPr>
          <w:fldChar w:fldCharType="end"/>
        </w:r>
      </w:hyperlink>
    </w:p>
    <w:p w14:paraId="558F3D88" w14:textId="6E7E9739" w:rsidR="00076EB7" w:rsidRPr="005404D6" w:rsidRDefault="004B6ABE" w:rsidP="0065360F">
      <w:pPr>
        <w:adjustRightInd w:val="0"/>
        <w:snapToGrid w:val="0"/>
        <w:spacing w:afterLines="0" w:after="0" w:line="240" w:lineRule="auto"/>
        <w:rPr>
          <w:sz w:val="20"/>
          <w:szCs w:val="20"/>
        </w:rPr>
      </w:pPr>
      <w:r w:rsidRPr="005404D6">
        <w:rPr>
          <w:sz w:val="20"/>
          <w:szCs w:val="20"/>
        </w:rPr>
        <w:fldChar w:fldCharType="end"/>
      </w:r>
    </w:p>
    <w:p w14:paraId="7CA13935" w14:textId="77777777" w:rsidR="005D1745" w:rsidRPr="00AD02EF" w:rsidRDefault="004B6ABE" w:rsidP="00076EB7">
      <w:pPr>
        <w:pStyle w:val="1"/>
        <w:adjustRightInd w:val="0"/>
        <w:snapToGrid w:val="0"/>
        <w:spacing w:beforeLines="200" w:before="480" w:line="360" w:lineRule="auto"/>
        <w:ind w:left="0" w:firstLine="0"/>
        <w:rPr>
          <w:b w:val="0"/>
          <w:bCs w:val="0"/>
          <w:sz w:val="21"/>
          <w:szCs w:val="21"/>
        </w:rPr>
      </w:pPr>
      <w:r w:rsidRPr="005404D6">
        <w:rPr>
          <w:b w:val="0"/>
          <w:bCs w:val="0"/>
          <w:sz w:val="20"/>
          <w:szCs w:val="20"/>
        </w:rPr>
        <w:br w:type="page"/>
      </w:r>
      <w:r w:rsidRPr="00AD02EF">
        <w:rPr>
          <w:b w:val="0"/>
          <w:bCs w:val="0"/>
          <w:sz w:val="21"/>
          <w:szCs w:val="21"/>
        </w:rPr>
        <w:lastRenderedPageBreak/>
        <w:t xml:space="preserve"> </w:t>
      </w:r>
      <w:bookmarkStart w:id="104" w:name="_Toc30895"/>
      <w:bookmarkStart w:id="105" w:name="_Toc3430"/>
      <w:bookmarkStart w:id="106" w:name="_Toc7698"/>
      <w:bookmarkStart w:id="107" w:name="_Toc19821"/>
      <w:bookmarkStart w:id="108" w:name="_Toc23441"/>
      <w:bookmarkStart w:id="109" w:name="_Toc22202"/>
      <w:bookmarkStart w:id="110" w:name="_Toc32201"/>
      <w:bookmarkStart w:id="111" w:name="_Toc13900"/>
      <w:bookmarkStart w:id="112" w:name="_Toc31808"/>
      <w:bookmarkStart w:id="113" w:name="_Toc8339"/>
      <w:bookmarkStart w:id="114" w:name="_Toc30370"/>
      <w:bookmarkStart w:id="115" w:name="_Toc2997"/>
      <w:bookmarkStart w:id="116" w:name="_Toc18445"/>
      <w:bookmarkStart w:id="117" w:name="_Toc18024"/>
      <w:bookmarkStart w:id="118" w:name="_Toc24269"/>
      <w:bookmarkStart w:id="119" w:name="_Toc10534"/>
      <w:bookmarkStart w:id="120" w:name="_Toc4273"/>
      <w:bookmarkStart w:id="121" w:name="_Toc13415"/>
      <w:bookmarkStart w:id="122" w:name="_Toc7382"/>
      <w:bookmarkStart w:id="123" w:name="_Toc5018"/>
      <w:bookmarkStart w:id="124" w:name="_Toc1486"/>
      <w:bookmarkStart w:id="125" w:name="_Toc16345"/>
      <w:bookmarkStart w:id="126" w:name="_Toc13996"/>
      <w:bookmarkStart w:id="127" w:name="_Toc170380166"/>
      <w:r w:rsidRPr="00AD02EF">
        <w:rPr>
          <w:b w:val="0"/>
          <w:bCs w:val="0"/>
          <w:sz w:val="21"/>
          <w:szCs w:val="21"/>
        </w:rPr>
        <w:t>INTRODUCTION</w:t>
      </w:r>
      <w:bookmarkEnd w:id="95"/>
      <w:bookmarkEnd w:id="96"/>
      <w:bookmarkEnd w:id="97"/>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p w14:paraId="264E52B3" w14:textId="0F478BAD" w:rsidR="005D1745" w:rsidRDefault="00076EB7" w:rsidP="00076EB7">
      <w:pPr>
        <w:pStyle w:val="af0"/>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
      </w:r>
      <w:r w:rsidR="004B6ABE">
        <w:rPr>
          <w:rFonts w:ascii="Times New Roman" w:hAnsi="Times New Roman" w:cs="Times New Roman"/>
          <w:sz w:val="21"/>
          <w:szCs w:val="21"/>
        </w:rPr>
        <w:t xml:space="preserve">Lung cancer is the most common cause of death from cancer. Non-small </w:t>
      </w:r>
      <w:r w:rsidR="00651C6E">
        <w:rPr>
          <w:rFonts w:ascii="Times New Roman" w:hAnsi="Times New Roman" w:cs="Times New Roman"/>
          <w:sz w:val="21"/>
          <w:szCs w:val="21"/>
        </w:rPr>
        <w:t xml:space="preserve">cell lung cancer </w:t>
      </w:r>
      <w:r w:rsidR="004B6ABE">
        <w:rPr>
          <w:rFonts w:ascii="Times New Roman" w:hAnsi="Times New Roman" w:cs="Times New Roman"/>
          <w:sz w:val="21"/>
          <w:szCs w:val="21"/>
        </w:rPr>
        <w:t xml:space="preserve">(NSCLC) represents approximately 80% to 85% of all lung cancers unfortunately </w:t>
      </w:r>
      <w:r w:rsidR="004B6ABE">
        <w:rPr>
          <w:rFonts w:ascii="Times New Roman" w:hAnsi="Times New Roman" w:cs="Times New Roman"/>
          <w:sz w:val="21"/>
          <w:szCs w:val="21"/>
          <w:vertAlign w:val="superscript"/>
        </w:rPr>
        <w:t>[1,2]</w:t>
      </w:r>
      <w:r w:rsidR="004B6ABE">
        <w:rPr>
          <w:rFonts w:ascii="Times New Roman" w:hAnsi="Times New Roman" w:cs="Times New Roman"/>
          <w:sz w:val="21"/>
          <w:szCs w:val="21"/>
        </w:rPr>
        <w:t>. In 2006, the incidence of malignant tumors in urban populations in China surpassed that of cardiovascular and cerebrovascular diseases, becoming the most common cause of death, with lung cancer being the most common among malignant tumors. Among the annual new cases of lung cancer, more than 30% patients present with stages II-III</w:t>
      </w:r>
      <w:r w:rsidR="006A4388">
        <w:rPr>
          <w:rFonts w:ascii="Times New Roman" w:hAnsi="Times New Roman" w:cs="Times New Roman"/>
          <w:sz w:val="21"/>
          <w:szCs w:val="21"/>
        </w:rPr>
        <w:t>A</w:t>
      </w:r>
      <w:r w:rsidR="004B6ABE">
        <w:rPr>
          <w:rFonts w:ascii="Times New Roman" w:hAnsi="Times New Roman" w:cs="Times New Roman"/>
          <w:sz w:val="21"/>
          <w:szCs w:val="21"/>
        </w:rPr>
        <w:t xml:space="preserve"> and 50% of them have ipsilateral mediastinal lymph node metastasis, with a 5-year survival rate of only 10-15%. The local recurrence rate for patients with stage II-IIIA is 80%, and the distant metastasis rate </w:t>
      </w:r>
      <w:r w:rsidR="007D0121">
        <w:rPr>
          <w:rFonts w:ascii="Times New Roman" w:hAnsi="Times New Roman" w:cs="Times New Roman"/>
          <w:sz w:val="21"/>
          <w:szCs w:val="21"/>
        </w:rPr>
        <w:t>is</w:t>
      </w:r>
      <w:r w:rsidR="004B6ABE">
        <w:rPr>
          <w:rFonts w:ascii="Times New Roman" w:hAnsi="Times New Roman" w:cs="Times New Roman"/>
          <w:sz w:val="21"/>
          <w:szCs w:val="21"/>
        </w:rPr>
        <w:t xml:space="preserve"> 60%</w:t>
      </w:r>
      <w:r w:rsidR="004B6ABE">
        <w:rPr>
          <w:rFonts w:ascii="Times New Roman" w:hAnsi="Times New Roman" w:cs="Times New Roman"/>
          <w:sz w:val="21"/>
          <w:szCs w:val="21"/>
          <w:vertAlign w:val="superscript"/>
        </w:rPr>
        <w:t>[3,4]</w:t>
      </w:r>
      <w:r w:rsidR="004B6ABE">
        <w:rPr>
          <w:rFonts w:ascii="Times New Roman" w:hAnsi="Times New Roman" w:cs="Times New Roman"/>
          <w:sz w:val="21"/>
          <w:szCs w:val="21"/>
        </w:rPr>
        <w:t>.</w:t>
      </w:r>
      <w:r w:rsidR="00E14B55">
        <w:rPr>
          <w:rFonts w:ascii="Times New Roman" w:hAnsi="Times New Roman" w:cs="Times New Roman"/>
          <w:sz w:val="21"/>
          <w:szCs w:val="21"/>
        </w:rPr>
        <w:t xml:space="preserve"> </w:t>
      </w:r>
      <w:r w:rsidR="004B6ABE">
        <w:rPr>
          <w:rFonts w:ascii="Times New Roman" w:hAnsi="Times New Roman" w:cs="Times New Roman"/>
          <w:sz w:val="21"/>
          <w:szCs w:val="21"/>
        </w:rPr>
        <w:t xml:space="preserve">Even in early-stage (stage I) patients, the 5-year survival rate is only 58-73%, indicating that these patients still have a certain risk of recurrence </w:t>
      </w:r>
      <w:r w:rsidR="004B6ABE">
        <w:rPr>
          <w:rFonts w:ascii="Times New Roman" w:hAnsi="Times New Roman" w:cs="Times New Roman"/>
          <w:sz w:val="21"/>
          <w:szCs w:val="21"/>
          <w:vertAlign w:val="superscript"/>
        </w:rPr>
        <w:t>[5]</w:t>
      </w:r>
      <w:r w:rsidR="004B6ABE" w:rsidRPr="00A634E0">
        <w:rPr>
          <w:rFonts w:ascii="Times New Roman" w:hAnsi="Times New Roman" w:cs="Times New Roman"/>
          <w:sz w:val="21"/>
          <w:szCs w:val="21"/>
        </w:rPr>
        <w:t>.</w:t>
      </w:r>
      <w:r w:rsidR="004B6ABE">
        <w:rPr>
          <w:rFonts w:ascii="Times New Roman" w:hAnsi="Times New Roman" w:cs="Times New Roman"/>
          <w:sz w:val="21"/>
          <w:szCs w:val="21"/>
        </w:rPr>
        <w:t xml:space="preserve"> Therefore, the combination of local tumor control and systemic treatment has become an important treatment modality for resectable NSCLC patients </w:t>
      </w:r>
      <w:r w:rsidR="004B6ABE">
        <w:rPr>
          <w:rFonts w:ascii="Times New Roman" w:hAnsi="Times New Roman" w:cs="Times New Roman"/>
          <w:sz w:val="21"/>
          <w:szCs w:val="21"/>
          <w:vertAlign w:val="superscript"/>
        </w:rPr>
        <w:t>[6]</w:t>
      </w:r>
      <w:r w:rsidR="004B6ABE" w:rsidRPr="00A634E0">
        <w:rPr>
          <w:rFonts w:ascii="Times New Roman" w:hAnsi="Times New Roman" w:cs="Times New Roman"/>
          <w:sz w:val="21"/>
          <w:szCs w:val="21"/>
        </w:rPr>
        <w:t>.</w:t>
      </w:r>
    </w:p>
    <w:p w14:paraId="257F7E89" w14:textId="780BA0D5" w:rsidR="005D1745" w:rsidRDefault="00076EB7" w:rsidP="00076EB7">
      <w:pPr>
        <w:pStyle w:val="af0"/>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
      </w:r>
      <w:r w:rsidR="004B6ABE">
        <w:rPr>
          <w:rFonts w:ascii="Times New Roman" w:hAnsi="Times New Roman" w:cs="Times New Roman"/>
          <w:sz w:val="21"/>
          <w:szCs w:val="21"/>
        </w:rPr>
        <w:t xml:space="preserve">In the trials on adjuvant therapy for NSCLC, in 1995, the Non-Small Cell Lung Cancer Collaborative Group (NSCLCCG) published a large meta-analysis based on individual patient data in The British Medical Journal, which collected </w:t>
      </w:r>
      <w:r w:rsidR="007D0121">
        <w:rPr>
          <w:rFonts w:ascii="Times New Roman" w:hAnsi="Times New Roman" w:cs="Times New Roman"/>
          <w:sz w:val="21"/>
          <w:szCs w:val="21"/>
        </w:rPr>
        <w:t xml:space="preserve">information about </w:t>
      </w:r>
      <w:r w:rsidR="004B6ABE">
        <w:rPr>
          <w:rFonts w:ascii="Times New Roman" w:hAnsi="Times New Roman" w:cs="Times New Roman"/>
          <w:sz w:val="21"/>
          <w:szCs w:val="21"/>
        </w:rPr>
        <w:t>24 randomized controlled clinical trials comparing adjuvant chemotherapy with surgery alone from 1961 to 1991, involving 4767 patients. In the meta-analysis, all-stage (IB-IIIA) hazard ratios were in the range of HR=0.86, corresponding to an absolute benefit of chemotherapy on overall survival</w:t>
      </w:r>
      <w:r w:rsidR="00E77A03">
        <w:rPr>
          <w:rFonts w:ascii="Times New Roman" w:hAnsi="Times New Roman" w:cs="Times New Roman"/>
          <w:sz w:val="21"/>
          <w:szCs w:val="21"/>
        </w:rPr>
        <w:t xml:space="preserve"> (OS)</w:t>
      </w:r>
      <w:r w:rsidR="004B6ABE">
        <w:rPr>
          <w:rFonts w:ascii="Times New Roman" w:hAnsi="Times New Roman" w:cs="Times New Roman"/>
          <w:sz w:val="21"/>
          <w:szCs w:val="21"/>
        </w:rPr>
        <w:t xml:space="preserve"> of 4-5% at 5 years </w:t>
      </w:r>
      <w:r w:rsidR="004B6ABE">
        <w:rPr>
          <w:rFonts w:ascii="Times New Roman" w:hAnsi="Times New Roman" w:cs="Times New Roman"/>
          <w:sz w:val="21"/>
          <w:szCs w:val="21"/>
          <w:vertAlign w:val="superscript"/>
        </w:rPr>
        <w:t>[7</w:t>
      </w:r>
      <w:r w:rsidR="00855916">
        <w:rPr>
          <w:rFonts w:ascii="Times New Roman" w:hAnsi="Times New Roman" w:cs="Times New Roman"/>
          <w:sz w:val="21"/>
          <w:szCs w:val="21"/>
          <w:vertAlign w:val="superscript"/>
        </w:rPr>
        <w:t>]</w:t>
      </w:r>
      <w:r w:rsidR="00855916">
        <w:rPr>
          <w:rFonts w:ascii="Times New Roman" w:hAnsi="Times New Roman" w:cs="Times New Roman"/>
          <w:sz w:val="21"/>
          <w:szCs w:val="21"/>
        </w:rPr>
        <w:t xml:space="preserve">. Although </w:t>
      </w:r>
      <w:r w:rsidR="004B6ABE">
        <w:rPr>
          <w:rFonts w:ascii="Times New Roman" w:hAnsi="Times New Roman" w:cs="Times New Roman"/>
          <w:sz w:val="21"/>
          <w:szCs w:val="21"/>
        </w:rPr>
        <w:t>the difference was not statistically significant (P=0.08), it preliminarily established the status of platinum-based regimens in NSCLC adjuvant chemotherapy. Over the next decade, several randomized controlled clinical trials compared various cisplatin-based regimens of adjuvant chemotherapy with surgery alone. Since the 21st century, several large-scale clinical randomized controlled trials have been reported</w:t>
      </w:r>
      <w:r w:rsidR="00855916">
        <w:rPr>
          <w:rFonts w:ascii="Times New Roman" w:hAnsi="Times New Roman" w:cs="Times New Roman"/>
          <w:sz w:val="21"/>
          <w:szCs w:val="21"/>
        </w:rPr>
        <w:t xml:space="preserve">. Some </w:t>
      </w:r>
      <w:r w:rsidR="004B6ABE">
        <w:rPr>
          <w:rFonts w:ascii="Times New Roman" w:hAnsi="Times New Roman" w:cs="Times New Roman"/>
          <w:sz w:val="21"/>
          <w:szCs w:val="21"/>
        </w:rPr>
        <w:t xml:space="preserve">of them </w:t>
      </w:r>
      <w:r w:rsidR="004B6ABE">
        <w:rPr>
          <w:rFonts w:ascii="Times New Roman" w:hAnsi="Times New Roman" w:cs="Times New Roman"/>
          <w:sz w:val="21"/>
          <w:szCs w:val="21"/>
          <w:vertAlign w:val="superscript"/>
        </w:rPr>
        <w:t>[8-10]</w:t>
      </w:r>
      <w:r w:rsidR="004B6ABE">
        <w:rPr>
          <w:rFonts w:ascii="Times New Roman" w:hAnsi="Times New Roman" w:cs="Times New Roman"/>
          <w:sz w:val="21"/>
          <w:szCs w:val="21"/>
        </w:rPr>
        <w:t xml:space="preserve"> confirmed the overall survival benefit of adjuvant chemotherapy, while others </w:t>
      </w:r>
      <w:r w:rsidR="004B6ABE">
        <w:rPr>
          <w:rFonts w:ascii="Times New Roman" w:hAnsi="Times New Roman" w:cs="Times New Roman"/>
          <w:sz w:val="21"/>
          <w:szCs w:val="21"/>
          <w:vertAlign w:val="superscript"/>
        </w:rPr>
        <w:t>[11,12]</w:t>
      </w:r>
      <w:r w:rsidR="004B6ABE">
        <w:rPr>
          <w:rFonts w:ascii="Times New Roman" w:hAnsi="Times New Roman" w:cs="Times New Roman"/>
          <w:sz w:val="21"/>
          <w:szCs w:val="21"/>
        </w:rPr>
        <w:t xml:space="preserve"> yielded negative results. In 2008, LACE conducted a meta-analysis involving 5 large-sample clinical trials </w:t>
      </w:r>
      <w:r w:rsidR="004B6ABE">
        <w:rPr>
          <w:rFonts w:ascii="Times New Roman" w:hAnsi="Times New Roman" w:cs="Times New Roman"/>
          <w:sz w:val="21"/>
          <w:szCs w:val="21"/>
          <w:vertAlign w:val="superscript"/>
        </w:rPr>
        <w:t>[13]</w:t>
      </w:r>
      <w:r w:rsidR="004B6ABE">
        <w:rPr>
          <w:rFonts w:ascii="Times New Roman" w:hAnsi="Times New Roman" w:cs="Times New Roman"/>
          <w:sz w:val="21"/>
          <w:szCs w:val="21"/>
        </w:rPr>
        <w:t>, with a total of 4584 patients and a median follow-up of 5.2 years. The results indicated that patients derived benefits in DFS and OS from chemotherapy treatment, with a 5-year DFS rate increase of 5.8%, and a 5-year survival rate increase of 5.4%.</w:t>
      </w:r>
      <w:r w:rsidR="00140D90">
        <w:rPr>
          <w:rFonts w:ascii="Times New Roman" w:hAnsi="Times New Roman" w:cs="Times New Roman"/>
          <w:sz w:val="21"/>
          <w:szCs w:val="21"/>
        </w:rPr>
        <w:t xml:space="preserve"> </w:t>
      </w:r>
      <w:r w:rsidR="004B6ABE">
        <w:rPr>
          <w:rFonts w:ascii="Times New Roman" w:hAnsi="Times New Roman" w:cs="Times New Roman"/>
          <w:sz w:val="21"/>
          <w:szCs w:val="21"/>
        </w:rPr>
        <w:t xml:space="preserve">The meta-analysis also clarified the role of a 4-cycle platinum-based chemotherapy regimen in improving the 5-year survival rate of patients with completely resected NSCLC stages II to IIIA. It is worth mentioning the CALGB9633 study, which was a randomized controlled study of adjuvant chemotherapy using paclitaxel plus carboplatin regimen, </w:t>
      </w:r>
      <w:r w:rsidR="00807ECA">
        <w:rPr>
          <w:rFonts w:ascii="Times New Roman" w:hAnsi="Times New Roman" w:cs="Times New Roman"/>
          <w:sz w:val="21"/>
          <w:szCs w:val="21"/>
        </w:rPr>
        <w:t xml:space="preserve">in which </w:t>
      </w:r>
      <w:r w:rsidR="004B6ABE">
        <w:rPr>
          <w:rFonts w:ascii="Times New Roman" w:hAnsi="Times New Roman" w:cs="Times New Roman"/>
          <w:sz w:val="21"/>
          <w:szCs w:val="21"/>
        </w:rPr>
        <w:t xml:space="preserve">all </w:t>
      </w:r>
      <w:r w:rsidR="00807ECA">
        <w:rPr>
          <w:rFonts w:ascii="Times New Roman" w:hAnsi="Times New Roman" w:cs="Times New Roman"/>
          <w:sz w:val="21"/>
          <w:szCs w:val="21"/>
        </w:rPr>
        <w:t xml:space="preserve">the </w:t>
      </w:r>
      <w:r w:rsidR="004B6ABE">
        <w:rPr>
          <w:rFonts w:ascii="Times New Roman" w:hAnsi="Times New Roman" w:cs="Times New Roman"/>
          <w:sz w:val="21"/>
          <w:szCs w:val="21"/>
        </w:rPr>
        <w:t xml:space="preserve">patients were stage IB. </w:t>
      </w:r>
      <w:r w:rsidR="00035AA5">
        <w:rPr>
          <w:rFonts w:ascii="Times New Roman" w:hAnsi="Times New Roman" w:cs="Times New Roman"/>
          <w:sz w:val="21"/>
          <w:szCs w:val="21"/>
        </w:rPr>
        <w:t>The s</w:t>
      </w:r>
      <w:r w:rsidR="004B6ABE">
        <w:rPr>
          <w:rFonts w:ascii="Times New Roman" w:hAnsi="Times New Roman" w:cs="Times New Roman"/>
          <w:sz w:val="21"/>
          <w:szCs w:val="21"/>
        </w:rPr>
        <w:t xml:space="preserve">ubgroup analysis confirmed that patients with tumors ≥ 4cm could benefit from adjuvant chemotherapy </w:t>
      </w:r>
      <w:r w:rsidR="004B6ABE">
        <w:rPr>
          <w:rFonts w:ascii="Times New Roman" w:hAnsi="Times New Roman" w:cs="Times New Roman"/>
          <w:sz w:val="21"/>
          <w:szCs w:val="21"/>
          <w:vertAlign w:val="superscript"/>
        </w:rPr>
        <w:t>[14]</w:t>
      </w:r>
      <w:r w:rsidR="004B6ABE" w:rsidRPr="00A634E0">
        <w:rPr>
          <w:rFonts w:ascii="Times New Roman" w:hAnsi="Times New Roman" w:cs="Times New Roman"/>
          <w:sz w:val="21"/>
          <w:szCs w:val="21"/>
        </w:rPr>
        <w:t>.</w:t>
      </w:r>
    </w:p>
    <w:p w14:paraId="5DA7C19F" w14:textId="12745385" w:rsidR="005D1745" w:rsidRDefault="00076EB7" w:rsidP="00076EB7">
      <w:pPr>
        <w:pStyle w:val="af0"/>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
      </w:r>
      <w:r w:rsidR="004B6ABE">
        <w:rPr>
          <w:rFonts w:ascii="Times New Roman" w:hAnsi="Times New Roman" w:cs="Times New Roman"/>
          <w:sz w:val="21"/>
          <w:szCs w:val="21"/>
        </w:rPr>
        <w:t xml:space="preserve">With the continuous development of clinical research and application, </w:t>
      </w:r>
      <w:r w:rsidR="00035AA5">
        <w:rPr>
          <w:rFonts w:ascii="Times New Roman" w:hAnsi="Times New Roman" w:cs="Times New Roman"/>
          <w:sz w:val="21"/>
          <w:szCs w:val="21"/>
        </w:rPr>
        <w:t>EGFR-</w:t>
      </w:r>
      <w:r w:rsidR="004B6ABE">
        <w:rPr>
          <w:rFonts w:ascii="Times New Roman" w:hAnsi="Times New Roman" w:cs="Times New Roman"/>
          <w:sz w:val="21"/>
          <w:szCs w:val="21"/>
        </w:rPr>
        <w:t>TKIs are becoming increasingly important</w:t>
      </w:r>
      <w:r w:rsidR="00035AA5">
        <w:rPr>
          <w:rFonts w:ascii="Times New Roman" w:hAnsi="Times New Roman" w:cs="Times New Roman"/>
          <w:sz w:val="21"/>
          <w:szCs w:val="21"/>
        </w:rPr>
        <w:t xml:space="preserve"> in treating NSCLC</w:t>
      </w:r>
      <w:r w:rsidR="004B6ABE">
        <w:rPr>
          <w:rFonts w:ascii="Times New Roman" w:hAnsi="Times New Roman" w:cs="Times New Roman"/>
          <w:sz w:val="21"/>
          <w:szCs w:val="21"/>
        </w:rPr>
        <w:t xml:space="preserve">. Especially in clinical studies such as IPASS, OPTIMAL, and EURTAC, it has been found that EGFR-TKIs have a significantly better objective response rate than first-line chemotherapy regimens in the treatment of </w:t>
      </w:r>
      <w:r w:rsidR="00035AA5">
        <w:rPr>
          <w:rFonts w:ascii="Times New Roman" w:hAnsi="Times New Roman" w:cs="Times New Roman"/>
          <w:sz w:val="21"/>
          <w:szCs w:val="21"/>
        </w:rPr>
        <w:t>EGFR-</w:t>
      </w:r>
      <w:r w:rsidR="004B6ABE">
        <w:rPr>
          <w:rFonts w:ascii="Times New Roman" w:hAnsi="Times New Roman" w:cs="Times New Roman"/>
          <w:sz w:val="21"/>
          <w:szCs w:val="21"/>
        </w:rPr>
        <w:t xml:space="preserve">mutant stage IIIB-IV patients, thus becoming the standard first-line treatment regimen for this population. Targeted adjuvant therapy for NSCLC after surgery is currently a hot topic of research: A phase III randomized clinical trial (BR.19 study) explored the efficacy of gefitinib adjuvant therapy in NSCLC patients with stages IB to IIIA </w:t>
      </w:r>
      <w:r w:rsidR="004B6ABE">
        <w:rPr>
          <w:rFonts w:ascii="Times New Roman" w:hAnsi="Times New Roman" w:cs="Times New Roman"/>
          <w:sz w:val="21"/>
          <w:szCs w:val="21"/>
          <w:vertAlign w:val="superscript"/>
        </w:rPr>
        <w:t>[15]</w:t>
      </w:r>
      <w:r w:rsidR="004B6ABE">
        <w:rPr>
          <w:rFonts w:ascii="Times New Roman" w:hAnsi="Times New Roman" w:cs="Times New Roman"/>
          <w:sz w:val="21"/>
          <w:szCs w:val="21"/>
        </w:rPr>
        <w:t xml:space="preserve">. Patients were randomly assigned </w:t>
      </w:r>
      <w:r w:rsidR="004B6ABE">
        <w:rPr>
          <w:rFonts w:ascii="Times New Roman" w:hAnsi="Times New Roman" w:cs="Times New Roman"/>
          <w:sz w:val="21"/>
          <w:szCs w:val="21"/>
        </w:rPr>
        <w:lastRenderedPageBreak/>
        <w:t>to receive gefitinib or placebo</w:t>
      </w:r>
      <w:r w:rsidR="004D273B">
        <w:rPr>
          <w:rFonts w:ascii="Times New Roman" w:hAnsi="Times New Roman" w:cs="Times New Roman"/>
          <w:sz w:val="21"/>
          <w:szCs w:val="21"/>
        </w:rPr>
        <w:t>s</w:t>
      </w:r>
      <w:r w:rsidR="004B6ABE">
        <w:rPr>
          <w:rFonts w:ascii="Times New Roman" w:hAnsi="Times New Roman" w:cs="Times New Roman"/>
          <w:sz w:val="21"/>
          <w:szCs w:val="21"/>
        </w:rPr>
        <w:t xml:space="preserve"> for 2 years after surgery, with 503 patients enrolled from 2002 to 2005. The results showed that the DFS in the gefitinib treatment group was 4.2 years, and the OS was 5.1 years, which did not significantly prolong the survival of patients compared with the placebo group, but this trial did not select patients based on EGFR mutations. Another ongoing RADIANT phase III clinical study included patients with stages I to IIIA who were EGFR positive (IHC or FISH) after surgery and received erlotinib treatment for 2 years, evaluating the role of erlotinib in adjuvant therapy, with placebo</w:t>
      </w:r>
      <w:r w:rsidR="006E438D">
        <w:rPr>
          <w:rFonts w:ascii="Times New Roman" w:hAnsi="Times New Roman" w:cs="Times New Roman"/>
          <w:sz w:val="21"/>
          <w:szCs w:val="21"/>
        </w:rPr>
        <w:t>s</w:t>
      </w:r>
      <w:r w:rsidR="004B6ABE">
        <w:rPr>
          <w:rFonts w:ascii="Times New Roman" w:hAnsi="Times New Roman" w:cs="Times New Roman"/>
          <w:sz w:val="21"/>
          <w:szCs w:val="21"/>
        </w:rPr>
        <w:t xml:space="preserve"> as the control group. The enrolled population was also not selected based on EGFR mutations </w:t>
      </w:r>
      <w:r w:rsidR="004B6ABE">
        <w:rPr>
          <w:rFonts w:ascii="Times New Roman" w:hAnsi="Times New Roman" w:cs="Times New Roman"/>
          <w:sz w:val="21"/>
          <w:szCs w:val="21"/>
          <w:vertAlign w:val="superscript"/>
        </w:rPr>
        <w:t>[16]</w:t>
      </w:r>
      <w:r w:rsidR="004B6ABE">
        <w:rPr>
          <w:rFonts w:ascii="Times New Roman" w:hAnsi="Times New Roman" w:cs="Times New Roman"/>
          <w:sz w:val="21"/>
          <w:szCs w:val="21"/>
        </w:rPr>
        <w:t xml:space="preserve">. In 2011, MSKCC retrospectively analyzed 167 cases of stage I-III EGFR mutated lung adenocarcinoma patients from 2002 to 2008, of which 56 cases used targeted therapy during the perioperative period. In the survival analysis comparison with patients who did not use targeted therapy, the former had a higher 2-year DFS rate (89% vs 70%), although the p value (0.06) did not show a significant statistical difference, but the trend of benefit in the adjuvant targeted therapy group had already appeared </w:t>
      </w:r>
      <w:r w:rsidR="004B6ABE">
        <w:rPr>
          <w:rFonts w:ascii="Times New Roman" w:hAnsi="Times New Roman" w:cs="Times New Roman"/>
          <w:sz w:val="21"/>
          <w:szCs w:val="21"/>
          <w:vertAlign w:val="superscript"/>
        </w:rPr>
        <w:t>[17]</w:t>
      </w:r>
      <w:r w:rsidR="004B6ABE">
        <w:rPr>
          <w:rFonts w:ascii="Times New Roman" w:hAnsi="Times New Roman" w:cs="Times New Roman"/>
          <w:sz w:val="21"/>
          <w:szCs w:val="21"/>
        </w:rPr>
        <w:t>.</w:t>
      </w:r>
      <w:r w:rsidR="00FB6501">
        <w:rPr>
          <w:rFonts w:ascii="Times New Roman" w:hAnsi="Times New Roman" w:cs="Times New Roman"/>
          <w:sz w:val="21"/>
          <w:szCs w:val="21"/>
        </w:rPr>
        <w:t xml:space="preserve"> </w:t>
      </w:r>
      <w:r w:rsidR="004B6ABE">
        <w:rPr>
          <w:rFonts w:ascii="Times New Roman" w:hAnsi="Times New Roman" w:cs="Times New Roman"/>
          <w:sz w:val="21"/>
          <w:szCs w:val="21"/>
        </w:rPr>
        <w:t>In the phase II SELECT study, which was reported at the 2012 ASCO meeting, IA-IIIA stage mutated lung cancer patients were given erlotinib for 2 years after receiving standard adjuvant chemotherapy or adjuvant radiotherapy. The study recruited 36 patients, with 11 patients taking medication for less than 2 years. After a median follow-up of 2.5 years, the 2-year DFS rate reached 94%.</w:t>
      </w:r>
    </w:p>
    <w:p w14:paraId="4D2AF90D" w14:textId="5F607EB1" w:rsidR="00076EB7" w:rsidRDefault="00076EB7" w:rsidP="00076EB7">
      <w:pPr>
        <w:pStyle w:val="af0"/>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
        <w:t xml:space="preserve">At the 2013 American Society of Clinical Oncology (ASCO) meeting, Professor </w:t>
      </w:r>
      <w:r w:rsidR="007657F4">
        <w:rPr>
          <w:rFonts w:ascii="Times New Roman" w:hAnsi="Times New Roman" w:cs="Times New Roman"/>
          <w:sz w:val="21"/>
          <w:szCs w:val="21"/>
        </w:rPr>
        <w:t xml:space="preserve">Si-Yu </w:t>
      </w:r>
      <w:r>
        <w:rPr>
          <w:rFonts w:ascii="Times New Roman" w:hAnsi="Times New Roman" w:cs="Times New Roman"/>
          <w:sz w:val="21"/>
          <w:szCs w:val="21"/>
        </w:rPr>
        <w:t xml:space="preserve">Wang reported the results of a phase II clinical trial comparing pemetrexed plus carboplatin followed by gefitinib with pemetrexed plus carboplatin chemotherapy alone in postoperative IIIA-N2 stage EGFR mutation-positive </w:t>
      </w:r>
      <w:r w:rsidR="007657F4">
        <w:rPr>
          <w:rFonts w:ascii="Times New Roman" w:hAnsi="Times New Roman" w:cs="Times New Roman"/>
          <w:sz w:val="21"/>
          <w:szCs w:val="21"/>
        </w:rPr>
        <w:t>NSCLC</w:t>
      </w:r>
      <w:r>
        <w:rPr>
          <w:rFonts w:ascii="Times New Roman" w:hAnsi="Times New Roman" w:cs="Times New Roman"/>
          <w:sz w:val="21"/>
          <w:szCs w:val="21"/>
        </w:rPr>
        <w:t xml:space="preserve">. The results showed that chemotherapy followed by gefitinib significantly prolonged </w:t>
      </w:r>
      <w:r w:rsidR="007657F4">
        <w:rPr>
          <w:rFonts w:ascii="Times New Roman" w:hAnsi="Times New Roman" w:cs="Times New Roman"/>
          <w:sz w:val="21"/>
          <w:szCs w:val="21"/>
        </w:rPr>
        <w:t>DFS</w:t>
      </w:r>
      <w:r>
        <w:rPr>
          <w:rFonts w:ascii="Times New Roman" w:hAnsi="Times New Roman" w:cs="Times New Roman"/>
          <w:sz w:val="21"/>
          <w:szCs w:val="21"/>
        </w:rPr>
        <w:t xml:space="preserve"> (39.8 vs 27.0 months). However, in this study, the duration of gefitinib treatment was 6 months, and in the gefitinib group, patients who relapsed after discontinuation of the drug still had a 50% response when gefitinib was reused </w:t>
      </w:r>
      <w:r>
        <w:rPr>
          <w:rFonts w:ascii="Times New Roman" w:hAnsi="Times New Roman" w:cs="Times New Roman"/>
          <w:sz w:val="21"/>
          <w:szCs w:val="21"/>
          <w:vertAlign w:val="superscript"/>
        </w:rPr>
        <w:t>[19]</w:t>
      </w:r>
      <w:r>
        <w:rPr>
          <w:rFonts w:ascii="Times New Roman" w:hAnsi="Times New Roman" w:cs="Times New Roman"/>
          <w:sz w:val="21"/>
          <w:szCs w:val="21"/>
        </w:rPr>
        <w:t>. Therefore, up to now, there is still no consensus on how long postoperative TKI treatment should last.</w:t>
      </w:r>
    </w:p>
    <w:p w14:paraId="0D3B4C3A" w14:textId="05B478F1" w:rsidR="005D1745" w:rsidRDefault="00076EB7" w:rsidP="00076EB7">
      <w:pPr>
        <w:pStyle w:val="af0"/>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
      </w:r>
      <w:r w:rsidR="00237DE7">
        <w:rPr>
          <w:rFonts w:ascii="Times New Roman" w:hAnsi="Times New Roman" w:cs="Times New Roman"/>
          <w:sz w:val="21"/>
          <w:szCs w:val="21"/>
        </w:rPr>
        <w:t xml:space="preserve">Icotinib (Conmana®) is a small molecule targeted anti-cancer drug independently developed by China for the treatment of advanced NSCLC, belonging to the EGFR-TKIs class of drugs. Since obtaining the clinical approval from the National Food and Drug Administration in 2006, a series of clinical studies have been completed, including a phase I clinical study on safety, tolerance, and pharmacokinetics in non-small cell lung cancer patients with three doses per day, suggesting good tolerance and determining the subsequent study dosage regimen as 125mg TID </w:t>
      </w:r>
      <w:r w:rsidR="00237DE7">
        <w:rPr>
          <w:rFonts w:ascii="Times New Roman" w:hAnsi="Times New Roman" w:cs="Times New Roman"/>
          <w:sz w:val="21"/>
          <w:szCs w:val="21"/>
          <w:vertAlign w:val="superscript"/>
        </w:rPr>
        <w:t>[</w:t>
      </w:r>
      <w:r>
        <w:rPr>
          <w:rFonts w:ascii="Times New Roman" w:hAnsi="Times New Roman" w:cs="Times New Roman"/>
          <w:sz w:val="21"/>
          <w:szCs w:val="21"/>
          <w:vertAlign w:val="superscript"/>
        </w:rPr>
        <w:t>20</w:t>
      </w:r>
      <w:r w:rsidR="00237DE7">
        <w:rPr>
          <w:rFonts w:ascii="Times New Roman" w:hAnsi="Times New Roman" w:cs="Times New Roman"/>
          <w:sz w:val="21"/>
          <w:szCs w:val="21"/>
          <w:vertAlign w:val="superscript"/>
        </w:rPr>
        <w:t>]</w:t>
      </w:r>
      <w:r w:rsidR="00237DE7">
        <w:rPr>
          <w:rFonts w:ascii="Times New Roman" w:hAnsi="Times New Roman" w:cs="Times New Roman"/>
          <w:sz w:val="21"/>
          <w:szCs w:val="21"/>
        </w:rPr>
        <w:t>. The ICOGEN study, namely "A Randomized, Double-Blind</w:t>
      </w:r>
      <w:r w:rsidR="00A376BA">
        <w:rPr>
          <w:rFonts w:ascii="Times New Roman" w:hAnsi="Times New Roman" w:cs="Times New Roman" w:hint="eastAsia"/>
          <w:sz w:val="21"/>
          <w:szCs w:val="21"/>
        </w:rPr>
        <w:t>ed</w:t>
      </w:r>
      <w:r w:rsidR="00237DE7">
        <w:rPr>
          <w:rFonts w:ascii="Times New Roman" w:hAnsi="Times New Roman" w:cs="Times New Roman"/>
          <w:sz w:val="21"/>
          <w:szCs w:val="21"/>
        </w:rPr>
        <w:t xml:space="preserve">, Parallel-Controlled, Multi-Center Phase III Clinical Trial to Evaluate the Efficacy and Safety of Icotinib and Gefitinib in the Treatment of Locally Advanced or Metastatic NSCLC Patients Who Have Received One or Two Chemotherapies", enrolled 399 patients. The main efficacy evaluation </w:t>
      </w:r>
      <w:r w:rsidR="00AE6B6C">
        <w:rPr>
          <w:rFonts w:ascii="Times New Roman" w:hAnsi="Times New Roman" w:cs="Times New Roman"/>
          <w:sz w:val="21"/>
          <w:szCs w:val="21"/>
        </w:rPr>
        <w:t xml:space="preserve">indicates </w:t>
      </w:r>
      <w:r w:rsidR="00237DE7">
        <w:rPr>
          <w:rFonts w:ascii="Times New Roman" w:hAnsi="Times New Roman" w:cs="Times New Roman"/>
          <w:sz w:val="21"/>
          <w:szCs w:val="21"/>
        </w:rPr>
        <w:t>PFS were 4.6</w:t>
      </w:r>
      <w:r w:rsidR="00AE6B6C">
        <w:rPr>
          <w:rFonts w:ascii="Times New Roman" w:hAnsi="Times New Roman" w:cs="Times New Roman"/>
          <w:sz w:val="21"/>
          <w:szCs w:val="21"/>
        </w:rPr>
        <w:t xml:space="preserve"> </w:t>
      </w:r>
      <w:r w:rsidR="00237DE7">
        <w:rPr>
          <w:rFonts w:ascii="Times New Roman" w:hAnsi="Times New Roman" w:cs="Times New Roman"/>
          <w:sz w:val="21"/>
          <w:szCs w:val="21"/>
        </w:rPr>
        <w:t>m</w:t>
      </w:r>
      <w:r w:rsidR="00AE6B6C">
        <w:rPr>
          <w:rFonts w:ascii="Times New Roman" w:hAnsi="Times New Roman" w:cs="Times New Roman"/>
          <w:sz w:val="21"/>
          <w:szCs w:val="21"/>
        </w:rPr>
        <w:t>onths</w:t>
      </w:r>
      <w:r w:rsidR="00237DE7">
        <w:rPr>
          <w:rFonts w:ascii="Times New Roman" w:hAnsi="Times New Roman" w:cs="Times New Roman"/>
          <w:sz w:val="21"/>
          <w:szCs w:val="21"/>
        </w:rPr>
        <w:t xml:space="preserve"> vs 3.4</w:t>
      </w:r>
      <w:r w:rsidR="00AE6B6C">
        <w:rPr>
          <w:rFonts w:ascii="Times New Roman" w:hAnsi="Times New Roman" w:cs="Times New Roman"/>
          <w:sz w:val="21"/>
          <w:szCs w:val="21"/>
        </w:rPr>
        <w:t xml:space="preserve"> </w:t>
      </w:r>
      <w:r w:rsidR="00237DE7">
        <w:rPr>
          <w:rFonts w:ascii="Times New Roman" w:hAnsi="Times New Roman" w:cs="Times New Roman"/>
          <w:sz w:val="21"/>
          <w:szCs w:val="21"/>
        </w:rPr>
        <w:t>m</w:t>
      </w:r>
      <w:r w:rsidR="00AE6B6C">
        <w:rPr>
          <w:rFonts w:ascii="Times New Roman" w:hAnsi="Times New Roman" w:cs="Times New Roman"/>
          <w:sz w:val="21"/>
          <w:szCs w:val="21"/>
        </w:rPr>
        <w:t>onths</w:t>
      </w:r>
      <w:r w:rsidR="00237DE7">
        <w:rPr>
          <w:rFonts w:ascii="Times New Roman" w:hAnsi="Times New Roman" w:cs="Times New Roman"/>
          <w:sz w:val="21"/>
          <w:szCs w:val="21"/>
        </w:rPr>
        <w:t>, OS were 13.3</w:t>
      </w:r>
      <w:r w:rsidR="00AE6B6C">
        <w:rPr>
          <w:rFonts w:ascii="Times New Roman" w:hAnsi="Times New Roman" w:cs="Times New Roman"/>
          <w:sz w:val="21"/>
          <w:szCs w:val="21"/>
        </w:rPr>
        <w:t xml:space="preserve"> </w:t>
      </w:r>
      <w:r w:rsidR="00237DE7">
        <w:rPr>
          <w:rFonts w:ascii="Times New Roman" w:hAnsi="Times New Roman" w:cs="Times New Roman"/>
          <w:sz w:val="21"/>
          <w:szCs w:val="21"/>
        </w:rPr>
        <w:t>m</w:t>
      </w:r>
      <w:r w:rsidR="00AE6B6C">
        <w:rPr>
          <w:rFonts w:ascii="Times New Roman" w:hAnsi="Times New Roman" w:cs="Times New Roman"/>
          <w:sz w:val="21"/>
          <w:szCs w:val="21"/>
        </w:rPr>
        <w:t>onths</w:t>
      </w:r>
      <w:r w:rsidR="00237DE7">
        <w:rPr>
          <w:rFonts w:ascii="Times New Roman" w:hAnsi="Times New Roman" w:cs="Times New Roman"/>
          <w:sz w:val="21"/>
          <w:szCs w:val="21"/>
        </w:rPr>
        <w:t xml:space="preserve"> vs 13.9</w:t>
      </w:r>
      <w:r w:rsidR="00AE6B6C">
        <w:rPr>
          <w:rFonts w:ascii="Times New Roman" w:hAnsi="Times New Roman" w:cs="Times New Roman"/>
          <w:sz w:val="21"/>
          <w:szCs w:val="21"/>
        </w:rPr>
        <w:t xml:space="preserve"> </w:t>
      </w:r>
      <w:r w:rsidR="00237DE7">
        <w:rPr>
          <w:rFonts w:ascii="Times New Roman" w:hAnsi="Times New Roman" w:cs="Times New Roman"/>
          <w:sz w:val="21"/>
          <w:szCs w:val="21"/>
        </w:rPr>
        <w:t>m</w:t>
      </w:r>
      <w:r w:rsidR="00AE6B6C">
        <w:rPr>
          <w:rFonts w:ascii="Times New Roman" w:hAnsi="Times New Roman" w:cs="Times New Roman"/>
          <w:sz w:val="21"/>
          <w:szCs w:val="21"/>
        </w:rPr>
        <w:t>onths</w:t>
      </w:r>
      <w:r w:rsidR="00237DE7">
        <w:rPr>
          <w:rFonts w:ascii="Times New Roman" w:hAnsi="Times New Roman" w:cs="Times New Roman"/>
          <w:sz w:val="21"/>
          <w:szCs w:val="21"/>
        </w:rPr>
        <w:t>, respectively, with ORR and DCR close between the two groups, being 27.6% vs 27.2%, 75.4% vs 74.9</w:t>
      </w:r>
      <w:r w:rsidR="00AE34B9">
        <w:rPr>
          <w:rFonts w:ascii="Times New Roman" w:hAnsi="Times New Roman" w:cs="Times New Roman"/>
          <w:sz w:val="21"/>
          <w:szCs w:val="21"/>
        </w:rPr>
        <w:t xml:space="preserve">%. </w:t>
      </w:r>
      <w:r w:rsidR="00237DE7">
        <w:rPr>
          <w:rFonts w:ascii="Times New Roman" w:hAnsi="Times New Roman" w:cs="Times New Roman"/>
          <w:sz w:val="21"/>
          <w:szCs w:val="21"/>
        </w:rPr>
        <w:t xml:space="preserve">In terms of safety, the incidence of adverse reactions in the </w:t>
      </w:r>
      <w:r w:rsidR="00AE34B9">
        <w:rPr>
          <w:rFonts w:ascii="Times New Roman" w:hAnsi="Times New Roman" w:cs="Times New Roman"/>
          <w:sz w:val="21"/>
          <w:szCs w:val="21"/>
        </w:rPr>
        <w:t xml:space="preserve">icotinib </w:t>
      </w:r>
      <w:r w:rsidR="00237DE7">
        <w:rPr>
          <w:rFonts w:ascii="Times New Roman" w:hAnsi="Times New Roman" w:cs="Times New Roman"/>
          <w:sz w:val="21"/>
          <w:szCs w:val="21"/>
        </w:rPr>
        <w:t xml:space="preserve">group was 60.5%, significantly lower than the gefitinib group's 70.4%, with a statistically significant difference between the two groups. The incidence of rash was 40% and 49.2%, respectively; the </w:t>
      </w:r>
      <w:r w:rsidR="00237DE7">
        <w:rPr>
          <w:rFonts w:ascii="Times New Roman" w:hAnsi="Times New Roman" w:cs="Times New Roman"/>
          <w:sz w:val="21"/>
          <w:szCs w:val="21"/>
        </w:rPr>
        <w:lastRenderedPageBreak/>
        <w:t xml:space="preserve">incidence of diarrhea was 18.5% and 27.6%, respectively, with no interstitial pneumonia occurring in both </w:t>
      </w:r>
      <w:r w:rsidR="009C6443">
        <w:rPr>
          <w:rFonts w:ascii="Times New Roman" w:hAnsi="Times New Roman" w:cs="Times New Roman"/>
          <w:sz w:val="21"/>
          <w:szCs w:val="21"/>
        </w:rPr>
        <w:t xml:space="preserve">the </w:t>
      </w:r>
      <w:r w:rsidR="00237DE7">
        <w:rPr>
          <w:rFonts w:ascii="Times New Roman" w:hAnsi="Times New Roman" w:cs="Times New Roman"/>
          <w:sz w:val="21"/>
          <w:szCs w:val="21"/>
        </w:rPr>
        <w:t>groups</w:t>
      </w:r>
      <w:r>
        <w:rPr>
          <w:rFonts w:ascii="Times New Roman" w:hAnsi="Times New Roman" w:cs="Times New Roman"/>
          <w:sz w:val="21"/>
          <w:szCs w:val="21"/>
        </w:rPr>
        <w:t xml:space="preserve"> </w:t>
      </w:r>
      <w:r>
        <w:rPr>
          <w:rFonts w:ascii="Times New Roman" w:hAnsi="Times New Roman" w:cs="Times New Roman"/>
          <w:sz w:val="21"/>
          <w:szCs w:val="21"/>
          <w:vertAlign w:val="superscript"/>
        </w:rPr>
        <w:t>[21]</w:t>
      </w:r>
      <w:r w:rsidR="00237DE7">
        <w:rPr>
          <w:rFonts w:ascii="Times New Roman" w:hAnsi="Times New Roman" w:cs="Times New Roman"/>
          <w:sz w:val="21"/>
          <w:szCs w:val="21"/>
        </w:rPr>
        <w:t xml:space="preserve">. Therefore, the results of the ICOGEN study indicate that </w:t>
      </w:r>
      <w:r w:rsidR="009C6443">
        <w:rPr>
          <w:rFonts w:ascii="Times New Roman" w:hAnsi="Times New Roman" w:cs="Times New Roman"/>
          <w:sz w:val="21"/>
          <w:szCs w:val="21"/>
        </w:rPr>
        <w:t xml:space="preserve">icotinib </w:t>
      </w:r>
      <w:r w:rsidR="00237DE7">
        <w:rPr>
          <w:rFonts w:ascii="Times New Roman" w:hAnsi="Times New Roman" w:cs="Times New Roman"/>
          <w:sz w:val="21"/>
          <w:szCs w:val="21"/>
        </w:rPr>
        <w:t>is comparable to gefitinib in terms of efficacy, but safer than gefitinib.</w:t>
      </w:r>
    </w:p>
    <w:p w14:paraId="5A2BAF15" w14:textId="57CC7296" w:rsidR="005D1745" w:rsidRDefault="00076EB7" w:rsidP="00076EB7">
      <w:pPr>
        <w:pStyle w:val="af0"/>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
      </w:r>
      <w:r w:rsidR="004B6ABE">
        <w:rPr>
          <w:rFonts w:ascii="Times New Roman" w:hAnsi="Times New Roman" w:cs="Times New Roman"/>
          <w:sz w:val="21"/>
          <w:szCs w:val="21"/>
        </w:rPr>
        <w:t>The ICOGEN study found in the exploratory indicator EGFR gene mutation research: Among 69 EGFR mutation-positive cases, the overall mutation rate was 51%, of which exon 19 accounted for 60.3% of the mutation population, and exon 21 L858R accounted for 29.1%. Conmana® (</w:t>
      </w:r>
      <w:r w:rsidR="00237DE7">
        <w:rPr>
          <w:rFonts w:ascii="Times New Roman" w:hAnsi="Times New Roman" w:cs="Times New Roman"/>
          <w:sz w:val="21"/>
          <w:szCs w:val="21"/>
        </w:rPr>
        <w:t>Icotinib</w:t>
      </w:r>
      <w:r w:rsidR="004B6ABE">
        <w:rPr>
          <w:rFonts w:ascii="Times New Roman" w:hAnsi="Times New Roman" w:cs="Times New Roman"/>
          <w:sz w:val="21"/>
          <w:szCs w:val="21"/>
        </w:rPr>
        <w:t xml:space="preserve">) has significantly better efficacy in patients with EGFR gene mutations than in wild-type patients, with an effective rate of 59% in </w:t>
      </w:r>
      <w:r w:rsidR="009068AC">
        <w:rPr>
          <w:rFonts w:ascii="Times New Roman" w:hAnsi="Times New Roman" w:cs="Times New Roman"/>
          <w:sz w:val="21"/>
          <w:szCs w:val="21"/>
        </w:rPr>
        <w:t xml:space="preserve">the </w:t>
      </w:r>
      <w:r w:rsidR="004B6ABE">
        <w:rPr>
          <w:rFonts w:ascii="Times New Roman" w:hAnsi="Times New Roman" w:cs="Times New Roman"/>
          <w:sz w:val="21"/>
          <w:szCs w:val="21"/>
        </w:rPr>
        <w:t xml:space="preserve">mutation-positive patients and 5.1% in wild-type patients; the median PFS in mutation-positive patients was 6.6 months, and in </w:t>
      </w:r>
      <w:r w:rsidR="009068AC">
        <w:rPr>
          <w:rFonts w:ascii="Times New Roman" w:hAnsi="Times New Roman" w:cs="Times New Roman"/>
          <w:sz w:val="21"/>
          <w:szCs w:val="21"/>
        </w:rPr>
        <w:t xml:space="preserve">the </w:t>
      </w:r>
      <w:r w:rsidR="004B6ABE">
        <w:rPr>
          <w:rFonts w:ascii="Times New Roman" w:hAnsi="Times New Roman" w:cs="Times New Roman"/>
          <w:sz w:val="21"/>
          <w:szCs w:val="21"/>
        </w:rPr>
        <w:t xml:space="preserve">wild-type patients was 2.4 months; the median OS in </w:t>
      </w:r>
      <w:r w:rsidR="009068AC">
        <w:rPr>
          <w:rFonts w:ascii="Times New Roman" w:hAnsi="Times New Roman" w:cs="Times New Roman"/>
          <w:sz w:val="21"/>
          <w:szCs w:val="21"/>
        </w:rPr>
        <w:t xml:space="preserve">the </w:t>
      </w:r>
      <w:r w:rsidR="004B6ABE">
        <w:rPr>
          <w:rFonts w:ascii="Times New Roman" w:hAnsi="Times New Roman" w:cs="Times New Roman"/>
          <w:sz w:val="21"/>
          <w:szCs w:val="21"/>
        </w:rPr>
        <w:t xml:space="preserve">mutation-positive patients was nearly two years, nearly one year longer than that of wild-type patients. Therefore, similar to gefitinib or erlotinib, mutations in EGFR exon 19 and exon 21 can also predict the efficacy of </w:t>
      </w:r>
      <w:r w:rsidR="00813543">
        <w:rPr>
          <w:rFonts w:ascii="Times New Roman" w:hAnsi="Times New Roman" w:cs="Times New Roman"/>
          <w:sz w:val="21"/>
          <w:szCs w:val="21"/>
        </w:rPr>
        <w:t xml:space="preserve">icotinib </w:t>
      </w:r>
      <w:r w:rsidR="004B6ABE">
        <w:rPr>
          <w:rFonts w:ascii="Times New Roman" w:hAnsi="Times New Roman" w:cs="Times New Roman"/>
          <w:sz w:val="21"/>
          <w:szCs w:val="21"/>
        </w:rPr>
        <w:t xml:space="preserve">in the treatment of NSCLC </w:t>
      </w:r>
      <w:r w:rsidR="004B6ABE">
        <w:rPr>
          <w:rFonts w:ascii="Times New Roman" w:hAnsi="Times New Roman" w:cs="Times New Roman"/>
          <w:sz w:val="21"/>
          <w:szCs w:val="21"/>
          <w:vertAlign w:val="superscript"/>
        </w:rPr>
        <w:t>[</w:t>
      </w:r>
      <w:r>
        <w:rPr>
          <w:rFonts w:ascii="Times New Roman" w:hAnsi="Times New Roman" w:cs="Times New Roman"/>
          <w:sz w:val="21"/>
          <w:szCs w:val="21"/>
          <w:vertAlign w:val="superscript"/>
        </w:rPr>
        <w:t>22</w:t>
      </w:r>
      <w:r w:rsidR="004B6ABE">
        <w:rPr>
          <w:rFonts w:ascii="Times New Roman" w:hAnsi="Times New Roman" w:cs="Times New Roman"/>
          <w:sz w:val="21"/>
          <w:szCs w:val="21"/>
          <w:vertAlign w:val="superscript"/>
        </w:rPr>
        <w:t>]</w:t>
      </w:r>
      <w:r w:rsidR="004B6ABE">
        <w:rPr>
          <w:rFonts w:ascii="Times New Roman" w:hAnsi="Times New Roman" w:cs="Times New Roman"/>
          <w:sz w:val="21"/>
          <w:szCs w:val="21"/>
        </w:rPr>
        <w:t>.</w:t>
      </w:r>
    </w:p>
    <w:p w14:paraId="48AF8A66" w14:textId="7D9D4708" w:rsidR="005D1745" w:rsidRDefault="00076EB7" w:rsidP="00076EB7">
      <w:pPr>
        <w:pStyle w:val="af0"/>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
      </w:r>
      <w:r w:rsidR="004B6ABE">
        <w:rPr>
          <w:rFonts w:ascii="Times New Roman" w:hAnsi="Times New Roman" w:cs="Times New Roman"/>
          <w:sz w:val="21"/>
          <w:szCs w:val="21"/>
        </w:rPr>
        <w:t xml:space="preserve">Based on the above research background, we took patients with EGFR mutation-positive stage II-IIIA NSCLC who had undergone R0 resection and routine adjuvant chemotherapy for </w:t>
      </w:r>
      <w:r w:rsidR="00722EC8">
        <w:rPr>
          <w:rFonts w:ascii="Times New Roman" w:hAnsi="Times New Roman" w:cs="Times New Roman"/>
          <w:sz w:val="21"/>
          <w:szCs w:val="21"/>
        </w:rPr>
        <w:t>2-</w:t>
      </w:r>
      <w:r w:rsidR="004B6ABE">
        <w:rPr>
          <w:rFonts w:ascii="Times New Roman" w:hAnsi="Times New Roman" w:cs="Times New Roman"/>
          <w:sz w:val="21"/>
          <w:szCs w:val="21"/>
        </w:rPr>
        <w:t xml:space="preserve">4 cycles as the research subjects, and randomly assigned them to continue treatment for 6 months or 12 months compared with the control group, to observe the efficacy and safety of </w:t>
      </w:r>
      <w:r w:rsidR="00722EC8">
        <w:rPr>
          <w:rFonts w:ascii="Times New Roman" w:hAnsi="Times New Roman" w:cs="Times New Roman"/>
          <w:sz w:val="21"/>
          <w:szCs w:val="21"/>
        </w:rPr>
        <w:t>i</w:t>
      </w:r>
      <w:r w:rsidR="00237DE7">
        <w:rPr>
          <w:rFonts w:ascii="Times New Roman" w:hAnsi="Times New Roman" w:cs="Times New Roman"/>
          <w:sz w:val="21"/>
          <w:szCs w:val="21"/>
        </w:rPr>
        <w:t>cotinib</w:t>
      </w:r>
      <w:r w:rsidR="004B6ABE">
        <w:rPr>
          <w:rFonts w:ascii="Times New Roman" w:hAnsi="Times New Roman" w:cs="Times New Roman"/>
          <w:sz w:val="21"/>
          <w:szCs w:val="21"/>
        </w:rPr>
        <w:t xml:space="preserve"> in </w:t>
      </w:r>
      <w:r w:rsidR="009068AC">
        <w:rPr>
          <w:rFonts w:ascii="Times New Roman" w:hAnsi="Times New Roman" w:cs="Times New Roman"/>
          <w:sz w:val="21"/>
          <w:szCs w:val="21"/>
        </w:rPr>
        <w:t>these</w:t>
      </w:r>
      <w:r w:rsidR="004B6ABE">
        <w:rPr>
          <w:rFonts w:ascii="Times New Roman" w:hAnsi="Times New Roman" w:cs="Times New Roman"/>
          <w:sz w:val="21"/>
          <w:szCs w:val="21"/>
        </w:rPr>
        <w:t xml:space="preserve"> patients, and to answer the question of how long </w:t>
      </w:r>
      <w:r w:rsidR="009068AC">
        <w:rPr>
          <w:rFonts w:ascii="Times New Roman" w:hAnsi="Times New Roman" w:cs="Times New Roman"/>
          <w:sz w:val="21"/>
          <w:szCs w:val="21"/>
        </w:rPr>
        <w:t xml:space="preserve">TKI treatment following </w:t>
      </w:r>
      <w:r w:rsidR="004B6ABE">
        <w:rPr>
          <w:rFonts w:ascii="Times New Roman" w:hAnsi="Times New Roman" w:cs="Times New Roman"/>
          <w:sz w:val="21"/>
          <w:szCs w:val="21"/>
        </w:rPr>
        <w:t>postoperative chemotherapy should last.</w:t>
      </w:r>
    </w:p>
    <w:p w14:paraId="75CDF81B" w14:textId="77777777" w:rsidR="005D1745" w:rsidRDefault="004B6ABE">
      <w:pPr>
        <w:pStyle w:val="1"/>
        <w:spacing w:before="240"/>
      </w:pPr>
      <w:r>
        <w:rPr>
          <w:rFonts w:hint="eastAsia"/>
        </w:rPr>
        <w:t xml:space="preserve"> </w:t>
      </w:r>
      <w:bookmarkStart w:id="128" w:name="_Toc21724"/>
      <w:bookmarkStart w:id="129" w:name="_Toc18915"/>
      <w:bookmarkStart w:id="130" w:name="_Toc3908"/>
      <w:bookmarkStart w:id="131" w:name="_Toc27932"/>
      <w:bookmarkStart w:id="132" w:name="_Toc18998"/>
      <w:bookmarkStart w:id="133" w:name="_Toc12050"/>
      <w:bookmarkStart w:id="134" w:name="_Toc3164"/>
      <w:bookmarkStart w:id="135" w:name="_Toc10764"/>
      <w:bookmarkStart w:id="136" w:name="_Toc21629"/>
      <w:bookmarkStart w:id="137" w:name="_Toc21859"/>
      <w:bookmarkStart w:id="138" w:name="_Toc14660"/>
      <w:bookmarkStart w:id="139" w:name="_Toc7695"/>
      <w:bookmarkStart w:id="140" w:name="_Toc2419"/>
      <w:bookmarkStart w:id="141" w:name="_Toc9025"/>
      <w:bookmarkStart w:id="142" w:name="_Toc10220"/>
      <w:bookmarkStart w:id="143" w:name="_Toc2738"/>
      <w:bookmarkStart w:id="144" w:name="_Toc13416"/>
      <w:bookmarkStart w:id="145" w:name="_Toc26311"/>
      <w:bookmarkStart w:id="146" w:name="_Toc29424"/>
      <w:bookmarkStart w:id="147" w:name="_Toc5329"/>
      <w:bookmarkStart w:id="148" w:name="_Toc8506"/>
      <w:bookmarkStart w:id="149" w:name="_Toc8368"/>
      <w:bookmarkStart w:id="150" w:name="_Toc5514"/>
      <w:bookmarkStart w:id="151" w:name="_Toc21893"/>
      <w:bookmarkStart w:id="152" w:name="_Toc16131"/>
      <w:bookmarkStart w:id="153" w:name="_Toc14337"/>
      <w:bookmarkStart w:id="154" w:name="_Toc170380168"/>
      <w:r>
        <w:t>STUDY OBJECTIVES</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44E70EA5" w14:textId="2BCC730C"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In order to investigate the efficacy</w:t>
      </w:r>
      <w:r w:rsidR="004842B2">
        <w:rPr>
          <w:rFonts w:ascii="Times New Roman" w:hAnsi="Times New Roman" w:cs="Times New Roman"/>
          <w:sz w:val="21"/>
          <w:szCs w:val="21"/>
        </w:rPr>
        <w:t xml:space="preserve"> and safety</w:t>
      </w:r>
      <w:r>
        <w:rPr>
          <w:rFonts w:ascii="Times New Roman" w:hAnsi="Times New Roman" w:cs="Times New Roman"/>
          <w:sz w:val="21"/>
          <w:szCs w:val="21"/>
        </w:rPr>
        <w:t xml:space="preserve"> of </w:t>
      </w:r>
      <w:r w:rsidR="009068AC">
        <w:rPr>
          <w:rFonts w:ascii="Times New Roman" w:hAnsi="Times New Roman" w:cs="Times New Roman"/>
          <w:sz w:val="21"/>
          <w:szCs w:val="21"/>
        </w:rPr>
        <w:t xml:space="preserve">an EGFR-TKI following </w:t>
      </w:r>
      <w:r>
        <w:rPr>
          <w:rFonts w:ascii="Times New Roman" w:hAnsi="Times New Roman" w:cs="Times New Roman"/>
          <w:sz w:val="21"/>
          <w:szCs w:val="21"/>
        </w:rPr>
        <w:t>adjuvant chemotherapy in NSCLC. Explore the optimal timing of EGFR-TKI use as adjuvant therapy following chemotherapy.</w:t>
      </w:r>
    </w:p>
    <w:p w14:paraId="427D04C7" w14:textId="77777777" w:rsidR="005D1745" w:rsidRDefault="004B6ABE">
      <w:pPr>
        <w:pStyle w:val="2"/>
      </w:pPr>
      <w:r>
        <w:rPr>
          <w:rFonts w:hint="eastAsia"/>
        </w:rPr>
        <w:t xml:space="preserve"> </w:t>
      </w:r>
      <w:bookmarkStart w:id="155" w:name="_Toc3880"/>
      <w:bookmarkStart w:id="156" w:name="_Toc28352"/>
      <w:bookmarkStart w:id="157" w:name="_Toc6947"/>
      <w:bookmarkStart w:id="158" w:name="_Toc9088"/>
      <w:bookmarkStart w:id="159" w:name="_Toc10633"/>
      <w:bookmarkStart w:id="160" w:name="_Toc6505"/>
      <w:bookmarkStart w:id="161" w:name="_Toc14580"/>
      <w:bookmarkStart w:id="162" w:name="_Toc13530"/>
      <w:bookmarkStart w:id="163" w:name="_Toc17377"/>
      <w:bookmarkStart w:id="164" w:name="_Toc105"/>
      <w:bookmarkStart w:id="165" w:name="_Toc12257"/>
      <w:bookmarkStart w:id="166" w:name="_Toc31184"/>
      <w:bookmarkStart w:id="167" w:name="_Toc30563"/>
      <w:bookmarkStart w:id="168" w:name="_Toc19561"/>
      <w:bookmarkStart w:id="169" w:name="_Toc7875"/>
      <w:bookmarkStart w:id="170" w:name="_Toc4404"/>
      <w:bookmarkStart w:id="171" w:name="_Toc19448"/>
      <w:bookmarkStart w:id="172" w:name="_Toc30063"/>
      <w:bookmarkStart w:id="173" w:name="_Toc4464"/>
      <w:bookmarkStart w:id="174" w:name="_Toc26159"/>
      <w:bookmarkStart w:id="175" w:name="_Toc22529"/>
      <w:bookmarkStart w:id="176" w:name="_Toc23537"/>
      <w:bookmarkStart w:id="177" w:name="_Toc24528"/>
      <w:bookmarkStart w:id="178" w:name="_Toc22265"/>
      <w:bookmarkStart w:id="179" w:name="_Toc5242"/>
      <w:bookmarkStart w:id="180" w:name="_Toc17080"/>
      <w:bookmarkStart w:id="181" w:name="_Toc170380169"/>
      <w:r>
        <w:t>Primary objective</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35B8435" w14:textId="1C630E32"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Disease-</w:t>
      </w:r>
      <w:r w:rsidR="004842B2">
        <w:rPr>
          <w:rFonts w:ascii="Times New Roman" w:hAnsi="Times New Roman" w:cs="Times New Roman"/>
          <w:sz w:val="21"/>
          <w:szCs w:val="21"/>
        </w:rPr>
        <w:t xml:space="preserve">free survival </w:t>
      </w:r>
      <w:r>
        <w:rPr>
          <w:rFonts w:ascii="Times New Roman" w:hAnsi="Times New Roman" w:cs="Times New Roman"/>
          <w:sz w:val="21"/>
          <w:szCs w:val="21"/>
        </w:rPr>
        <w:t>(DFS)</w:t>
      </w:r>
      <w:r w:rsidR="004842B2">
        <w:rPr>
          <w:rFonts w:ascii="Times New Roman" w:hAnsi="Times New Roman" w:cs="Times New Roman"/>
          <w:sz w:val="21"/>
          <w:szCs w:val="21"/>
        </w:rPr>
        <w:t xml:space="preserve"> </w:t>
      </w:r>
      <w:r w:rsidR="009E3AD0">
        <w:rPr>
          <w:rFonts w:ascii="Times New Roman" w:hAnsi="Times New Roman" w:cs="Times New Roman"/>
          <w:sz w:val="21"/>
          <w:szCs w:val="21"/>
        </w:rPr>
        <w:t>according to investigator assessment</w:t>
      </w:r>
      <w:r>
        <w:rPr>
          <w:rFonts w:ascii="Times New Roman" w:hAnsi="Times New Roman" w:cs="Times New Roman"/>
          <w:sz w:val="21"/>
          <w:szCs w:val="21"/>
        </w:rPr>
        <w:t xml:space="preserve">; </w:t>
      </w:r>
    </w:p>
    <w:p w14:paraId="724649DE" w14:textId="77777777" w:rsidR="005D1745" w:rsidRDefault="004B6ABE">
      <w:pPr>
        <w:pStyle w:val="2"/>
      </w:pPr>
      <w:r>
        <w:rPr>
          <w:rFonts w:hint="eastAsia"/>
        </w:rPr>
        <w:t xml:space="preserve"> </w:t>
      </w:r>
      <w:bookmarkStart w:id="182" w:name="_Toc19548"/>
      <w:bookmarkStart w:id="183" w:name="_Toc4595"/>
      <w:bookmarkStart w:id="184" w:name="_Toc21654"/>
      <w:bookmarkStart w:id="185" w:name="_Toc32212"/>
      <w:bookmarkStart w:id="186" w:name="_Toc12530"/>
      <w:bookmarkStart w:id="187" w:name="_Toc3361"/>
      <w:bookmarkStart w:id="188" w:name="_Toc13712"/>
      <w:bookmarkStart w:id="189" w:name="_Toc290"/>
      <w:bookmarkStart w:id="190" w:name="_Toc9517"/>
      <w:bookmarkStart w:id="191" w:name="_Toc15074"/>
      <w:bookmarkStart w:id="192" w:name="_Toc20957"/>
      <w:bookmarkStart w:id="193" w:name="_Toc5709"/>
      <w:bookmarkStart w:id="194" w:name="_Toc22039"/>
      <w:bookmarkStart w:id="195" w:name="_Toc2468"/>
      <w:bookmarkStart w:id="196" w:name="_Toc20885"/>
      <w:bookmarkStart w:id="197" w:name="_Toc8720"/>
      <w:bookmarkStart w:id="198" w:name="_Toc3977"/>
      <w:bookmarkStart w:id="199" w:name="_Toc31893"/>
      <w:bookmarkStart w:id="200" w:name="_Toc11469"/>
      <w:bookmarkStart w:id="201" w:name="_Toc13284"/>
      <w:bookmarkStart w:id="202" w:name="_Toc10110"/>
      <w:bookmarkStart w:id="203" w:name="_Toc24497"/>
      <w:bookmarkStart w:id="204" w:name="_Toc29651"/>
      <w:bookmarkStart w:id="205" w:name="_Toc6868"/>
      <w:bookmarkStart w:id="206" w:name="_Toc27250"/>
      <w:bookmarkStart w:id="207" w:name="_Toc6113"/>
      <w:bookmarkStart w:id="208" w:name="_Toc170380170"/>
      <w:r>
        <w:t>Secondary objectives</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14:paraId="4E449AC5" w14:textId="55044258"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Overall </w:t>
      </w:r>
      <w:r w:rsidR="004842B2">
        <w:rPr>
          <w:rFonts w:ascii="Times New Roman" w:hAnsi="Times New Roman" w:cs="Times New Roman"/>
          <w:sz w:val="21"/>
          <w:szCs w:val="21"/>
        </w:rPr>
        <w:t xml:space="preserve">survival </w:t>
      </w:r>
      <w:r>
        <w:rPr>
          <w:rFonts w:ascii="Times New Roman" w:hAnsi="Times New Roman" w:cs="Times New Roman"/>
          <w:sz w:val="21"/>
          <w:szCs w:val="21"/>
        </w:rPr>
        <w:t xml:space="preserve">(OS); </w:t>
      </w:r>
      <w:r w:rsidR="004842B2">
        <w:rPr>
          <w:rFonts w:ascii="Times New Roman" w:hAnsi="Times New Roman" w:cs="Times New Roman"/>
          <w:sz w:val="21"/>
          <w:szCs w:val="21"/>
        </w:rPr>
        <w:t>brain metastas</w:t>
      </w:r>
      <w:r w:rsidR="005342C9">
        <w:rPr>
          <w:rFonts w:ascii="Times New Roman" w:hAnsi="Times New Roman" w:cs="Times New Roman"/>
          <w:sz w:val="21"/>
          <w:szCs w:val="21"/>
        </w:rPr>
        <w:t>i</w:t>
      </w:r>
      <w:r w:rsidR="004842B2">
        <w:rPr>
          <w:rFonts w:ascii="Times New Roman" w:hAnsi="Times New Roman" w:cs="Times New Roman"/>
          <w:sz w:val="21"/>
          <w:szCs w:val="21"/>
        </w:rPr>
        <w:t>s-free survival</w:t>
      </w:r>
      <w:r w:rsidR="003C113B">
        <w:rPr>
          <w:rFonts w:ascii="Times New Roman" w:hAnsi="Times New Roman" w:cs="Times New Roman"/>
          <w:sz w:val="21"/>
          <w:szCs w:val="21"/>
        </w:rPr>
        <w:t xml:space="preserve"> (BMFS)</w:t>
      </w:r>
      <w:r w:rsidR="004842B2">
        <w:rPr>
          <w:rFonts w:ascii="Times New Roman" w:hAnsi="Times New Roman" w:cs="Times New Roman"/>
          <w:sz w:val="21"/>
          <w:szCs w:val="21"/>
        </w:rPr>
        <w:t>; s</w:t>
      </w:r>
      <w:r>
        <w:rPr>
          <w:rFonts w:ascii="Times New Roman" w:hAnsi="Times New Roman" w:cs="Times New Roman"/>
          <w:sz w:val="21"/>
          <w:szCs w:val="21"/>
        </w:rPr>
        <w:t xml:space="preserve">afety and tolerability; </w:t>
      </w:r>
      <w:r w:rsidR="004842B2">
        <w:rPr>
          <w:rFonts w:ascii="Times New Roman" w:hAnsi="Times New Roman" w:cs="Times New Roman"/>
          <w:sz w:val="21"/>
          <w:szCs w:val="21"/>
        </w:rPr>
        <w:t>q</w:t>
      </w:r>
      <w:r>
        <w:rPr>
          <w:rFonts w:ascii="Times New Roman" w:hAnsi="Times New Roman" w:cs="Times New Roman"/>
          <w:sz w:val="21"/>
          <w:szCs w:val="21"/>
        </w:rPr>
        <w:t>uality of life</w:t>
      </w:r>
      <w:r w:rsidR="004A008E">
        <w:rPr>
          <w:rFonts w:ascii="Times New Roman" w:hAnsi="Times New Roman" w:cs="Times New Roman"/>
          <w:sz w:val="21"/>
          <w:szCs w:val="21"/>
        </w:rPr>
        <w:t xml:space="preserve"> (QoL)</w:t>
      </w:r>
      <w:r>
        <w:rPr>
          <w:rFonts w:ascii="Times New Roman" w:hAnsi="Times New Roman" w:cs="Times New Roman"/>
          <w:sz w:val="21"/>
          <w:szCs w:val="21"/>
        </w:rPr>
        <w:t>.</w:t>
      </w:r>
    </w:p>
    <w:p w14:paraId="2D5BCE1E" w14:textId="77777777" w:rsidR="005D1745" w:rsidRDefault="004B6ABE">
      <w:pPr>
        <w:pStyle w:val="2"/>
      </w:pPr>
      <w:r>
        <w:rPr>
          <w:rFonts w:hint="eastAsia"/>
        </w:rPr>
        <w:t xml:space="preserve"> </w:t>
      </w:r>
      <w:bookmarkStart w:id="209" w:name="_Toc12659"/>
      <w:bookmarkStart w:id="210" w:name="_Toc31902"/>
      <w:bookmarkStart w:id="211" w:name="_Toc4371"/>
      <w:bookmarkStart w:id="212" w:name="_Toc3611"/>
      <w:bookmarkStart w:id="213" w:name="_Toc14986"/>
      <w:bookmarkStart w:id="214" w:name="_Toc23112"/>
      <w:bookmarkStart w:id="215" w:name="_Toc32493"/>
      <w:bookmarkStart w:id="216" w:name="_Toc16754"/>
      <w:bookmarkStart w:id="217" w:name="_Toc7351"/>
      <w:bookmarkStart w:id="218" w:name="_Toc18955"/>
      <w:bookmarkStart w:id="219" w:name="_Toc24498"/>
      <w:bookmarkStart w:id="220" w:name="_Toc7126"/>
      <w:bookmarkStart w:id="221" w:name="_Toc24012"/>
      <w:bookmarkStart w:id="222" w:name="_Toc19147"/>
      <w:bookmarkStart w:id="223" w:name="_Toc29542"/>
      <w:bookmarkStart w:id="224" w:name="_Toc9541"/>
      <w:bookmarkStart w:id="225" w:name="_Toc8762"/>
      <w:bookmarkStart w:id="226" w:name="_Toc27360"/>
      <w:bookmarkStart w:id="227" w:name="_Toc20157"/>
      <w:bookmarkStart w:id="228" w:name="_Toc17141"/>
      <w:bookmarkStart w:id="229" w:name="_Toc14083"/>
      <w:bookmarkStart w:id="230" w:name="_Toc32119"/>
      <w:bookmarkStart w:id="231" w:name="_Toc25778"/>
      <w:bookmarkStart w:id="232" w:name="_Toc10805"/>
      <w:bookmarkStart w:id="233" w:name="_Toc21941"/>
      <w:bookmarkStart w:id="234" w:name="_Toc17813"/>
      <w:bookmarkStart w:id="235" w:name="_Toc170380171"/>
      <w:r>
        <w:t>Exploratory objectives</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14:paraId="1B80709F" w14:textId="153EE3BF" w:rsidR="004C2DFA"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Biomarker exploration.</w:t>
      </w:r>
    </w:p>
    <w:p w14:paraId="5443D04D" w14:textId="77777777" w:rsidR="004C2DFA" w:rsidRPr="004C2DFA" w:rsidRDefault="004C2DFA" w:rsidP="004C2DFA">
      <w:pPr>
        <w:spacing w:after="240"/>
      </w:pPr>
    </w:p>
    <w:p w14:paraId="199E5111" w14:textId="77777777" w:rsidR="005D1745" w:rsidRDefault="004B6ABE">
      <w:pPr>
        <w:pStyle w:val="1"/>
        <w:spacing w:before="240"/>
      </w:pPr>
      <w:r>
        <w:rPr>
          <w:rFonts w:hint="eastAsia"/>
        </w:rPr>
        <w:lastRenderedPageBreak/>
        <w:t xml:space="preserve"> </w:t>
      </w:r>
      <w:bookmarkStart w:id="236" w:name="_Toc24460"/>
      <w:bookmarkStart w:id="237" w:name="_Toc30804"/>
      <w:bookmarkStart w:id="238" w:name="_Toc12934"/>
      <w:bookmarkStart w:id="239" w:name="_Toc9038"/>
      <w:bookmarkStart w:id="240" w:name="_Toc2304"/>
      <w:bookmarkStart w:id="241" w:name="_Toc18058"/>
      <w:bookmarkStart w:id="242" w:name="_Toc27196"/>
      <w:bookmarkStart w:id="243" w:name="_Toc20910"/>
      <w:bookmarkStart w:id="244" w:name="_Toc26660"/>
      <w:bookmarkStart w:id="245" w:name="_Toc29448"/>
      <w:bookmarkStart w:id="246" w:name="_Toc1583"/>
      <w:bookmarkStart w:id="247" w:name="_Toc914"/>
      <w:bookmarkStart w:id="248" w:name="_Toc30962"/>
      <w:bookmarkStart w:id="249" w:name="_Toc13268"/>
      <w:bookmarkStart w:id="250" w:name="_Toc14352"/>
      <w:bookmarkStart w:id="251" w:name="_Toc22591"/>
      <w:bookmarkStart w:id="252" w:name="_Toc10080"/>
      <w:bookmarkStart w:id="253" w:name="_Toc4175"/>
      <w:bookmarkStart w:id="254" w:name="_Toc20915"/>
      <w:bookmarkStart w:id="255" w:name="_Toc12362"/>
      <w:bookmarkStart w:id="256" w:name="_Toc3499"/>
      <w:bookmarkStart w:id="257" w:name="_Toc20397"/>
      <w:bookmarkStart w:id="258" w:name="_Toc4616"/>
      <w:bookmarkStart w:id="259" w:name="_Toc539"/>
      <w:bookmarkStart w:id="260" w:name="_Toc12002"/>
      <w:bookmarkStart w:id="261" w:name="_Toc23603"/>
      <w:bookmarkStart w:id="262" w:name="_Toc170380172"/>
      <w:r>
        <w:t>STUDY DESIGN</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t xml:space="preserve"> </w:t>
      </w:r>
    </w:p>
    <w:p w14:paraId="59B96043" w14:textId="77777777" w:rsidR="005D1745" w:rsidRDefault="004B6ABE">
      <w:pPr>
        <w:pStyle w:val="2"/>
      </w:pPr>
      <w:r>
        <w:rPr>
          <w:rFonts w:hint="eastAsia"/>
        </w:rPr>
        <w:t xml:space="preserve"> </w:t>
      </w:r>
      <w:bookmarkStart w:id="263" w:name="_Toc25684"/>
      <w:bookmarkStart w:id="264" w:name="_Toc930"/>
      <w:bookmarkStart w:id="265" w:name="_Toc19417"/>
      <w:bookmarkStart w:id="266" w:name="_Toc14547"/>
      <w:bookmarkStart w:id="267" w:name="_Toc13134"/>
      <w:bookmarkStart w:id="268" w:name="_Toc32066"/>
      <w:bookmarkStart w:id="269" w:name="_Toc12597"/>
      <w:bookmarkStart w:id="270" w:name="_Toc7396"/>
      <w:bookmarkStart w:id="271" w:name="_Toc17745"/>
      <w:bookmarkStart w:id="272" w:name="_Toc20945"/>
      <w:bookmarkStart w:id="273" w:name="_Toc1702"/>
      <w:bookmarkStart w:id="274" w:name="_Toc16376"/>
      <w:bookmarkStart w:id="275" w:name="_Toc31161"/>
      <w:bookmarkStart w:id="276" w:name="_Toc6556"/>
      <w:bookmarkStart w:id="277" w:name="_Toc30750"/>
      <w:bookmarkStart w:id="278" w:name="_Toc7849"/>
      <w:bookmarkStart w:id="279" w:name="_Toc30282"/>
      <w:bookmarkStart w:id="280" w:name="_Toc4033"/>
      <w:bookmarkStart w:id="281" w:name="_Toc29487"/>
      <w:bookmarkStart w:id="282" w:name="_Toc27426"/>
      <w:bookmarkStart w:id="283" w:name="_Toc2525"/>
      <w:bookmarkStart w:id="284" w:name="_Toc30918"/>
      <w:bookmarkStart w:id="285" w:name="_Toc6662"/>
      <w:bookmarkStart w:id="286" w:name="_Toc32138"/>
      <w:bookmarkStart w:id="287" w:name="_Toc292"/>
      <w:bookmarkStart w:id="288" w:name="_Toc30442"/>
      <w:bookmarkStart w:id="289" w:name="_Toc170380173"/>
      <w:r>
        <w:t xml:space="preserve">Study </w:t>
      </w:r>
      <w:r>
        <w:rPr>
          <w:rFonts w:hint="eastAsia"/>
        </w:rPr>
        <w:t>d</w:t>
      </w:r>
      <w:r>
        <w:t xml:space="preserve">esign and </w:t>
      </w:r>
      <w:r>
        <w:rPr>
          <w:rFonts w:hint="eastAsia"/>
        </w:rPr>
        <w:t>p</w:t>
      </w:r>
      <w:r>
        <w:t>lan</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5BF8D5EC" w14:textId="140AB551" w:rsidR="00147639"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This is a multicenter, randomized, prospective, open-label phase III clinical trial aimed at </w:t>
      </w:r>
      <w:r w:rsidR="00B471CE">
        <w:rPr>
          <w:rFonts w:ascii="Times New Roman" w:hAnsi="Times New Roman" w:cs="Times New Roman" w:hint="eastAsia"/>
          <w:sz w:val="21"/>
          <w:szCs w:val="21"/>
        </w:rPr>
        <w:t>assessing</w:t>
      </w:r>
      <w:r>
        <w:rPr>
          <w:rFonts w:ascii="Times New Roman" w:hAnsi="Times New Roman" w:cs="Times New Roman"/>
          <w:sz w:val="21"/>
          <w:szCs w:val="21"/>
        </w:rPr>
        <w:t xml:space="preserve"> the efficacy and safety of continuing </w:t>
      </w:r>
      <w:r w:rsidR="000040AB">
        <w:rPr>
          <w:rFonts w:ascii="Times New Roman" w:hAnsi="Times New Roman" w:cs="Times New Roman"/>
          <w:sz w:val="21"/>
          <w:szCs w:val="21"/>
        </w:rPr>
        <w:t>icotinib</w:t>
      </w:r>
      <w:r>
        <w:rPr>
          <w:rFonts w:ascii="Times New Roman" w:hAnsi="Times New Roman" w:cs="Times New Roman"/>
          <w:sz w:val="21"/>
          <w:szCs w:val="21"/>
        </w:rPr>
        <w:t xml:space="preserve"> treatment after adjuvant chemotherapy in patients with stage II-IIIA EGFR mutated NSCLC who have undergone R0 resection. </w:t>
      </w:r>
    </w:p>
    <w:p w14:paraId="3C42AC9E" w14:textId="2702ACD1" w:rsidR="00147639" w:rsidRPr="004702BA" w:rsidRDefault="00147639" w:rsidP="002A2588">
      <w:pPr>
        <w:pStyle w:val="af0"/>
        <w:shd w:val="clear" w:color="auto" w:fill="FFFFFF"/>
        <w:jc w:val="both"/>
        <w:textAlignment w:val="baseline"/>
        <w:rPr>
          <w:rFonts w:ascii="Times New Roman" w:hAnsi="Times New Roman" w:cs="Times New Roman"/>
          <w:sz w:val="21"/>
          <w:szCs w:val="21"/>
        </w:rPr>
      </w:pPr>
      <w:r w:rsidRPr="004702BA">
        <w:rPr>
          <w:rFonts w:ascii="Times New Roman" w:hAnsi="Times New Roman" w:cs="Times New Roman"/>
          <w:sz w:val="21"/>
          <w:szCs w:val="21"/>
        </w:rPr>
        <w:t xml:space="preserve">A sample size of </w:t>
      </w:r>
      <w:r w:rsidR="00CC04AD">
        <w:rPr>
          <w:rFonts w:ascii="Times New Roman" w:hAnsi="Times New Roman" w:cs="Times New Roman"/>
          <w:sz w:val="21"/>
          <w:szCs w:val="21"/>
        </w:rPr>
        <w:t>318</w:t>
      </w:r>
      <w:r w:rsidR="00CC04AD" w:rsidRPr="004702BA">
        <w:rPr>
          <w:rFonts w:ascii="Times New Roman" w:hAnsi="Times New Roman" w:cs="Times New Roman"/>
          <w:sz w:val="21"/>
          <w:szCs w:val="21"/>
        </w:rPr>
        <w:t xml:space="preserve"> </w:t>
      </w:r>
      <w:r w:rsidRPr="004702BA">
        <w:rPr>
          <w:rFonts w:ascii="Times New Roman" w:hAnsi="Times New Roman" w:cs="Times New Roman"/>
          <w:sz w:val="21"/>
          <w:szCs w:val="21"/>
        </w:rPr>
        <w:t xml:space="preserve">(requiring </w:t>
      </w:r>
      <w:r w:rsidR="00CC04AD">
        <w:rPr>
          <w:rFonts w:ascii="Times New Roman" w:hAnsi="Times New Roman" w:cs="Times New Roman"/>
          <w:sz w:val="21"/>
          <w:szCs w:val="21"/>
        </w:rPr>
        <w:t>198</w:t>
      </w:r>
      <w:r w:rsidR="00CC04AD" w:rsidRPr="004702BA">
        <w:rPr>
          <w:rFonts w:ascii="Times New Roman" w:hAnsi="Times New Roman" w:cs="Times New Roman"/>
          <w:sz w:val="21"/>
          <w:szCs w:val="21"/>
        </w:rPr>
        <w:t xml:space="preserve"> </w:t>
      </w:r>
      <w:r w:rsidRPr="004702BA">
        <w:rPr>
          <w:rFonts w:ascii="Times New Roman" w:hAnsi="Times New Roman" w:cs="Times New Roman"/>
          <w:sz w:val="21"/>
          <w:szCs w:val="21"/>
        </w:rPr>
        <w:t xml:space="preserve">events) is based on the following considerations: </w:t>
      </w:r>
      <w:r w:rsidR="00CC04AD" w:rsidRPr="00CC04AD">
        <w:rPr>
          <w:rFonts w:ascii="Times New Roman" w:hAnsi="Times New Roman" w:cs="Times New Roman"/>
          <w:sz w:val="21"/>
          <w:szCs w:val="21"/>
        </w:rPr>
        <w:t>From previous studies, it is assumed that the median DFS is 30 months for patients with EGFR-mutated stage II-IIIA NSCLC following adjuvant chemotherapy, with a hazard ratio (HR) of 0.76, a power of test (1-β) of 8085%, a significance level (α) of 5% for a two-sided test, and an overall dropout rate of 5%.</w:t>
      </w:r>
    </w:p>
    <w:p w14:paraId="2D1918B7" w14:textId="24F7E553" w:rsidR="005D1745" w:rsidRDefault="00147639">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sidRPr="00147639">
        <w:rPr>
          <w:rFonts w:ascii="Times New Roman" w:hAnsi="Times New Roman" w:cs="Times New Roman"/>
          <w:sz w:val="21"/>
          <w:szCs w:val="21"/>
        </w:rPr>
        <w:t xml:space="preserve">These </w:t>
      </w:r>
      <w:r w:rsidR="005633B7">
        <w:rPr>
          <w:rFonts w:ascii="Times New Roman" w:hAnsi="Times New Roman" w:cs="Times New Roman"/>
          <w:sz w:val="21"/>
          <w:szCs w:val="21"/>
        </w:rPr>
        <w:t>318</w:t>
      </w:r>
      <w:r w:rsidR="005633B7" w:rsidRPr="00147639">
        <w:rPr>
          <w:rFonts w:ascii="Times New Roman" w:hAnsi="Times New Roman" w:cs="Times New Roman"/>
          <w:sz w:val="21"/>
          <w:szCs w:val="21"/>
        </w:rPr>
        <w:t xml:space="preserve"> </w:t>
      </w:r>
      <w:r w:rsidRPr="00147639">
        <w:rPr>
          <w:rFonts w:ascii="Times New Roman" w:hAnsi="Times New Roman" w:cs="Times New Roman"/>
          <w:sz w:val="21"/>
          <w:szCs w:val="21"/>
        </w:rPr>
        <w:t>patients</w:t>
      </w:r>
      <w:r>
        <w:rPr>
          <w:rFonts w:ascii="Times New Roman" w:hAnsi="Times New Roman" w:cs="Times New Roman"/>
          <w:sz w:val="21"/>
          <w:szCs w:val="21"/>
        </w:rPr>
        <w:t xml:space="preserve"> are planned to be enrolled in the study, </w:t>
      </w:r>
      <w:r w:rsidR="00B471CE">
        <w:rPr>
          <w:rFonts w:ascii="Times New Roman" w:hAnsi="Times New Roman" w:cs="Times New Roman"/>
          <w:sz w:val="21"/>
          <w:szCs w:val="21"/>
        </w:rPr>
        <w:t>after adjuvant chemotherapy</w:t>
      </w:r>
      <w:r w:rsidR="00D310EE">
        <w:rPr>
          <w:rFonts w:ascii="Times New Roman" w:hAnsi="Times New Roman" w:cs="Times New Roman"/>
          <w:sz w:val="21"/>
          <w:szCs w:val="21"/>
        </w:rPr>
        <w:t>,</w:t>
      </w:r>
      <w:r w:rsidR="00B471CE">
        <w:rPr>
          <w:rFonts w:ascii="Times New Roman" w:hAnsi="Times New Roman" w:cs="Times New Roman"/>
          <w:sz w:val="21"/>
          <w:szCs w:val="21"/>
        </w:rPr>
        <w:t xml:space="preserve"> </w:t>
      </w:r>
      <w:r>
        <w:rPr>
          <w:rFonts w:ascii="Times New Roman" w:hAnsi="Times New Roman" w:cs="Times New Roman"/>
          <w:sz w:val="21"/>
          <w:szCs w:val="21"/>
        </w:rPr>
        <w:t xml:space="preserve">randomly divided into three groups: </w:t>
      </w:r>
      <w:r w:rsidR="000040AB">
        <w:rPr>
          <w:rFonts w:ascii="Times New Roman" w:hAnsi="Times New Roman" w:cs="Times New Roman"/>
          <w:sz w:val="21"/>
          <w:szCs w:val="21"/>
        </w:rPr>
        <w:t>icotinib</w:t>
      </w:r>
      <w:r>
        <w:rPr>
          <w:rFonts w:ascii="Times New Roman" w:hAnsi="Times New Roman" w:cs="Times New Roman"/>
          <w:sz w:val="21"/>
          <w:szCs w:val="21"/>
        </w:rPr>
        <w:t xml:space="preserve"> treatment for </w:t>
      </w:r>
      <w:r w:rsidR="005633B7">
        <w:rPr>
          <w:rFonts w:ascii="Times New Roman" w:hAnsi="Times New Roman" w:cs="Times New Roman"/>
          <w:sz w:val="21"/>
          <w:szCs w:val="21"/>
        </w:rPr>
        <w:t xml:space="preserve">12 </w:t>
      </w:r>
      <w:r>
        <w:rPr>
          <w:rFonts w:ascii="Times New Roman" w:hAnsi="Times New Roman" w:cs="Times New Roman"/>
          <w:sz w:val="21"/>
          <w:szCs w:val="21"/>
        </w:rPr>
        <w:t xml:space="preserve">months, </w:t>
      </w:r>
      <w:r w:rsidR="005633B7">
        <w:rPr>
          <w:rFonts w:ascii="Times New Roman" w:hAnsi="Times New Roman" w:cs="Times New Roman"/>
          <w:sz w:val="21"/>
          <w:szCs w:val="21"/>
        </w:rPr>
        <w:t xml:space="preserve">icotinib treatment for 6 </w:t>
      </w:r>
      <w:r>
        <w:rPr>
          <w:rFonts w:ascii="Times New Roman" w:hAnsi="Times New Roman" w:cs="Times New Roman"/>
          <w:sz w:val="21"/>
          <w:szCs w:val="21"/>
        </w:rPr>
        <w:t>months, and a control group</w:t>
      </w:r>
      <w:r w:rsidR="00B471CE">
        <w:rPr>
          <w:rFonts w:ascii="Times New Roman" w:hAnsi="Times New Roman" w:cs="Times New Roman"/>
          <w:sz w:val="21"/>
          <w:szCs w:val="21"/>
        </w:rPr>
        <w:t xml:space="preserve"> (observation only)</w:t>
      </w:r>
      <w:r>
        <w:rPr>
          <w:rFonts w:ascii="Times New Roman" w:hAnsi="Times New Roman" w:cs="Times New Roman"/>
          <w:sz w:val="21"/>
          <w:szCs w:val="21"/>
        </w:rPr>
        <w:t xml:space="preserve">. Patients in the </w:t>
      </w:r>
      <w:r w:rsidR="000040AB">
        <w:rPr>
          <w:rFonts w:ascii="Times New Roman" w:hAnsi="Times New Roman" w:cs="Times New Roman"/>
          <w:sz w:val="21"/>
          <w:szCs w:val="21"/>
        </w:rPr>
        <w:t>icotinib</w:t>
      </w:r>
      <w:r>
        <w:rPr>
          <w:rFonts w:ascii="Times New Roman" w:hAnsi="Times New Roman" w:cs="Times New Roman"/>
          <w:sz w:val="21"/>
          <w:szCs w:val="21"/>
        </w:rPr>
        <w:t xml:space="preserve"> group will receive </w:t>
      </w:r>
      <w:r w:rsidR="000040AB">
        <w:rPr>
          <w:rFonts w:ascii="Times New Roman" w:hAnsi="Times New Roman" w:cs="Times New Roman"/>
          <w:sz w:val="21"/>
          <w:szCs w:val="21"/>
        </w:rPr>
        <w:t>icotinib</w:t>
      </w:r>
      <w:r>
        <w:rPr>
          <w:rFonts w:ascii="Times New Roman" w:hAnsi="Times New Roman" w:cs="Times New Roman"/>
          <w:sz w:val="21"/>
          <w:szCs w:val="21"/>
        </w:rPr>
        <w:t xml:space="preserve"> 125 mg orally three times a day for a continuous </w:t>
      </w:r>
      <w:r w:rsidR="005633B7">
        <w:rPr>
          <w:rFonts w:ascii="Times New Roman" w:hAnsi="Times New Roman" w:cs="Times New Roman"/>
          <w:sz w:val="21"/>
          <w:szCs w:val="21"/>
        </w:rPr>
        <w:t>12</w:t>
      </w:r>
      <w:r>
        <w:rPr>
          <w:rFonts w:ascii="Times New Roman" w:hAnsi="Times New Roman" w:cs="Times New Roman"/>
          <w:sz w:val="21"/>
          <w:szCs w:val="21"/>
        </w:rPr>
        <w:t xml:space="preserve"> or </w:t>
      </w:r>
      <w:r w:rsidR="005633B7">
        <w:rPr>
          <w:rFonts w:ascii="Times New Roman" w:hAnsi="Times New Roman" w:cs="Times New Roman"/>
          <w:sz w:val="21"/>
          <w:szCs w:val="21"/>
        </w:rPr>
        <w:t>6</w:t>
      </w:r>
      <w:r>
        <w:rPr>
          <w:rFonts w:ascii="Times New Roman" w:hAnsi="Times New Roman" w:cs="Times New Roman"/>
          <w:sz w:val="21"/>
          <w:szCs w:val="21"/>
        </w:rPr>
        <w:t xml:space="preserve"> months, or until disease recurrence or intolerable toxic</w:t>
      </w:r>
      <w:r w:rsidR="00B471CE">
        <w:rPr>
          <w:rFonts w:ascii="Times New Roman" w:hAnsi="Times New Roman" w:cs="Times New Roman"/>
          <w:sz w:val="21"/>
          <w:szCs w:val="21"/>
        </w:rPr>
        <w:t>ity</w:t>
      </w:r>
      <w:r>
        <w:rPr>
          <w:rFonts w:ascii="Times New Roman" w:hAnsi="Times New Roman" w:cs="Times New Roman"/>
          <w:sz w:val="21"/>
          <w:szCs w:val="21"/>
        </w:rPr>
        <w:t>.</w:t>
      </w:r>
    </w:p>
    <w:p w14:paraId="562D42DD" w14:textId="77777777" w:rsidR="005D1745" w:rsidRDefault="004B6ABE">
      <w:pPr>
        <w:pStyle w:val="2"/>
      </w:pPr>
      <w:r>
        <w:rPr>
          <w:rFonts w:hint="eastAsia"/>
        </w:rPr>
        <w:t xml:space="preserve"> </w:t>
      </w:r>
      <w:bookmarkStart w:id="290" w:name="_Toc6629"/>
      <w:bookmarkStart w:id="291" w:name="_Toc17974"/>
      <w:bookmarkStart w:id="292" w:name="_Toc6202"/>
      <w:bookmarkStart w:id="293" w:name="_Toc10252"/>
      <w:bookmarkStart w:id="294" w:name="_Toc21170"/>
      <w:bookmarkStart w:id="295" w:name="_Toc24746"/>
      <w:bookmarkStart w:id="296" w:name="_Toc10927"/>
      <w:bookmarkStart w:id="297" w:name="_Toc29863"/>
      <w:bookmarkStart w:id="298" w:name="_Toc12063"/>
      <w:bookmarkStart w:id="299" w:name="_Toc23062"/>
      <w:bookmarkStart w:id="300" w:name="_Toc25774"/>
      <w:bookmarkStart w:id="301" w:name="_Toc12110"/>
      <w:bookmarkStart w:id="302" w:name="_Toc879"/>
      <w:bookmarkStart w:id="303" w:name="_Toc9072"/>
      <w:bookmarkStart w:id="304" w:name="_Toc19285"/>
      <w:bookmarkStart w:id="305" w:name="_Toc29356"/>
      <w:bookmarkStart w:id="306" w:name="_Toc2516"/>
      <w:bookmarkStart w:id="307" w:name="_Toc31038"/>
      <w:bookmarkStart w:id="308" w:name="_Toc24181"/>
      <w:bookmarkStart w:id="309" w:name="_Toc8032"/>
      <w:bookmarkStart w:id="310" w:name="_Toc32442"/>
      <w:bookmarkStart w:id="311" w:name="_Toc26501"/>
      <w:bookmarkStart w:id="312" w:name="_Toc20480"/>
      <w:bookmarkStart w:id="313" w:name="_Toc2042"/>
      <w:bookmarkStart w:id="314" w:name="_Toc27418"/>
      <w:bookmarkStart w:id="315" w:name="_Toc13891"/>
      <w:bookmarkStart w:id="316" w:name="_Toc170380174"/>
      <w:r>
        <w:t xml:space="preserve">Subject </w:t>
      </w:r>
      <w:r>
        <w:rPr>
          <w:rFonts w:hint="eastAsia"/>
        </w:rPr>
        <w:t>s</w:t>
      </w:r>
      <w:r>
        <w:t>election</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r>
        <w:t xml:space="preserve"> </w:t>
      </w:r>
    </w:p>
    <w:p w14:paraId="165A1777" w14:textId="77777777"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Each subject should meet all of the inclusion criteria and none of the exclusion criteria for this study. Under no circumstances can there be exceptions to this rule.</w:t>
      </w:r>
    </w:p>
    <w:p w14:paraId="4FF8973C" w14:textId="77777777" w:rsidR="005D1745" w:rsidRDefault="004B6ABE">
      <w:pPr>
        <w:pStyle w:val="3"/>
      </w:pPr>
      <w:r>
        <w:rPr>
          <w:rFonts w:hint="eastAsia"/>
        </w:rPr>
        <w:t xml:space="preserve"> </w:t>
      </w:r>
      <w:bookmarkStart w:id="317" w:name="_Toc26365"/>
      <w:bookmarkStart w:id="318" w:name="_Toc8329"/>
      <w:bookmarkStart w:id="319" w:name="_Toc21676"/>
      <w:bookmarkStart w:id="320" w:name="_Toc25891"/>
      <w:bookmarkStart w:id="321" w:name="_Toc31871"/>
      <w:bookmarkStart w:id="322" w:name="_Toc10071"/>
      <w:bookmarkStart w:id="323" w:name="_Toc23356"/>
      <w:bookmarkStart w:id="324" w:name="_Toc21191"/>
      <w:bookmarkStart w:id="325" w:name="_Toc23205"/>
      <w:bookmarkStart w:id="326" w:name="_Toc17544"/>
      <w:bookmarkStart w:id="327" w:name="_Toc29132"/>
      <w:bookmarkStart w:id="328" w:name="_Toc17279"/>
      <w:bookmarkStart w:id="329" w:name="_Toc15462"/>
      <w:bookmarkStart w:id="330" w:name="_Toc2830"/>
      <w:bookmarkStart w:id="331" w:name="_Toc2908"/>
      <w:bookmarkStart w:id="332" w:name="_Toc31185"/>
      <w:bookmarkStart w:id="333" w:name="_Toc5628"/>
      <w:bookmarkStart w:id="334" w:name="_Toc3011"/>
      <w:bookmarkStart w:id="335" w:name="_Toc3800"/>
      <w:bookmarkStart w:id="336" w:name="_Toc20592"/>
      <w:bookmarkStart w:id="337" w:name="_Toc9894"/>
      <w:bookmarkStart w:id="338" w:name="_Toc6675"/>
      <w:bookmarkStart w:id="339" w:name="_Toc6184"/>
      <w:bookmarkStart w:id="340" w:name="_Toc28979"/>
      <w:bookmarkStart w:id="341" w:name="_Toc170380175"/>
      <w:r>
        <w:t xml:space="preserve">Inclusion </w:t>
      </w:r>
      <w:r>
        <w:rPr>
          <w:rFonts w:hint="eastAsia"/>
        </w:rPr>
        <w:t>c</w:t>
      </w:r>
      <w:r>
        <w:t>riteria</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14:paraId="5564B86A" w14:textId="3D4E3A46"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Good patient compliance</w:t>
      </w:r>
      <w:r w:rsidR="00680928">
        <w:rPr>
          <w:rFonts w:ascii="Times New Roman" w:hAnsi="Times New Roman" w:cs="Times New Roman"/>
          <w:sz w:val="21"/>
          <w:szCs w:val="21"/>
        </w:rPr>
        <w:t>;</w:t>
      </w:r>
    </w:p>
    <w:p w14:paraId="34198BDC" w14:textId="2F970092"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Able to take oral medication</w:t>
      </w:r>
      <w:r w:rsidR="00680928">
        <w:rPr>
          <w:rFonts w:ascii="Times New Roman" w:hAnsi="Times New Roman" w:cs="Times New Roman"/>
          <w:sz w:val="21"/>
          <w:szCs w:val="21"/>
        </w:rPr>
        <w:t>;</w:t>
      </w:r>
    </w:p>
    <w:p w14:paraId="7D8D38F3" w14:textId="2910DF7E"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Male or female, aged</w:t>
      </w:r>
      <w:r w:rsidR="00486074">
        <w:rPr>
          <w:rFonts w:ascii="Times New Roman" w:hAnsi="Times New Roman" w:cs="Times New Roman"/>
          <w:sz w:val="21"/>
          <w:szCs w:val="21"/>
        </w:rPr>
        <w:t xml:space="preserve"> </w:t>
      </w:r>
      <w:r>
        <w:rPr>
          <w:rFonts w:ascii="Times New Roman" w:hAnsi="Times New Roman" w:cs="Times New Roman"/>
          <w:sz w:val="21"/>
          <w:szCs w:val="21"/>
        </w:rPr>
        <w:t>18 to 75 years</w:t>
      </w:r>
      <w:r w:rsidR="00147639">
        <w:rPr>
          <w:rFonts w:ascii="Times New Roman" w:hAnsi="Times New Roman" w:cs="Times New Roman"/>
          <w:sz w:val="21"/>
          <w:szCs w:val="21"/>
        </w:rPr>
        <w:t xml:space="preserve"> </w:t>
      </w:r>
      <w:r>
        <w:rPr>
          <w:rFonts w:ascii="Times New Roman" w:hAnsi="Times New Roman" w:cs="Times New Roman"/>
          <w:sz w:val="21"/>
          <w:szCs w:val="21"/>
        </w:rPr>
        <w:t>(including aged 18)</w:t>
      </w:r>
      <w:r w:rsidR="00680928">
        <w:rPr>
          <w:rFonts w:ascii="Times New Roman" w:hAnsi="Times New Roman" w:cs="Times New Roman"/>
          <w:sz w:val="21"/>
          <w:szCs w:val="21"/>
        </w:rPr>
        <w:t>;</w:t>
      </w:r>
    </w:p>
    <w:p w14:paraId="73F56F42" w14:textId="4DCB4EFB"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ECOG performance status score 0 to 1, expected survival greater than 12 weeks</w:t>
      </w:r>
      <w:r w:rsidR="00680928">
        <w:rPr>
          <w:rFonts w:ascii="Times New Roman" w:hAnsi="Times New Roman" w:cs="Times New Roman"/>
          <w:sz w:val="21"/>
          <w:szCs w:val="21"/>
        </w:rPr>
        <w:t>;</w:t>
      </w:r>
    </w:p>
    <w:p w14:paraId="2044E741" w14:textId="6FAD6B3A"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Postoperative histopathology confirmed R0 resection of stage II-IIIA </w:t>
      </w:r>
      <w:r w:rsidR="00891503">
        <w:rPr>
          <w:rFonts w:ascii="Times New Roman" w:hAnsi="Times New Roman" w:cs="Times New Roman"/>
          <w:sz w:val="21"/>
          <w:szCs w:val="21"/>
        </w:rPr>
        <w:t>NSCLC</w:t>
      </w:r>
      <w:r>
        <w:rPr>
          <w:rFonts w:ascii="Times New Roman" w:hAnsi="Times New Roman" w:cs="Times New Roman"/>
          <w:sz w:val="21"/>
          <w:szCs w:val="21"/>
        </w:rPr>
        <w:t>, accompanied by EGFR mutation positivity (exon 19 or 21)</w:t>
      </w:r>
      <w:r w:rsidR="00680928">
        <w:rPr>
          <w:rFonts w:ascii="Times New Roman" w:hAnsi="Times New Roman" w:cs="Times New Roman"/>
          <w:sz w:val="21"/>
          <w:szCs w:val="21"/>
        </w:rPr>
        <w:t>;</w:t>
      </w:r>
    </w:p>
    <w:p w14:paraId="5395ADFA" w14:textId="1749EF88"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Received </w:t>
      </w:r>
      <w:r w:rsidR="00B968C9">
        <w:rPr>
          <w:rFonts w:ascii="Times New Roman" w:hAnsi="Times New Roman" w:cs="Times New Roman"/>
          <w:sz w:val="21"/>
          <w:szCs w:val="21"/>
        </w:rPr>
        <w:t>2-</w:t>
      </w:r>
      <w:r>
        <w:rPr>
          <w:rFonts w:ascii="Times New Roman" w:hAnsi="Times New Roman" w:cs="Times New Roman"/>
          <w:sz w:val="21"/>
          <w:szCs w:val="21"/>
        </w:rPr>
        <w:t>4 cycles of adjuvant chemotherapy postoperatively; the adjuvant chemotherapy regimen consists of third-generation chemotherapy drugs (gemcitabine, vinorelbine, paclitaxel, or docetaxel) combined with carboplatin or cisplatin; for patients with lung adenocarcinoma, pemetrexed combined with carboplatin or cisplatin can be used</w:t>
      </w:r>
      <w:r w:rsidR="00680928">
        <w:rPr>
          <w:rFonts w:ascii="Times New Roman" w:hAnsi="Times New Roman" w:cs="Times New Roman"/>
          <w:sz w:val="21"/>
          <w:szCs w:val="21"/>
        </w:rPr>
        <w:t>;</w:t>
      </w:r>
    </w:p>
    <w:p w14:paraId="5FF03604" w14:textId="50170B6F"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Never received other chemotherapy, radiation therapy, or biotherapy except for the </w:t>
      </w:r>
      <w:r w:rsidR="00680928">
        <w:rPr>
          <w:rFonts w:ascii="Times New Roman" w:hAnsi="Times New Roman" w:cs="Times New Roman"/>
          <w:sz w:val="21"/>
          <w:szCs w:val="21"/>
        </w:rPr>
        <w:t>2-</w:t>
      </w:r>
      <w:r>
        <w:rPr>
          <w:rFonts w:ascii="Times New Roman" w:hAnsi="Times New Roman" w:cs="Times New Roman"/>
          <w:sz w:val="21"/>
          <w:szCs w:val="21"/>
        </w:rPr>
        <w:t>4 cycles of adjuvant chemotherapy</w:t>
      </w:r>
      <w:r w:rsidR="00680928">
        <w:rPr>
          <w:rFonts w:ascii="Times New Roman" w:hAnsi="Times New Roman" w:cs="Times New Roman"/>
          <w:sz w:val="21"/>
          <w:szCs w:val="21"/>
        </w:rPr>
        <w:t>;</w:t>
      </w:r>
    </w:p>
    <w:p w14:paraId="7F7396F9" w14:textId="74A409FB"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Treatment starts within 4 weeks after completing </w:t>
      </w:r>
      <w:r w:rsidR="00BC30D7">
        <w:rPr>
          <w:rFonts w:ascii="Times New Roman" w:hAnsi="Times New Roman" w:cs="Times New Roman"/>
          <w:sz w:val="21"/>
          <w:szCs w:val="21"/>
        </w:rPr>
        <w:t>2-</w:t>
      </w:r>
      <w:r>
        <w:rPr>
          <w:rFonts w:ascii="Times New Roman" w:hAnsi="Times New Roman" w:cs="Times New Roman"/>
          <w:sz w:val="21"/>
          <w:szCs w:val="21"/>
        </w:rPr>
        <w:t>4 cycles of postoperative adjuvant chemotherapy</w:t>
      </w:r>
    </w:p>
    <w:p w14:paraId="557111F8" w14:textId="77777777"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No signs of tumor recurrence before treatment;</w:t>
      </w:r>
    </w:p>
    <w:p w14:paraId="487357BB" w14:textId="78F8018A"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lastRenderedPageBreak/>
        <w:t xml:space="preserve">Able to obtain sufficient tumor histological specimens (non-cytological) for </w:t>
      </w:r>
      <w:r w:rsidR="009808FC">
        <w:rPr>
          <w:rFonts w:ascii="Times New Roman" w:hAnsi="Times New Roman" w:cs="Times New Roman"/>
          <w:sz w:val="21"/>
          <w:szCs w:val="21"/>
        </w:rPr>
        <w:t>biomarker</w:t>
      </w:r>
      <w:r>
        <w:rPr>
          <w:rFonts w:ascii="Times New Roman" w:hAnsi="Times New Roman" w:cs="Times New Roman"/>
          <w:sz w:val="21"/>
          <w:szCs w:val="21"/>
        </w:rPr>
        <w:t xml:space="preserve"> analysis</w:t>
      </w:r>
    </w:p>
    <w:p w14:paraId="05302935" w14:textId="77777777"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Hematology, biochemistry, and organ function:</w:t>
      </w:r>
    </w:p>
    <w:p w14:paraId="7F8B79E0" w14:textId="77777777" w:rsidR="005D1745" w:rsidRDefault="004B6ABE">
      <w:pPr>
        <w:pStyle w:val="af0"/>
        <w:numPr>
          <w:ilvl w:val="0"/>
          <w:numId w:val="4"/>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Pulmonary function: FEV1 &gt; 50%, mild to moderate pulmonary function impairment;</w:t>
      </w:r>
    </w:p>
    <w:p w14:paraId="7BF80610" w14:textId="0DF8F80D" w:rsidR="005D1745" w:rsidRDefault="004B6ABE">
      <w:pPr>
        <w:pStyle w:val="af0"/>
        <w:numPr>
          <w:ilvl w:val="0"/>
          <w:numId w:val="4"/>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Hemoglobin ≥ 100 g/L (can be maintained or exceed this level through transfusion);</w:t>
      </w:r>
    </w:p>
    <w:p w14:paraId="6578BC88" w14:textId="77777777" w:rsidR="005D1745" w:rsidRDefault="004B6ABE">
      <w:pPr>
        <w:pStyle w:val="af0"/>
        <w:numPr>
          <w:ilvl w:val="0"/>
          <w:numId w:val="4"/>
        </w:numPr>
        <w:shd w:val="clear" w:color="auto" w:fill="FFFFFF"/>
        <w:spacing w:before="0" w:beforeAutospacing="0" w:after="0" w:afterAutospacing="0"/>
        <w:jc w:val="both"/>
        <w:textAlignment w:val="baseline"/>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Absolute neutrophil count ≥ 2.0 × 10</w:t>
      </w:r>
      <w:r>
        <w:rPr>
          <w:rFonts w:ascii="Times New Roman" w:hAnsi="Times New Roman" w:cs="Times New Roman"/>
          <w:color w:val="000000" w:themeColor="text1"/>
          <w:sz w:val="21"/>
          <w:szCs w:val="21"/>
          <w:vertAlign w:val="superscript"/>
        </w:rPr>
        <w:t>9</w:t>
      </w:r>
      <w:r>
        <w:rPr>
          <w:rFonts w:ascii="Times New Roman" w:hAnsi="Times New Roman" w:cs="Times New Roman"/>
          <w:color w:val="000000" w:themeColor="text1"/>
          <w:sz w:val="21"/>
          <w:szCs w:val="21"/>
        </w:rPr>
        <w:t>/L;</w:t>
      </w:r>
    </w:p>
    <w:p w14:paraId="43CA7E0A" w14:textId="77777777" w:rsidR="005D1745" w:rsidRDefault="004B6ABE">
      <w:pPr>
        <w:pStyle w:val="af0"/>
        <w:numPr>
          <w:ilvl w:val="0"/>
          <w:numId w:val="4"/>
        </w:numPr>
        <w:shd w:val="clear" w:color="auto" w:fill="FFFFFF"/>
        <w:spacing w:before="0" w:beforeAutospacing="0" w:after="0" w:afterAutospacing="0"/>
        <w:jc w:val="both"/>
        <w:textAlignment w:val="baseline"/>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Platelet count ≥ 100 × 10</w:t>
      </w:r>
      <w:r>
        <w:rPr>
          <w:rFonts w:ascii="Times New Roman" w:hAnsi="Times New Roman" w:cs="Times New Roman"/>
          <w:color w:val="000000" w:themeColor="text1"/>
          <w:sz w:val="21"/>
          <w:szCs w:val="21"/>
          <w:vertAlign w:val="superscript"/>
        </w:rPr>
        <w:t>9</w:t>
      </w:r>
      <w:r>
        <w:rPr>
          <w:rFonts w:ascii="Times New Roman" w:hAnsi="Times New Roman" w:cs="Times New Roman"/>
          <w:color w:val="000000" w:themeColor="text1"/>
          <w:sz w:val="21"/>
          <w:szCs w:val="21"/>
        </w:rPr>
        <w:t>/L;</w:t>
      </w:r>
    </w:p>
    <w:p w14:paraId="06567F56" w14:textId="77777777" w:rsidR="005D1745" w:rsidRDefault="004B6ABE">
      <w:pPr>
        <w:pStyle w:val="af0"/>
        <w:numPr>
          <w:ilvl w:val="0"/>
          <w:numId w:val="4"/>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Total bilirubin ≤ 1.5 times the upper limit of normal;</w:t>
      </w:r>
    </w:p>
    <w:p w14:paraId="7F109647" w14:textId="77777777" w:rsidR="005D1745" w:rsidRDefault="004B6ABE">
      <w:pPr>
        <w:pStyle w:val="af0"/>
        <w:numPr>
          <w:ilvl w:val="0"/>
          <w:numId w:val="4"/>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Alanine aminotransferase and aspartate aminotransferase ≤ 2.5 times the upper limit of normal;</w:t>
      </w:r>
    </w:p>
    <w:p w14:paraId="36A58CAF" w14:textId="77777777" w:rsidR="005D1745" w:rsidRDefault="004B6ABE">
      <w:pPr>
        <w:pStyle w:val="af0"/>
        <w:numPr>
          <w:ilvl w:val="0"/>
          <w:numId w:val="4"/>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Creatinine ≤ 1.25 times the upper limit of normal; and creatinine clearance rate ≥ 60 mL/min;</w:t>
      </w:r>
    </w:p>
    <w:p w14:paraId="75B2F100" w14:textId="77777777"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Women of childbearing age (15-49 years) must have a negative urine pregnancy test within 7 days before starting treatment</w:t>
      </w:r>
    </w:p>
    <w:p w14:paraId="54D924C4" w14:textId="77777777" w:rsidR="005D1745" w:rsidRDefault="004B6ABE">
      <w:pPr>
        <w:pStyle w:val="af0"/>
        <w:numPr>
          <w:ilvl w:val="0"/>
          <w:numId w:val="3"/>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Obtain informed consent signed by the patient or their legal representative</w:t>
      </w:r>
    </w:p>
    <w:p w14:paraId="4C707075" w14:textId="77777777" w:rsidR="005D1745" w:rsidRDefault="004B6ABE">
      <w:pPr>
        <w:pStyle w:val="af0"/>
        <w:numPr>
          <w:ilvl w:val="0"/>
          <w:numId w:val="3"/>
        </w:numPr>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Male and female patients of childbearing age agree to use reliable contraceptive methods before entering the trial, during the study, and until 8 weeks after discontinuation of the drug</w:t>
      </w:r>
    </w:p>
    <w:p w14:paraId="3CFE1818" w14:textId="77777777" w:rsidR="00CE21B7" w:rsidRDefault="004B6ABE" w:rsidP="00CE21B7">
      <w:pPr>
        <w:pStyle w:val="3"/>
      </w:pPr>
      <w:r>
        <w:rPr>
          <w:rFonts w:hint="eastAsia"/>
        </w:rPr>
        <w:t xml:space="preserve"> </w:t>
      </w:r>
      <w:bookmarkStart w:id="342" w:name="_Toc13967"/>
      <w:bookmarkStart w:id="343" w:name="_Toc4015"/>
      <w:bookmarkStart w:id="344" w:name="_Toc1867"/>
      <w:bookmarkStart w:id="345" w:name="_Toc152"/>
      <w:bookmarkStart w:id="346" w:name="_Toc2309"/>
      <w:bookmarkStart w:id="347" w:name="_Toc23772"/>
      <w:bookmarkStart w:id="348" w:name="_Toc8022"/>
      <w:bookmarkStart w:id="349" w:name="_Toc18600"/>
      <w:bookmarkStart w:id="350" w:name="_Toc1698"/>
      <w:bookmarkStart w:id="351" w:name="_Toc21328"/>
      <w:bookmarkStart w:id="352" w:name="_Toc6435"/>
      <w:bookmarkStart w:id="353" w:name="_Toc23728"/>
      <w:bookmarkStart w:id="354" w:name="_Toc4760"/>
      <w:bookmarkStart w:id="355" w:name="_Toc24005"/>
      <w:bookmarkStart w:id="356" w:name="_Toc8196"/>
      <w:bookmarkStart w:id="357" w:name="_Toc501"/>
      <w:bookmarkStart w:id="358" w:name="_Toc13444"/>
      <w:bookmarkStart w:id="359" w:name="_Toc2086"/>
      <w:bookmarkStart w:id="360" w:name="_Toc20465"/>
      <w:bookmarkStart w:id="361" w:name="_Toc32183"/>
      <w:bookmarkStart w:id="362" w:name="_Toc8113"/>
      <w:bookmarkStart w:id="363" w:name="_Toc9165"/>
      <w:bookmarkStart w:id="364" w:name="_Toc23279"/>
      <w:bookmarkStart w:id="365" w:name="_Toc11854"/>
      <w:bookmarkStart w:id="366" w:name="_Toc170380176"/>
      <w:r w:rsidR="00CE21B7">
        <w:t xml:space="preserve">Exclusion </w:t>
      </w:r>
      <w:r w:rsidR="00CE21B7">
        <w:rPr>
          <w:rFonts w:hint="eastAsia"/>
        </w:rPr>
        <w:t>c</w:t>
      </w:r>
      <w:r w:rsidR="00CE21B7">
        <w:t>riteria</w:t>
      </w:r>
    </w:p>
    <w:p w14:paraId="7AEF27EF" w14:textId="16E66B61"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Received any other systemic anti-cancer treatment for NSCLC besides 2-4 cycles of adjuvant chemotherapy, including cytotoxic drug treatment, targeted drug treatment (including tyrosine kinase inhibitors or monoclonal antibodies), </w:t>
      </w:r>
      <w:r w:rsidR="001B7CEC">
        <w:rPr>
          <w:rFonts w:ascii="Times New Roman" w:hAnsi="Times New Roman" w:cs="Times New Roman"/>
          <w:sz w:val="21"/>
          <w:szCs w:val="21"/>
        </w:rPr>
        <w:t xml:space="preserve">or </w:t>
      </w:r>
      <w:r>
        <w:rPr>
          <w:rFonts w:ascii="Times New Roman" w:hAnsi="Times New Roman" w:cs="Times New Roman"/>
          <w:sz w:val="21"/>
          <w:szCs w:val="21"/>
        </w:rPr>
        <w:t>experimental treatment</w:t>
      </w:r>
      <w:r w:rsidR="001B7CEC">
        <w:rPr>
          <w:rFonts w:ascii="Times New Roman" w:hAnsi="Times New Roman" w:cs="Times New Roman"/>
          <w:sz w:val="21"/>
          <w:szCs w:val="21"/>
        </w:rPr>
        <w:t>;</w:t>
      </w:r>
    </w:p>
    <w:p w14:paraId="43DBE626" w14:textId="60B366ED"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Received local radiotherapy for NSCLC</w:t>
      </w:r>
      <w:r w:rsidR="001B7CEC">
        <w:rPr>
          <w:rFonts w:ascii="Times New Roman" w:hAnsi="Times New Roman" w:cs="Times New Roman"/>
          <w:sz w:val="21"/>
          <w:szCs w:val="21"/>
        </w:rPr>
        <w:t>;</w:t>
      </w:r>
    </w:p>
    <w:p w14:paraId="6619100D" w14:textId="386F1F53"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Physiological imperfection of the upper gastrointestinal tract, or malabsorption syndrome, or inability to tolerate oral medication, or active gastrointestinal ulcers</w:t>
      </w:r>
      <w:r w:rsidR="001B7CEC">
        <w:rPr>
          <w:rFonts w:ascii="Times New Roman" w:hAnsi="Times New Roman" w:cs="Times New Roman"/>
          <w:sz w:val="21"/>
          <w:szCs w:val="21"/>
        </w:rPr>
        <w:t>;</w:t>
      </w:r>
    </w:p>
    <w:p w14:paraId="6A89B12A" w14:textId="538CB3FC"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Clinical objective evidence (pathological or imaging) of tumor recurrence before the start of adjuvant treatment</w:t>
      </w:r>
      <w:r w:rsidR="001B7CEC">
        <w:rPr>
          <w:rFonts w:ascii="Times New Roman" w:hAnsi="Times New Roman" w:cs="Times New Roman"/>
          <w:sz w:val="21"/>
          <w:szCs w:val="21"/>
        </w:rPr>
        <w:t>;</w:t>
      </w:r>
    </w:p>
    <w:p w14:paraId="3F5E8E6C" w14:textId="0EF9A5D2"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Patients who have had other cancers besides NSCLC within the five years prior to the start of treatment in this study, excluding cervical carcinoma in situ, cured basal cell carcinoma, bladder epithelial tumors [including Ta and Tis]</w:t>
      </w:r>
      <w:r w:rsidR="001B7CEC">
        <w:rPr>
          <w:rFonts w:ascii="Times New Roman" w:hAnsi="Times New Roman" w:cs="Times New Roman"/>
          <w:sz w:val="21"/>
          <w:szCs w:val="21"/>
        </w:rPr>
        <w:t>;</w:t>
      </w:r>
    </w:p>
    <w:p w14:paraId="42D7F22C" w14:textId="43130871"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Known allergy to icotinib or any component of this product</w:t>
      </w:r>
      <w:r w:rsidR="001B7CEC">
        <w:rPr>
          <w:rFonts w:ascii="Times New Roman" w:hAnsi="Times New Roman" w:cs="Times New Roman"/>
          <w:sz w:val="21"/>
          <w:szCs w:val="21"/>
        </w:rPr>
        <w:t>;</w:t>
      </w:r>
    </w:p>
    <w:p w14:paraId="71726ABB" w14:textId="11A9490F"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History of interstitial lung disease, drug-induced interstitial lung disease, radiation pneumonitis requiring hormone treatment, or any clinically evident active interstitial lung disease</w:t>
      </w:r>
      <w:r w:rsidR="001B7CEC">
        <w:rPr>
          <w:rFonts w:ascii="Times New Roman" w:hAnsi="Times New Roman" w:cs="Times New Roman"/>
          <w:sz w:val="21"/>
          <w:szCs w:val="21"/>
        </w:rPr>
        <w:t>;</w:t>
      </w:r>
    </w:p>
    <w:p w14:paraId="4D758596" w14:textId="738FA95E"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Idiopathic pulmonary fibrosis found on baseline CT scan</w:t>
      </w:r>
      <w:r w:rsidR="001B7CEC">
        <w:rPr>
          <w:rFonts w:ascii="Times New Roman" w:hAnsi="Times New Roman" w:cs="Times New Roman"/>
          <w:sz w:val="21"/>
          <w:szCs w:val="21"/>
        </w:rPr>
        <w:t>;</w:t>
      </w:r>
    </w:p>
    <w:p w14:paraId="3092BCDC" w14:textId="1AA2F1F0"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Uncontrolled ocular inflammation or infection, or any condition that may lead to the aforementioned ocular diseases</w:t>
      </w:r>
      <w:r w:rsidR="001B7CEC">
        <w:rPr>
          <w:rFonts w:ascii="Times New Roman" w:hAnsi="Times New Roman" w:cs="Times New Roman"/>
          <w:sz w:val="21"/>
          <w:szCs w:val="21"/>
        </w:rPr>
        <w:t>;</w:t>
      </w:r>
    </w:p>
    <w:p w14:paraId="086416F2" w14:textId="658298CF"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Any unstable systemic disease, including: active infection, uncontrolled hypertension, unstable angina, angina pectoris that began within the last 3 months, congestive heart failure (≥ New York Heart </w:t>
      </w:r>
      <w:r>
        <w:rPr>
          <w:rFonts w:ascii="Times New Roman" w:hAnsi="Times New Roman" w:cs="Times New Roman"/>
          <w:sz w:val="21"/>
          <w:szCs w:val="21"/>
        </w:rPr>
        <w:lastRenderedPageBreak/>
        <w:t>Association [NYHA] II grade), myocardial infarction (within 6 months before enrollment), severe arrhythmia requiring medication, liver, kidney, or metabolic diseases</w:t>
      </w:r>
      <w:r w:rsidR="001B7CEC">
        <w:rPr>
          <w:rFonts w:ascii="Times New Roman" w:hAnsi="Times New Roman" w:cs="Times New Roman"/>
          <w:sz w:val="21"/>
          <w:szCs w:val="21"/>
        </w:rPr>
        <w:t>;</w:t>
      </w:r>
    </w:p>
    <w:p w14:paraId="02D0FF49" w14:textId="2208EDBF"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Known human immunodeficiency virus (HIV) infection</w:t>
      </w:r>
      <w:r w:rsidR="001B7CEC">
        <w:rPr>
          <w:rFonts w:ascii="Times New Roman" w:hAnsi="Times New Roman" w:cs="Times New Roman"/>
          <w:sz w:val="21"/>
          <w:szCs w:val="21"/>
        </w:rPr>
        <w:t>;</w:t>
      </w:r>
    </w:p>
    <w:p w14:paraId="26DE3DEE" w14:textId="20A344C7"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Patients with mixed small cell lung cancer components</w:t>
      </w:r>
      <w:r w:rsidR="001B7CEC">
        <w:rPr>
          <w:rFonts w:ascii="Times New Roman" w:hAnsi="Times New Roman" w:cs="Times New Roman"/>
          <w:sz w:val="21"/>
          <w:szCs w:val="21"/>
        </w:rPr>
        <w:t>;</w:t>
      </w:r>
    </w:p>
    <w:p w14:paraId="36FAA5F6" w14:textId="3F96C7D2"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Pregnant or breastfeeding women</w:t>
      </w:r>
      <w:r w:rsidR="001B7CEC">
        <w:rPr>
          <w:rFonts w:ascii="Times New Roman" w:hAnsi="Times New Roman" w:cs="Times New Roman"/>
          <w:sz w:val="21"/>
          <w:szCs w:val="21"/>
        </w:rPr>
        <w:t>;</w:t>
      </w:r>
    </w:p>
    <w:p w14:paraId="48BD9852" w14:textId="4F072393"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History of definite neurological or psychiatric disorders, including epilepsy or dementia</w:t>
      </w:r>
      <w:r w:rsidR="001B7CEC">
        <w:rPr>
          <w:rFonts w:ascii="Times New Roman" w:hAnsi="Times New Roman" w:cs="Times New Roman"/>
          <w:sz w:val="21"/>
          <w:szCs w:val="21"/>
        </w:rPr>
        <w:t>;</w:t>
      </w:r>
    </w:p>
    <w:p w14:paraId="2C896658" w14:textId="1D71D969" w:rsidR="00CE21B7" w:rsidRDefault="00CE21B7" w:rsidP="00CE21B7">
      <w:pPr>
        <w:pStyle w:val="af0"/>
        <w:numPr>
          <w:ilvl w:val="0"/>
          <w:numId w:val="5"/>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Other situations deemed unsuitable for enrollment by the investigator</w:t>
      </w:r>
      <w:r w:rsidR="001B7CEC">
        <w:rPr>
          <w:rFonts w:ascii="Times New Roman" w:hAnsi="Times New Roman" w:cs="Times New Roman"/>
          <w:sz w:val="21"/>
          <w:szCs w:val="21"/>
        </w:rPr>
        <w:t>.</w:t>
      </w:r>
    </w:p>
    <w:p w14:paraId="50207444" w14:textId="34D7C691" w:rsidR="00CE21B7" w:rsidRPr="001871E2" w:rsidRDefault="008C57DA" w:rsidP="006564A0">
      <w:pPr>
        <w:pStyle w:val="3"/>
        <w:spacing w:before="120" w:after="120"/>
      </w:pPr>
      <w:r w:rsidRPr="001871E2">
        <w:t>Definition</w:t>
      </w:r>
      <w:r w:rsidR="00CE21B7" w:rsidRPr="001871E2">
        <w:t xml:space="preserve"> of R0 resection: </w:t>
      </w:r>
    </w:p>
    <w:p w14:paraId="3B56D9F7" w14:textId="77777777" w:rsidR="00F95F80" w:rsidRPr="001871E2" w:rsidRDefault="00CE21B7" w:rsidP="00F95F80">
      <w:pPr>
        <w:pStyle w:val="3"/>
        <w:numPr>
          <w:ilvl w:val="0"/>
          <w:numId w:val="0"/>
        </w:numPr>
        <w:spacing w:after="0"/>
        <w:ind w:firstLine="425"/>
        <w:rPr>
          <w:b w:val="0"/>
        </w:rPr>
      </w:pPr>
      <w:r w:rsidRPr="001871E2">
        <w:rPr>
          <w:b w:val="0"/>
        </w:rPr>
        <w:t xml:space="preserve">Hilar and mediastinal lymph nodes (N1 and N2 lymph nodes) must be excised, marked and sent for pathology in addition to complete removal of the primary lung lesions. </w:t>
      </w:r>
    </w:p>
    <w:p w14:paraId="28F8B563" w14:textId="51B5825C" w:rsidR="00CE21B7" w:rsidRPr="001871E2" w:rsidRDefault="00CE21B7" w:rsidP="00F95F80">
      <w:pPr>
        <w:pStyle w:val="3"/>
        <w:numPr>
          <w:ilvl w:val="0"/>
          <w:numId w:val="0"/>
        </w:numPr>
        <w:spacing w:after="0"/>
        <w:ind w:firstLine="425"/>
        <w:rPr>
          <w:b w:val="0"/>
        </w:rPr>
      </w:pPr>
      <w:r w:rsidRPr="001871E2">
        <w:rPr>
          <w:b w:val="0"/>
        </w:rPr>
        <w:t>At least 3 mediastinal drainage areas (N2 groups) must be sampled and dissected by making the best use of en bloc resection of lymph nodes. Preferably, for the right chest, dissection should include 2R, 3a, 3p, 4R and 7-9 groups of lymph nodes and surrounding soft tissues; and for left chest, dissection should include 4L and 5-9 groups of lymph nodes and surrounding soft tissues.</w:t>
      </w:r>
    </w:p>
    <w:p w14:paraId="486C00A9" w14:textId="7D3C7A2C" w:rsidR="005D1745" w:rsidRDefault="004B6ABE" w:rsidP="00497EBB">
      <w:pPr>
        <w:pStyle w:val="2"/>
        <w:spacing w:before="120" w:after="120"/>
        <w:ind w:left="573" w:hanging="573"/>
      </w:pPr>
      <w:bookmarkStart w:id="367" w:name="_Toc9351"/>
      <w:bookmarkStart w:id="368" w:name="_Toc31111"/>
      <w:bookmarkStart w:id="369" w:name="_Toc15371"/>
      <w:bookmarkStart w:id="370" w:name="_Toc5609"/>
      <w:bookmarkStart w:id="371" w:name="_Toc22834"/>
      <w:bookmarkStart w:id="372" w:name="_Toc17038"/>
      <w:bookmarkStart w:id="373" w:name="_Toc22709"/>
      <w:bookmarkStart w:id="374" w:name="_Toc2962"/>
      <w:bookmarkStart w:id="375" w:name="_Toc22628"/>
      <w:bookmarkStart w:id="376" w:name="_Toc31607"/>
      <w:bookmarkStart w:id="377" w:name="_Toc28894"/>
      <w:bookmarkStart w:id="378" w:name="_Toc11561"/>
      <w:bookmarkStart w:id="379" w:name="_Toc15917"/>
      <w:bookmarkStart w:id="380" w:name="_Toc31914"/>
      <w:bookmarkStart w:id="381" w:name="_Toc3132"/>
      <w:bookmarkStart w:id="382" w:name="_Toc9394"/>
      <w:bookmarkStart w:id="383" w:name="_Toc15967"/>
      <w:bookmarkStart w:id="384" w:name="_Toc26450"/>
      <w:bookmarkStart w:id="385" w:name="_Toc23059"/>
      <w:bookmarkStart w:id="386" w:name="_Toc11758"/>
      <w:bookmarkStart w:id="387" w:name="_Toc15079"/>
      <w:bookmarkStart w:id="388" w:name="_Toc5385"/>
      <w:bookmarkStart w:id="389" w:name="_Toc7340"/>
      <w:bookmarkStart w:id="390" w:name="_Toc10990"/>
      <w:bookmarkStart w:id="391" w:name="_Toc22892"/>
      <w:bookmarkStart w:id="392" w:name="_Toc16301"/>
      <w:bookmarkStart w:id="393" w:name="_Toc170380177"/>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r>
        <w:t xml:space="preserve">Study </w:t>
      </w:r>
      <w:r>
        <w:rPr>
          <w:rFonts w:hint="eastAsia"/>
        </w:rPr>
        <w:t>d</w:t>
      </w:r>
      <w:r>
        <w:t>uration</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14:paraId="1FABD5D3" w14:textId="4BC3EE10"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It is planned to enroll a total of </w:t>
      </w:r>
      <w:r w:rsidR="00B23C17">
        <w:rPr>
          <w:rFonts w:ascii="Times New Roman" w:hAnsi="Times New Roman" w:cs="Times New Roman"/>
          <w:sz w:val="21"/>
          <w:szCs w:val="21"/>
        </w:rPr>
        <w:t xml:space="preserve">318 </w:t>
      </w:r>
      <w:r>
        <w:rPr>
          <w:rFonts w:ascii="Times New Roman" w:hAnsi="Times New Roman" w:cs="Times New Roman"/>
          <w:sz w:val="21"/>
          <w:szCs w:val="21"/>
        </w:rPr>
        <w:t xml:space="preserve">patients, and based on an estimated enrollment of about </w:t>
      </w:r>
      <w:r w:rsidR="00B23C17">
        <w:rPr>
          <w:rFonts w:ascii="Times New Roman" w:hAnsi="Times New Roman" w:cs="Times New Roman"/>
          <w:sz w:val="21"/>
          <w:szCs w:val="21"/>
        </w:rPr>
        <w:t xml:space="preserve">5 </w:t>
      </w:r>
      <w:r>
        <w:rPr>
          <w:rFonts w:ascii="Times New Roman" w:hAnsi="Times New Roman" w:cs="Times New Roman"/>
          <w:sz w:val="21"/>
          <w:szCs w:val="21"/>
        </w:rPr>
        <w:t xml:space="preserve">patients per month, the enrollment process is expected to take approximately </w:t>
      </w:r>
      <w:r w:rsidR="00B23C17">
        <w:rPr>
          <w:rFonts w:ascii="Times New Roman" w:hAnsi="Times New Roman" w:cs="Times New Roman"/>
          <w:sz w:val="21"/>
          <w:szCs w:val="21"/>
        </w:rPr>
        <w:t xml:space="preserve">64 </w:t>
      </w:r>
      <w:r>
        <w:rPr>
          <w:rFonts w:ascii="Times New Roman" w:hAnsi="Times New Roman" w:cs="Times New Roman"/>
          <w:sz w:val="21"/>
          <w:szCs w:val="21"/>
        </w:rPr>
        <w:t xml:space="preserve">months; the minimum survival follow-up period is 5 years. The total study period is expected to be about </w:t>
      </w:r>
      <w:r w:rsidR="00B23C17">
        <w:rPr>
          <w:rFonts w:ascii="Times New Roman" w:hAnsi="Times New Roman" w:cs="Times New Roman"/>
          <w:sz w:val="21"/>
          <w:szCs w:val="21"/>
        </w:rPr>
        <w:t xml:space="preserve">124 </w:t>
      </w:r>
      <w:r>
        <w:rPr>
          <w:rFonts w:ascii="Times New Roman" w:hAnsi="Times New Roman" w:cs="Times New Roman"/>
          <w:sz w:val="21"/>
          <w:szCs w:val="21"/>
        </w:rPr>
        <w:t>months.</w:t>
      </w:r>
    </w:p>
    <w:p w14:paraId="297122E2" w14:textId="77777777" w:rsidR="005D1745" w:rsidRDefault="004B6ABE">
      <w:pPr>
        <w:pStyle w:val="2"/>
        <w:rPr>
          <w:szCs w:val="21"/>
        </w:rPr>
      </w:pPr>
      <w:r>
        <w:rPr>
          <w:rFonts w:hint="eastAsia"/>
        </w:rPr>
        <w:t xml:space="preserve"> </w:t>
      </w:r>
      <w:bookmarkStart w:id="394" w:name="_Toc3025"/>
      <w:bookmarkStart w:id="395" w:name="_Toc4636"/>
      <w:bookmarkStart w:id="396" w:name="_Toc3438"/>
      <w:bookmarkStart w:id="397" w:name="_Toc14018"/>
      <w:bookmarkStart w:id="398" w:name="_Toc10693"/>
      <w:bookmarkStart w:id="399" w:name="_Toc13732"/>
      <w:bookmarkStart w:id="400" w:name="_Toc11690"/>
      <w:bookmarkStart w:id="401" w:name="_Toc29171"/>
      <w:bookmarkStart w:id="402" w:name="_Toc21259"/>
      <w:bookmarkStart w:id="403" w:name="_Toc23809"/>
      <w:bookmarkStart w:id="404" w:name="_Toc21644"/>
      <w:bookmarkStart w:id="405" w:name="_Toc20612"/>
      <w:bookmarkStart w:id="406" w:name="_Toc8439"/>
      <w:bookmarkStart w:id="407" w:name="_Toc20348"/>
      <w:bookmarkStart w:id="408" w:name="_Toc10597"/>
      <w:bookmarkStart w:id="409" w:name="_Toc17977"/>
      <w:bookmarkStart w:id="410" w:name="_Toc26329"/>
      <w:bookmarkStart w:id="411" w:name="_Toc9031"/>
      <w:bookmarkStart w:id="412" w:name="_Toc3777"/>
      <w:bookmarkStart w:id="413" w:name="_Toc11811"/>
      <w:bookmarkStart w:id="414" w:name="_Toc3422"/>
      <w:bookmarkStart w:id="415" w:name="_Toc32105"/>
      <w:bookmarkStart w:id="416" w:name="_Toc19980"/>
      <w:bookmarkStart w:id="417" w:name="_Toc6850"/>
      <w:bookmarkStart w:id="418" w:name="_Toc27375"/>
      <w:bookmarkStart w:id="419" w:name="_Toc30585"/>
      <w:bookmarkStart w:id="420" w:name="_Toc170380178"/>
      <w:r>
        <w:t xml:space="preserve">Withdrawal from </w:t>
      </w:r>
      <w:r>
        <w:rPr>
          <w:rFonts w:hint="eastAsia"/>
        </w:rPr>
        <w:t>s</w:t>
      </w:r>
      <w:r>
        <w:t>tudy</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14:paraId="6D7AC417" w14:textId="77777777" w:rsidR="005D1745" w:rsidRDefault="004B6ABE">
      <w:pPr>
        <w:pStyle w:val="3"/>
      </w:pPr>
      <w:r>
        <w:rPr>
          <w:rFonts w:hint="eastAsia"/>
        </w:rPr>
        <w:t xml:space="preserve"> </w:t>
      </w:r>
      <w:bookmarkStart w:id="421" w:name="_Toc7049"/>
      <w:bookmarkStart w:id="422" w:name="_Toc32611"/>
      <w:bookmarkStart w:id="423" w:name="_Toc1179"/>
      <w:bookmarkStart w:id="424" w:name="_Toc2207"/>
      <w:bookmarkStart w:id="425" w:name="_Toc32001"/>
      <w:bookmarkStart w:id="426" w:name="_Toc7272"/>
      <w:bookmarkStart w:id="427" w:name="_Toc17487"/>
      <w:bookmarkStart w:id="428" w:name="_Toc873"/>
      <w:bookmarkStart w:id="429" w:name="_Toc12459"/>
      <w:bookmarkStart w:id="430" w:name="_Toc19026"/>
      <w:bookmarkStart w:id="431" w:name="_Toc22343"/>
      <w:bookmarkStart w:id="432" w:name="_Toc17057"/>
      <w:bookmarkStart w:id="433" w:name="_Toc15624"/>
      <w:bookmarkStart w:id="434" w:name="_Toc25455"/>
      <w:bookmarkStart w:id="435" w:name="_Toc1564"/>
      <w:bookmarkStart w:id="436" w:name="_Toc6792"/>
      <w:bookmarkStart w:id="437" w:name="_Toc31971"/>
      <w:bookmarkStart w:id="438" w:name="_Toc23875"/>
      <w:bookmarkStart w:id="439" w:name="_Toc9089"/>
      <w:bookmarkStart w:id="440" w:name="_Toc11098"/>
      <w:bookmarkStart w:id="441" w:name="_Toc8380"/>
      <w:bookmarkStart w:id="442" w:name="_Toc4803"/>
      <w:bookmarkStart w:id="443" w:name="_Toc1330"/>
      <w:bookmarkStart w:id="444" w:name="_Toc14692"/>
      <w:bookmarkStart w:id="445" w:name="_Toc170380179"/>
      <w:r>
        <w:t xml:space="preserve">Withdrawal </w:t>
      </w:r>
      <w:r>
        <w:rPr>
          <w:rFonts w:hint="eastAsia"/>
        </w:rPr>
        <w:t>c</w:t>
      </w:r>
      <w:r>
        <w:t>riteria</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p>
    <w:p w14:paraId="209AED88" w14:textId="77777777"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Patients can withdraw from the study treatment and assessment at any stage of the study. </w:t>
      </w:r>
    </w:p>
    <w:p w14:paraId="6BE5FD77" w14:textId="77777777" w:rsidR="005D1745" w:rsidRDefault="004B6ABE">
      <w:pPr>
        <w:pStyle w:val="4"/>
      </w:pPr>
      <w:r>
        <w:rPr>
          <w:rFonts w:hint="eastAsia"/>
        </w:rPr>
        <w:t xml:space="preserve"> </w:t>
      </w:r>
      <w:r>
        <w:t xml:space="preserve">Withdrawal </w:t>
      </w:r>
      <w:r>
        <w:rPr>
          <w:rFonts w:hint="eastAsia"/>
        </w:rPr>
        <w:t>t</w:t>
      </w:r>
      <w:r>
        <w:t xml:space="preserve">ime and </w:t>
      </w:r>
      <w:r>
        <w:rPr>
          <w:rFonts w:hint="eastAsia"/>
        </w:rPr>
        <w:t>m</w:t>
      </w:r>
      <w:r>
        <w:t>ethod</w:t>
      </w:r>
    </w:p>
    <w:p w14:paraId="38643965" w14:textId="77777777"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b/>
          <w:sz w:val="21"/>
          <w:szCs w:val="21"/>
        </w:rPr>
      </w:pPr>
      <w:r>
        <w:rPr>
          <w:rFonts w:ascii="Times New Roman" w:hAnsi="Times New Roman" w:cs="Times New Roman"/>
          <w:sz w:val="21"/>
          <w:szCs w:val="21"/>
        </w:rPr>
        <w:t>The reasons for withdrawal are as follows:</w:t>
      </w:r>
    </w:p>
    <w:p w14:paraId="53AC9F42" w14:textId="01ECD07D" w:rsidR="005D1745" w:rsidRDefault="004B6ABE">
      <w:pPr>
        <w:pStyle w:val="af0"/>
        <w:numPr>
          <w:ilvl w:val="0"/>
          <w:numId w:val="6"/>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Voluntary withdrawal: Patients can freely withdraw from the trial at any time without affecting future treatment</w:t>
      </w:r>
      <w:r w:rsidR="009151EF">
        <w:rPr>
          <w:rFonts w:ascii="Times New Roman" w:hAnsi="Times New Roman" w:cs="Times New Roman"/>
          <w:sz w:val="21"/>
          <w:szCs w:val="21"/>
        </w:rPr>
        <w:t>;</w:t>
      </w:r>
    </w:p>
    <w:p w14:paraId="02F91E52" w14:textId="30622905" w:rsidR="005D1745" w:rsidRDefault="004B6ABE">
      <w:pPr>
        <w:pStyle w:val="af0"/>
        <w:numPr>
          <w:ilvl w:val="0"/>
          <w:numId w:val="6"/>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The investigator and sponsor believe there are any safety reasons (adverse events)</w:t>
      </w:r>
      <w:r w:rsidR="009151EF">
        <w:rPr>
          <w:rFonts w:ascii="Times New Roman" w:hAnsi="Times New Roman" w:cs="Times New Roman"/>
          <w:sz w:val="21"/>
          <w:szCs w:val="21"/>
        </w:rPr>
        <w:t>;</w:t>
      </w:r>
    </w:p>
    <w:p w14:paraId="256958FA" w14:textId="5E0A7FBB" w:rsidR="005D1745" w:rsidRDefault="004B6ABE">
      <w:pPr>
        <w:pStyle w:val="af0"/>
        <w:numPr>
          <w:ilvl w:val="0"/>
          <w:numId w:val="6"/>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The investigator and sponsor believe the patient has poor compliance with the study protocol</w:t>
      </w:r>
      <w:r w:rsidR="009151EF">
        <w:rPr>
          <w:rFonts w:ascii="Times New Roman" w:hAnsi="Times New Roman" w:cs="Times New Roman"/>
          <w:sz w:val="21"/>
          <w:szCs w:val="21"/>
        </w:rPr>
        <w:t>;</w:t>
      </w:r>
    </w:p>
    <w:p w14:paraId="6DEA5DBF" w14:textId="056CBE84" w:rsidR="005D1745" w:rsidRDefault="004B6ABE">
      <w:pPr>
        <w:pStyle w:val="af0"/>
        <w:numPr>
          <w:ilvl w:val="0"/>
          <w:numId w:val="6"/>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Death</w:t>
      </w:r>
      <w:r w:rsidR="009151EF">
        <w:rPr>
          <w:rFonts w:ascii="Times New Roman" w:hAnsi="Times New Roman" w:cs="Times New Roman"/>
          <w:sz w:val="21"/>
          <w:szCs w:val="21"/>
        </w:rPr>
        <w:t>;</w:t>
      </w:r>
    </w:p>
    <w:p w14:paraId="144E1C45" w14:textId="4079959F" w:rsidR="005D1745" w:rsidRDefault="004B6ABE">
      <w:pPr>
        <w:pStyle w:val="af0"/>
        <w:numPr>
          <w:ilvl w:val="0"/>
          <w:numId w:val="6"/>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Patient lost to follow-up</w:t>
      </w:r>
      <w:r w:rsidR="009151EF">
        <w:rPr>
          <w:rFonts w:ascii="Times New Roman" w:hAnsi="Times New Roman" w:cs="Times New Roman"/>
          <w:sz w:val="21"/>
          <w:szCs w:val="21"/>
        </w:rPr>
        <w:t>;</w:t>
      </w:r>
    </w:p>
    <w:p w14:paraId="03B002D5" w14:textId="1E03C2ED" w:rsidR="005D1745" w:rsidRDefault="004B6ABE">
      <w:pPr>
        <w:pStyle w:val="af0"/>
        <w:numPr>
          <w:ilvl w:val="0"/>
          <w:numId w:val="6"/>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Other situations deemed appropriate for withdrawal by the investigator</w:t>
      </w:r>
      <w:r w:rsidR="009151EF">
        <w:rPr>
          <w:rFonts w:ascii="Times New Roman" w:hAnsi="Times New Roman" w:cs="Times New Roman"/>
          <w:sz w:val="21"/>
          <w:szCs w:val="21"/>
        </w:rPr>
        <w:t>.</w:t>
      </w:r>
    </w:p>
    <w:p w14:paraId="5DB95FF2" w14:textId="77777777" w:rsidR="005D1745" w:rsidRDefault="004B6ABE">
      <w:pPr>
        <w:pStyle w:val="af0"/>
        <w:shd w:val="clear" w:color="auto" w:fill="FFFFFF"/>
        <w:spacing w:before="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lastRenderedPageBreak/>
        <w:t>The investigator considers the patient must withdraw from the study in the following situations:</w:t>
      </w:r>
    </w:p>
    <w:p w14:paraId="53E3F289" w14:textId="51EA0CA2"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Receiving other anti-tumor treatments outside of the study protocol during treatment</w:t>
      </w:r>
      <w:r w:rsidR="009151EF">
        <w:rPr>
          <w:rFonts w:ascii="Times New Roman" w:hAnsi="Times New Roman" w:cs="Times New Roman"/>
          <w:sz w:val="21"/>
          <w:szCs w:val="21"/>
        </w:rPr>
        <w:t>;</w:t>
      </w:r>
    </w:p>
    <w:p w14:paraId="4791748E" w14:textId="74A99838"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Severe allergic reactions to the trial drug, such as exfoliative dermatitis or grade 3 to 4 hypersensitivity reactions</w:t>
      </w:r>
      <w:r w:rsidR="009151EF">
        <w:rPr>
          <w:rFonts w:ascii="Times New Roman" w:hAnsi="Times New Roman" w:cs="Times New Roman"/>
          <w:sz w:val="21"/>
          <w:szCs w:val="21"/>
        </w:rPr>
        <w:t>;</w:t>
      </w:r>
    </w:p>
    <w:p w14:paraId="114BAFAF" w14:textId="2BB5E4BB"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Any other serious adverse reactions that the principal investigator or designated researchers believe require interruption of treatment</w:t>
      </w:r>
      <w:r w:rsidR="009151EF">
        <w:rPr>
          <w:rFonts w:ascii="Times New Roman" w:hAnsi="Times New Roman" w:cs="Times New Roman"/>
          <w:sz w:val="21"/>
          <w:szCs w:val="21"/>
        </w:rPr>
        <w:t>;</w:t>
      </w:r>
    </w:p>
    <w:p w14:paraId="50A56573" w14:textId="4FF6BC8C"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Patients with severe poor compliance</w:t>
      </w:r>
      <w:r w:rsidR="009151EF">
        <w:rPr>
          <w:rFonts w:ascii="Times New Roman" w:hAnsi="Times New Roman" w:cs="Times New Roman"/>
          <w:sz w:val="21"/>
          <w:szCs w:val="21"/>
        </w:rPr>
        <w:t>;</w:t>
      </w:r>
    </w:p>
    <w:p w14:paraId="1037EEC2" w14:textId="5E53BCE8"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The patient's urine β-HCG test result indicates pregnancy. The investigator should report the patient's pregnancy in the form of a clinical trial pregnancy report form</w:t>
      </w:r>
      <w:r w:rsidR="009151EF">
        <w:rPr>
          <w:rFonts w:ascii="Times New Roman" w:hAnsi="Times New Roman" w:cs="Times New Roman"/>
          <w:sz w:val="21"/>
          <w:szCs w:val="21"/>
        </w:rPr>
        <w:t>;</w:t>
      </w:r>
    </w:p>
    <w:p w14:paraId="718B2FA3" w14:textId="38E3E1BB"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Concurrent other diseases during the study, which, in the judgment of the investigator, will significantly affect the assessment of the patient's clinical situation and require discontinuation of the treatment plan</w:t>
      </w:r>
      <w:r w:rsidR="009151EF">
        <w:rPr>
          <w:rFonts w:ascii="Times New Roman" w:hAnsi="Times New Roman" w:cs="Times New Roman"/>
          <w:sz w:val="21"/>
          <w:szCs w:val="21"/>
        </w:rPr>
        <w:t>;</w:t>
      </w:r>
    </w:p>
    <w:p w14:paraId="32429548" w14:textId="6EE3F89D"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The occurrence of other malignancies that require treatment</w:t>
      </w:r>
      <w:r w:rsidR="009151EF">
        <w:rPr>
          <w:rFonts w:ascii="Times New Roman" w:hAnsi="Times New Roman" w:cs="Times New Roman"/>
          <w:sz w:val="21"/>
          <w:szCs w:val="21"/>
        </w:rPr>
        <w:t>;</w:t>
      </w:r>
    </w:p>
    <w:p w14:paraId="27749829" w14:textId="659D565E" w:rsidR="005D1745" w:rsidRDefault="004B6ABE">
      <w:pPr>
        <w:pStyle w:val="af0"/>
        <w:numPr>
          <w:ilvl w:val="0"/>
          <w:numId w:val="7"/>
        </w:numPr>
        <w:shd w:val="clear" w:color="auto" w:fill="FFFFFF"/>
        <w:spacing w:before="0" w:beforeAutospacing="0" w:after="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Use of prohibited drugs or other substances that, in the judgment of the investigator, may cause toxicity or bias the study results</w:t>
      </w:r>
      <w:r w:rsidR="009151EF">
        <w:rPr>
          <w:rFonts w:ascii="Times New Roman" w:hAnsi="Times New Roman" w:cs="Times New Roman"/>
          <w:sz w:val="21"/>
          <w:szCs w:val="21"/>
        </w:rPr>
        <w:t>;</w:t>
      </w:r>
    </w:p>
    <w:p w14:paraId="0352C482" w14:textId="1A0D45AF" w:rsidR="005D1745" w:rsidRDefault="004B6ABE">
      <w:pPr>
        <w:pStyle w:val="af0"/>
        <w:numPr>
          <w:ilvl w:val="0"/>
          <w:numId w:val="7"/>
        </w:numPr>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Discontinuation of </w:t>
      </w:r>
      <w:r w:rsidR="000040AB">
        <w:rPr>
          <w:rFonts w:ascii="Times New Roman" w:hAnsi="Times New Roman" w:cs="Times New Roman"/>
          <w:sz w:val="21"/>
          <w:szCs w:val="21"/>
        </w:rPr>
        <w:t>icotinib</w:t>
      </w:r>
      <w:r>
        <w:rPr>
          <w:rFonts w:ascii="Times New Roman" w:hAnsi="Times New Roman" w:cs="Times New Roman"/>
          <w:sz w:val="21"/>
          <w:szCs w:val="21"/>
        </w:rPr>
        <w:t xml:space="preserve"> for more than 2 weeks due to adverse reactions</w:t>
      </w:r>
      <w:r w:rsidR="009151EF">
        <w:rPr>
          <w:rFonts w:ascii="Times New Roman" w:hAnsi="Times New Roman" w:cs="Times New Roman"/>
          <w:sz w:val="21"/>
          <w:szCs w:val="21"/>
        </w:rPr>
        <w:t>.</w:t>
      </w:r>
    </w:p>
    <w:p w14:paraId="109606C1" w14:textId="77777777" w:rsidR="005D1745" w:rsidRDefault="004B6ABE">
      <w:pPr>
        <w:pStyle w:val="4"/>
      </w:pPr>
      <w:r>
        <w:rPr>
          <w:rFonts w:hint="eastAsia"/>
        </w:rPr>
        <w:t xml:space="preserve"> </w:t>
      </w:r>
      <w:r>
        <w:t xml:space="preserve">Withdrawal </w:t>
      </w:r>
      <w:r>
        <w:rPr>
          <w:rFonts w:hint="eastAsia"/>
        </w:rPr>
        <w:t>p</w:t>
      </w:r>
      <w:r>
        <w:t>rocedure</w:t>
      </w:r>
    </w:p>
    <w:p w14:paraId="399E9B70" w14:textId="77777777"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For patients who withdraw from the study, the investigator must inquire about the reason for withdrawal and whether any adverse events have occurred. If possible, the investigator should visit and assess the patient who withdraws from the study. The reason and date of withdrawal (the date of the last dose of medication) must be recorded on the Case Report Form (CRF). The patient should return all remaining study medication.</w:t>
      </w:r>
    </w:p>
    <w:p w14:paraId="398754A6" w14:textId="77777777"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When withdrawing from the trial, if there are new or worsened CTCAE grade 3 or 4 laboratory test values, the patient must undergo further examination, and the results should be recorded in the corresponding section of the CRF until the laboratory test values return to CTCAE grade 1 or 2, unless the test values cannot improve due to the disease itself. For these cases, the investigator must record their opinions in the CRF and medical records.</w:t>
      </w:r>
    </w:p>
    <w:p w14:paraId="2AAE9CA7" w14:textId="3E65523C"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 xml:space="preserve">All existing study-related toxicities and SAEs must be followed up until resolution when </w:t>
      </w:r>
      <w:r w:rsidR="00173BB5">
        <w:rPr>
          <w:rFonts w:ascii="Times New Roman" w:hAnsi="Times New Roman" w:cs="Times New Roman"/>
          <w:sz w:val="21"/>
          <w:szCs w:val="21"/>
        </w:rPr>
        <w:t xml:space="preserve">the investigator </w:t>
      </w:r>
      <w:r>
        <w:rPr>
          <w:rFonts w:ascii="Times New Roman" w:hAnsi="Times New Roman" w:cs="Times New Roman"/>
          <w:sz w:val="21"/>
          <w:szCs w:val="21"/>
        </w:rPr>
        <w:t>interrupt</w:t>
      </w:r>
      <w:r w:rsidR="00173BB5">
        <w:rPr>
          <w:rFonts w:ascii="Times New Roman" w:hAnsi="Times New Roman" w:cs="Times New Roman"/>
          <w:sz w:val="21"/>
          <w:szCs w:val="21"/>
        </w:rPr>
        <w:t>s</w:t>
      </w:r>
      <w:r>
        <w:rPr>
          <w:rFonts w:ascii="Times New Roman" w:hAnsi="Times New Roman" w:cs="Times New Roman"/>
          <w:sz w:val="21"/>
          <w:szCs w:val="21"/>
        </w:rPr>
        <w:t xml:space="preserve"> the study, unless, in the opinion of the investigator, the condition is unlikely to resolve due to the patient's disease itself.</w:t>
      </w:r>
    </w:p>
    <w:p w14:paraId="041B3B53" w14:textId="77777777" w:rsidR="005D1745" w:rsidRDefault="004B6ABE">
      <w:pPr>
        <w:pStyle w:val="4"/>
      </w:pPr>
      <w:r>
        <w:rPr>
          <w:rFonts w:hint="eastAsia"/>
        </w:rPr>
        <w:t xml:space="preserve"> </w:t>
      </w:r>
      <w:r>
        <w:t xml:space="preserve">Replacement of </w:t>
      </w:r>
      <w:r>
        <w:rPr>
          <w:rFonts w:hint="eastAsia"/>
        </w:rPr>
        <w:t>w</w:t>
      </w:r>
      <w:r>
        <w:t xml:space="preserve">ithdrawn </w:t>
      </w:r>
      <w:r>
        <w:rPr>
          <w:rFonts w:hint="eastAsia"/>
        </w:rPr>
        <w:t>c</w:t>
      </w:r>
      <w:r>
        <w:t>ases</w:t>
      </w:r>
    </w:p>
    <w:p w14:paraId="171166C6" w14:textId="77777777" w:rsidR="005D1745" w:rsidRDefault="004B6ABE">
      <w:pPr>
        <w:pStyle w:val="af0"/>
        <w:shd w:val="clear" w:color="auto" w:fill="FFFFFF"/>
        <w:spacing w:before="0" w:beforeAutospacing="0" w:afterLines="100" w:after="240" w:afterAutospacing="0"/>
        <w:jc w:val="both"/>
        <w:textAlignment w:val="baseline"/>
        <w:rPr>
          <w:rFonts w:ascii="Times New Roman" w:hAnsi="Times New Roman" w:cs="Times New Roman"/>
          <w:sz w:val="21"/>
          <w:szCs w:val="21"/>
        </w:rPr>
      </w:pPr>
      <w:r>
        <w:rPr>
          <w:rFonts w:ascii="Times New Roman" w:hAnsi="Times New Roman" w:cs="Times New Roman"/>
          <w:sz w:val="21"/>
          <w:szCs w:val="21"/>
        </w:rPr>
        <w:t>For patients who withdraw from the study early, no replacement will be made.</w:t>
      </w:r>
    </w:p>
    <w:p w14:paraId="1808D0B6" w14:textId="77777777" w:rsidR="005D1745" w:rsidRDefault="004B6ABE">
      <w:pPr>
        <w:pStyle w:val="2"/>
      </w:pPr>
      <w:r>
        <w:rPr>
          <w:rFonts w:hint="eastAsia"/>
        </w:rPr>
        <w:lastRenderedPageBreak/>
        <w:t xml:space="preserve"> </w:t>
      </w:r>
      <w:bookmarkStart w:id="446" w:name="_Toc22500"/>
      <w:bookmarkStart w:id="447" w:name="_Toc12056"/>
      <w:bookmarkStart w:id="448" w:name="_Toc10776"/>
      <w:bookmarkStart w:id="449" w:name="_Toc5382"/>
      <w:bookmarkStart w:id="450" w:name="_Toc17832"/>
      <w:bookmarkStart w:id="451" w:name="_Toc13916"/>
      <w:bookmarkStart w:id="452" w:name="_Toc25700"/>
      <w:bookmarkStart w:id="453" w:name="_Toc23349"/>
      <w:bookmarkStart w:id="454" w:name="_Toc1335"/>
      <w:bookmarkStart w:id="455" w:name="_Toc26595"/>
      <w:bookmarkStart w:id="456" w:name="_Toc7547"/>
      <w:bookmarkStart w:id="457" w:name="_Toc3992"/>
      <w:bookmarkStart w:id="458" w:name="_Toc19762"/>
      <w:bookmarkStart w:id="459" w:name="_Toc31805"/>
      <w:bookmarkStart w:id="460" w:name="_Toc28536"/>
      <w:bookmarkStart w:id="461" w:name="_Toc30932"/>
      <w:bookmarkStart w:id="462" w:name="_Toc16685"/>
      <w:bookmarkStart w:id="463" w:name="_Toc24765"/>
      <w:bookmarkStart w:id="464" w:name="_Toc4201"/>
      <w:bookmarkStart w:id="465" w:name="_Toc2340"/>
      <w:bookmarkStart w:id="466" w:name="_Toc20141"/>
      <w:bookmarkStart w:id="467" w:name="_Toc12028"/>
      <w:bookmarkStart w:id="468" w:name="_Toc26955"/>
      <w:bookmarkStart w:id="469" w:name="_Toc14044"/>
      <w:bookmarkStart w:id="470" w:name="_Toc18057"/>
      <w:bookmarkStart w:id="471" w:name="_Toc28118"/>
      <w:bookmarkStart w:id="472" w:name="_Toc170380180"/>
      <w:r>
        <w:t xml:space="preserve">Study </w:t>
      </w:r>
      <w:r>
        <w:rPr>
          <w:rFonts w:hint="eastAsia"/>
        </w:rPr>
        <w:t>p</w:t>
      </w:r>
      <w:r>
        <w:t>lan</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r>
        <w:t xml:space="preserve"> </w:t>
      </w:r>
    </w:p>
    <w:p w14:paraId="0B2AD2AC" w14:textId="77777777" w:rsidR="005D1745" w:rsidRDefault="004B6ABE">
      <w:pPr>
        <w:pStyle w:val="3"/>
      </w:pPr>
      <w:r>
        <w:rPr>
          <w:rFonts w:hint="eastAsia"/>
        </w:rPr>
        <w:t xml:space="preserve"> </w:t>
      </w:r>
      <w:bookmarkStart w:id="473" w:name="_Toc29077"/>
      <w:bookmarkStart w:id="474" w:name="_Toc21660"/>
      <w:bookmarkStart w:id="475" w:name="_Toc30377"/>
      <w:bookmarkStart w:id="476" w:name="_Toc2492"/>
      <w:bookmarkStart w:id="477" w:name="_Toc8009"/>
      <w:bookmarkStart w:id="478" w:name="_Toc3379"/>
      <w:bookmarkStart w:id="479" w:name="_Toc25601"/>
      <w:bookmarkStart w:id="480" w:name="_Toc12382"/>
      <w:bookmarkStart w:id="481" w:name="_Toc26944"/>
      <w:bookmarkStart w:id="482" w:name="_Toc20321"/>
      <w:bookmarkStart w:id="483" w:name="_Toc17433"/>
      <w:bookmarkStart w:id="484" w:name="_Toc25590"/>
      <w:bookmarkStart w:id="485" w:name="_Toc18599"/>
      <w:bookmarkStart w:id="486" w:name="_Toc15781"/>
      <w:bookmarkStart w:id="487" w:name="_Toc5971"/>
      <w:bookmarkStart w:id="488" w:name="_Toc31609"/>
      <w:bookmarkStart w:id="489" w:name="_Toc22474"/>
      <w:bookmarkStart w:id="490" w:name="_Toc25434"/>
      <w:bookmarkStart w:id="491" w:name="_Toc13192"/>
      <w:bookmarkStart w:id="492" w:name="_Toc11008"/>
      <w:bookmarkStart w:id="493" w:name="_Toc12649"/>
      <w:bookmarkStart w:id="494" w:name="_Toc17527"/>
      <w:bookmarkStart w:id="495" w:name="_Toc7565"/>
      <w:bookmarkStart w:id="496" w:name="_Toc9926"/>
      <w:bookmarkStart w:id="497" w:name="_Toc170380181"/>
      <w:r>
        <w:t>Methods for assigning treatment groups</w:t>
      </w:r>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14:paraId="62122AB2" w14:textId="1FFEF98B" w:rsidR="005D1745" w:rsidRDefault="004B6ABE">
      <w:pPr>
        <w:spacing w:after="240"/>
      </w:pPr>
      <w:r>
        <w:t xml:space="preserve">Eligible patients will be centrally </w:t>
      </w:r>
      <w:r w:rsidR="003D44CD">
        <w:t>randomized</w:t>
      </w:r>
      <w:r>
        <w:t xml:space="preserve"> to receive </w:t>
      </w:r>
      <w:r w:rsidR="000040AB">
        <w:t>icotinib</w:t>
      </w:r>
      <w:r>
        <w:t xml:space="preserve"> orally for </w:t>
      </w:r>
      <w:r w:rsidR="00145DC1">
        <w:t xml:space="preserve">12 </w:t>
      </w:r>
      <w:r>
        <w:t xml:space="preserve">months, </w:t>
      </w:r>
      <w:r w:rsidR="00145DC1">
        <w:t xml:space="preserve">6 </w:t>
      </w:r>
      <w:r>
        <w:t xml:space="preserve">months, or </w:t>
      </w:r>
      <w:r w:rsidR="0051068F">
        <w:t>to</w:t>
      </w:r>
      <w:r w:rsidR="00A97402">
        <w:t xml:space="preserve"> undergo </w:t>
      </w:r>
      <w:r w:rsidR="00145DC1">
        <w:t>observation</w:t>
      </w:r>
      <w:r>
        <w:t xml:space="preserve"> in a 1:1:1 ratio</w:t>
      </w:r>
      <w:r w:rsidR="00FC0509">
        <w:t xml:space="preserve">. Patients </w:t>
      </w:r>
      <w:r>
        <w:t xml:space="preserve">in the </w:t>
      </w:r>
      <w:r w:rsidR="000040AB">
        <w:t>icotinib</w:t>
      </w:r>
      <w:r>
        <w:t xml:space="preserve"> group</w:t>
      </w:r>
      <w:r w:rsidR="002D7B8A">
        <w:t>s</w:t>
      </w:r>
      <w:r>
        <w:t xml:space="preserve"> will receive 125</w:t>
      </w:r>
      <w:r w:rsidR="002D7B8A">
        <w:t xml:space="preserve"> </w:t>
      </w:r>
      <w:r>
        <w:t xml:space="preserve">mg orally three times a day after adjuvant chemotherapy for </w:t>
      </w:r>
      <w:r w:rsidR="00145DC1">
        <w:t>12</w:t>
      </w:r>
      <w:r>
        <w:t xml:space="preserve"> or </w:t>
      </w:r>
      <w:r w:rsidR="00145DC1">
        <w:t>6</w:t>
      </w:r>
      <w:r>
        <w:t xml:space="preserve"> consecutive months, until disease recurrence or intolerable toxicity occurs. The control group will only receive </w:t>
      </w:r>
      <w:r w:rsidR="00145DC1">
        <w:t>observation</w:t>
      </w:r>
      <w:r>
        <w:t>.</w:t>
      </w:r>
    </w:p>
    <w:p w14:paraId="7FEBEC72" w14:textId="1EEADA4D" w:rsidR="005D1745" w:rsidRDefault="004B6ABE">
      <w:pPr>
        <w:pStyle w:val="3"/>
      </w:pPr>
      <w:r>
        <w:rPr>
          <w:rFonts w:hint="eastAsia"/>
        </w:rPr>
        <w:t xml:space="preserve"> </w:t>
      </w:r>
      <w:bookmarkStart w:id="498" w:name="_Toc25876"/>
      <w:bookmarkStart w:id="499" w:name="_Toc1302"/>
      <w:bookmarkStart w:id="500" w:name="_Toc17202"/>
      <w:bookmarkStart w:id="501" w:name="_Toc20496"/>
      <w:bookmarkStart w:id="502" w:name="_Toc12011"/>
      <w:bookmarkStart w:id="503" w:name="_Toc21448"/>
      <w:bookmarkStart w:id="504" w:name="_Toc376"/>
      <w:bookmarkStart w:id="505" w:name="_Toc19737"/>
      <w:bookmarkStart w:id="506" w:name="_Toc22312"/>
      <w:bookmarkStart w:id="507" w:name="_Toc32279"/>
      <w:bookmarkStart w:id="508" w:name="_Toc3267"/>
      <w:bookmarkStart w:id="509" w:name="_Toc9631"/>
      <w:bookmarkStart w:id="510" w:name="_Toc185"/>
      <w:bookmarkStart w:id="511" w:name="_Toc969"/>
      <w:bookmarkStart w:id="512" w:name="_Toc15999"/>
      <w:bookmarkStart w:id="513" w:name="_Toc15084"/>
      <w:bookmarkStart w:id="514" w:name="_Toc17732"/>
      <w:bookmarkStart w:id="515" w:name="_Toc32723"/>
      <w:bookmarkStart w:id="516" w:name="_Toc19851"/>
      <w:bookmarkStart w:id="517" w:name="_Toc20556"/>
      <w:bookmarkStart w:id="518" w:name="_Toc12975"/>
      <w:bookmarkStart w:id="519" w:name="_Toc18533"/>
      <w:bookmarkStart w:id="520" w:name="_Toc8601"/>
      <w:bookmarkStart w:id="521" w:name="_Toc7025"/>
      <w:bookmarkStart w:id="522" w:name="_Toc170380182"/>
      <w:r>
        <w:t>Withdrawal of</w:t>
      </w:r>
      <w:bookmarkStart w:id="523" w:name="OLE_LINK2"/>
      <w:r>
        <w:t xml:space="preserve"> </w:t>
      </w:r>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r w:rsidR="000040AB">
        <w:t>icotinib</w:t>
      </w:r>
    </w:p>
    <w:p w14:paraId="3B72DDFC" w14:textId="298B0559" w:rsidR="005D1745" w:rsidRDefault="00237DE7">
      <w:pPr>
        <w:numPr>
          <w:ilvl w:val="0"/>
          <w:numId w:val="8"/>
        </w:numPr>
        <w:spacing w:after="240"/>
      </w:pPr>
      <w:r>
        <w:t xml:space="preserve">Icotinib is well tolerated in clinical monotherapy and generally does not require discontinuation. The incidence of interstitial lung disease (ILD) in Eastern populations treated with gefitinib and erlotinib has been reported to be 2-3% and 1-2%, respectively. ILD was not observed in </w:t>
      </w:r>
      <w:r w:rsidR="002D7B8A">
        <w:t xml:space="preserve">the </w:t>
      </w:r>
      <w:r>
        <w:t>ICOGEN clinical stud</w:t>
      </w:r>
      <w:r w:rsidR="002D7B8A">
        <w:t>y</w:t>
      </w:r>
      <w:r>
        <w:t xml:space="preserve">. </w:t>
      </w:r>
    </w:p>
    <w:p w14:paraId="224051BB" w14:textId="6129D86A" w:rsidR="005D1745" w:rsidRDefault="004B6ABE" w:rsidP="005633B7">
      <w:pPr>
        <w:numPr>
          <w:ilvl w:val="0"/>
          <w:numId w:val="8"/>
        </w:numPr>
        <w:spacing w:after="240"/>
      </w:pPr>
      <w:r>
        <w:t xml:space="preserve">Patients with ILD usually present with acute dyspnea, accompanied by cough, low-grade fever, respiratory discomfort, and arterial blood oxygen desaturation. In the short term, the symptoms can become severe and lead to death. Radiography often reveals </w:t>
      </w:r>
      <w:r w:rsidR="003D44CD">
        <w:rPr>
          <w:rFonts w:hint="eastAsia"/>
        </w:rPr>
        <w:t>p</w:t>
      </w:r>
      <w:r w:rsidR="003D44CD" w:rsidRPr="00975A4F">
        <w:t>ulmonary infiltration or interstitial ground-glass opacity</w:t>
      </w:r>
      <w:r w:rsidR="003D44CD">
        <w:t>.</w:t>
      </w:r>
    </w:p>
    <w:p w14:paraId="516278CB" w14:textId="3E1937D9" w:rsidR="005D1745" w:rsidRDefault="004B6ABE">
      <w:pPr>
        <w:numPr>
          <w:ilvl w:val="0"/>
          <w:numId w:val="8"/>
        </w:numPr>
        <w:spacing w:after="240"/>
        <w:rPr>
          <w:b/>
          <w:bCs/>
        </w:rPr>
      </w:pPr>
      <w:r>
        <w:t xml:space="preserve">The treating physician should monitor </w:t>
      </w:r>
      <w:r w:rsidR="002D7B8A">
        <w:t xml:space="preserve">patients </w:t>
      </w:r>
      <w:r>
        <w:t xml:space="preserve">closely for signs of </w:t>
      </w:r>
      <w:r w:rsidR="002D7B8A">
        <w:t>ILD</w:t>
      </w:r>
      <w:r>
        <w:t xml:space="preserve"> during treatment, and if the patient develops a new acute episode or progressive dyspnea or cough, </w:t>
      </w:r>
      <w:r w:rsidR="000040AB">
        <w:t>icotinib</w:t>
      </w:r>
      <w:r>
        <w:t xml:space="preserve"> therapy should be discontinued and relevant tests should be performed immediately. When interstitial lung disease is confirmed, medication should be discontinued and the patient should be treated accordingly.</w:t>
      </w:r>
    </w:p>
    <w:p w14:paraId="096D98E5" w14:textId="77777777" w:rsidR="005D1745" w:rsidRDefault="004B6ABE">
      <w:pPr>
        <w:pStyle w:val="3"/>
      </w:pPr>
      <w:r>
        <w:rPr>
          <w:rFonts w:hint="eastAsia"/>
        </w:rPr>
        <w:t xml:space="preserve"> </w:t>
      </w:r>
      <w:bookmarkStart w:id="524" w:name="_Toc22266"/>
      <w:bookmarkStart w:id="525" w:name="_Toc28707"/>
      <w:bookmarkStart w:id="526" w:name="_Toc31950"/>
      <w:bookmarkStart w:id="527" w:name="_Toc21288"/>
      <w:bookmarkStart w:id="528" w:name="_Toc31385"/>
      <w:bookmarkStart w:id="529" w:name="_Toc25322"/>
      <w:bookmarkStart w:id="530" w:name="_Toc31030"/>
      <w:bookmarkStart w:id="531" w:name="_Toc22033"/>
      <w:bookmarkStart w:id="532" w:name="_Toc21756"/>
      <w:bookmarkStart w:id="533" w:name="_Toc8934"/>
      <w:bookmarkStart w:id="534" w:name="_Toc30743"/>
      <w:bookmarkStart w:id="535" w:name="_Toc20816"/>
      <w:bookmarkStart w:id="536" w:name="_Toc26126"/>
      <w:bookmarkStart w:id="537" w:name="_Toc15139"/>
      <w:bookmarkStart w:id="538" w:name="_Toc546"/>
      <w:bookmarkStart w:id="539" w:name="_Toc9720"/>
      <w:bookmarkStart w:id="540" w:name="_Toc10670"/>
      <w:bookmarkStart w:id="541" w:name="_Toc717"/>
      <w:bookmarkStart w:id="542" w:name="_Toc13563"/>
      <w:bookmarkStart w:id="543" w:name="_Toc21473"/>
      <w:bookmarkStart w:id="544" w:name="_Toc27673"/>
      <w:bookmarkStart w:id="545" w:name="_Toc117"/>
      <w:bookmarkStart w:id="546" w:name="_Toc6031"/>
      <w:bookmarkStart w:id="547" w:name="_Toc5665"/>
      <w:bookmarkStart w:id="548" w:name="_Toc170380183"/>
      <w:r>
        <w:t>Combined therapy and smoking</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14:paraId="6D038B22" w14:textId="77777777" w:rsidR="005D1745" w:rsidRDefault="004B6ABE">
      <w:pPr>
        <w:spacing w:after="240"/>
      </w:pPr>
      <w:r>
        <w:t>All drug combinations and treatments (including start/end dates and indications) must be recorded in the patient's original data and in the appropriate section of the Case Report Form (CRF).</w:t>
      </w:r>
    </w:p>
    <w:p w14:paraId="44047E76" w14:textId="7147BB9B" w:rsidR="005D1745" w:rsidRDefault="004B6ABE">
      <w:pPr>
        <w:spacing w:after="240"/>
        <w:rPr>
          <w:b/>
          <w:bCs/>
        </w:rPr>
      </w:pPr>
      <w:r>
        <w:t xml:space="preserve">All patients taking drugs metabolized by CYP3A4 need to be closely monitored for possible adverse effects of these drugs. Smoking can affect the pharmacokinetics of </w:t>
      </w:r>
      <w:r w:rsidR="000040AB">
        <w:t>icotinib</w:t>
      </w:r>
      <w:r>
        <w:t>, and patients' smoking status, including the number and duration of daily smoking, should be recorded during treatment. All patients are advised to quit smoking during treatment.</w:t>
      </w:r>
    </w:p>
    <w:p w14:paraId="063AE0C1" w14:textId="77777777" w:rsidR="005D1745" w:rsidRDefault="004B6ABE">
      <w:pPr>
        <w:pStyle w:val="3"/>
      </w:pPr>
      <w:r>
        <w:rPr>
          <w:rFonts w:hint="eastAsia"/>
        </w:rPr>
        <w:t xml:space="preserve"> </w:t>
      </w:r>
      <w:bookmarkStart w:id="549" w:name="_Toc27078"/>
      <w:bookmarkStart w:id="550" w:name="_Toc31755"/>
      <w:bookmarkStart w:id="551" w:name="_Toc11627"/>
      <w:bookmarkStart w:id="552" w:name="_Toc28903"/>
      <w:bookmarkStart w:id="553" w:name="_Toc18406"/>
      <w:bookmarkStart w:id="554" w:name="_Toc11363"/>
      <w:bookmarkStart w:id="555" w:name="_Toc2713"/>
      <w:bookmarkStart w:id="556" w:name="_Toc4836"/>
      <w:bookmarkStart w:id="557" w:name="_Toc3183"/>
      <w:bookmarkStart w:id="558" w:name="_Toc29084"/>
      <w:bookmarkStart w:id="559" w:name="_Toc7152"/>
      <w:bookmarkStart w:id="560" w:name="_Toc21739"/>
      <w:bookmarkStart w:id="561" w:name="_Toc13064"/>
      <w:bookmarkStart w:id="562" w:name="_Toc25168"/>
      <w:bookmarkStart w:id="563" w:name="_Toc14823"/>
      <w:bookmarkStart w:id="564" w:name="_Toc13656"/>
      <w:bookmarkStart w:id="565" w:name="_Toc12071"/>
      <w:bookmarkStart w:id="566" w:name="_Toc21281"/>
      <w:bookmarkStart w:id="567" w:name="_Toc1868"/>
      <w:bookmarkStart w:id="568" w:name="_Toc18256"/>
      <w:bookmarkStart w:id="569" w:name="_Toc23270"/>
      <w:bookmarkStart w:id="570" w:name="_Toc24133"/>
      <w:bookmarkStart w:id="571" w:name="_Toc26181"/>
      <w:bookmarkStart w:id="572" w:name="_Toc14803"/>
      <w:bookmarkStart w:id="573" w:name="_Toc170380184"/>
      <w:r>
        <w:t>Concomitant medication</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p>
    <w:p w14:paraId="18AA7FE2" w14:textId="77777777" w:rsidR="005D1745" w:rsidRDefault="004B6ABE">
      <w:pPr>
        <w:pStyle w:val="4"/>
      </w:pPr>
      <w:r>
        <w:rPr>
          <w:rFonts w:hint="eastAsia"/>
        </w:rPr>
        <w:t xml:space="preserve"> </w:t>
      </w:r>
      <w:r>
        <w:t>Drugs not allowed to be used</w:t>
      </w:r>
    </w:p>
    <w:p w14:paraId="51B19CB0" w14:textId="77777777" w:rsidR="005D1745" w:rsidRDefault="004B6ABE">
      <w:pPr>
        <w:spacing w:after="240"/>
      </w:pPr>
      <w:r>
        <w:t>Bevacizumab and any drugs that target VEGF, VEGFR or EGFR (including registered or investigational drugs).</w:t>
      </w:r>
    </w:p>
    <w:p w14:paraId="324C9386" w14:textId="563DDCB7" w:rsidR="005D1745" w:rsidRDefault="004B6ABE">
      <w:pPr>
        <w:spacing w:after="240"/>
      </w:pPr>
      <w:r>
        <w:lastRenderedPageBreak/>
        <w:t xml:space="preserve">Any anti-cancer drug treatment other than </w:t>
      </w:r>
      <w:r w:rsidR="000040AB">
        <w:t>icotinib</w:t>
      </w:r>
      <w:r>
        <w:t xml:space="preserve"> specified in the study is not permitted, including investigational drugs (such as investigational antibiotics, antiemetics, etc.) and Chinese herbal medicines with anti-tumor characteristics.</w:t>
      </w:r>
    </w:p>
    <w:p w14:paraId="471CFE37" w14:textId="77777777" w:rsidR="005D1745" w:rsidRDefault="004B6ABE">
      <w:pPr>
        <w:pStyle w:val="4"/>
      </w:pPr>
      <w:bookmarkStart w:id="574" w:name="OLE_LINK3"/>
      <w:r>
        <w:rPr>
          <w:rFonts w:hint="eastAsia"/>
        </w:rPr>
        <w:t xml:space="preserve"> </w:t>
      </w:r>
      <w:r>
        <w:t>Permitted</w:t>
      </w:r>
      <w:bookmarkEnd w:id="574"/>
      <w:r>
        <w:t xml:space="preserve"> drugs</w:t>
      </w:r>
    </w:p>
    <w:p w14:paraId="69D029DB" w14:textId="77777777" w:rsidR="005D1745" w:rsidRDefault="004B6ABE">
      <w:pPr>
        <w:spacing w:after="240"/>
      </w:pPr>
      <w:r>
        <w:t>Non-anticancer Chinese herbal therapy or acupuncture, vitamins/micronutrients are also allowed to be used without affecting the study endpoint observation, at the discretion of the investigator.</w:t>
      </w:r>
    </w:p>
    <w:p w14:paraId="7C6A5D61" w14:textId="77777777" w:rsidR="005D1745" w:rsidRDefault="004B6ABE">
      <w:pPr>
        <w:spacing w:after="240"/>
      </w:pPr>
      <w:r>
        <w:t>Patients receive palliative and supportive care for pre-existing conditions.</w:t>
      </w:r>
    </w:p>
    <w:p w14:paraId="0046D380" w14:textId="77777777" w:rsidR="005D1745" w:rsidRDefault="004B6ABE">
      <w:pPr>
        <w:pStyle w:val="3"/>
      </w:pPr>
      <w:r>
        <w:rPr>
          <w:rFonts w:hint="eastAsia"/>
        </w:rPr>
        <w:t xml:space="preserve"> </w:t>
      </w:r>
      <w:bookmarkStart w:id="575" w:name="_Toc5801"/>
      <w:bookmarkStart w:id="576" w:name="_Toc30735"/>
      <w:bookmarkStart w:id="577" w:name="_Toc5698"/>
      <w:bookmarkStart w:id="578" w:name="_Toc29141"/>
      <w:bookmarkStart w:id="579" w:name="_Toc18849"/>
      <w:bookmarkStart w:id="580" w:name="_Toc29950"/>
      <w:bookmarkStart w:id="581" w:name="_Toc27811"/>
      <w:bookmarkStart w:id="582" w:name="_Toc15512"/>
      <w:bookmarkStart w:id="583" w:name="_Toc2051"/>
      <w:bookmarkStart w:id="584" w:name="_Toc31210"/>
      <w:bookmarkStart w:id="585" w:name="_Toc6776"/>
      <w:bookmarkStart w:id="586" w:name="_Toc6384"/>
      <w:bookmarkStart w:id="587" w:name="_Toc15030"/>
      <w:bookmarkStart w:id="588" w:name="_Toc15980"/>
      <w:bookmarkStart w:id="589" w:name="_Toc9032"/>
      <w:bookmarkStart w:id="590" w:name="_Toc8158"/>
      <w:bookmarkStart w:id="591" w:name="_Toc29222"/>
      <w:bookmarkStart w:id="592" w:name="_Toc30728"/>
      <w:bookmarkStart w:id="593" w:name="_Toc19060"/>
      <w:bookmarkStart w:id="594" w:name="_Toc19363"/>
      <w:bookmarkStart w:id="595" w:name="_Toc23152"/>
      <w:bookmarkStart w:id="596" w:name="_Toc16093"/>
      <w:bookmarkStart w:id="597" w:name="_Toc2820"/>
      <w:bookmarkStart w:id="598" w:name="_Toc31554"/>
      <w:bookmarkStart w:id="599" w:name="_Toc170380185"/>
      <w:r>
        <w:t>Compliance</w:t>
      </w:r>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14:paraId="17AFD9DC" w14:textId="33F6C8FE" w:rsidR="005D1745" w:rsidRDefault="004B6ABE">
      <w:pPr>
        <w:spacing w:after="240"/>
      </w:pPr>
      <w:r>
        <w:t xml:space="preserve">The </w:t>
      </w:r>
      <w:r w:rsidR="000040AB">
        <w:t>icotinib</w:t>
      </w:r>
      <w:r>
        <w:t xml:space="preserve"> dose and date of administration for each patient for each course of treatment should be recorded in the CRF. </w:t>
      </w:r>
      <w:bookmarkStart w:id="600" w:name="OLE_LINK5"/>
      <w:r>
        <w:t xml:space="preserve">Reasons for delayed dosing, </w:t>
      </w:r>
      <w:bookmarkStart w:id="601" w:name="OLE_LINK4"/>
      <w:r>
        <w:t>reduction</w:t>
      </w:r>
      <w:bookmarkEnd w:id="600"/>
      <w:bookmarkEnd w:id="601"/>
      <w:r>
        <w:t>, or missed dosing are also recorded in the CRF.</w:t>
      </w:r>
    </w:p>
    <w:p w14:paraId="4F448BE1" w14:textId="2C75EED4" w:rsidR="005D1745" w:rsidRDefault="004B6ABE">
      <w:pPr>
        <w:widowControl/>
        <w:spacing w:after="240"/>
      </w:pPr>
      <w:r>
        <w:t xml:space="preserve">Patient compliance with the treatment and regimen includes voluntary compliance with all aspects of the regimen, including compliance with the medication, compliance with all </w:t>
      </w:r>
      <w:bookmarkStart w:id="602" w:name="OLE_LINK6"/>
      <w:r>
        <w:t xml:space="preserve">blood </w:t>
      </w:r>
      <w:r w:rsidRPr="00031CD4">
        <w:t>sampling</w:t>
      </w:r>
      <w:bookmarkEnd w:id="602"/>
      <w:r w:rsidRPr="00031CD4">
        <w:t xml:space="preserve"> </w:t>
      </w:r>
      <w:r>
        <w:t xml:space="preserve">required for </w:t>
      </w:r>
      <w:r>
        <w:rPr>
          <w:color w:val="000000"/>
          <w:kern w:val="0"/>
          <w:szCs w:val="21"/>
          <w:lang w:bidi="ar"/>
        </w:rPr>
        <w:t>evaluation of safety,</w:t>
      </w:r>
      <w:r>
        <w:rPr>
          <w:color w:val="000000"/>
          <w:kern w:val="0"/>
          <w:sz w:val="24"/>
          <w:lang w:bidi="ar"/>
        </w:rPr>
        <w:t xml:space="preserve"> </w:t>
      </w:r>
      <w:r>
        <w:t xml:space="preserve">compliance with regular follow-up, etc. Patients who do not </w:t>
      </w:r>
      <w:bookmarkStart w:id="603" w:name="OLE_LINK7"/>
      <w:r>
        <w:t>take medication</w:t>
      </w:r>
      <w:bookmarkEnd w:id="603"/>
      <w:r>
        <w:t xml:space="preserve"> on time, or do not cooperate with examinations, or do not return visits on time may be excluded from the study based on the opinion of the lead investigator. Patients who </w:t>
      </w:r>
      <w:bookmarkStart w:id="604" w:name="OLE_LINK9"/>
      <w:r>
        <w:t>discontinue</w:t>
      </w:r>
      <w:bookmarkEnd w:id="604"/>
      <w:r>
        <w:t xml:space="preserve"> </w:t>
      </w:r>
      <w:r w:rsidR="000040AB">
        <w:t>icotinib</w:t>
      </w:r>
      <w:r>
        <w:t xml:space="preserve"> due to adverse events that are unmitigated even with optimal symptomatic and supportive care for longer than 2 weeks are withdrawn from the study after discussion with and consent of the principal investigator.</w:t>
      </w:r>
    </w:p>
    <w:p w14:paraId="11D868E9" w14:textId="77777777" w:rsidR="005D1745" w:rsidRDefault="004B6ABE">
      <w:pPr>
        <w:pStyle w:val="2"/>
      </w:pPr>
      <w:r>
        <w:rPr>
          <w:rFonts w:hint="eastAsia"/>
        </w:rPr>
        <w:t xml:space="preserve"> </w:t>
      </w:r>
      <w:bookmarkStart w:id="605" w:name="_Toc2844"/>
      <w:bookmarkStart w:id="606" w:name="_Toc6638"/>
      <w:bookmarkStart w:id="607" w:name="_Toc13360"/>
      <w:bookmarkStart w:id="608" w:name="_Toc15804"/>
      <w:bookmarkStart w:id="609" w:name="_Toc23472"/>
      <w:bookmarkStart w:id="610" w:name="_Toc23148"/>
      <w:bookmarkStart w:id="611" w:name="_Toc21853"/>
      <w:bookmarkStart w:id="612" w:name="_Toc25122"/>
      <w:bookmarkStart w:id="613" w:name="_Toc28859"/>
      <w:bookmarkStart w:id="614" w:name="_Toc15532"/>
      <w:bookmarkStart w:id="615" w:name="_Toc10175"/>
      <w:bookmarkStart w:id="616" w:name="_Toc25647"/>
      <w:bookmarkStart w:id="617" w:name="_Toc27008"/>
      <w:bookmarkStart w:id="618" w:name="_Toc9780"/>
      <w:bookmarkStart w:id="619" w:name="_Toc5166"/>
      <w:bookmarkStart w:id="620" w:name="_Toc21091"/>
      <w:bookmarkStart w:id="621" w:name="_Toc11741"/>
      <w:bookmarkStart w:id="622" w:name="_Toc26708"/>
      <w:bookmarkStart w:id="623" w:name="_Toc11183"/>
      <w:bookmarkStart w:id="624" w:name="_Toc23022"/>
      <w:bookmarkStart w:id="625" w:name="_Toc30363"/>
      <w:bookmarkStart w:id="626" w:name="_Toc18251"/>
      <w:bookmarkStart w:id="627" w:name="_Toc22189"/>
      <w:bookmarkStart w:id="628" w:name="_Toc22035"/>
      <w:bookmarkStart w:id="629" w:name="_Toc5670"/>
      <w:bookmarkStart w:id="630" w:name="_Toc20441"/>
      <w:bookmarkStart w:id="631" w:name="_Toc170380186"/>
      <w:r>
        <w:t>Study endpoint</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p>
    <w:p w14:paraId="59343100" w14:textId="68EEFB72" w:rsidR="005D1745" w:rsidRDefault="004B6ABE" w:rsidP="000C00F6">
      <w:pPr>
        <w:spacing w:after="240"/>
      </w:pPr>
      <w:r>
        <w:t xml:space="preserve">The primary efficacy endpoint of the study </w:t>
      </w:r>
      <w:r w:rsidR="00450D55">
        <w:t xml:space="preserve">is </w:t>
      </w:r>
      <w:r>
        <w:t>disease-free survival (DFS)</w:t>
      </w:r>
      <w:r w:rsidR="000C00F6">
        <w:t xml:space="preserve"> according to investigator</w:t>
      </w:r>
      <w:r w:rsidR="00DC3467">
        <w:t xml:space="preserve"> </w:t>
      </w:r>
      <w:r w:rsidR="000C00F6">
        <w:t>assessment</w:t>
      </w:r>
      <w:r>
        <w:t>.</w:t>
      </w:r>
    </w:p>
    <w:p w14:paraId="3D217A84" w14:textId="3928EACD" w:rsidR="005D1745" w:rsidRDefault="004B6ABE">
      <w:pPr>
        <w:spacing w:after="240"/>
      </w:pPr>
      <w:r>
        <w:t xml:space="preserve">Secondary endpoints include: overall survival (OS), </w:t>
      </w:r>
      <w:r w:rsidR="00DC3467">
        <w:t xml:space="preserve">brain metastasis-free survival (BMFS); </w:t>
      </w:r>
      <w:r>
        <w:t>safety and tolerability, and quality of life</w:t>
      </w:r>
      <w:r w:rsidR="00DC3467">
        <w:t xml:space="preserve"> (QoL)</w:t>
      </w:r>
      <w:r>
        <w:t>.</w:t>
      </w:r>
    </w:p>
    <w:p w14:paraId="48D40BD9" w14:textId="0630FC59" w:rsidR="005D1745" w:rsidRDefault="004B6ABE">
      <w:pPr>
        <w:spacing w:after="240"/>
      </w:pPr>
      <w:r>
        <w:t xml:space="preserve">Exploratory analysis: </w:t>
      </w:r>
      <w:r w:rsidR="009808FC" w:rsidRPr="009808FC">
        <w:t>potential</w:t>
      </w:r>
      <w:r w:rsidR="009808FC">
        <w:t xml:space="preserve"> b</w:t>
      </w:r>
      <w:r>
        <w:t xml:space="preserve">iomarker </w:t>
      </w:r>
      <w:r w:rsidR="009808FC" w:rsidRPr="009808FC">
        <w:t>exploratory research</w:t>
      </w:r>
      <w:r>
        <w:t>.</w:t>
      </w:r>
    </w:p>
    <w:p w14:paraId="5FC1FF35" w14:textId="77777777" w:rsidR="005D1745" w:rsidRDefault="004B6ABE">
      <w:pPr>
        <w:pStyle w:val="3"/>
      </w:pPr>
      <w:r>
        <w:rPr>
          <w:rFonts w:hint="eastAsia"/>
        </w:rPr>
        <w:t xml:space="preserve"> </w:t>
      </w:r>
      <w:bookmarkStart w:id="632" w:name="_Toc30169"/>
      <w:bookmarkStart w:id="633" w:name="_Toc26653"/>
      <w:bookmarkStart w:id="634" w:name="_Toc6960"/>
      <w:bookmarkStart w:id="635" w:name="_Toc6230"/>
      <w:bookmarkStart w:id="636" w:name="_Toc28369"/>
      <w:bookmarkStart w:id="637" w:name="_Toc25042"/>
      <w:bookmarkStart w:id="638" w:name="_Toc20932"/>
      <w:bookmarkStart w:id="639" w:name="_Toc23795"/>
      <w:bookmarkStart w:id="640" w:name="_Toc1889"/>
      <w:bookmarkStart w:id="641" w:name="_Toc24835"/>
      <w:bookmarkStart w:id="642" w:name="_Toc27235"/>
      <w:bookmarkStart w:id="643" w:name="_Toc30199"/>
      <w:bookmarkStart w:id="644" w:name="_Toc29741"/>
      <w:bookmarkStart w:id="645" w:name="_Toc2315"/>
      <w:bookmarkStart w:id="646" w:name="_Toc17441"/>
      <w:bookmarkStart w:id="647" w:name="_Toc20924"/>
      <w:bookmarkStart w:id="648" w:name="_Toc28332"/>
      <w:bookmarkStart w:id="649" w:name="_Toc2238"/>
      <w:bookmarkStart w:id="650" w:name="_Toc8056"/>
      <w:bookmarkStart w:id="651" w:name="_Toc27427"/>
      <w:bookmarkStart w:id="652" w:name="_Toc7296"/>
      <w:bookmarkStart w:id="653" w:name="_Toc14293"/>
      <w:bookmarkStart w:id="654" w:name="_Toc943"/>
      <w:bookmarkStart w:id="655" w:name="_Toc31569"/>
      <w:bookmarkStart w:id="656" w:name="_Toc170380187"/>
      <w:r>
        <w:t>Efficacy endpoint</w:t>
      </w:r>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14:paraId="49B047ED" w14:textId="7AB600EF" w:rsidR="005D1745" w:rsidRDefault="004B6ABE">
      <w:pPr>
        <w:widowControl/>
        <w:spacing w:after="240"/>
      </w:pPr>
      <w:r>
        <w:t xml:space="preserve">Disease-free survival (DFS) is defined as the time between the random date and the first confirmed recurrence of disease or death from any cause, </w:t>
      </w:r>
      <w:bookmarkStart w:id="657" w:name="OLE_LINK8"/>
      <w:r>
        <w:t>whichever</w:t>
      </w:r>
      <w:bookmarkEnd w:id="657"/>
      <w:r>
        <w:t xml:space="preserve"> </w:t>
      </w:r>
      <w:r w:rsidR="00890DC1">
        <w:t>occurs</w:t>
      </w:r>
      <w:r>
        <w:t xml:space="preserve"> </w:t>
      </w:r>
      <w:r w:rsidR="00890DC1">
        <w:t>first</w:t>
      </w:r>
      <w:r>
        <w:t xml:space="preserve">. DFS rates at 2 and 5 years after randomization </w:t>
      </w:r>
      <w:r w:rsidR="005A6FD6">
        <w:t xml:space="preserve">are </w:t>
      </w:r>
      <w:r>
        <w:t xml:space="preserve">defined as the probability that patients </w:t>
      </w:r>
      <w:r w:rsidR="005A6FD6">
        <w:t xml:space="preserve">have </w:t>
      </w:r>
      <w:r>
        <w:t xml:space="preserve">not </w:t>
      </w:r>
      <w:bookmarkStart w:id="658" w:name="OLE_LINK10"/>
      <w:r>
        <w:t>relapsed</w:t>
      </w:r>
      <w:bookmarkEnd w:id="658"/>
      <w:r>
        <w:t xml:space="preserve"> at 2 and 5 years after randomization.</w:t>
      </w:r>
    </w:p>
    <w:p w14:paraId="15A83CE2" w14:textId="5989FE6F" w:rsidR="005D1745" w:rsidRDefault="004B6ABE">
      <w:pPr>
        <w:spacing w:after="240"/>
      </w:pPr>
      <w:r>
        <w:t xml:space="preserve">Overall survival (OS) is </w:t>
      </w:r>
      <w:bookmarkStart w:id="659" w:name="OLE_LINK11"/>
      <w:r>
        <w:t>defined</w:t>
      </w:r>
      <w:bookmarkEnd w:id="659"/>
      <w:r>
        <w:t xml:space="preserve"> as the time between random day and death from any cause. The 1-year </w:t>
      </w:r>
      <w:r>
        <w:lastRenderedPageBreak/>
        <w:t xml:space="preserve">overall survival rate is the probability that a patient is still alive at 1 year from the start of the randomization date. </w:t>
      </w:r>
      <w:r w:rsidR="00890DC1">
        <w:t xml:space="preserve">OS rates at 2 and 5 years after randomization </w:t>
      </w:r>
      <w:r w:rsidR="003C0AC0">
        <w:t>are</w:t>
      </w:r>
      <w:r w:rsidR="00890DC1">
        <w:t xml:space="preserve"> defined as the probability that patients are still alive at 2 and 5 years after randomization.</w:t>
      </w:r>
    </w:p>
    <w:p w14:paraId="0AFFC16E" w14:textId="696FB66A" w:rsidR="005D1745" w:rsidRDefault="004B6ABE">
      <w:pPr>
        <w:spacing w:after="240"/>
      </w:pPr>
      <w:r>
        <w:t xml:space="preserve">Patients who </w:t>
      </w:r>
      <w:r w:rsidR="00921B7B">
        <w:t xml:space="preserve">are </w:t>
      </w:r>
      <w:r>
        <w:t>alive and d</w:t>
      </w:r>
      <w:r w:rsidR="00921B7B">
        <w:t>o</w:t>
      </w:r>
      <w:r>
        <w:t xml:space="preserve"> not have disease recurrence as of the date of analysis </w:t>
      </w:r>
      <w:r w:rsidR="006061F1">
        <w:t xml:space="preserve">have </w:t>
      </w:r>
      <w:r>
        <w:t>the date of their last imaging assessment as the cut-off time.</w:t>
      </w:r>
    </w:p>
    <w:p w14:paraId="713010FF" w14:textId="77777777" w:rsidR="005D1745" w:rsidRDefault="004B6ABE">
      <w:pPr>
        <w:pStyle w:val="3"/>
      </w:pPr>
      <w:bookmarkStart w:id="660" w:name="OLE_LINK12"/>
      <w:r>
        <w:rPr>
          <w:rFonts w:hint="eastAsia"/>
        </w:rPr>
        <w:t xml:space="preserve"> </w:t>
      </w:r>
      <w:bookmarkStart w:id="661" w:name="_Toc11217"/>
      <w:bookmarkStart w:id="662" w:name="_Toc11278"/>
      <w:bookmarkStart w:id="663" w:name="_Toc2942"/>
      <w:bookmarkStart w:id="664" w:name="_Toc13056"/>
      <w:bookmarkStart w:id="665" w:name="_Toc23663"/>
      <w:bookmarkStart w:id="666" w:name="_Toc18383"/>
      <w:bookmarkStart w:id="667" w:name="_Toc28881"/>
      <w:bookmarkStart w:id="668" w:name="_Toc11615"/>
      <w:bookmarkStart w:id="669" w:name="_Toc7413"/>
      <w:bookmarkStart w:id="670" w:name="_Toc24824"/>
      <w:bookmarkStart w:id="671" w:name="_Toc1627"/>
      <w:bookmarkStart w:id="672" w:name="_Toc27759"/>
      <w:bookmarkStart w:id="673" w:name="_Toc28512"/>
      <w:bookmarkStart w:id="674" w:name="_Toc5769"/>
      <w:bookmarkStart w:id="675" w:name="_Toc31251"/>
      <w:bookmarkStart w:id="676" w:name="_Toc27356"/>
      <w:bookmarkStart w:id="677" w:name="_Toc5759"/>
      <w:bookmarkStart w:id="678" w:name="_Toc15577"/>
      <w:bookmarkStart w:id="679" w:name="_Toc6179"/>
      <w:bookmarkStart w:id="680" w:name="_Toc26343"/>
      <w:bookmarkStart w:id="681" w:name="_Toc6759"/>
      <w:bookmarkStart w:id="682" w:name="_Toc14182"/>
      <w:bookmarkStart w:id="683" w:name="_Toc31842"/>
      <w:bookmarkStart w:id="684" w:name="_Toc23670"/>
      <w:bookmarkStart w:id="685" w:name="_Toc170380188"/>
      <w:r>
        <w:t xml:space="preserve">Security </w:t>
      </w:r>
      <w:r>
        <w:rPr>
          <w:rFonts w:hint="eastAsia"/>
        </w:rPr>
        <w:t>s</w:t>
      </w:r>
      <w:r>
        <w:t>pecifications</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1C0E8878" w14:textId="598D4FD2" w:rsidR="005D1745" w:rsidRDefault="004B6ABE">
      <w:pPr>
        <w:spacing w:after="240"/>
      </w:pPr>
      <w:r>
        <w:t xml:space="preserve">All patients treated with the study drug at least once </w:t>
      </w:r>
      <w:r w:rsidR="001A2866">
        <w:t xml:space="preserve">and those in the observation group </w:t>
      </w:r>
      <w:r>
        <w:t>will be included in the safety analysis. The patient's physical exam results, vital signs, adverse events, and laboratory test outliers are summarized. Adverse events should be reported and graded according to the NCI Common Adverse Events Terminology Standard (CTCAE) version 4.0.</w:t>
      </w:r>
    </w:p>
    <w:p w14:paraId="3B65A14E" w14:textId="77777777" w:rsidR="005D1745" w:rsidRDefault="004B6ABE">
      <w:pPr>
        <w:pStyle w:val="2"/>
      </w:pPr>
      <w:r>
        <w:rPr>
          <w:rFonts w:hint="eastAsia"/>
        </w:rPr>
        <w:t xml:space="preserve"> </w:t>
      </w:r>
      <w:bookmarkStart w:id="686" w:name="_Toc2704"/>
      <w:bookmarkStart w:id="687" w:name="_Toc7295"/>
      <w:bookmarkStart w:id="688" w:name="_Toc2757"/>
      <w:bookmarkStart w:id="689" w:name="_Toc142"/>
      <w:bookmarkStart w:id="690" w:name="_Toc23307"/>
      <w:bookmarkStart w:id="691" w:name="_Toc9996"/>
      <w:bookmarkStart w:id="692" w:name="_Toc21008"/>
      <w:bookmarkStart w:id="693" w:name="_Toc28449"/>
      <w:bookmarkStart w:id="694" w:name="_Toc17926"/>
      <w:bookmarkStart w:id="695" w:name="_Toc30302"/>
      <w:bookmarkStart w:id="696" w:name="_Toc4314"/>
      <w:bookmarkStart w:id="697" w:name="_Toc10291"/>
      <w:bookmarkStart w:id="698" w:name="_Toc16384"/>
      <w:bookmarkStart w:id="699" w:name="_Toc1427"/>
      <w:bookmarkStart w:id="700" w:name="_Toc20949"/>
      <w:bookmarkStart w:id="701" w:name="_Toc6764"/>
      <w:bookmarkStart w:id="702" w:name="_Toc1251"/>
      <w:bookmarkStart w:id="703" w:name="_Toc7582"/>
      <w:bookmarkStart w:id="704" w:name="_Toc14759"/>
      <w:bookmarkStart w:id="705" w:name="_Toc26625"/>
      <w:bookmarkStart w:id="706" w:name="_Toc32336"/>
      <w:bookmarkStart w:id="707" w:name="_Toc2668"/>
      <w:bookmarkStart w:id="708" w:name="_Toc22788"/>
      <w:bookmarkStart w:id="709" w:name="_Toc7489"/>
      <w:bookmarkStart w:id="710" w:name="_Toc1180"/>
      <w:bookmarkStart w:id="711" w:name="_Toc25931"/>
      <w:bookmarkStart w:id="712" w:name="_Toc170380189"/>
      <w:r>
        <w:t>Research process (See Table 1 for the flow chart)</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p w14:paraId="5BF16159" w14:textId="77777777" w:rsidR="005D1745" w:rsidRDefault="004B6ABE">
      <w:pPr>
        <w:pStyle w:val="3"/>
      </w:pPr>
      <w:r>
        <w:rPr>
          <w:rFonts w:hint="eastAsia"/>
        </w:rPr>
        <w:t xml:space="preserve"> </w:t>
      </w:r>
      <w:bookmarkStart w:id="713" w:name="_Toc4283"/>
      <w:bookmarkStart w:id="714" w:name="_Toc1999"/>
      <w:bookmarkStart w:id="715" w:name="_Toc1861"/>
      <w:bookmarkStart w:id="716" w:name="_Toc23169"/>
      <w:bookmarkStart w:id="717" w:name="_Toc16846"/>
      <w:bookmarkStart w:id="718" w:name="_Toc25760"/>
      <w:bookmarkStart w:id="719" w:name="_Toc14646"/>
      <w:bookmarkStart w:id="720" w:name="_Toc31036"/>
      <w:bookmarkStart w:id="721" w:name="_Toc30564"/>
      <w:bookmarkStart w:id="722" w:name="_Toc25223"/>
      <w:bookmarkStart w:id="723" w:name="_Toc3216"/>
      <w:bookmarkStart w:id="724" w:name="_Toc8064"/>
      <w:bookmarkStart w:id="725" w:name="_Toc10607"/>
      <w:bookmarkStart w:id="726" w:name="_Toc18835"/>
      <w:bookmarkStart w:id="727" w:name="_Toc22993"/>
      <w:bookmarkStart w:id="728" w:name="_Toc24858"/>
      <w:bookmarkStart w:id="729" w:name="_Toc10306"/>
      <w:bookmarkStart w:id="730" w:name="_Toc14472"/>
      <w:bookmarkStart w:id="731" w:name="_Toc29422"/>
      <w:bookmarkStart w:id="732" w:name="_Toc8499"/>
      <w:bookmarkStart w:id="733" w:name="_Toc29335"/>
      <w:bookmarkStart w:id="734" w:name="_Toc11213"/>
      <w:bookmarkStart w:id="735" w:name="_Toc17874"/>
      <w:bookmarkStart w:id="736" w:name="_Toc27730"/>
      <w:bookmarkStart w:id="737" w:name="_Toc170380190"/>
      <w:r>
        <w:t>Screening period</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48C4817D" w14:textId="77777777" w:rsidR="00587336" w:rsidRDefault="004B6ABE" w:rsidP="00587336">
      <w:pPr>
        <w:spacing w:after="240"/>
      </w:pPr>
      <w:bookmarkStart w:id="738" w:name="OLE_LINK13"/>
      <w:r>
        <w:rPr>
          <w:b/>
          <w:bCs/>
        </w:rPr>
        <w:t xml:space="preserve">Screening </w:t>
      </w:r>
      <w:r>
        <w:rPr>
          <w:rFonts w:hint="eastAsia"/>
          <w:b/>
          <w:bCs/>
        </w:rPr>
        <w:t>p</w:t>
      </w:r>
      <w:r>
        <w:rPr>
          <w:b/>
          <w:bCs/>
        </w:rPr>
        <w:t>eriod</w:t>
      </w:r>
      <w:bookmarkEnd w:id="738"/>
      <w:r>
        <w:rPr>
          <w:b/>
          <w:bCs/>
        </w:rPr>
        <w:t xml:space="preserve"> 1 - within 28 days before starting the study drug</w:t>
      </w:r>
    </w:p>
    <w:p w14:paraId="0DA91AE6" w14:textId="0231843A" w:rsidR="00587336" w:rsidRDefault="00587336" w:rsidP="00587336">
      <w:pPr>
        <w:spacing w:after="240"/>
      </w:pPr>
      <w:r w:rsidRPr="00587336">
        <w:rPr>
          <w:rFonts w:hint="eastAsia"/>
          <w:b/>
        </w:rPr>
        <w:t>·</w:t>
      </w:r>
      <w:r w:rsidR="004B6ABE">
        <w:t>Sign informed consent prior to performing any research-related operations;</w:t>
      </w:r>
    </w:p>
    <w:p w14:paraId="683215CC" w14:textId="307EC0C7" w:rsidR="00587336" w:rsidRDefault="00587336" w:rsidP="00587336">
      <w:pPr>
        <w:spacing w:after="240"/>
      </w:pPr>
      <w:r w:rsidRPr="00587336">
        <w:rPr>
          <w:rFonts w:hint="eastAsia"/>
          <w:b/>
        </w:rPr>
        <w:t>·</w:t>
      </w:r>
      <w:r w:rsidR="004B6ABE">
        <w:t>Demographic information, complete medical, surgical, and smoking history;</w:t>
      </w:r>
    </w:p>
    <w:p w14:paraId="756B227C" w14:textId="2B05C1C2" w:rsidR="00587336" w:rsidRDefault="00587336" w:rsidP="00587336">
      <w:pPr>
        <w:spacing w:after="240"/>
      </w:pPr>
      <w:r w:rsidRPr="00587336">
        <w:rPr>
          <w:rFonts w:hint="eastAsia"/>
          <w:b/>
        </w:rPr>
        <w:t>·</w:t>
      </w:r>
      <w:r w:rsidR="004B6ABE">
        <w:t>Recording/confirming the TNM stage of the primary tumor at diagnosis</w:t>
      </w:r>
      <w:r w:rsidR="00047C57">
        <w:t xml:space="preserve"> (7th edition TNM staging)</w:t>
      </w:r>
      <w:r w:rsidR="004B6ABE">
        <w:t>;</w:t>
      </w:r>
    </w:p>
    <w:p w14:paraId="12D4EE89" w14:textId="6106473B" w:rsidR="00587336" w:rsidRDefault="00587336" w:rsidP="00587336">
      <w:pPr>
        <w:spacing w:after="240"/>
      </w:pPr>
      <w:r w:rsidRPr="00587336">
        <w:rPr>
          <w:rFonts w:hint="eastAsia"/>
          <w:b/>
        </w:rPr>
        <w:t>·</w:t>
      </w:r>
      <w:r w:rsidR="004B6ABE">
        <w:t xml:space="preserve">Tumor evaluation during screening: chest </w:t>
      </w:r>
      <w:bookmarkStart w:id="739" w:name="OLE_LINK14"/>
      <w:bookmarkStart w:id="740" w:name="OLE_LINK15"/>
      <w:r w:rsidR="00951D17">
        <w:t xml:space="preserve">and </w:t>
      </w:r>
      <w:r w:rsidR="004B6ABE">
        <w:t>upper</w:t>
      </w:r>
      <w:bookmarkEnd w:id="739"/>
      <w:r w:rsidR="004B6ABE">
        <w:t xml:space="preserve"> abdominal </w:t>
      </w:r>
      <w:bookmarkEnd w:id="740"/>
      <w:r w:rsidR="004B6ABE">
        <w:t>contrast CT</w:t>
      </w:r>
      <w:r w:rsidR="00AF1DBB">
        <w:t>, brain contrast MRI/CT, and bone scan</w:t>
      </w:r>
      <w:r w:rsidR="004B6ABE">
        <w:t>;</w:t>
      </w:r>
      <w:bookmarkStart w:id="741" w:name="OLE_LINK20"/>
    </w:p>
    <w:p w14:paraId="2F9D166C" w14:textId="791AD01C" w:rsidR="00587336" w:rsidRDefault="00587336" w:rsidP="00587336">
      <w:pPr>
        <w:spacing w:after="240"/>
      </w:pPr>
      <w:r w:rsidRPr="00587336">
        <w:rPr>
          <w:rFonts w:hint="eastAsia"/>
          <w:b/>
        </w:rPr>
        <w:t>·</w:t>
      </w:r>
      <w:bookmarkStart w:id="742" w:name="OLE_LINK24"/>
      <w:bookmarkEnd w:id="741"/>
      <w:r w:rsidR="004B6ABE">
        <w:rPr>
          <w:color w:val="000000"/>
        </w:rPr>
        <w:t xml:space="preserve"> All tests can be replaced by PET/CT;</w:t>
      </w:r>
      <w:bookmarkEnd w:id="742"/>
    </w:p>
    <w:p w14:paraId="29139258" w14:textId="60FAF4AA" w:rsidR="005D1745" w:rsidRDefault="00587336" w:rsidP="00587336">
      <w:pPr>
        <w:spacing w:after="240"/>
      </w:pPr>
      <w:r w:rsidRPr="00587336">
        <w:rPr>
          <w:rFonts w:hint="eastAsia"/>
          <w:b/>
        </w:rPr>
        <w:t>·</w:t>
      </w:r>
      <w:r w:rsidR="004B6ABE">
        <w:t>Tumor tissue sample acquisition and EGFR detection;</w:t>
      </w:r>
    </w:p>
    <w:p w14:paraId="2CBDEC13" w14:textId="77777777" w:rsidR="005D1745" w:rsidRDefault="004B6ABE">
      <w:pPr>
        <w:spacing w:after="240"/>
        <w:rPr>
          <w:b/>
          <w:bCs/>
        </w:rPr>
      </w:pPr>
      <w:r>
        <w:rPr>
          <w:b/>
          <w:bCs/>
        </w:rPr>
        <w:t xml:space="preserve">Screening </w:t>
      </w:r>
      <w:r>
        <w:rPr>
          <w:rFonts w:hint="eastAsia"/>
          <w:b/>
          <w:bCs/>
        </w:rPr>
        <w:t>p</w:t>
      </w:r>
      <w:r>
        <w:rPr>
          <w:b/>
          <w:bCs/>
        </w:rPr>
        <w:t>eriod 2 - within 7 days before starting treatment with the study drug</w:t>
      </w:r>
    </w:p>
    <w:p w14:paraId="14CB898B" w14:textId="77777777" w:rsidR="005D1745" w:rsidRDefault="004B6ABE">
      <w:pPr>
        <w:numPr>
          <w:ilvl w:val="0"/>
          <w:numId w:val="10"/>
        </w:numPr>
        <w:spacing w:afterLines="0" w:after="0"/>
      </w:pPr>
      <w:r>
        <w:t>Confirm that subjects meet the inclusion/exclusion criteria specified in the study protocol;</w:t>
      </w:r>
    </w:p>
    <w:p w14:paraId="42E500F9" w14:textId="77777777" w:rsidR="005D1745" w:rsidRDefault="004B6ABE">
      <w:pPr>
        <w:numPr>
          <w:ilvl w:val="0"/>
          <w:numId w:val="10"/>
        </w:numPr>
        <w:spacing w:afterLines="0" w:after="0"/>
      </w:pPr>
      <w:r>
        <w:t>Physical examination: heart rate, blood pressure, respiratory rate, body temperature, height, weight and ECOG fitness score;</w:t>
      </w:r>
    </w:p>
    <w:p w14:paraId="0F49F8AD" w14:textId="77777777" w:rsidR="005D1745" w:rsidRDefault="004B6ABE">
      <w:pPr>
        <w:numPr>
          <w:ilvl w:val="0"/>
          <w:numId w:val="10"/>
        </w:numPr>
        <w:spacing w:afterLines="0" w:after="0"/>
      </w:pPr>
      <w:r>
        <w:t>Record all concomitant diseases and drug combinations and their indications;</w:t>
      </w:r>
    </w:p>
    <w:p w14:paraId="14CC6F44" w14:textId="18CCCC76" w:rsidR="005D1745" w:rsidRDefault="006061F1">
      <w:pPr>
        <w:numPr>
          <w:ilvl w:val="0"/>
          <w:numId w:val="10"/>
        </w:numPr>
        <w:spacing w:afterLines="0" w:after="0"/>
      </w:pPr>
      <w:r>
        <w:t>Blood r</w:t>
      </w:r>
      <w:r w:rsidR="004B6ABE">
        <w:t>outine tests: hemoglobin, hematocrit, platelet count, white blood cell count, neutrophils;</w:t>
      </w:r>
    </w:p>
    <w:p w14:paraId="77A377F0" w14:textId="77777777" w:rsidR="005D1745" w:rsidRDefault="004B6ABE">
      <w:pPr>
        <w:numPr>
          <w:ilvl w:val="0"/>
          <w:numId w:val="10"/>
        </w:numPr>
        <w:spacing w:afterLines="0" w:after="0"/>
      </w:pPr>
      <w:r>
        <w:t xml:space="preserve">Blood biochemical test: blood glucose, calcium, phosphorus, sodium, potassium, chlorine, creatinine, </w:t>
      </w:r>
      <w:r>
        <w:lastRenderedPageBreak/>
        <w:t>blood urea nitrogen (BUN), total protein, albumin, alanine aminotransferase (ALT), aspartate aminotransferase (AST), alkaline phosphatase, total bilirubin, etc.</w:t>
      </w:r>
    </w:p>
    <w:p w14:paraId="26E32CEE" w14:textId="77777777" w:rsidR="005D1745" w:rsidRDefault="004B6ABE">
      <w:pPr>
        <w:numPr>
          <w:ilvl w:val="0"/>
          <w:numId w:val="10"/>
        </w:numPr>
        <w:spacing w:afterLines="0" w:after="0"/>
      </w:pPr>
      <w:r>
        <w:t>Baseline 12-lead electrocardiogram (ECG) examination, examined and signed by the investigator;</w:t>
      </w:r>
    </w:p>
    <w:p w14:paraId="63B00CB1" w14:textId="77777777" w:rsidR="005D1745" w:rsidRDefault="004B6ABE">
      <w:pPr>
        <w:numPr>
          <w:ilvl w:val="0"/>
          <w:numId w:val="10"/>
        </w:numPr>
        <w:spacing w:afterLines="0" w:after="0"/>
      </w:pPr>
      <w:bookmarkStart w:id="743" w:name="OLE_LINK25"/>
      <w:r>
        <w:t>Urine pregnancy</w:t>
      </w:r>
      <w:bookmarkEnd w:id="743"/>
      <w:r>
        <w:t xml:space="preserve"> tests are performed on all women of childbearing age. Postmenopausal women who have been through menopause for at least 2 years and women who have undergone sterilization are not required to undergo a urine pregnancy test;</w:t>
      </w:r>
    </w:p>
    <w:p w14:paraId="6CE7B532" w14:textId="77777777" w:rsidR="005D1745" w:rsidRDefault="004B6ABE">
      <w:pPr>
        <w:numPr>
          <w:ilvl w:val="0"/>
          <w:numId w:val="10"/>
        </w:numPr>
        <w:spacing w:afterLines="0" w:after="0"/>
      </w:pPr>
      <w:r>
        <w:t>Urine routine test: pH value, urine sugar, urine protein, ketone body, occult blood, urine bilirubin, red blood cells, white blood cells;</w:t>
      </w:r>
    </w:p>
    <w:p w14:paraId="6CEE9FF5" w14:textId="77777777" w:rsidR="005D1745" w:rsidRDefault="004B6ABE">
      <w:pPr>
        <w:numPr>
          <w:ilvl w:val="0"/>
          <w:numId w:val="10"/>
        </w:numPr>
        <w:spacing w:afterLines="0" w:after="0"/>
      </w:pPr>
      <w:r>
        <w:t>HIV antibody test;</w:t>
      </w:r>
    </w:p>
    <w:p w14:paraId="32C11346" w14:textId="77777777" w:rsidR="005D1745" w:rsidRDefault="004B6ABE">
      <w:pPr>
        <w:numPr>
          <w:ilvl w:val="0"/>
          <w:numId w:val="10"/>
        </w:numPr>
        <w:spacing w:afterLines="0" w:after="0"/>
      </w:pPr>
      <w:r>
        <w:t>Lung function test;</w:t>
      </w:r>
    </w:p>
    <w:p w14:paraId="2F40036F" w14:textId="77777777" w:rsidR="005D1745" w:rsidRDefault="004B6ABE">
      <w:pPr>
        <w:numPr>
          <w:ilvl w:val="0"/>
          <w:numId w:val="10"/>
        </w:numPr>
        <w:spacing w:afterLines="0" w:after="0"/>
      </w:pPr>
      <w:r>
        <w:t>tumor marker examination; Biomarker blood sample collection;</w:t>
      </w:r>
    </w:p>
    <w:p w14:paraId="16455361" w14:textId="77777777" w:rsidR="005D1745" w:rsidRDefault="004B6ABE">
      <w:pPr>
        <w:numPr>
          <w:ilvl w:val="0"/>
          <w:numId w:val="10"/>
        </w:numPr>
        <w:spacing w:afterLines="0" w:after="0"/>
      </w:pPr>
      <w:r>
        <w:t>Adverse events: Signs and symptoms present prior to enrollment (prior to signing of the informed consent) and persisting at enrollment should be documented by medical history. Any signs and symptoms that occur or worsen after enrollment (even before initiation of medication) should be recorded as adverse events according to NCI-CTCAE version 4.0;</w:t>
      </w:r>
    </w:p>
    <w:p w14:paraId="4BBB2CDF" w14:textId="77777777" w:rsidR="005D1745" w:rsidRDefault="004B6ABE">
      <w:pPr>
        <w:numPr>
          <w:ilvl w:val="0"/>
          <w:numId w:val="10"/>
        </w:numPr>
        <w:spacing w:after="240"/>
      </w:pPr>
      <w:r>
        <w:t>Study drug delivery.</w:t>
      </w:r>
    </w:p>
    <w:p w14:paraId="6BCC0327" w14:textId="77777777" w:rsidR="005D1745" w:rsidRDefault="004B6ABE">
      <w:pPr>
        <w:pStyle w:val="3"/>
      </w:pPr>
      <w:r>
        <w:rPr>
          <w:rFonts w:hint="eastAsia"/>
        </w:rPr>
        <w:t xml:space="preserve"> </w:t>
      </w:r>
      <w:bookmarkStart w:id="744" w:name="_Toc25349"/>
      <w:bookmarkStart w:id="745" w:name="_Toc20657"/>
      <w:bookmarkStart w:id="746" w:name="_Toc23314"/>
      <w:bookmarkStart w:id="747" w:name="_Toc204"/>
      <w:bookmarkStart w:id="748" w:name="_Toc2329"/>
      <w:bookmarkStart w:id="749" w:name="_Toc27941"/>
      <w:bookmarkStart w:id="750" w:name="_Toc4215"/>
      <w:bookmarkStart w:id="751" w:name="_Toc12588"/>
      <w:bookmarkStart w:id="752" w:name="_Toc31613"/>
      <w:bookmarkStart w:id="753" w:name="_Toc27620"/>
      <w:bookmarkStart w:id="754" w:name="_Toc28992"/>
      <w:bookmarkStart w:id="755" w:name="_Toc18352"/>
      <w:bookmarkStart w:id="756" w:name="_Toc28226"/>
      <w:bookmarkStart w:id="757" w:name="_Toc25997"/>
      <w:bookmarkStart w:id="758" w:name="_Toc8724"/>
      <w:bookmarkStart w:id="759" w:name="_Toc1768"/>
      <w:bookmarkStart w:id="760" w:name="_Toc25282"/>
      <w:bookmarkStart w:id="761" w:name="_Toc17370"/>
      <w:bookmarkStart w:id="762" w:name="_Toc19204"/>
      <w:bookmarkStart w:id="763" w:name="_Toc12185"/>
      <w:bookmarkStart w:id="764" w:name="_Toc24043"/>
      <w:bookmarkStart w:id="765" w:name="_Toc19800"/>
      <w:bookmarkStart w:id="766" w:name="_Toc2899"/>
      <w:bookmarkStart w:id="767" w:name="_Toc19014"/>
      <w:bookmarkStart w:id="768" w:name="_Toc170380191"/>
      <w:r>
        <w:t>Treatment period</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14:paraId="3B688AFA" w14:textId="77777777" w:rsidR="005D1745" w:rsidRDefault="004B6ABE">
      <w:pPr>
        <w:spacing w:after="240"/>
        <w:rPr>
          <w:b/>
          <w:bCs/>
        </w:rPr>
      </w:pPr>
      <w:r>
        <w:rPr>
          <w:b/>
          <w:bCs/>
        </w:rPr>
        <w:t>Third visit</w:t>
      </w:r>
    </w:p>
    <w:p w14:paraId="6F8003EF" w14:textId="77777777" w:rsidR="005D1745" w:rsidRDefault="004B6ABE">
      <w:pPr>
        <w:spacing w:after="240"/>
        <w:rPr>
          <w:b/>
          <w:bCs/>
        </w:rPr>
      </w:pPr>
      <w:r>
        <w:rPr>
          <w:b/>
          <w:bCs/>
        </w:rPr>
        <w:t>Efficacy evaluation visits and follow-up visits (every 30 days ±7 days)</w:t>
      </w:r>
    </w:p>
    <w:p w14:paraId="685E4779" w14:textId="77777777" w:rsidR="005D1745" w:rsidRDefault="004B6ABE">
      <w:pPr>
        <w:numPr>
          <w:ilvl w:val="0"/>
          <w:numId w:val="11"/>
        </w:numPr>
        <w:spacing w:afterLines="0" w:after="0"/>
        <w:ind w:left="0" w:firstLine="0"/>
      </w:pPr>
      <w:r>
        <w:t>Perform a physical examination (heart rate, blood pressure, respiratory rate, body temperature, weight and ECOG fitness score);</w:t>
      </w:r>
    </w:p>
    <w:p w14:paraId="72B58C04" w14:textId="77777777" w:rsidR="005D1745" w:rsidRDefault="004B6ABE">
      <w:pPr>
        <w:numPr>
          <w:ilvl w:val="0"/>
          <w:numId w:val="11"/>
        </w:numPr>
        <w:spacing w:afterLines="0" w:after="0"/>
        <w:ind w:left="0" w:firstLine="0"/>
      </w:pPr>
      <w:r>
        <w:t>Quality of life assessment: FACT-L and LCS questionnaires;</w:t>
      </w:r>
    </w:p>
    <w:p w14:paraId="7788CED5" w14:textId="77777777" w:rsidR="005D1745" w:rsidRDefault="004B6ABE">
      <w:pPr>
        <w:numPr>
          <w:ilvl w:val="0"/>
          <w:numId w:val="11"/>
        </w:numPr>
        <w:spacing w:afterLines="0" w:after="0"/>
        <w:ind w:left="0" w:firstLine="0"/>
      </w:pPr>
      <w:r>
        <w:t>Laboratory examination (hematology/blood biochemistry/urine routine); ECG/ pregnancy test;</w:t>
      </w:r>
    </w:p>
    <w:p w14:paraId="1622DA17" w14:textId="6EB18224" w:rsidR="005D1745" w:rsidRDefault="004B6ABE">
      <w:pPr>
        <w:numPr>
          <w:ilvl w:val="0"/>
          <w:numId w:val="11"/>
        </w:numPr>
        <w:spacing w:afterLines="0" w:after="0"/>
        <w:ind w:left="0" w:firstLine="0"/>
      </w:pPr>
      <w:r>
        <w:t xml:space="preserve">Biomarker sample </w:t>
      </w:r>
      <w:r w:rsidR="009808FC">
        <w:t>collection</w:t>
      </w:r>
      <w:r>
        <w:t xml:space="preserve"> (optional)</w:t>
      </w:r>
      <w:r w:rsidR="00716CBB">
        <w:t>:</w:t>
      </w:r>
      <w:r>
        <w:t xml:space="preserve"> 10ml whole blood is </w:t>
      </w:r>
      <w:r w:rsidR="009808FC">
        <w:t xml:space="preserve">collected and stored </w:t>
      </w:r>
      <w:r>
        <w:t xml:space="preserve">for </w:t>
      </w:r>
      <w:r w:rsidR="00716CBB">
        <w:t>bio</w:t>
      </w:r>
      <w:r>
        <w:t xml:space="preserve">marker </w:t>
      </w:r>
      <w:r w:rsidR="00716CBB">
        <w:t>testing</w:t>
      </w:r>
      <w:r>
        <w:t xml:space="preserve"> before treatment;</w:t>
      </w:r>
    </w:p>
    <w:p w14:paraId="69BEA05D" w14:textId="6387E4A8" w:rsidR="005D1745" w:rsidRDefault="004B6ABE" w:rsidP="00014AE6">
      <w:pPr>
        <w:numPr>
          <w:ilvl w:val="0"/>
          <w:numId w:val="11"/>
        </w:numPr>
        <w:spacing w:afterLines="0" w:after="0"/>
      </w:pPr>
      <w:r>
        <w:t xml:space="preserve">Tumor evaluation: chest </w:t>
      </w:r>
      <w:r w:rsidR="00951D17">
        <w:t>and</w:t>
      </w:r>
      <w:r>
        <w:t xml:space="preserve"> upper abdominal contrast CT should be included. </w:t>
      </w:r>
      <w:r w:rsidR="00014AE6" w:rsidRPr="00014AE6">
        <w:t>Patients are scheduled for visits of assessment once a month during the medication period, every 3 months for the first 2 years after randomization, every 6 months until 5 years, and every 12 months thereafter until disease recurrence or death.</w:t>
      </w:r>
      <w:r w:rsidR="00CE7A5E">
        <w:t xml:space="preserve"> </w:t>
      </w:r>
      <w:r>
        <w:t xml:space="preserve">If new lesions are suspected at any site, CT should be performed until the disease recurs. </w:t>
      </w:r>
      <w:r w:rsidR="00B608C1" w:rsidRPr="00B608C1">
        <w:t xml:space="preserve">Brain MRI and bone scans </w:t>
      </w:r>
      <w:r w:rsidR="00F06694">
        <w:t>are</w:t>
      </w:r>
      <w:r w:rsidR="00B608C1" w:rsidRPr="00B608C1">
        <w:t xml:space="preserve"> scheduled every 12 months or performed as indicated based on symptoms</w:t>
      </w:r>
      <w:r w:rsidR="00B608C1">
        <w:t xml:space="preserve">. </w:t>
      </w:r>
      <w:r>
        <w:t>All imaging tests can be replaced by PET/CT. .</w:t>
      </w:r>
    </w:p>
    <w:p w14:paraId="75A0B3EE" w14:textId="1890C7FD" w:rsidR="005D1745" w:rsidRDefault="004B6ABE">
      <w:pPr>
        <w:numPr>
          <w:ilvl w:val="0"/>
          <w:numId w:val="11"/>
        </w:numPr>
        <w:spacing w:afterLines="0" w:after="0"/>
        <w:ind w:left="0" w:firstLine="0"/>
      </w:pPr>
      <w:r>
        <w:t xml:space="preserve">Record adverse events and drug combinations since </w:t>
      </w:r>
      <w:r w:rsidR="00DE75F2">
        <w:t xml:space="preserve">the </w:t>
      </w:r>
      <w:r>
        <w:t>last visit;</w:t>
      </w:r>
    </w:p>
    <w:p w14:paraId="3080C0D1" w14:textId="77777777" w:rsidR="005D1745" w:rsidRDefault="004B6ABE">
      <w:pPr>
        <w:numPr>
          <w:ilvl w:val="0"/>
          <w:numId w:val="11"/>
        </w:numPr>
        <w:spacing w:after="240"/>
        <w:ind w:left="0" w:firstLine="0"/>
        <w:rPr>
          <w:b/>
          <w:bCs/>
        </w:rPr>
      </w:pPr>
      <w:r>
        <w:t>Schedule next visit.</w:t>
      </w:r>
      <w:bookmarkStart w:id="769" w:name="_Toc2985"/>
      <w:bookmarkStart w:id="770" w:name="_Toc9339"/>
      <w:bookmarkStart w:id="771" w:name="_Toc23935"/>
      <w:bookmarkStart w:id="772" w:name="_Toc17573"/>
    </w:p>
    <w:p w14:paraId="7B471E11" w14:textId="77777777" w:rsidR="005D1745" w:rsidRDefault="004B6ABE">
      <w:pPr>
        <w:spacing w:after="240"/>
        <w:rPr>
          <w:b/>
          <w:bCs/>
        </w:rPr>
      </w:pPr>
      <w:bookmarkStart w:id="773" w:name="_Toc3691"/>
      <w:bookmarkStart w:id="774" w:name="_Toc29408"/>
      <w:bookmarkStart w:id="775" w:name="_Toc9675"/>
      <w:bookmarkStart w:id="776" w:name="_Toc15296"/>
      <w:bookmarkStart w:id="777" w:name="_Toc29019"/>
      <w:bookmarkStart w:id="778" w:name="_Toc7953"/>
      <w:r>
        <w:rPr>
          <w:b/>
          <w:bCs/>
        </w:rPr>
        <w:t>End-of-visit/end-of-study visit</w:t>
      </w:r>
      <w:bookmarkEnd w:id="769"/>
      <w:bookmarkEnd w:id="770"/>
      <w:bookmarkEnd w:id="771"/>
      <w:bookmarkEnd w:id="772"/>
      <w:bookmarkEnd w:id="773"/>
      <w:bookmarkEnd w:id="774"/>
      <w:bookmarkEnd w:id="775"/>
      <w:bookmarkEnd w:id="776"/>
      <w:bookmarkEnd w:id="777"/>
      <w:bookmarkEnd w:id="778"/>
    </w:p>
    <w:p w14:paraId="3B209003" w14:textId="77777777" w:rsidR="005D1745" w:rsidRDefault="004B6ABE">
      <w:pPr>
        <w:spacing w:after="240"/>
      </w:pPr>
      <w:r>
        <w:lastRenderedPageBreak/>
        <w:t xml:space="preserve">If a subject discontinues study medication for any reason (other than death or loss of follow-up), </w:t>
      </w:r>
      <w:bookmarkStart w:id="779" w:name="OLE_LINK26"/>
      <w:r>
        <w:t>evaluation</w:t>
      </w:r>
      <w:bookmarkEnd w:id="779"/>
      <w:r>
        <w:t xml:space="preserve"> should be performed at the time of discontinuation of medication, including:</w:t>
      </w:r>
    </w:p>
    <w:p w14:paraId="72150076" w14:textId="77777777" w:rsidR="005D1745" w:rsidRDefault="004B6ABE">
      <w:pPr>
        <w:spacing w:afterLines="0" w:after="0"/>
      </w:pPr>
      <w:r>
        <w:t>1. Simple physical examination and vital signs examination, ECOG behavior status assessment</w:t>
      </w:r>
    </w:p>
    <w:p w14:paraId="0DAAA99C" w14:textId="77777777" w:rsidR="005D1745" w:rsidRDefault="004B6ABE">
      <w:pPr>
        <w:spacing w:afterLines="0" w:after="0"/>
      </w:pPr>
      <w:r>
        <w:t>2. Laboratory tests: Complete blood count (CBC), biochemical test, electrolyte test, urine test</w:t>
      </w:r>
    </w:p>
    <w:p w14:paraId="4BCD7AFA" w14:textId="77777777" w:rsidR="005D1745" w:rsidRDefault="004B6ABE">
      <w:pPr>
        <w:spacing w:afterLines="0" w:after="0"/>
      </w:pPr>
      <w:r>
        <w:t>3. 12-lead electrocardiogram</w:t>
      </w:r>
    </w:p>
    <w:p w14:paraId="2E0AD00E" w14:textId="213875E1" w:rsidR="005D1745" w:rsidRDefault="004B6ABE">
      <w:pPr>
        <w:spacing w:afterLines="0" w:after="0"/>
      </w:pPr>
      <w:r>
        <w:t xml:space="preserve">4. Record of adverse events: If adverse events </w:t>
      </w:r>
      <w:bookmarkStart w:id="780" w:name="OLE_LINK27"/>
      <w:r>
        <w:t>persist</w:t>
      </w:r>
      <w:bookmarkEnd w:id="780"/>
      <w:r>
        <w:t xml:space="preserve"> at the end of treatment, or new adverse events are judged by the investigator to be related to the investigatory drug, information about adverse events should be collected until 30 days after the end of treatment (can be collected by telephone interview). Unless the investigator believes that the occurrence of </w:t>
      </w:r>
      <w:r w:rsidR="009C3374">
        <w:t xml:space="preserve">an </w:t>
      </w:r>
      <w:r>
        <w:t xml:space="preserve">adverse event is caused by the patient's disease, follow-up should continue until the adverse event resolves or stabilizes. </w:t>
      </w:r>
      <w:bookmarkStart w:id="781" w:name="_Toc24547"/>
      <w:bookmarkStart w:id="782" w:name="_Toc27809"/>
      <w:bookmarkStart w:id="783" w:name="_Toc27201"/>
      <w:bookmarkStart w:id="784" w:name="_Toc9005"/>
    </w:p>
    <w:p w14:paraId="3F17ECDE" w14:textId="77777777" w:rsidR="005D1745" w:rsidRDefault="004B6ABE">
      <w:pPr>
        <w:spacing w:afterLines="0" w:after="0"/>
      </w:pPr>
      <w:bookmarkStart w:id="785" w:name="_Toc28836"/>
      <w:bookmarkStart w:id="786" w:name="_Toc26050"/>
      <w:bookmarkStart w:id="787" w:name="_Toc24417"/>
      <w:bookmarkStart w:id="788" w:name="_Toc18936"/>
      <w:bookmarkStart w:id="789" w:name="_Toc23769"/>
      <w:bookmarkStart w:id="790" w:name="_Toc17061"/>
      <w:r>
        <w:t xml:space="preserve">5. </w:t>
      </w:r>
      <w:bookmarkEnd w:id="781"/>
      <w:bookmarkEnd w:id="782"/>
      <w:bookmarkEnd w:id="783"/>
      <w:bookmarkEnd w:id="784"/>
      <w:r>
        <w:t>Records of drug combinations</w:t>
      </w:r>
      <w:bookmarkEnd w:id="785"/>
      <w:bookmarkEnd w:id="786"/>
      <w:bookmarkEnd w:id="787"/>
      <w:bookmarkEnd w:id="788"/>
      <w:bookmarkEnd w:id="789"/>
      <w:bookmarkEnd w:id="790"/>
      <w:r>
        <w:rPr>
          <w:rFonts w:hint="eastAsia"/>
        </w:rPr>
        <w:t>.</w:t>
      </w:r>
    </w:p>
    <w:p w14:paraId="77629B3C" w14:textId="2CD1E134" w:rsidR="005D1745" w:rsidRDefault="004B6ABE">
      <w:pPr>
        <w:spacing w:after="240"/>
      </w:pPr>
      <w:r>
        <w:t>6. Biomarker sample collection (optional)</w:t>
      </w:r>
      <w:r w:rsidR="009808FC">
        <w:t>:</w:t>
      </w:r>
      <w:r>
        <w:t xml:space="preserve"> 10ml whole blood for </w:t>
      </w:r>
      <w:r w:rsidR="009808FC">
        <w:t>bio</w:t>
      </w:r>
      <w:r>
        <w:t xml:space="preserve">marker </w:t>
      </w:r>
      <w:r w:rsidR="009808FC">
        <w:t>analysis</w:t>
      </w:r>
      <w:r>
        <w:t>;</w:t>
      </w:r>
    </w:p>
    <w:p w14:paraId="21A8FE93" w14:textId="77F72352" w:rsidR="005D1745" w:rsidRDefault="004B6ABE">
      <w:pPr>
        <w:spacing w:after="240"/>
        <w:rPr>
          <w:i/>
          <w:iCs/>
        </w:rPr>
      </w:pPr>
      <w:r>
        <w:rPr>
          <w:i/>
          <w:iCs/>
        </w:rPr>
        <w:t>Note: Patients should be contacted once every 3 months to confirm their survival status. If an adverse event persists at the end of treatment, or if an emerging adverse event is determined by the investigator to be related to the investigational drug, information on the adverse event should be collected until 30 days after treatment ends. In all patients who discontinue medication due to adverse events or abnormal laboratory findings, follow-up should continue until the event is resolved or stabilized, and follow-up outcomes should be documented.</w:t>
      </w:r>
    </w:p>
    <w:p w14:paraId="4E32F3F0" w14:textId="77777777" w:rsidR="005D1745" w:rsidRDefault="004B6ABE">
      <w:pPr>
        <w:pStyle w:val="3"/>
      </w:pPr>
      <w:r>
        <w:rPr>
          <w:rFonts w:hint="eastAsia"/>
        </w:rPr>
        <w:t xml:space="preserve"> </w:t>
      </w:r>
      <w:bookmarkStart w:id="791" w:name="_Toc1758"/>
      <w:bookmarkStart w:id="792" w:name="_Toc2022"/>
      <w:bookmarkStart w:id="793" w:name="_Toc8137"/>
      <w:bookmarkStart w:id="794" w:name="_Toc21964"/>
      <w:bookmarkStart w:id="795" w:name="_Toc1298"/>
      <w:bookmarkStart w:id="796" w:name="_Toc21617"/>
      <w:bookmarkStart w:id="797" w:name="_Toc31360"/>
      <w:bookmarkStart w:id="798" w:name="_Toc24842"/>
      <w:bookmarkStart w:id="799" w:name="_Toc1206"/>
      <w:bookmarkStart w:id="800" w:name="_Toc28817"/>
      <w:bookmarkStart w:id="801" w:name="_Toc29644"/>
      <w:bookmarkStart w:id="802" w:name="_Toc5298"/>
      <w:bookmarkStart w:id="803" w:name="_Toc2376"/>
      <w:bookmarkStart w:id="804" w:name="_Toc7526"/>
      <w:bookmarkStart w:id="805" w:name="_Toc13184"/>
      <w:bookmarkStart w:id="806" w:name="_Toc30623"/>
      <w:bookmarkStart w:id="807" w:name="_Toc29288"/>
      <w:bookmarkStart w:id="808" w:name="_Toc24637"/>
      <w:bookmarkStart w:id="809" w:name="_Toc17660"/>
      <w:bookmarkStart w:id="810" w:name="_Toc25984"/>
      <w:bookmarkStart w:id="811" w:name="_Toc12867"/>
      <w:bookmarkStart w:id="812" w:name="_Toc24324"/>
      <w:bookmarkStart w:id="813" w:name="_Toc8390"/>
      <w:bookmarkStart w:id="814" w:name="_Toc20861"/>
      <w:bookmarkStart w:id="815" w:name="_Toc18347"/>
      <w:bookmarkStart w:id="816" w:name="_Toc29687"/>
      <w:bookmarkStart w:id="817" w:name="_Toc170380192"/>
      <w:r>
        <w:t>Survival follow-up</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14:paraId="3EFE8C52" w14:textId="7AE6FFDE" w:rsidR="005D1745" w:rsidRDefault="004B6ABE">
      <w:pPr>
        <w:spacing w:after="240"/>
      </w:pPr>
      <w:r>
        <w:t>If the patient relapse</w:t>
      </w:r>
      <w:r w:rsidR="00E6244E">
        <w:t>s</w:t>
      </w:r>
      <w:r>
        <w:t xml:space="preserve">, telephone survival follow-up </w:t>
      </w:r>
      <w:r w:rsidR="00E6244E">
        <w:t xml:space="preserve">is </w:t>
      </w:r>
      <w:r>
        <w:t>conducted every 3 months after recurrence until 5 years after surgery or death. The following information should be obtained during each follow-up visit:</w:t>
      </w:r>
    </w:p>
    <w:p w14:paraId="531B12C1" w14:textId="77777777" w:rsidR="005D1745" w:rsidRDefault="004B6ABE">
      <w:pPr>
        <w:numPr>
          <w:ilvl w:val="0"/>
          <w:numId w:val="12"/>
        </w:numPr>
        <w:spacing w:afterLines="0" w:after="0"/>
      </w:pPr>
      <w:r>
        <w:t>Whether the patient survives.</w:t>
      </w:r>
    </w:p>
    <w:p w14:paraId="65CA15B3" w14:textId="77777777" w:rsidR="005D1745" w:rsidRDefault="004B6ABE">
      <w:pPr>
        <w:numPr>
          <w:ilvl w:val="0"/>
          <w:numId w:val="12"/>
        </w:numPr>
        <w:spacing w:afterLines="0" w:after="0"/>
      </w:pPr>
      <w:r>
        <w:t>If deceased, record the date and cause of death in detail.</w:t>
      </w:r>
    </w:p>
    <w:p w14:paraId="64C8D719" w14:textId="77777777" w:rsidR="005D1745" w:rsidRDefault="004B6ABE">
      <w:pPr>
        <w:numPr>
          <w:ilvl w:val="0"/>
          <w:numId w:val="12"/>
        </w:numPr>
        <w:spacing w:afterLines="0" w:after="0"/>
      </w:pPr>
      <w:r>
        <w:t xml:space="preserve">Disease status, with a detailed record of the date of recurrence if the patient </w:t>
      </w:r>
      <w:bookmarkStart w:id="818" w:name="OLE_LINK28"/>
      <w:r>
        <w:t>relapses</w:t>
      </w:r>
      <w:bookmarkEnd w:id="818"/>
      <w:r>
        <w:t xml:space="preserve"> after surgery (for patients who have not relapsed at the last follow-up).</w:t>
      </w:r>
    </w:p>
    <w:p w14:paraId="680C1969" w14:textId="77777777" w:rsidR="005D1745" w:rsidRDefault="004B6ABE">
      <w:pPr>
        <w:numPr>
          <w:ilvl w:val="0"/>
          <w:numId w:val="12"/>
        </w:numPr>
        <w:spacing w:after="240"/>
      </w:pPr>
      <w:r>
        <w:t>Keep detailed records of subsequent anti-cancer treatments.</w:t>
      </w:r>
    </w:p>
    <w:p w14:paraId="4EDEC110" w14:textId="37947FAD" w:rsidR="005D1745" w:rsidRDefault="004B6ABE">
      <w:pPr>
        <w:spacing w:after="240"/>
      </w:pPr>
      <w:r>
        <w:t xml:space="preserve">Note: Patients who have experienced tumor recurrence will be judged by the </w:t>
      </w:r>
      <w:r w:rsidR="00E6244E">
        <w:t xml:space="preserve">investigator </w:t>
      </w:r>
      <w:r>
        <w:t>and follow</w:t>
      </w:r>
      <w:r w:rsidR="00E6244E">
        <w:t>ed</w:t>
      </w:r>
      <w:r>
        <w:t xml:space="preserve"> up with local medical practice.</w:t>
      </w:r>
    </w:p>
    <w:p w14:paraId="6BC4CAF4" w14:textId="77777777" w:rsidR="005D1745" w:rsidRDefault="004B6ABE">
      <w:pPr>
        <w:pStyle w:val="3"/>
      </w:pPr>
      <w:bookmarkStart w:id="819" w:name="OLE_LINK29"/>
      <w:r>
        <w:rPr>
          <w:rFonts w:hint="eastAsia"/>
        </w:rPr>
        <w:t xml:space="preserve"> </w:t>
      </w:r>
      <w:bookmarkStart w:id="820" w:name="_Toc7949"/>
      <w:bookmarkStart w:id="821" w:name="_Toc26378"/>
      <w:bookmarkStart w:id="822" w:name="_Toc6231"/>
      <w:bookmarkStart w:id="823" w:name="_Toc20237"/>
      <w:bookmarkStart w:id="824" w:name="_Toc32353"/>
      <w:bookmarkStart w:id="825" w:name="_Toc5359"/>
      <w:bookmarkStart w:id="826" w:name="_Toc27813"/>
      <w:bookmarkStart w:id="827" w:name="_Toc31813"/>
      <w:bookmarkStart w:id="828" w:name="_Toc963"/>
      <w:bookmarkStart w:id="829" w:name="_Toc7951"/>
      <w:bookmarkStart w:id="830" w:name="_Toc7363"/>
      <w:bookmarkStart w:id="831" w:name="_Toc11329"/>
      <w:bookmarkStart w:id="832" w:name="_Toc31940"/>
      <w:bookmarkStart w:id="833" w:name="_Toc20869"/>
      <w:bookmarkStart w:id="834" w:name="_Toc11156"/>
      <w:bookmarkStart w:id="835" w:name="_Toc10067"/>
      <w:bookmarkStart w:id="836" w:name="_Toc17092"/>
      <w:bookmarkStart w:id="837" w:name="_Toc27442"/>
      <w:bookmarkStart w:id="838" w:name="_Toc29496"/>
      <w:bookmarkStart w:id="839" w:name="_Toc18184"/>
      <w:bookmarkStart w:id="840" w:name="_Toc8688"/>
      <w:bookmarkStart w:id="841" w:name="_Toc17784"/>
      <w:bookmarkStart w:id="842" w:name="_Toc2069"/>
      <w:bookmarkStart w:id="843" w:name="_Toc31267"/>
      <w:bookmarkStart w:id="844" w:name="_Toc13790"/>
      <w:bookmarkStart w:id="845" w:name="_Toc24831"/>
      <w:bookmarkStart w:id="846" w:name="_Toc170380193"/>
      <w:r>
        <w:t>Temporary</w:t>
      </w:r>
      <w:bookmarkEnd w:id="819"/>
      <w:r>
        <w:t xml:space="preserve"> visit</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39568098" w14:textId="77777777" w:rsidR="005D1745" w:rsidRDefault="004B6ABE">
      <w:pPr>
        <w:spacing w:after="240"/>
        <w:rPr>
          <w:szCs w:val="21"/>
        </w:rPr>
      </w:pPr>
      <w:r>
        <w:t xml:space="preserve">Temporary visits should be made according to clinical needs. Relevant clinically significant laboratory abnormalities and adverse events should be recorded in the CRF and primary data. If multiple laboratory tests are performed on the same day, record the last set of test values in the CRF. However, outliers in all </w:t>
      </w:r>
      <w:r>
        <w:lastRenderedPageBreak/>
        <w:t>repeated laboratory tests should be recorded in the CRF.</w:t>
      </w:r>
    </w:p>
    <w:p w14:paraId="7E4432FF" w14:textId="77777777" w:rsidR="005D1745" w:rsidRDefault="004B6ABE">
      <w:pPr>
        <w:pStyle w:val="2"/>
      </w:pPr>
      <w:r>
        <w:t xml:space="preserve"> </w:t>
      </w:r>
      <w:bookmarkStart w:id="847" w:name="_Toc2337"/>
      <w:bookmarkStart w:id="848" w:name="_Toc23836"/>
      <w:bookmarkStart w:id="849" w:name="_Toc21397"/>
      <w:bookmarkStart w:id="850" w:name="_Toc16821"/>
      <w:bookmarkStart w:id="851" w:name="_Toc3794"/>
      <w:bookmarkStart w:id="852" w:name="_Toc14436"/>
      <w:bookmarkStart w:id="853" w:name="_Toc21670"/>
      <w:bookmarkStart w:id="854" w:name="_Toc20159"/>
      <w:bookmarkStart w:id="855" w:name="_Toc13293"/>
      <w:bookmarkStart w:id="856" w:name="_Toc26840"/>
      <w:bookmarkStart w:id="857" w:name="_Toc20773"/>
      <w:bookmarkStart w:id="858" w:name="_Toc29193"/>
      <w:bookmarkStart w:id="859" w:name="_Toc10663"/>
      <w:bookmarkStart w:id="860" w:name="_Toc2935"/>
      <w:bookmarkStart w:id="861" w:name="_Toc2511"/>
      <w:bookmarkStart w:id="862" w:name="_Toc15546"/>
      <w:bookmarkStart w:id="863" w:name="_Toc20621"/>
      <w:bookmarkStart w:id="864" w:name="_Toc14614"/>
      <w:bookmarkStart w:id="865" w:name="_Toc9051"/>
      <w:bookmarkStart w:id="866" w:name="_Toc31214"/>
      <w:bookmarkStart w:id="867" w:name="_Toc25856"/>
      <w:bookmarkStart w:id="868" w:name="_Toc30076"/>
      <w:bookmarkStart w:id="869" w:name="_Toc30201"/>
      <w:bookmarkStart w:id="870" w:name="_Toc28896"/>
      <w:bookmarkStart w:id="871" w:name="_Toc9257"/>
      <w:bookmarkStart w:id="872" w:name="_Toc170380194"/>
      <w:r>
        <w:t xml:space="preserve">Quality of </w:t>
      </w:r>
      <w:r>
        <w:rPr>
          <w:rFonts w:hint="eastAsia"/>
        </w:rPr>
        <w:t>d</w:t>
      </w:r>
      <w:r>
        <w:t>ata</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14:paraId="1B3BCE4D" w14:textId="77777777" w:rsidR="005D1745" w:rsidRDefault="004B6ABE">
      <w:pPr>
        <w:spacing w:after="240"/>
        <w:rPr>
          <w:rFonts w:eastAsia="Times New Roman"/>
          <w:szCs w:val="12"/>
          <w:shd w:val="clear" w:color="auto" w:fill="FFFFFF"/>
        </w:rPr>
      </w:pPr>
      <w:r>
        <w:rPr>
          <w:rFonts w:eastAsia="Times New Roman"/>
          <w:szCs w:val="12"/>
          <w:shd w:val="clear" w:color="auto" w:fill="FFFFFF"/>
        </w:rPr>
        <w:t>To adhere to the guidelines of Good Clinical Practice (GCP), monitors will visit each site regularly to ensure compliance with the study protocol, GCP, and relevant laws. Visits will include on-site inspections of the completeness and clarity of Case Report Forms (CRFs), cross-checking of CRFs with source documents, and resolution of data queries.</w:t>
      </w:r>
    </w:p>
    <w:p w14:paraId="6194CEBF" w14:textId="77777777" w:rsidR="005D1745" w:rsidRDefault="004B6ABE">
      <w:pPr>
        <w:pStyle w:val="2"/>
      </w:pPr>
      <w:r>
        <w:t xml:space="preserve"> </w:t>
      </w:r>
      <w:bookmarkStart w:id="873" w:name="_Toc6823"/>
      <w:bookmarkStart w:id="874" w:name="_Toc8525"/>
      <w:bookmarkStart w:id="875" w:name="_Toc20061"/>
      <w:bookmarkStart w:id="876" w:name="_Toc31687"/>
      <w:bookmarkStart w:id="877" w:name="_Toc22233"/>
      <w:bookmarkStart w:id="878" w:name="_Toc13452"/>
      <w:bookmarkStart w:id="879" w:name="_Toc10224"/>
      <w:bookmarkStart w:id="880" w:name="_Toc32658"/>
      <w:bookmarkStart w:id="881" w:name="_Toc10424"/>
      <w:bookmarkStart w:id="882" w:name="_Toc14947"/>
      <w:bookmarkStart w:id="883" w:name="_Toc1312"/>
      <w:bookmarkStart w:id="884" w:name="_Toc10934"/>
      <w:bookmarkStart w:id="885" w:name="_Toc5477"/>
      <w:bookmarkStart w:id="886" w:name="_Toc23932"/>
      <w:bookmarkStart w:id="887" w:name="_Toc29048"/>
      <w:bookmarkStart w:id="888" w:name="_Toc1373"/>
      <w:bookmarkStart w:id="889" w:name="_Toc13898"/>
      <w:bookmarkStart w:id="890" w:name="_Toc16972"/>
      <w:bookmarkStart w:id="891" w:name="_Toc26"/>
      <w:bookmarkStart w:id="892" w:name="_Toc26586"/>
      <w:bookmarkStart w:id="893" w:name="_Toc18304"/>
      <w:bookmarkStart w:id="894" w:name="_Toc10566"/>
      <w:bookmarkStart w:id="895" w:name="_Toc20215"/>
      <w:bookmarkStart w:id="896" w:name="_Toc15315"/>
      <w:bookmarkStart w:id="897" w:name="_Toc31622"/>
      <w:bookmarkStart w:id="898" w:name="_Toc170380195"/>
      <w:r>
        <w:t>Archiving</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14:paraId="5BBBFE04" w14:textId="77777777" w:rsidR="005D1745" w:rsidRDefault="004B6ABE">
      <w:pPr>
        <w:spacing w:after="240"/>
      </w:pPr>
      <w:bookmarkStart w:id="899" w:name="_Toc20616"/>
      <w:bookmarkStart w:id="900" w:name="_Toc11556"/>
      <w:r>
        <w:t>The information entered into the Case Report Forms (CRF) must be consistent with the original documents. Study documents and all original materials should be retained for 15 years after the end of the trial until a written notice of destruction is received from the sponsor.</w:t>
      </w:r>
      <w:bookmarkEnd w:id="899"/>
      <w:bookmarkEnd w:id="900"/>
    </w:p>
    <w:p w14:paraId="1EFA9A4E" w14:textId="77777777" w:rsidR="005D1745" w:rsidRDefault="004B6ABE">
      <w:pPr>
        <w:pStyle w:val="1"/>
        <w:spacing w:before="240"/>
      </w:pPr>
      <w:r>
        <w:rPr>
          <w:rFonts w:hint="eastAsia"/>
        </w:rPr>
        <w:t xml:space="preserve"> </w:t>
      </w:r>
      <w:bookmarkStart w:id="901" w:name="_Toc5818"/>
      <w:bookmarkStart w:id="902" w:name="_Toc22706"/>
      <w:bookmarkStart w:id="903" w:name="_Toc14012"/>
      <w:bookmarkStart w:id="904" w:name="_Toc10666"/>
      <w:bookmarkStart w:id="905" w:name="_Toc7424"/>
      <w:bookmarkStart w:id="906" w:name="_Toc24940"/>
      <w:bookmarkStart w:id="907" w:name="_Toc27826"/>
      <w:bookmarkStart w:id="908" w:name="_Toc6053"/>
      <w:bookmarkStart w:id="909" w:name="_Toc31292"/>
      <w:bookmarkStart w:id="910" w:name="_Toc1793"/>
      <w:bookmarkStart w:id="911" w:name="_Toc27101"/>
      <w:bookmarkStart w:id="912" w:name="_Toc3797"/>
      <w:bookmarkStart w:id="913" w:name="_Toc4050"/>
      <w:bookmarkStart w:id="914" w:name="_Toc10904"/>
      <w:bookmarkStart w:id="915" w:name="_Toc22185"/>
      <w:bookmarkStart w:id="916" w:name="_Toc5345"/>
      <w:bookmarkStart w:id="917" w:name="_Toc22293"/>
      <w:bookmarkStart w:id="918" w:name="_Toc30839"/>
      <w:bookmarkStart w:id="919" w:name="_Toc25366"/>
      <w:bookmarkStart w:id="920" w:name="_Toc28642"/>
      <w:bookmarkStart w:id="921" w:name="_Toc15070"/>
      <w:bookmarkStart w:id="922" w:name="_Toc7092"/>
      <w:bookmarkStart w:id="923" w:name="_Toc22243"/>
      <w:bookmarkStart w:id="924" w:name="_Toc23504"/>
      <w:bookmarkStart w:id="925" w:name="_Toc24463"/>
      <w:bookmarkStart w:id="926" w:name="_Toc4608"/>
      <w:bookmarkStart w:id="927" w:name="_Toc170380196"/>
      <w:r>
        <w:rPr>
          <w:rFonts w:hint="eastAsia"/>
        </w:rPr>
        <w:t>INVESTIGATIONAL DRUG</w:t>
      </w:r>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 w14:paraId="08BCD5F2" w14:textId="59BAFEFC" w:rsidR="005D1745" w:rsidRDefault="004B6ABE">
      <w:pPr>
        <w:pStyle w:val="2"/>
      </w:pPr>
      <w:r>
        <w:t xml:space="preserve"> </w:t>
      </w:r>
      <w:bookmarkStart w:id="928" w:name="_Toc170380197"/>
      <w:r w:rsidR="00237DE7">
        <w:t>Icotinib</w:t>
      </w:r>
      <w:bookmarkEnd w:id="928"/>
    </w:p>
    <w:p w14:paraId="4DF06C7B" w14:textId="77777777" w:rsidR="005D1745" w:rsidRDefault="004B6ABE">
      <w:pPr>
        <w:pStyle w:val="3"/>
      </w:pPr>
      <w:r>
        <w:t xml:space="preserve"> </w:t>
      </w:r>
      <w:bookmarkStart w:id="929" w:name="_Toc29522"/>
      <w:bookmarkStart w:id="930" w:name="_Toc2936"/>
      <w:bookmarkStart w:id="931" w:name="_Toc1569"/>
      <w:bookmarkStart w:id="932" w:name="_Toc10348"/>
      <w:bookmarkStart w:id="933" w:name="_Toc4306"/>
      <w:bookmarkStart w:id="934" w:name="_Toc10871"/>
      <w:bookmarkStart w:id="935" w:name="_Toc26454"/>
      <w:bookmarkStart w:id="936" w:name="_Toc31900"/>
      <w:bookmarkStart w:id="937" w:name="_Toc29619"/>
      <w:bookmarkStart w:id="938" w:name="_Toc21505"/>
      <w:bookmarkStart w:id="939" w:name="_Toc11706"/>
      <w:bookmarkStart w:id="940" w:name="_Toc7102"/>
      <w:bookmarkStart w:id="941" w:name="_Toc10263"/>
      <w:bookmarkStart w:id="942" w:name="_Toc4395"/>
      <w:bookmarkStart w:id="943" w:name="_Toc4123"/>
      <w:bookmarkStart w:id="944" w:name="_Toc29106"/>
      <w:bookmarkStart w:id="945" w:name="_Toc6411"/>
      <w:bookmarkStart w:id="946" w:name="_Toc26935"/>
      <w:bookmarkStart w:id="947" w:name="_Toc6271"/>
      <w:bookmarkStart w:id="948" w:name="_Toc3771"/>
      <w:bookmarkStart w:id="949" w:name="_Toc23515"/>
      <w:bookmarkStart w:id="950" w:name="_Toc10432"/>
      <w:bookmarkStart w:id="951" w:name="_Toc25694"/>
      <w:bookmarkStart w:id="952" w:name="_Toc30945"/>
      <w:bookmarkStart w:id="953" w:name="_Toc170380198"/>
      <w:r>
        <w:t xml:space="preserve">Clinical trial drug name, </w:t>
      </w:r>
      <w:bookmarkStart w:id="954" w:name="OLE_LINK31"/>
      <w:r>
        <w:t>physicochemical properties</w:t>
      </w:r>
      <w:bookmarkEnd w:id="954"/>
      <w:r>
        <w:t xml:space="preserve">, appearance, specifications, </w:t>
      </w:r>
      <w:bookmarkStart w:id="955" w:name="OLE_LINK30"/>
      <w:r>
        <w:t>composition</w:t>
      </w:r>
      <w:bookmarkEnd w:id="955"/>
      <w:r>
        <w:t xml:space="preserve">, </w:t>
      </w:r>
      <w:bookmarkStart w:id="956" w:name="OLE_LINK32"/>
      <w:r>
        <w:t>usage</w:t>
      </w:r>
      <w:bookmarkEnd w:id="956"/>
      <w:r>
        <w:t>, storage</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76DE42CE" w14:textId="77777777" w:rsidR="005D1745" w:rsidRDefault="004B6ABE">
      <w:pPr>
        <w:spacing w:after="240"/>
        <w:rPr>
          <w:rFonts w:eastAsia="Times New Roman"/>
          <w:szCs w:val="12"/>
          <w:shd w:val="clear" w:color="auto" w:fill="FFFFFF"/>
        </w:rPr>
      </w:pPr>
      <w:r>
        <w:rPr>
          <w:rFonts w:eastAsia="Times New Roman"/>
          <w:b/>
          <w:szCs w:val="12"/>
          <w:shd w:val="clear" w:color="auto" w:fill="FFFFFF"/>
        </w:rPr>
        <w:t xml:space="preserve">Drug </w:t>
      </w:r>
      <w:r>
        <w:rPr>
          <w:rFonts w:eastAsia="Times New Roman" w:hint="eastAsia"/>
          <w:b/>
          <w:szCs w:val="12"/>
          <w:shd w:val="clear" w:color="auto" w:fill="FFFFFF"/>
        </w:rPr>
        <w:t>n</w:t>
      </w:r>
      <w:r>
        <w:rPr>
          <w:rFonts w:eastAsia="Times New Roman"/>
          <w:b/>
          <w:szCs w:val="12"/>
          <w:shd w:val="clear" w:color="auto" w:fill="FFFFFF"/>
        </w:rPr>
        <w:t>ame</w:t>
      </w:r>
    </w:p>
    <w:p w14:paraId="25D86C29" w14:textId="6BAB71BE" w:rsidR="005D1745" w:rsidRDefault="004B6ABE">
      <w:pPr>
        <w:spacing w:after="240"/>
        <w:rPr>
          <w:rFonts w:eastAsia="Times New Roman"/>
          <w:szCs w:val="12"/>
          <w:shd w:val="clear" w:color="auto" w:fill="FFFFFF"/>
        </w:rPr>
      </w:pPr>
      <w:r>
        <w:rPr>
          <w:rFonts w:eastAsia="Times New Roman"/>
          <w:szCs w:val="12"/>
          <w:shd w:val="clear" w:color="auto" w:fill="FFFFFF"/>
        </w:rPr>
        <w:t>Trade name: Conmana®</w:t>
      </w:r>
    </w:p>
    <w:p w14:paraId="1C66BCE6" w14:textId="63894E52" w:rsidR="005D1745" w:rsidRDefault="004B6ABE">
      <w:pPr>
        <w:spacing w:after="240"/>
        <w:rPr>
          <w:rFonts w:eastAsia="Times New Roman"/>
          <w:szCs w:val="12"/>
          <w:shd w:val="clear" w:color="auto" w:fill="FFFFFF"/>
        </w:rPr>
      </w:pPr>
      <w:r>
        <w:rPr>
          <w:rFonts w:eastAsia="Times New Roman"/>
          <w:szCs w:val="12"/>
          <w:shd w:val="clear" w:color="auto" w:fill="FFFFFF"/>
        </w:rPr>
        <w:t xml:space="preserve">Generic name: </w:t>
      </w:r>
      <w:r w:rsidR="00237DE7">
        <w:rPr>
          <w:rFonts w:eastAsia="Times New Roman"/>
          <w:szCs w:val="12"/>
          <w:shd w:val="clear" w:color="auto" w:fill="FFFFFF"/>
        </w:rPr>
        <w:t>Icotinib</w:t>
      </w:r>
      <w:r>
        <w:rPr>
          <w:rFonts w:eastAsia="Times New Roman"/>
          <w:szCs w:val="12"/>
          <w:shd w:val="clear" w:color="auto" w:fill="FFFFFF"/>
        </w:rPr>
        <w:t xml:space="preserve"> Hydrochloride Tablets</w:t>
      </w:r>
    </w:p>
    <w:p w14:paraId="0540978A" w14:textId="34619F2D" w:rsidR="005D1745" w:rsidRDefault="004B6ABE">
      <w:pPr>
        <w:spacing w:after="240"/>
        <w:rPr>
          <w:rFonts w:eastAsia="Times New Roman"/>
          <w:szCs w:val="12"/>
          <w:shd w:val="clear" w:color="auto" w:fill="FFFFFF"/>
        </w:rPr>
      </w:pPr>
      <w:r>
        <w:rPr>
          <w:rFonts w:eastAsia="Times New Roman"/>
          <w:szCs w:val="12"/>
          <w:shd w:val="clear" w:color="auto" w:fill="FFFFFF"/>
        </w:rPr>
        <w:t>Chemical name: 4-[(3-ethynylphenyl)</w:t>
      </w:r>
      <w:r w:rsidR="00716CBB">
        <w:rPr>
          <w:rFonts w:eastAsia="Times New Roman"/>
          <w:szCs w:val="12"/>
          <w:shd w:val="clear" w:color="auto" w:fill="FFFFFF"/>
        </w:rPr>
        <w:t xml:space="preserve"> </w:t>
      </w:r>
      <w:r>
        <w:rPr>
          <w:rFonts w:eastAsia="Times New Roman"/>
          <w:szCs w:val="12"/>
          <w:shd w:val="clear" w:color="auto" w:fill="FFFFFF"/>
        </w:rPr>
        <w:t>amino]</w:t>
      </w:r>
      <w:r w:rsidR="00716CBB">
        <w:rPr>
          <w:rFonts w:eastAsia="Times New Roman"/>
          <w:szCs w:val="12"/>
          <w:shd w:val="clear" w:color="auto" w:fill="FFFFFF"/>
        </w:rPr>
        <w:t xml:space="preserve"> </w:t>
      </w:r>
      <w:r>
        <w:rPr>
          <w:rFonts w:eastAsia="Times New Roman"/>
          <w:szCs w:val="12"/>
          <w:shd w:val="clear" w:color="auto" w:fill="FFFFFF"/>
        </w:rPr>
        <w:t>quinazoline[6,7-b]-12-crown-4 hydrochloride</w:t>
      </w:r>
    </w:p>
    <w:p w14:paraId="5865FE81" w14:textId="77777777" w:rsidR="005D1745" w:rsidRDefault="004B6ABE">
      <w:pPr>
        <w:spacing w:after="240"/>
        <w:rPr>
          <w:rFonts w:eastAsia="Times New Roman"/>
          <w:szCs w:val="12"/>
          <w:shd w:val="clear" w:color="auto" w:fill="FFFFFF"/>
        </w:rPr>
      </w:pPr>
      <w:r>
        <w:rPr>
          <w:rFonts w:eastAsia="Times New Roman"/>
          <w:szCs w:val="12"/>
          <w:shd w:val="clear" w:color="auto" w:fill="FFFFFF"/>
        </w:rPr>
        <w:t>Its structural formula is:</w:t>
      </w:r>
    </w:p>
    <w:p w14:paraId="7365E084" w14:textId="77777777" w:rsidR="005D1745" w:rsidRDefault="00D64A22">
      <w:pPr>
        <w:spacing w:after="240"/>
        <w:rPr>
          <w:rFonts w:eastAsia="Times New Roman"/>
          <w:szCs w:val="12"/>
          <w:shd w:val="clear" w:color="auto" w:fill="FFFFFF"/>
        </w:rPr>
      </w:pPr>
      <w:r>
        <w:rPr>
          <w:rFonts w:eastAsia="Times New Roman"/>
        </w:rPr>
        <w:pict w14:anchorId="027F5D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4" o:spid="_x0000_s1048" type="#_x0000_t75" style="position:absolute;left:0;text-align:left;margin-left:101.6pt;margin-top:6pt;width:212.05pt;height:112.75pt;z-index:251671552;mso-wrap-distance-top:0;mso-wrap-distance-bottom:0;mso-width-relative:page;mso-height-relative:page">
            <v:imagedata r:id="rId15" o:title=""/>
            <w10:wrap type="topAndBottom"/>
          </v:shape>
        </w:pict>
      </w:r>
    </w:p>
    <w:p w14:paraId="038D2035" w14:textId="77777777" w:rsidR="005D1745" w:rsidRDefault="004B6ABE">
      <w:pPr>
        <w:spacing w:after="240"/>
        <w:rPr>
          <w:rFonts w:eastAsia="Times New Roman"/>
          <w:szCs w:val="12"/>
          <w:shd w:val="clear" w:color="auto" w:fill="FFFFFF"/>
        </w:rPr>
      </w:pPr>
      <w:r>
        <w:rPr>
          <w:rFonts w:eastAsia="Times New Roman"/>
          <w:szCs w:val="12"/>
          <w:shd w:val="clear" w:color="auto" w:fill="FFFFFF"/>
        </w:rPr>
        <w:lastRenderedPageBreak/>
        <w:t>Molecular formula: C22H21N3O4·HCl</w:t>
      </w:r>
    </w:p>
    <w:p w14:paraId="46E4151C" w14:textId="77777777" w:rsidR="005D1745" w:rsidRDefault="004B6ABE">
      <w:pPr>
        <w:spacing w:after="240"/>
        <w:rPr>
          <w:rFonts w:eastAsia="Times New Roman"/>
          <w:szCs w:val="12"/>
          <w:shd w:val="clear" w:color="auto" w:fill="FFFFFF"/>
        </w:rPr>
      </w:pPr>
      <w:r>
        <w:rPr>
          <w:rFonts w:eastAsia="Times New Roman"/>
          <w:szCs w:val="12"/>
          <w:shd w:val="clear" w:color="auto" w:fill="FFFFFF"/>
        </w:rPr>
        <w:t>Molecular weight: 427.88</w:t>
      </w:r>
    </w:p>
    <w:p w14:paraId="1F2E5555" w14:textId="77777777" w:rsidR="005D1745" w:rsidRDefault="004B6ABE">
      <w:pPr>
        <w:spacing w:after="240"/>
        <w:rPr>
          <w:rFonts w:eastAsia="Times New Roman"/>
          <w:b/>
          <w:szCs w:val="12"/>
          <w:shd w:val="clear" w:color="auto" w:fill="FFFFFF"/>
        </w:rPr>
      </w:pPr>
      <w:r>
        <w:rPr>
          <w:rFonts w:eastAsia="Times New Roman"/>
          <w:b/>
          <w:bCs/>
          <w:szCs w:val="12"/>
          <w:shd w:val="clear" w:color="auto" w:fill="FFFFFF"/>
        </w:rPr>
        <w:t>physicochemical properties</w:t>
      </w:r>
      <w:r>
        <w:rPr>
          <w:rFonts w:eastAsia="Times New Roman"/>
          <w:b/>
          <w:szCs w:val="12"/>
          <w:shd w:val="clear" w:color="auto" w:fill="FFFFFF"/>
        </w:rPr>
        <w:t xml:space="preserve"> of the drug</w:t>
      </w:r>
    </w:p>
    <w:p w14:paraId="0FF0A289" w14:textId="66BEA8FE" w:rsidR="005D1745" w:rsidRDefault="004B6ABE">
      <w:pPr>
        <w:spacing w:after="240"/>
        <w:rPr>
          <w:rFonts w:eastAsia="Times New Roman"/>
          <w:szCs w:val="12"/>
          <w:shd w:val="clear" w:color="auto" w:fill="FFFFFF"/>
        </w:rPr>
      </w:pPr>
      <w:r>
        <w:rPr>
          <w:rFonts w:eastAsia="Times New Roman"/>
          <w:szCs w:val="12"/>
          <w:shd w:val="clear" w:color="auto" w:fill="FFFFFF"/>
        </w:rPr>
        <w:t xml:space="preserve">Characteristics of physicochemical properties: </w:t>
      </w:r>
      <w:r w:rsidR="00237DE7">
        <w:rPr>
          <w:rFonts w:eastAsia="Times New Roman"/>
          <w:szCs w:val="12"/>
          <w:shd w:val="clear" w:color="auto" w:fill="FFFFFF"/>
        </w:rPr>
        <w:t>Icotinib</w:t>
      </w:r>
      <w:r>
        <w:rPr>
          <w:rFonts w:eastAsia="Times New Roman"/>
          <w:szCs w:val="12"/>
          <w:shd w:val="clear" w:color="auto" w:fill="FFFFFF"/>
        </w:rPr>
        <w:t xml:space="preserve"> hydrochloride is a white to off-white crystalline powder; odorless and non-hygroscopic. It is soluble in dimethyl sulfoxide, slightly soluble in acetonitrile-water (1:1), methanol, or chloroform, very slightly soluble in ethanol, and practically insoluble in water and acetonitrile. The melting point is 225-228℃. The absorption coefficient </w:t>
      </w:r>
      <w:r>
        <w:rPr>
          <w:rFonts w:eastAsia="Times New Roman"/>
        </w:rPr>
        <w:t>（E</w:t>
      </w:r>
      <w:r>
        <w:rPr>
          <w:rFonts w:eastAsia="Times New Roman"/>
        </w:rPr>
        <w:fldChar w:fldCharType="begin"/>
      </w:r>
      <w:r>
        <w:rPr>
          <w:rFonts w:eastAsia="Times New Roman"/>
        </w:rPr>
        <w:instrText>eq \o(\s\up 8(</w:instrText>
      </w:r>
      <w:r>
        <w:rPr>
          <w:rFonts w:eastAsia="Times New Roman"/>
          <w:w w:val="66"/>
        </w:rPr>
        <w:instrText>1%</w:instrText>
      </w:r>
      <w:r>
        <w:rPr>
          <w:rFonts w:eastAsia="Times New Roman"/>
        </w:rPr>
        <w:instrText>),\s\do 3(</w:instrText>
      </w:r>
      <w:r>
        <w:rPr>
          <w:rFonts w:eastAsia="Times New Roman"/>
          <w:w w:val="66"/>
        </w:rPr>
        <w:instrText>1cm</w:instrText>
      </w:r>
      <w:r>
        <w:rPr>
          <w:rFonts w:eastAsia="Times New Roman"/>
        </w:rPr>
        <w:instrText>))</w:instrText>
      </w:r>
      <w:r>
        <w:rPr>
          <w:rFonts w:eastAsia="Times New Roman"/>
        </w:rPr>
        <w:fldChar w:fldCharType="end"/>
      </w:r>
      <w:r>
        <w:rPr>
          <w:rFonts w:eastAsia="Times New Roman"/>
        </w:rPr>
        <w:t>）</w:t>
      </w:r>
      <w:r>
        <w:rPr>
          <w:rFonts w:eastAsia="Times New Roman"/>
          <w:szCs w:val="12"/>
          <w:shd w:val="clear" w:color="auto" w:fill="FFFFFF"/>
        </w:rPr>
        <w:t xml:space="preserve"> at a wavelength of 340 nm is 500-520.</w:t>
      </w:r>
    </w:p>
    <w:p w14:paraId="7B8A5CB3" w14:textId="77777777" w:rsidR="005D1745" w:rsidRDefault="004B6ABE">
      <w:pPr>
        <w:spacing w:after="240"/>
        <w:rPr>
          <w:rFonts w:eastAsia="Times New Roman"/>
          <w:szCs w:val="12"/>
          <w:shd w:val="clear" w:color="auto" w:fill="FFFFFF"/>
        </w:rPr>
      </w:pPr>
      <w:r>
        <w:rPr>
          <w:rFonts w:eastAsia="Times New Roman"/>
          <w:b/>
          <w:bCs/>
          <w:szCs w:val="12"/>
          <w:shd w:val="clear" w:color="auto" w:fill="FFFFFF"/>
        </w:rPr>
        <w:t>Drug appearance:</w:t>
      </w:r>
      <w:r>
        <w:rPr>
          <w:rFonts w:eastAsia="Times New Roman"/>
          <w:szCs w:val="12"/>
          <w:shd w:val="clear" w:color="auto" w:fill="FFFFFF"/>
        </w:rPr>
        <w:t xml:space="preserve"> This product is a brownish-red film-coated tablet, which appears white after the coating is removed.</w:t>
      </w:r>
    </w:p>
    <w:p w14:paraId="272D21BD" w14:textId="77777777" w:rsidR="005D1745" w:rsidRDefault="004B6ABE">
      <w:pPr>
        <w:spacing w:after="240"/>
        <w:rPr>
          <w:rFonts w:eastAsia="Times New Roman"/>
          <w:szCs w:val="12"/>
          <w:shd w:val="clear" w:color="auto" w:fill="FFFFFF"/>
        </w:rPr>
      </w:pPr>
      <w:r>
        <w:rPr>
          <w:rFonts w:eastAsia="Times New Roman"/>
          <w:b/>
          <w:bCs/>
          <w:szCs w:val="12"/>
          <w:shd w:val="clear" w:color="auto" w:fill="FFFFFF"/>
        </w:rPr>
        <w:t xml:space="preserve">Drug specification: </w:t>
      </w:r>
      <w:r>
        <w:rPr>
          <w:rFonts w:eastAsia="Times New Roman"/>
          <w:szCs w:val="12"/>
          <w:shd w:val="clear" w:color="auto" w:fill="FFFFFF"/>
        </w:rPr>
        <w:t>125mg.</w:t>
      </w:r>
    </w:p>
    <w:p w14:paraId="127B3ED2" w14:textId="5640C780" w:rsidR="005D1745" w:rsidRDefault="004B6ABE">
      <w:pPr>
        <w:spacing w:after="240"/>
        <w:rPr>
          <w:rFonts w:eastAsia="Times New Roman"/>
          <w:szCs w:val="12"/>
          <w:shd w:val="clear" w:color="auto" w:fill="FFFFFF"/>
        </w:rPr>
      </w:pPr>
      <w:r>
        <w:rPr>
          <w:rFonts w:eastAsia="Times New Roman"/>
          <w:b/>
          <w:bCs/>
          <w:szCs w:val="12"/>
          <w:shd w:val="clear" w:color="auto" w:fill="FFFFFF"/>
        </w:rPr>
        <w:t xml:space="preserve">Drug composition: </w:t>
      </w:r>
      <w:r>
        <w:rPr>
          <w:rFonts w:eastAsia="Times New Roman"/>
          <w:szCs w:val="12"/>
          <w:shd w:val="clear" w:color="auto" w:fill="FFFFFF"/>
        </w:rPr>
        <w:t xml:space="preserve">The main ingredient of this product is </w:t>
      </w:r>
      <w:r w:rsidR="000040AB">
        <w:rPr>
          <w:rFonts w:eastAsia="Times New Roman"/>
          <w:szCs w:val="12"/>
          <w:shd w:val="clear" w:color="auto" w:fill="FFFFFF"/>
        </w:rPr>
        <w:t>icotinib</w:t>
      </w:r>
      <w:r>
        <w:rPr>
          <w:rFonts w:eastAsia="Times New Roman"/>
          <w:szCs w:val="12"/>
          <w:shd w:val="clear" w:color="auto" w:fill="FFFFFF"/>
        </w:rPr>
        <w:t xml:space="preserve"> hydrochloride.</w:t>
      </w:r>
    </w:p>
    <w:p w14:paraId="57625F3D" w14:textId="77777777" w:rsidR="005D1745" w:rsidRDefault="004B6ABE">
      <w:pPr>
        <w:spacing w:after="240"/>
        <w:rPr>
          <w:rFonts w:eastAsia="Times New Roman"/>
          <w:szCs w:val="12"/>
          <w:shd w:val="clear" w:color="auto" w:fill="FFFFFF"/>
        </w:rPr>
      </w:pPr>
      <w:r>
        <w:rPr>
          <w:rFonts w:eastAsia="Times New Roman"/>
          <w:b/>
          <w:bCs/>
          <w:szCs w:val="12"/>
          <w:shd w:val="clear" w:color="auto" w:fill="FFFFFF"/>
        </w:rPr>
        <w:t xml:space="preserve">Drug usage: </w:t>
      </w:r>
      <w:r>
        <w:rPr>
          <w:rFonts w:eastAsia="Times New Roman"/>
          <w:szCs w:val="12"/>
          <w:shd w:val="clear" w:color="auto" w:fill="FFFFFF"/>
        </w:rPr>
        <w:t>Oral administration, one tablet each time, three times a day.</w:t>
      </w:r>
    </w:p>
    <w:p w14:paraId="429A900C" w14:textId="77777777" w:rsidR="005D1745" w:rsidRDefault="004B6ABE">
      <w:pPr>
        <w:spacing w:after="240"/>
        <w:rPr>
          <w:rFonts w:eastAsia="Times New Roman"/>
          <w:szCs w:val="12"/>
          <w:shd w:val="clear" w:color="auto" w:fill="FFFFFF"/>
        </w:rPr>
      </w:pPr>
      <w:r>
        <w:rPr>
          <w:rFonts w:eastAsia="Times New Roman"/>
          <w:b/>
          <w:bCs/>
          <w:szCs w:val="12"/>
          <w:shd w:val="clear" w:color="auto" w:fill="FFFFFF"/>
        </w:rPr>
        <w:t xml:space="preserve">Drug storage: </w:t>
      </w:r>
      <w:r>
        <w:rPr>
          <w:rFonts w:eastAsia="Times New Roman"/>
          <w:szCs w:val="12"/>
          <w:shd w:val="clear" w:color="auto" w:fill="FFFFFF"/>
        </w:rPr>
        <w:t>Store in a light-resistant and airtight manner.</w:t>
      </w:r>
    </w:p>
    <w:p w14:paraId="75E256CB" w14:textId="77777777" w:rsidR="005D1745" w:rsidRDefault="004B6ABE">
      <w:pPr>
        <w:pStyle w:val="3"/>
      </w:pPr>
      <w:r>
        <w:t xml:space="preserve"> </w:t>
      </w:r>
      <w:bookmarkStart w:id="957" w:name="_Toc9135"/>
      <w:bookmarkStart w:id="958" w:name="_Toc23019"/>
      <w:bookmarkStart w:id="959" w:name="_Toc22772"/>
      <w:bookmarkStart w:id="960" w:name="_Toc13537"/>
      <w:bookmarkStart w:id="961" w:name="_Toc19107"/>
      <w:bookmarkStart w:id="962" w:name="_Toc9493"/>
      <w:bookmarkStart w:id="963" w:name="_Toc27602"/>
      <w:bookmarkStart w:id="964" w:name="_Toc24259"/>
      <w:bookmarkStart w:id="965" w:name="_Toc5125"/>
      <w:bookmarkStart w:id="966" w:name="_Toc8747"/>
      <w:bookmarkStart w:id="967" w:name="_Toc24641"/>
      <w:bookmarkStart w:id="968" w:name="_Toc9857"/>
      <w:bookmarkStart w:id="969" w:name="_Toc27204"/>
      <w:bookmarkStart w:id="970" w:name="_Toc28568"/>
      <w:bookmarkStart w:id="971" w:name="_Toc25971"/>
      <w:bookmarkStart w:id="972" w:name="_Toc18650"/>
      <w:bookmarkStart w:id="973" w:name="_Toc30318"/>
      <w:bookmarkStart w:id="974" w:name="_Toc30309"/>
      <w:bookmarkStart w:id="975" w:name="_Toc22588"/>
      <w:bookmarkStart w:id="976" w:name="_Toc23673"/>
      <w:bookmarkStart w:id="977" w:name="_Toc66"/>
      <w:bookmarkStart w:id="978" w:name="_Toc23104"/>
      <w:bookmarkStart w:id="979" w:name="_Toc29398"/>
      <w:bookmarkStart w:id="980" w:name="_Toc19351"/>
      <w:bookmarkStart w:id="981" w:name="_Toc170380199"/>
      <w:r>
        <w:t xml:space="preserve">Drug </w:t>
      </w:r>
      <w:r>
        <w:rPr>
          <w:rFonts w:hint="eastAsia"/>
        </w:rPr>
        <w:t>p</w:t>
      </w:r>
      <w:r>
        <w:t xml:space="preserve">ackaging and </w:t>
      </w:r>
      <w:r>
        <w:rPr>
          <w:rFonts w:hint="eastAsia"/>
        </w:rPr>
        <w:t>l</w:t>
      </w:r>
      <w:r>
        <w:t>abeling</w:t>
      </w:r>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p>
    <w:p w14:paraId="44625FFE" w14:textId="77777777" w:rsidR="005D1745" w:rsidRDefault="004B6ABE">
      <w:pPr>
        <w:spacing w:after="240"/>
        <w:rPr>
          <w:rFonts w:eastAsia="Times New Roman"/>
          <w:szCs w:val="12"/>
          <w:shd w:val="clear" w:color="auto" w:fill="FFFFFF"/>
        </w:rPr>
      </w:pPr>
      <w:r>
        <w:rPr>
          <w:rFonts w:eastAsia="Times New Roman"/>
          <w:szCs w:val="12"/>
          <w:shd w:val="clear" w:color="auto" w:fill="FFFFFF"/>
        </w:rPr>
        <w:t>The investigational drug is packaged in an aluminum-plastic plate and placed in a pre-labeled medication box for administration to the subjects. Each medication box label contains the protocol number, patient code, drug batch number, dosing instructions, and the name of the manufacturer, indicating: "Not for sale, for clinical research only."</w:t>
      </w:r>
    </w:p>
    <w:p w14:paraId="7C0E3641" w14:textId="77777777" w:rsidR="005D1745" w:rsidRDefault="004B6ABE">
      <w:pPr>
        <w:pStyle w:val="3"/>
      </w:pPr>
      <w:r>
        <w:t xml:space="preserve"> </w:t>
      </w:r>
      <w:bookmarkStart w:id="982" w:name="_Toc20344"/>
      <w:bookmarkStart w:id="983" w:name="_Toc878"/>
      <w:bookmarkStart w:id="984" w:name="_Toc1689"/>
      <w:bookmarkStart w:id="985" w:name="_Toc17987"/>
      <w:bookmarkStart w:id="986" w:name="_Toc14820"/>
      <w:bookmarkStart w:id="987" w:name="_Toc30903"/>
      <w:bookmarkStart w:id="988" w:name="_Toc30325"/>
      <w:bookmarkStart w:id="989" w:name="_Toc10480"/>
      <w:bookmarkStart w:id="990" w:name="_Toc20340"/>
      <w:bookmarkStart w:id="991" w:name="_Toc526"/>
      <w:bookmarkStart w:id="992" w:name="_Toc21272"/>
      <w:bookmarkStart w:id="993" w:name="_Toc30340"/>
      <w:bookmarkStart w:id="994" w:name="_Toc2986"/>
      <w:bookmarkStart w:id="995" w:name="_Toc4826"/>
      <w:bookmarkStart w:id="996" w:name="_Toc24600"/>
      <w:bookmarkStart w:id="997" w:name="_Toc28124"/>
      <w:bookmarkStart w:id="998" w:name="_Toc22936"/>
      <w:bookmarkStart w:id="999" w:name="_Toc1174"/>
      <w:bookmarkStart w:id="1000" w:name="_Toc26858"/>
      <w:bookmarkStart w:id="1001" w:name="_Toc2170"/>
      <w:bookmarkStart w:id="1002" w:name="_Toc17460"/>
      <w:bookmarkStart w:id="1003" w:name="_Toc9133"/>
      <w:bookmarkStart w:id="1004" w:name="_Toc32143"/>
      <w:bookmarkStart w:id="1005" w:name="_Toc1462"/>
      <w:bookmarkStart w:id="1006" w:name="_Toc170380200"/>
      <w:r>
        <w:t xml:space="preserve">Drug </w:t>
      </w:r>
      <w:r>
        <w:rPr>
          <w:rFonts w:hint="eastAsia"/>
        </w:rPr>
        <w:t>d</w:t>
      </w:r>
      <w:r>
        <w:t xml:space="preserve">istribution and </w:t>
      </w:r>
      <w:r>
        <w:rPr>
          <w:rFonts w:hint="eastAsia"/>
        </w:rPr>
        <w:t>i</w:t>
      </w:r>
      <w:r>
        <w:t>nventory</w:t>
      </w:r>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p>
    <w:p w14:paraId="3EEE3523" w14:textId="77777777" w:rsidR="005D1745" w:rsidRDefault="004B6ABE">
      <w:pPr>
        <w:spacing w:after="240"/>
        <w:rPr>
          <w:rFonts w:eastAsia="Times New Roman"/>
          <w:szCs w:val="12"/>
          <w:shd w:val="clear" w:color="auto" w:fill="FFFFFF"/>
        </w:rPr>
      </w:pPr>
      <w:r>
        <w:rPr>
          <w:rFonts w:eastAsia="Times New Roman"/>
          <w:szCs w:val="12"/>
          <w:shd w:val="clear" w:color="auto" w:fill="FFFFFF"/>
        </w:rPr>
        <w:t>The investigational drug should be dispensed by the research personnel.</w:t>
      </w:r>
    </w:p>
    <w:p w14:paraId="51609C22" w14:textId="77777777" w:rsidR="005D1745" w:rsidRDefault="004B6ABE">
      <w:pPr>
        <w:spacing w:after="240"/>
        <w:rPr>
          <w:rFonts w:eastAsia="Times New Roman"/>
          <w:szCs w:val="12"/>
          <w:shd w:val="clear" w:color="auto" w:fill="FFFFFF"/>
        </w:rPr>
      </w:pPr>
      <w:r>
        <w:rPr>
          <w:rFonts w:eastAsia="Times New Roman"/>
          <w:szCs w:val="12"/>
          <w:shd w:val="clear" w:color="auto" w:fill="FFFFFF"/>
        </w:rPr>
        <w:t>After an appropriate interval, or until the end of the study, all unused drugs as well as empty boxes and drug plates must be returned to the sponsor. At the end of the study, the monitor should check all unused items.</w:t>
      </w:r>
    </w:p>
    <w:p w14:paraId="130907F5" w14:textId="77777777" w:rsidR="005D1745" w:rsidRDefault="004B6ABE">
      <w:pPr>
        <w:spacing w:after="240"/>
        <w:rPr>
          <w:rFonts w:eastAsia="Times New Roman"/>
          <w:szCs w:val="12"/>
          <w:shd w:val="clear" w:color="auto" w:fill="FFFFFF"/>
        </w:rPr>
      </w:pPr>
      <w:r>
        <w:rPr>
          <w:rFonts w:eastAsia="Times New Roman"/>
          <w:szCs w:val="12"/>
          <w:shd w:val="clear" w:color="auto" w:fill="FFFFFF"/>
        </w:rPr>
        <w:t>An inventory list must be kept for the monitor to inspect.</w:t>
      </w:r>
    </w:p>
    <w:p w14:paraId="1EE922D2" w14:textId="77777777" w:rsidR="005D1745" w:rsidRDefault="004B6ABE">
      <w:pPr>
        <w:pStyle w:val="1"/>
        <w:spacing w:before="240"/>
      </w:pPr>
      <w:r>
        <w:lastRenderedPageBreak/>
        <w:t xml:space="preserve"> </w:t>
      </w:r>
      <w:bookmarkStart w:id="1007" w:name="_Toc19989"/>
      <w:bookmarkStart w:id="1008" w:name="_Toc16936"/>
      <w:bookmarkStart w:id="1009" w:name="_Toc15810"/>
      <w:bookmarkStart w:id="1010" w:name="_Toc10389"/>
      <w:bookmarkStart w:id="1011" w:name="_Toc32027"/>
      <w:bookmarkStart w:id="1012" w:name="_Toc29249"/>
      <w:bookmarkStart w:id="1013" w:name="_Toc19381"/>
      <w:bookmarkStart w:id="1014" w:name="_Toc1727"/>
      <w:bookmarkStart w:id="1015" w:name="_Toc32269"/>
      <w:bookmarkStart w:id="1016" w:name="_Toc13372"/>
      <w:bookmarkStart w:id="1017" w:name="_Toc13087"/>
      <w:bookmarkStart w:id="1018" w:name="_Toc15124"/>
      <w:bookmarkStart w:id="1019" w:name="_Toc14498"/>
      <w:bookmarkStart w:id="1020" w:name="_Toc15067"/>
      <w:bookmarkStart w:id="1021" w:name="_Toc12325"/>
      <w:bookmarkStart w:id="1022" w:name="_Toc31497"/>
      <w:bookmarkStart w:id="1023" w:name="_Toc28926"/>
      <w:bookmarkStart w:id="1024" w:name="_Toc4901"/>
      <w:bookmarkStart w:id="1025" w:name="_Toc29862"/>
      <w:bookmarkStart w:id="1026" w:name="_Toc8990"/>
      <w:bookmarkStart w:id="1027" w:name="_Toc32231"/>
      <w:bookmarkStart w:id="1028" w:name="_Toc21440"/>
      <w:bookmarkStart w:id="1029" w:name="_Toc10479"/>
      <w:bookmarkStart w:id="1030" w:name="_Toc5572"/>
      <w:bookmarkStart w:id="1031" w:name="_Toc27423"/>
      <w:bookmarkStart w:id="1032" w:name="_Toc12417"/>
      <w:bookmarkStart w:id="1033" w:name="_Toc170380201"/>
      <w:r>
        <w:rPr>
          <w:rFonts w:hint="eastAsia"/>
        </w:rPr>
        <w:t>ETHICAL AND LEGAL ASPECTS</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p>
    <w:p w14:paraId="3C54BE10" w14:textId="77777777" w:rsidR="005D1745" w:rsidRDefault="004B6ABE">
      <w:pPr>
        <w:pStyle w:val="2"/>
      </w:pPr>
      <w:r>
        <w:t xml:space="preserve"> </w:t>
      </w:r>
      <w:bookmarkStart w:id="1034" w:name="_Toc13244"/>
      <w:bookmarkStart w:id="1035" w:name="_Toc5571"/>
      <w:bookmarkStart w:id="1036" w:name="_Toc31517"/>
      <w:bookmarkStart w:id="1037" w:name="_Toc30013"/>
      <w:bookmarkStart w:id="1038" w:name="_Toc12197"/>
      <w:bookmarkStart w:id="1039" w:name="_Toc32716"/>
      <w:bookmarkStart w:id="1040" w:name="_Toc23445"/>
      <w:bookmarkStart w:id="1041" w:name="_Toc4378"/>
      <w:bookmarkStart w:id="1042" w:name="_Toc26704"/>
      <w:bookmarkStart w:id="1043" w:name="_Toc13445"/>
      <w:bookmarkStart w:id="1044" w:name="_Toc21139"/>
      <w:bookmarkStart w:id="1045" w:name="_Toc24877"/>
      <w:bookmarkStart w:id="1046" w:name="_Toc10344"/>
      <w:bookmarkStart w:id="1047" w:name="_Toc11662"/>
      <w:bookmarkStart w:id="1048" w:name="_Toc25295"/>
      <w:bookmarkStart w:id="1049" w:name="_Toc15635"/>
      <w:bookmarkStart w:id="1050" w:name="_Toc10830"/>
      <w:bookmarkStart w:id="1051" w:name="_Toc55"/>
      <w:bookmarkStart w:id="1052" w:name="_Toc28230"/>
      <w:bookmarkStart w:id="1053" w:name="_Toc11738"/>
      <w:bookmarkStart w:id="1054" w:name="_Toc16472"/>
      <w:bookmarkStart w:id="1055" w:name="_Toc18466"/>
      <w:bookmarkStart w:id="1056" w:name="_Toc3923"/>
      <w:bookmarkStart w:id="1057" w:name="_Toc2408"/>
      <w:bookmarkStart w:id="1058" w:name="_Toc30667"/>
      <w:bookmarkStart w:id="1059" w:name="_Toc233"/>
      <w:bookmarkStart w:id="1060" w:name="_Toc170380202"/>
      <w:r>
        <w:t xml:space="preserve">Independent </w:t>
      </w:r>
      <w:r>
        <w:rPr>
          <w:rFonts w:hint="eastAsia"/>
        </w:rPr>
        <w:t>e</w:t>
      </w:r>
      <w:r>
        <w:t xml:space="preserve">thics </w:t>
      </w:r>
      <w:r>
        <w:rPr>
          <w:rFonts w:hint="eastAsia"/>
        </w:rPr>
        <w:t>c</w:t>
      </w:r>
      <w:r>
        <w:t>ommittee (IEC)</w:t>
      </w:r>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p>
    <w:p w14:paraId="090A517F" w14:textId="77777777" w:rsidR="005D1745" w:rsidRDefault="004B6ABE">
      <w:pPr>
        <w:spacing w:after="240"/>
        <w:rPr>
          <w:rFonts w:eastAsia="Times New Roman"/>
          <w:szCs w:val="12"/>
          <w:shd w:val="clear" w:color="auto" w:fill="FFFFFF"/>
        </w:rPr>
      </w:pPr>
      <w:r>
        <w:rPr>
          <w:rFonts w:eastAsia="Times New Roman"/>
          <w:szCs w:val="12"/>
          <w:shd w:val="clear" w:color="auto" w:fill="FFFFFF"/>
        </w:rPr>
        <w:t>According to GCP, China's laws and regulations, and the requirements of relevant organizations, all centers participating in the study should obtain the approval documents from the corresponding ethics committee before the start of the study. If necessary, amendments or re-reviews must be obtained from the ethics committee and forwarded to the investigators.</w:t>
      </w:r>
    </w:p>
    <w:p w14:paraId="5D37E097" w14:textId="77777777" w:rsidR="005D1745" w:rsidRDefault="004B6ABE">
      <w:pPr>
        <w:pStyle w:val="2"/>
      </w:pPr>
      <w:r>
        <w:t xml:space="preserve"> </w:t>
      </w:r>
      <w:bookmarkStart w:id="1061" w:name="_Toc16529"/>
      <w:bookmarkStart w:id="1062" w:name="_Toc10228"/>
      <w:bookmarkStart w:id="1063" w:name="_Toc17348"/>
      <w:bookmarkStart w:id="1064" w:name="_Toc28047"/>
      <w:bookmarkStart w:id="1065" w:name="_Toc22141"/>
      <w:bookmarkStart w:id="1066" w:name="_Toc5412"/>
      <w:bookmarkStart w:id="1067" w:name="_Toc32057"/>
      <w:bookmarkStart w:id="1068" w:name="_Toc31851"/>
      <w:bookmarkStart w:id="1069" w:name="_Toc30773"/>
      <w:bookmarkStart w:id="1070" w:name="_Toc20276"/>
      <w:bookmarkStart w:id="1071" w:name="_Toc23699"/>
      <w:bookmarkStart w:id="1072" w:name="_Toc28755"/>
      <w:bookmarkStart w:id="1073" w:name="_Toc18708"/>
      <w:bookmarkStart w:id="1074" w:name="_Toc28210"/>
      <w:bookmarkStart w:id="1075" w:name="_Toc17004"/>
      <w:bookmarkStart w:id="1076" w:name="_Toc17963"/>
      <w:bookmarkStart w:id="1077" w:name="_Toc15017"/>
      <w:bookmarkStart w:id="1078" w:name="_Toc20862"/>
      <w:bookmarkStart w:id="1079" w:name="_Toc6563"/>
      <w:bookmarkStart w:id="1080" w:name="_Toc1301"/>
      <w:bookmarkStart w:id="1081" w:name="_Toc21233"/>
      <w:bookmarkStart w:id="1082" w:name="_Toc32106"/>
      <w:bookmarkStart w:id="1083" w:name="_Toc18518"/>
      <w:bookmarkStart w:id="1084" w:name="_Toc5126"/>
      <w:bookmarkStart w:id="1085" w:name="_Toc23762"/>
      <w:bookmarkStart w:id="1086" w:name="_Toc21469"/>
      <w:bookmarkStart w:id="1087" w:name="_Toc170380203"/>
      <w:r>
        <w:t xml:space="preserve">Ethical </w:t>
      </w:r>
      <w:r>
        <w:rPr>
          <w:rFonts w:hint="eastAsia"/>
        </w:rPr>
        <w:t>g</w:t>
      </w:r>
      <w:r>
        <w:t xml:space="preserve">uidelines for </w:t>
      </w:r>
      <w:r>
        <w:rPr>
          <w:rFonts w:hint="eastAsia"/>
        </w:rPr>
        <w:t>t</w:t>
      </w:r>
      <w:r>
        <w:t xml:space="preserve">his </w:t>
      </w:r>
      <w:r>
        <w:rPr>
          <w:rFonts w:hint="eastAsia"/>
        </w:rPr>
        <w:t>s</w:t>
      </w:r>
      <w:r>
        <w:t>tudy</w:t>
      </w:r>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p>
    <w:p w14:paraId="47EDBA82" w14:textId="4507337B" w:rsidR="005D1745" w:rsidRDefault="004B6ABE">
      <w:pPr>
        <w:spacing w:after="240"/>
        <w:rPr>
          <w:rFonts w:eastAsia="Times New Roman"/>
          <w:szCs w:val="12"/>
          <w:shd w:val="clear" w:color="auto" w:fill="FFFFFF"/>
        </w:rPr>
      </w:pPr>
      <w:r>
        <w:rPr>
          <w:rFonts w:eastAsia="Times New Roman"/>
          <w:szCs w:val="12"/>
          <w:shd w:val="clear" w:color="auto" w:fill="FFFFFF"/>
        </w:rPr>
        <w:t>The procedures related to operations, evaluations, and document preparation</w:t>
      </w:r>
      <w:r w:rsidR="00E94BF1">
        <w:rPr>
          <w:rFonts w:eastAsia="Times New Roman"/>
          <w:szCs w:val="12"/>
          <w:shd w:val="clear" w:color="auto" w:fill="FFFFFF"/>
        </w:rPr>
        <w:t>s</w:t>
      </w:r>
      <w:r>
        <w:rPr>
          <w:rFonts w:eastAsia="Times New Roman"/>
          <w:szCs w:val="12"/>
          <w:shd w:val="clear" w:color="auto" w:fill="FFFFFF"/>
        </w:rPr>
        <w:t xml:space="preserve"> involved in this study protocol are designed to ensure that researchers follow the clinical practice guidelines and the guiding principles detailed in the Declaration of Helsinki. The implementation of this study will also adhere to China's corresponding "Good Clinical Practice for Drug Clinical Trials."</w:t>
      </w:r>
    </w:p>
    <w:p w14:paraId="7AAB8692" w14:textId="77777777" w:rsidR="005D1745" w:rsidRDefault="004B6ABE">
      <w:pPr>
        <w:spacing w:after="240"/>
        <w:rPr>
          <w:rFonts w:eastAsia="Times New Roman"/>
          <w:szCs w:val="12"/>
          <w:shd w:val="clear" w:color="auto" w:fill="FFFFFF"/>
        </w:rPr>
      </w:pPr>
      <w:r>
        <w:rPr>
          <w:rFonts w:eastAsia="Times New Roman"/>
          <w:szCs w:val="12"/>
          <w:shd w:val="clear" w:color="auto" w:fill="FFFFFF"/>
        </w:rPr>
        <w:t>Without the written consent of the ethics committee and the sponsor, researchers cannot modify the study protocol. However, in urgent cases to eliminate risk factors for patients, researchers may deviate from or change the study protocol before obtaining consent/support from the ethics committee/institutional review board/sponsor. Any deviations or changes made and their reasons should be submitted to the ethics committee/institutional review board/sponsor as soon as possible, and if appropriate, suggestions for protocol modifications should also be submitted. Researchers must fully explain and justify all deviations or changes from the study protocol.</w:t>
      </w:r>
    </w:p>
    <w:p w14:paraId="653B5BBD" w14:textId="77777777" w:rsidR="005D1745" w:rsidRDefault="004B6ABE">
      <w:pPr>
        <w:pStyle w:val="2"/>
      </w:pPr>
      <w:r>
        <w:t xml:space="preserve"> </w:t>
      </w:r>
      <w:bookmarkStart w:id="1088" w:name="_Toc11824"/>
      <w:bookmarkStart w:id="1089" w:name="_Toc679"/>
      <w:bookmarkStart w:id="1090" w:name="_Toc11043"/>
      <w:bookmarkStart w:id="1091" w:name="_Toc12921"/>
      <w:bookmarkStart w:id="1092" w:name="_Toc32004"/>
      <w:bookmarkStart w:id="1093" w:name="_Toc17764"/>
      <w:bookmarkStart w:id="1094" w:name="_Toc9263"/>
      <w:bookmarkStart w:id="1095" w:name="_Toc9835"/>
      <w:bookmarkStart w:id="1096" w:name="_Toc23329"/>
      <w:bookmarkStart w:id="1097" w:name="_Toc30018"/>
      <w:bookmarkStart w:id="1098" w:name="_Toc25583"/>
      <w:bookmarkStart w:id="1099" w:name="_Toc6295"/>
      <w:bookmarkStart w:id="1100" w:name="_Toc10656"/>
      <w:bookmarkStart w:id="1101" w:name="_Toc13552"/>
      <w:bookmarkStart w:id="1102" w:name="_Toc8811"/>
      <w:bookmarkStart w:id="1103" w:name="_Toc25021"/>
      <w:bookmarkStart w:id="1104" w:name="_Toc6427"/>
      <w:bookmarkStart w:id="1105" w:name="_Toc4731"/>
      <w:bookmarkStart w:id="1106" w:name="_Toc24601"/>
      <w:bookmarkStart w:id="1107" w:name="_Toc31266"/>
      <w:bookmarkStart w:id="1108" w:name="_Toc15733"/>
      <w:bookmarkStart w:id="1109" w:name="_Toc505"/>
      <w:bookmarkStart w:id="1110" w:name="_Toc22909"/>
      <w:bookmarkStart w:id="1111" w:name="_Toc2887"/>
      <w:bookmarkStart w:id="1112" w:name="_Toc28154"/>
      <w:bookmarkStart w:id="1113" w:name="_Toc1065"/>
      <w:bookmarkStart w:id="1114" w:name="_Toc170380204"/>
      <w:r>
        <w:t xml:space="preserve">Patient </w:t>
      </w:r>
      <w:r>
        <w:rPr>
          <w:rFonts w:hint="eastAsia"/>
        </w:rPr>
        <w:t>i</w:t>
      </w:r>
      <w:r>
        <w:t xml:space="preserve">nformation and </w:t>
      </w:r>
      <w:r>
        <w:rPr>
          <w:rFonts w:hint="eastAsia"/>
        </w:rPr>
        <w:t>i</w:t>
      </w:r>
      <w:r>
        <w:t xml:space="preserve">nformed </w:t>
      </w:r>
      <w:r>
        <w:rPr>
          <w:rFonts w:hint="eastAsia"/>
        </w:rPr>
        <w:t>c</w:t>
      </w:r>
      <w:r>
        <w:t>onsent</w:t>
      </w:r>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p>
    <w:p w14:paraId="1A6318A2" w14:textId="77777777" w:rsidR="005D1745" w:rsidRDefault="004B6ABE">
      <w:pPr>
        <w:spacing w:after="240"/>
        <w:rPr>
          <w:rFonts w:eastAsia="Times New Roman"/>
          <w:szCs w:val="12"/>
          <w:shd w:val="clear" w:color="auto" w:fill="FFFFFF"/>
        </w:rPr>
      </w:pPr>
      <w:r>
        <w:rPr>
          <w:rFonts w:eastAsia="Times New Roman"/>
          <w:szCs w:val="12"/>
          <w:shd w:val="clear" w:color="auto" w:fill="FFFFFF"/>
        </w:rPr>
        <w:t>Patients should be provided with the main information about the study and the informed consent form. Before the start of the study, researchers must provide patients with the informed consent form and all other written information that has been approved in writing by the ethics committee. The ethics committee approval letter and the approved patient information/informed consent form must be archived together in the study files.</w:t>
      </w:r>
    </w:p>
    <w:p w14:paraId="0CEB3556" w14:textId="77777777" w:rsidR="005D1745" w:rsidRDefault="004B6ABE">
      <w:pPr>
        <w:spacing w:after="240"/>
        <w:rPr>
          <w:rFonts w:eastAsia="Times New Roman"/>
          <w:szCs w:val="12"/>
          <w:shd w:val="clear" w:color="auto" w:fill="FFFFFF"/>
        </w:rPr>
      </w:pPr>
      <w:r>
        <w:rPr>
          <w:rFonts w:eastAsia="Times New Roman"/>
          <w:szCs w:val="12"/>
          <w:shd w:val="clear" w:color="auto" w:fill="FFFFFF"/>
        </w:rPr>
        <w:t>Before implementing any specific steps related to this study, the signed informed consent form must be obtained from the patient.</w:t>
      </w:r>
    </w:p>
    <w:p w14:paraId="06E076D9" w14:textId="77777777" w:rsidR="005D1745" w:rsidRDefault="004B6ABE">
      <w:pPr>
        <w:pStyle w:val="2"/>
      </w:pPr>
      <w:r>
        <w:t xml:space="preserve"> </w:t>
      </w:r>
      <w:bookmarkStart w:id="1115" w:name="_Toc12876"/>
      <w:bookmarkStart w:id="1116" w:name="_Toc9284"/>
      <w:bookmarkStart w:id="1117" w:name="_Toc5720"/>
      <w:bookmarkStart w:id="1118" w:name="_Toc15598"/>
      <w:bookmarkStart w:id="1119" w:name="_Toc19236"/>
      <w:bookmarkStart w:id="1120" w:name="_Toc11298"/>
      <w:bookmarkStart w:id="1121" w:name="_Toc14011"/>
      <w:bookmarkStart w:id="1122" w:name="_Toc11178"/>
      <w:bookmarkStart w:id="1123" w:name="_Toc23221"/>
      <w:bookmarkStart w:id="1124" w:name="_Toc15386"/>
      <w:bookmarkStart w:id="1125" w:name="_Toc7956"/>
      <w:bookmarkStart w:id="1126" w:name="_Toc30567"/>
      <w:bookmarkStart w:id="1127" w:name="_Toc7599"/>
      <w:bookmarkStart w:id="1128" w:name="_Toc9890"/>
      <w:bookmarkStart w:id="1129" w:name="_Toc26984"/>
      <w:bookmarkStart w:id="1130" w:name="_Toc16261"/>
      <w:bookmarkStart w:id="1131" w:name="_Toc29927"/>
      <w:bookmarkStart w:id="1132" w:name="_Toc7161"/>
      <w:bookmarkStart w:id="1133" w:name="_Toc14188"/>
      <w:bookmarkStart w:id="1134" w:name="_Toc25376"/>
      <w:bookmarkStart w:id="1135" w:name="_Toc14793"/>
      <w:bookmarkStart w:id="1136" w:name="_Toc5319"/>
      <w:bookmarkStart w:id="1137" w:name="_Toc12166"/>
      <w:bookmarkStart w:id="1138" w:name="_Toc26092"/>
      <w:bookmarkStart w:id="1139" w:name="_Toc15018"/>
      <w:bookmarkStart w:id="1140" w:name="_Toc1265"/>
      <w:bookmarkStart w:id="1141" w:name="_Toc170380205"/>
      <w:r>
        <w:t>Confidentiality</w:t>
      </w:r>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p>
    <w:p w14:paraId="528D1CC8" w14:textId="77777777" w:rsidR="005D1745" w:rsidRDefault="004B6ABE">
      <w:pPr>
        <w:spacing w:after="240"/>
        <w:rPr>
          <w:rFonts w:eastAsia="Times New Roman"/>
          <w:szCs w:val="12"/>
          <w:shd w:val="clear" w:color="auto" w:fill="FFFFFF"/>
        </w:rPr>
      </w:pPr>
      <w:r>
        <w:rPr>
          <w:rFonts w:eastAsia="Times New Roman"/>
          <w:szCs w:val="12"/>
          <w:shd w:val="clear" w:color="auto" w:fill="FFFFFF"/>
        </w:rPr>
        <w:t>All records related to patient identity shall be kept confidential and, within the limits permitted by relevant laws and/or regulations, these data will not be disclosed to the public. Only personnel related to the trial, such as investigators and research nurses, may know the identity of the patients.</w:t>
      </w:r>
    </w:p>
    <w:p w14:paraId="7AC2C0F2" w14:textId="4892FB2C" w:rsidR="005D1745" w:rsidRDefault="004B6ABE">
      <w:pPr>
        <w:spacing w:after="240"/>
        <w:rPr>
          <w:rFonts w:eastAsia="Times New Roman"/>
          <w:szCs w:val="12"/>
          <w:shd w:val="clear" w:color="auto" w:fill="FFFFFF"/>
        </w:rPr>
      </w:pPr>
      <w:r>
        <w:rPr>
          <w:rFonts w:eastAsia="Times New Roman"/>
          <w:szCs w:val="12"/>
          <w:shd w:val="clear" w:color="auto" w:fill="FFFFFF"/>
        </w:rPr>
        <w:lastRenderedPageBreak/>
        <w:t>The patient's name will not appear in the Case Report Form (CRF). The CRF will only record the patient's number and initials of their name. If the patient's name appears in any other documents (such as pathology reports), it must be erased when copies of the documents are made. Computer-stored study reports must comply with local data protection laws. When the results of the study are published, the identity of the patients will also be kept confidential.</w:t>
      </w:r>
    </w:p>
    <w:p w14:paraId="41CD1886" w14:textId="77777777" w:rsidR="005D1745" w:rsidRDefault="004B6ABE">
      <w:pPr>
        <w:spacing w:after="240"/>
        <w:rPr>
          <w:rFonts w:eastAsia="Times New Roman"/>
          <w:szCs w:val="12"/>
          <w:shd w:val="clear" w:color="auto" w:fill="FFFFFF"/>
        </w:rPr>
      </w:pPr>
      <w:r>
        <w:rPr>
          <w:rFonts w:eastAsia="Times New Roman"/>
          <w:szCs w:val="12"/>
          <w:shd w:val="clear" w:color="auto" w:fill="FFFFFF"/>
        </w:rPr>
        <w:t>The investigator will maintain a list to identify patient records.</w:t>
      </w:r>
    </w:p>
    <w:p w14:paraId="35723825" w14:textId="77777777" w:rsidR="005D1745" w:rsidRDefault="004B6ABE">
      <w:pPr>
        <w:pStyle w:val="2"/>
      </w:pPr>
      <w:r>
        <w:t xml:space="preserve"> </w:t>
      </w:r>
      <w:bookmarkStart w:id="1142" w:name="_Toc24290"/>
      <w:bookmarkStart w:id="1143" w:name="_Toc12936"/>
      <w:bookmarkStart w:id="1144" w:name="_Toc1525"/>
      <w:bookmarkStart w:id="1145" w:name="_Toc19503"/>
      <w:bookmarkStart w:id="1146" w:name="_Toc29139"/>
      <w:bookmarkStart w:id="1147" w:name="_Toc10119"/>
      <w:bookmarkStart w:id="1148" w:name="_Toc22785"/>
      <w:bookmarkStart w:id="1149" w:name="_Toc6895"/>
      <w:bookmarkStart w:id="1150" w:name="_Toc20176"/>
      <w:bookmarkStart w:id="1151" w:name="_Toc1214"/>
      <w:bookmarkStart w:id="1152" w:name="_Toc13533"/>
      <w:bookmarkStart w:id="1153" w:name="_Toc4308"/>
      <w:bookmarkStart w:id="1154" w:name="_Toc14747"/>
      <w:bookmarkStart w:id="1155" w:name="_Toc28298"/>
      <w:bookmarkStart w:id="1156" w:name="_Toc3133"/>
      <w:bookmarkStart w:id="1157" w:name="_Toc25730"/>
      <w:bookmarkStart w:id="1158" w:name="_Toc10411"/>
      <w:bookmarkStart w:id="1159" w:name="_Toc18348"/>
      <w:bookmarkStart w:id="1160" w:name="_Toc15048"/>
      <w:bookmarkStart w:id="1161" w:name="_Toc28390"/>
      <w:bookmarkStart w:id="1162" w:name="_Toc10574"/>
      <w:bookmarkStart w:id="1163" w:name="_Toc18557"/>
      <w:bookmarkStart w:id="1164" w:name="_Toc17215"/>
      <w:bookmarkStart w:id="1165" w:name="_Toc19182"/>
      <w:bookmarkStart w:id="1166" w:name="_Toc20506"/>
      <w:bookmarkStart w:id="1167" w:name="_Toc14656"/>
      <w:bookmarkStart w:id="1168" w:name="_Toc170380206"/>
      <w:r>
        <w:t xml:space="preserve">Conditions for </w:t>
      </w:r>
      <w:r>
        <w:rPr>
          <w:rFonts w:hint="eastAsia"/>
        </w:rPr>
        <w:t>a</w:t>
      </w:r>
      <w:r>
        <w:t xml:space="preserve">mending the </w:t>
      </w:r>
      <w:r>
        <w:rPr>
          <w:rFonts w:hint="eastAsia"/>
        </w:rPr>
        <w:t>s</w:t>
      </w:r>
      <w:r>
        <w:t xml:space="preserve">tudy </w:t>
      </w:r>
      <w:r>
        <w:rPr>
          <w:rFonts w:hint="eastAsia"/>
        </w:rPr>
        <w:t>p</w:t>
      </w:r>
      <w:r>
        <w:t>rotocol</w:t>
      </w:r>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p>
    <w:p w14:paraId="6ABF7B14" w14:textId="77777777" w:rsidR="005D1745" w:rsidRDefault="004B6ABE">
      <w:pPr>
        <w:spacing w:after="240"/>
        <w:rPr>
          <w:rFonts w:eastAsia="Times New Roman"/>
          <w:szCs w:val="12"/>
          <w:shd w:val="clear" w:color="auto" w:fill="FFFFFF"/>
        </w:rPr>
      </w:pPr>
      <w:r>
        <w:rPr>
          <w:rFonts w:eastAsia="Times New Roman"/>
          <w:szCs w:val="12"/>
          <w:shd w:val="clear" w:color="auto" w:fill="FFFFFF"/>
        </w:rPr>
        <w:t>Amendments to the ongoing trial protocol can only be made after consultation between the sponsor and the principal investigator. The sponsor prepares the materials for the revised protocol, which should be reviewed in advance by the principal investigator, biostatistician, and other relevant personnel. Unless it is an emergency adjustment to eliminate harm to trial patients, or it is just a logistical and administrative adjustment related to the trial, such as changes in monitors or telephone numbers, all protocol amendments must be submitted to the corresponding ethics committee and obtain its permission. If necessary, they must also be submitted to the drug regulatory authorities, and the researchers can only implement the adjustments after permission from the above units.</w:t>
      </w:r>
    </w:p>
    <w:p w14:paraId="0E635FCA" w14:textId="77777777" w:rsidR="005D1745" w:rsidRDefault="004B6ABE">
      <w:pPr>
        <w:pStyle w:val="2"/>
      </w:pPr>
      <w:r>
        <w:t xml:space="preserve"> </w:t>
      </w:r>
      <w:bookmarkStart w:id="1169" w:name="_Toc22229"/>
      <w:bookmarkStart w:id="1170" w:name="_Toc12483"/>
      <w:bookmarkStart w:id="1171" w:name="_Toc3006"/>
      <w:bookmarkStart w:id="1172" w:name="_Toc30943"/>
      <w:bookmarkStart w:id="1173" w:name="_Toc17068"/>
      <w:bookmarkStart w:id="1174" w:name="_Toc412"/>
      <w:bookmarkStart w:id="1175" w:name="_Toc26037"/>
      <w:bookmarkStart w:id="1176" w:name="_Toc3437"/>
      <w:bookmarkStart w:id="1177" w:name="_Toc1263"/>
      <w:bookmarkStart w:id="1178" w:name="_Toc5460"/>
      <w:bookmarkStart w:id="1179" w:name="_Toc15422"/>
      <w:bookmarkStart w:id="1180" w:name="_Toc22522"/>
      <w:bookmarkStart w:id="1181" w:name="_Toc3579"/>
      <w:bookmarkStart w:id="1182" w:name="_Toc5086"/>
      <w:bookmarkStart w:id="1183" w:name="_Toc1306"/>
      <w:bookmarkStart w:id="1184" w:name="_Toc30837"/>
      <w:bookmarkStart w:id="1185" w:name="_Toc4182"/>
      <w:bookmarkStart w:id="1186" w:name="_Toc14705"/>
      <w:bookmarkStart w:id="1187" w:name="_Toc26093"/>
      <w:bookmarkStart w:id="1188" w:name="_Toc23677"/>
      <w:bookmarkStart w:id="1189" w:name="_Toc18166"/>
      <w:bookmarkStart w:id="1190" w:name="_Toc25238"/>
      <w:bookmarkStart w:id="1191" w:name="_Toc3233"/>
      <w:bookmarkStart w:id="1192" w:name="_Toc16132"/>
      <w:bookmarkStart w:id="1193" w:name="_Toc29671"/>
      <w:bookmarkStart w:id="1194" w:name="_Toc21467"/>
      <w:bookmarkStart w:id="1195" w:name="_Toc170380207"/>
      <w:r>
        <w:t xml:space="preserve">Conditions for </w:t>
      </w:r>
      <w:r>
        <w:rPr>
          <w:rFonts w:hint="eastAsia"/>
        </w:rPr>
        <w:t>t</w:t>
      </w:r>
      <w:r>
        <w:t xml:space="preserve">erminating the </w:t>
      </w:r>
      <w:r>
        <w:rPr>
          <w:rFonts w:hint="eastAsia"/>
        </w:rPr>
        <w:t>s</w:t>
      </w:r>
      <w:r>
        <w:t>tudy</w:t>
      </w:r>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p>
    <w:p w14:paraId="4D9E7FD7" w14:textId="77777777" w:rsidR="005D1745" w:rsidRDefault="004B6ABE">
      <w:pPr>
        <w:spacing w:after="240"/>
        <w:rPr>
          <w:rFonts w:eastAsia="Times New Roman"/>
          <w:szCs w:val="12"/>
          <w:shd w:val="clear" w:color="auto" w:fill="FFFFFF"/>
        </w:rPr>
      </w:pPr>
      <w:r>
        <w:rPr>
          <w:rFonts w:eastAsia="Times New Roman"/>
          <w:szCs w:val="12"/>
          <w:shd w:val="clear" w:color="auto" w:fill="FFFFFF"/>
        </w:rPr>
        <w:t>The sponsor and the principal investigator reserve the right to terminate the study at any time. When terminating the study, both the sponsor and the principal investigator will ensure that the interests of the patients are fully considered.</w:t>
      </w:r>
    </w:p>
    <w:p w14:paraId="51DC0D22" w14:textId="77777777" w:rsidR="005D1745" w:rsidRDefault="004B6ABE">
      <w:pPr>
        <w:pStyle w:val="2"/>
      </w:pPr>
      <w:r>
        <w:t xml:space="preserve"> </w:t>
      </w:r>
      <w:bookmarkStart w:id="1196" w:name="_Toc1986"/>
      <w:bookmarkStart w:id="1197" w:name="_Toc7619"/>
      <w:bookmarkStart w:id="1198" w:name="_Toc17767"/>
      <w:bookmarkStart w:id="1199" w:name="_Toc25704"/>
      <w:bookmarkStart w:id="1200" w:name="_Toc28671"/>
      <w:bookmarkStart w:id="1201" w:name="_Toc17667"/>
      <w:bookmarkStart w:id="1202" w:name="_Toc13569"/>
      <w:bookmarkStart w:id="1203" w:name="_Toc30472"/>
      <w:bookmarkStart w:id="1204" w:name="_Toc16719"/>
      <w:bookmarkStart w:id="1205" w:name="_Toc15287"/>
      <w:bookmarkStart w:id="1206" w:name="_Toc23348"/>
      <w:bookmarkStart w:id="1207" w:name="_Toc24938"/>
      <w:bookmarkStart w:id="1208" w:name="_Toc13660"/>
      <w:bookmarkStart w:id="1209" w:name="_Toc28391"/>
      <w:bookmarkStart w:id="1210" w:name="_Toc3316"/>
      <w:bookmarkStart w:id="1211" w:name="_Toc25057"/>
      <w:bookmarkStart w:id="1212" w:name="_Toc25092"/>
      <w:bookmarkStart w:id="1213" w:name="_Toc21251"/>
      <w:bookmarkStart w:id="1214" w:name="_Toc16156"/>
      <w:bookmarkStart w:id="1215" w:name="_Toc30036"/>
      <w:bookmarkStart w:id="1216" w:name="_Toc18798"/>
      <w:bookmarkStart w:id="1217" w:name="_Toc30173"/>
      <w:bookmarkStart w:id="1218" w:name="_Toc4166"/>
      <w:bookmarkStart w:id="1219" w:name="_Toc30659"/>
      <w:bookmarkStart w:id="1220" w:name="_Toc24995"/>
      <w:bookmarkStart w:id="1221" w:name="_Toc13964"/>
      <w:bookmarkStart w:id="1222" w:name="_Toc170380208"/>
      <w:r>
        <w:t xml:space="preserve">Preservation of </w:t>
      </w:r>
      <w:r>
        <w:rPr>
          <w:rFonts w:hint="eastAsia"/>
        </w:rPr>
        <w:t>s</w:t>
      </w:r>
      <w:r>
        <w:t xml:space="preserve">tudy </w:t>
      </w:r>
      <w:r>
        <w:rPr>
          <w:rFonts w:hint="eastAsia"/>
        </w:rPr>
        <w:t>d</w:t>
      </w:r>
      <w:r>
        <w:t xml:space="preserve">ocuments, </w:t>
      </w:r>
      <w:r>
        <w:rPr>
          <w:rFonts w:hint="eastAsia"/>
        </w:rPr>
        <w:t>c</w:t>
      </w:r>
      <w:r>
        <w:t xml:space="preserve">ase </w:t>
      </w:r>
      <w:r>
        <w:rPr>
          <w:rFonts w:hint="eastAsia"/>
        </w:rPr>
        <w:t>r</w:t>
      </w:r>
      <w:r>
        <w:t xml:space="preserve">eport </w:t>
      </w:r>
      <w:r>
        <w:rPr>
          <w:rFonts w:hint="eastAsia"/>
        </w:rPr>
        <w:t>f</w:t>
      </w:r>
      <w:r>
        <w:t xml:space="preserve">orms, and </w:t>
      </w:r>
      <w:r>
        <w:rPr>
          <w:rFonts w:hint="eastAsia"/>
        </w:rPr>
        <w:t>r</w:t>
      </w:r>
      <w:r>
        <w:t>ecords</w:t>
      </w:r>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p>
    <w:p w14:paraId="6ECDB31F" w14:textId="77777777" w:rsidR="005D1745" w:rsidRDefault="004B6ABE">
      <w:pPr>
        <w:pStyle w:val="3"/>
      </w:pPr>
      <w:r>
        <w:t xml:space="preserve"> </w:t>
      </w:r>
      <w:bookmarkStart w:id="1223" w:name="_Toc9316"/>
      <w:bookmarkStart w:id="1224" w:name="_Toc24261"/>
      <w:bookmarkStart w:id="1225" w:name="_Toc17488"/>
      <w:bookmarkStart w:id="1226" w:name="_Toc24986"/>
      <w:bookmarkStart w:id="1227" w:name="_Toc8399"/>
      <w:bookmarkStart w:id="1228" w:name="_Toc18731"/>
      <w:bookmarkStart w:id="1229" w:name="_Toc7910"/>
      <w:bookmarkStart w:id="1230" w:name="_Toc10070"/>
      <w:bookmarkStart w:id="1231" w:name="_Toc23647"/>
      <w:bookmarkStart w:id="1232" w:name="_Toc7420"/>
      <w:bookmarkStart w:id="1233" w:name="_Toc11672"/>
      <w:bookmarkStart w:id="1234" w:name="_Toc24964"/>
      <w:bookmarkStart w:id="1235" w:name="_Toc3775"/>
      <w:bookmarkStart w:id="1236" w:name="_Toc1340"/>
      <w:bookmarkStart w:id="1237" w:name="_Toc8392"/>
      <w:bookmarkStart w:id="1238" w:name="_Toc24545"/>
      <w:bookmarkStart w:id="1239" w:name="_Toc26018"/>
      <w:bookmarkStart w:id="1240" w:name="_Toc29756"/>
      <w:bookmarkStart w:id="1241" w:name="_Toc12886"/>
      <w:bookmarkStart w:id="1242" w:name="_Toc14542"/>
      <w:bookmarkStart w:id="1243" w:name="_Toc12501"/>
      <w:bookmarkStart w:id="1244" w:name="_Toc11082"/>
      <w:bookmarkStart w:id="1245" w:name="_Toc5790"/>
      <w:bookmarkStart w:id="1246" w:name="_Toc6260"/>
      <w:bookmarkStart w:id="1247" w:name="_Toc170380209"/>
      <w:r>
        <w:t xml:space="preserve">Preservation of </w:t>
      </w:r>
      <w:r>
        <w:rPr>
          <w:rFonts w:hint="eastAsia"/>
        </w:rPr>
        <w:t>i</w:t>
      </w:r>
      <w:r>
        <w:t xml:space="preserve">nvestigator </w:t>
      </w:r>
      <w:r>
        <w:rPr>
          <w:rFonts w:hint="eastAsia"/>
        </w:rPr>
        <w:t>d</w:t>
      </w:r>
      <w:r>
        <w:t>ocuments</w:t>
      </w:r>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p>
    <w:p w14:paraId="405BE968" w14:textId="77777777" w:rsidR="005D1745" w:rsidRDefault="004B6ABE">
      <w:pPr>
        <w:spacing w:after="240"/>
        <w:rPr>
          <w:rFonts w:eastAsia="Times New Roman"/>
          <w:bCs/>
          <w:szCs w:val="12"/>
          <w:shd w:val="clear" w:color="auto" w:fill="FFFFFF"/>
        </w:rPr>
      </w:pPr>
      <w:r>
        <w:rPr>
          <w:rFonts w:eastAsia="Times New Roman"/>
          <w:bCs/>
          <w:szCs w:val="12"/>
          <w:shd w:val="clear" w:color="auto" w:fill="FFFFFF"/>
        </w:rPr>
        <w:t>To ensure that the implementation of the study is fully recorded and that the study data can be subsequently verified, the investigator must retain comprehensive and accurate records during the conduct of the study. These documents should be divided into two different categories: (1) investigator's study documents, and (2) patient clinical source records.</w:t>
      </w:r>
    </w:p>
    <w:p w14:paraId="7F0CD2DE" w14:textId="63C3001C" w:rsidR="005D1745" w:rsidRDefault="004B6ABE">
      <w:pPr>
        <w:spacing w:after="240"/>
        <w:rPr>
          <w:rFonts w:eastAsia="Times New Roman"/>
          <w:bCs/>
          <w:szCs w:val="12"/>
          <w:shd w:val="clear" w:color="auto" w:fill="FFFFFF"/>
        </w:rPr>
      </w:pPr>
      <w:r>
        <w:rPr>
          <w:rFonts w:eastAsia="Times New Roman"/>
          <w:bCs/>
          <w:szCs w:val="12"/>
          <w:shd w:val="clear" w:color="auto" w:fill="FFFFFF"/>
        </w:rPr>
        <w:t>The investigator's study documents include the trial protocol and revisions, approval documents from independent ethics committees and governments, informed consent form samples, drug-related records, personnel resume</w:t>
      </w:r>
      <w:r w:rsidR="00582789">
        <w:rPr>
          <w:rFonts w:eastAsia="Times New Roman"/>
          <w:bCs/>
          <w:szCs w:val="12"/>
          <w:shd w:val="clear" w:color="auto" w:fill="FFFFFF"/>
        </w:rPr>
        <w:t>’</w:t>
      </w:r>
      <w:r>
        <w:rPr>
          <w:rFonts w:eastAsia="Times New Roman"/>
          <w:bCs/>
          <w:szCs w:val="12"/>
          <w:shd w:val="clear" w:color="auto" w:fill="FFFFFF"/>
        </w:rPr>
        <w:t>s, and other relevant documents/communications, etc.</w:t>
      </w:r>
    </w:p>
    <w:p w14:paraId="7FBD6C3A" w14:textId="01EE39C7" w:rsidR="005D1745" w:rsidRDefault="00631595">
      <w:pPr>
        <w:spacing w:after="240"/>
        <w:rPr>
          <w:rFonts w:eastAsia="Times New Roman"/>
          <w:bCs/>
          <w:szCs w:val="12"/>
          <w:shd w:val="clear" w:color="auto" w:fill="FFFFFF"/>
        </w:rPr>
      </w:pPr>
      <w:r w:rsidRPr="00631595">
        <w:rPr>
          <w:rFonts w:eastAsia="Times New Roman"/>
          <w:bCs/>
          <w:szCs w:val="12"/>
          <w:shd w:val="clear" w:color="auto" w:fill="FFFFFF"/>
        </w:rPr>
        <w:t xml:space="preserve">Clinical source documents (typically predefined before the study begins and recorded outside of the case </w:t>
      </w:r>
      <w:r w:rsidRPr="00631595">
        <w:rPr>
          <w:rFonts w:eastAsia="Times New Roman"/>
          <w:bCs/>
          <w:szCs w:val="12"/>
          <w:shd w:val="clear" w:color="auto" w:fill="FFFFFF"/>
        </w:rPr>
        <w:lastRenderedPageBreak/>
        <w:t>report forms, containing critical efficacy/safety parameters), usually including inpatient/outpatient records, physicians’ and nurses’ notes, appointment schedules, original laboratory reports, electrocardiograms (ECGs), imaging reports, pathology reports, and specialized assessment reports, signed informed consent forms, consulting letters, patient screening and enrollment forms</w:t>
      </w:r>
      <w:r>
        <w:rPr>
          <w:rFonts w:eastAsia="Times New Roman"/>
          <w:bCs/>
          <w:szCs w:val="12"/>
          <w:shd w:val="clear" w:color="auto" w:fill="FFFFFF"/>
        </w:rPr>
        <w:t xml:space="preserve">. </w:t>
      </w:r>
      <w:r w:rsidRPr="00231ADC">
        <w:rPr>
          <w:rFonts w:eastAsia="Times New Roman"/>
          <w:bCs/>
          <w:szCs w:val="12"/>
          <w:shd w:val="clear" w:color="auto" w:fill="FFFFFF"/>
        </w:rPr>
        <w:t xml:space="preserve">At least 15 years after the study is completed or terminated, researchers must retain both types of documentation. After this period, these documents may be destroyed in accordance with local procedures. If </w:t>
      </w:r>
      <w:r>
        <w:rPr>
          <w:rFonts w:eastAsia="Times New Roman"/>
          <w:bCs/>
          <w:szCs w:val="12"/>
          <w:shd w:val="clear" w:color="auto" w:fill="FFFFFF"/>
        </w:rPr>
        <w:t>investigator</w:t>
      </w:r>
      <w:r w:rsidRPr="00231ADC">
        <w:rPr>
          <w:rFonts w:eastAsia="Times New Roman"/>
          <w:bCs/>
          <w:szCs w:val="12"/>
          <w:shd w:val="clear" w:color="auto" w:fill="FFFFFF"/>
        </w:rPr>
        <w:t>s intend to transfer these study records to another organization or ship them to another location, they must notify the sponsor in advance.</w:t>
      </w:r>
    </w:p>
    <w:p w14:paraId="11BF7F45" w14:textId="77777777" w:rsidR="005D1745" w:rsidRDefault="004B6ABE">
      <w:pPr>
        <w:spacing w:after="240"/>
        <w:rPr>
          <w:rFonts w:eastAsia="Times New Roman"/>
          <w:bCs/>
          <w:szCs w:val="12"/>
          <w:shd w:val="clear" w:color="auto" w:fill="FFFFFF"/>
        </w:rPr>
      </w:pPr>
      <w:r>
        <w:rPr>
          <w:rFonts w:eastAsia="Times New Roman"/>
          <w:bCs/>
          <w:szCs w:val="12"/>
          <w:shd w:val="clear" w:color="auto" w:fill="FFFFFF"/>
        </w:rPr>
        <w:t>If the investigator cannot guarantee the archiving requirements for any or all documents at the research site, the investigator and the sponsor should make special arrangements to seal and store these materials off-site, so that if there is a regulatory audit, the sealed documents can be returned to the investigator. If the patient needs the original records for subsequent treatment, then the corresponding photocopies should be preserved outside the research center.</w:t>
      </w:r>
    </w:p>
    <w:p w14:paraId="1D64B677" w14:textId="77777777" w:rsidR="005D1745" w:rsidRDefault="004B6ABE">
      <w:pPr>
        <w:pStyle w:val="3"/>
      </w:pPr>
      <w:r>
        <w:rPr>
          <w:rFonts w:hint="eastAsia"/>
        </w:rPr>
        <w:t xml:space="preserve"> </w:t>
      </w:r>
      <w:bookmarkStart w:id="1248" w:name="_Toc23805"/>
      <w:bookmarkStart w:id="1249" w:name="_Toc8155"/>
      <w:bookmarkStart w:id="1250" w:name="_Toc31013"/>
      <w:bookmarkStart w:id="1251" w:name="_Toc14617"/>
      <w:bookmarkStart w:id="1252" w:name="_Toc12419"/>
      <w:bookmarkStart w:id="1253" w:name="_Toc1911"/>
      <w:bookmarkStart w:id="1254" w:name="_Toc27221"/>
      <w:bookmarkStart w:id="1255" w:name="_Toc24516"/>
      <w:bookmarkStart w:id="1256" w:name="_Toc21124"/>
      <w:bookmarkStart w:id="1257" w:name="_Toc11830"/>
      <w:bookmarkStart w:id="1258" w:name="_Toc22825"/>
      <w:bookmarkStart w:id="1259" w:name="_Toc22939"/>
      <w:bookmarkStart w:id="1260" w:name="_Toc10586"/>
      <w:bookmarkStart w:id="1261" w:name="_Toc20184"/>
      <w:bookmarkStart w:id="1262" w:name="_Toc13869"/>
      <w:bookmarkStart w:id="1263" w:name="_Toc30749"/>
      <w:bookmarkStart w:id="1264" w:name="_Toc31884"/>
      <w:bookmarkStart w:id="1265" w:name="_Toc1347"/>
      <w:bookmarkStart w:id="1266" w:name="_Toc9738"/>
      <w:bookmarkStart w:id="1267" w:name="_Toc69"/>
      <w:bookmarkStart w:id="1268" w:name="_Toc23009"/>
      <w:bookmarkStart w:id="1269" w:name="_Toc19456"/>
      <w:bookmarkStart w:id="1270" w:name="_Toc21824"/>
      <w:bookmarkStart w:id="1271" w:name="_Toc21572"/>
      <w:bookmarkStart w:id="1272" w:name="_Toc170380210"/>
      <w:r>
        <w:t xml:space="preserve">Original </w:t>
      </w:r>
      <w:r>
        <w:rPr>
          <w:rFonts w:hint="eastAsia"/>
        </w:rPr>
        <w:t>r</w:t>
      </w:r>
      <w:r>
        <w:t xml:space="preserve">ecords and </w:t>
      </w:r>
      <w:r>
        <w:rPr>
          <w:rFonts w:hint="eastAsia"/>
        </w:rPr>
        <w:t>b</w:t>
      </w:r>
      <w:r>
        <w:t xml:space="preserve">ackground </w:t>
      </w:r>
      <w:r>
        <w:rPr>
          <w:rFonts w:hint="eastAsia"/>
        </w:rPr>
        <w:t>d</w:t>
      </w:r>
      <w:r>
        <w:t xml:space="preserve">ata </w:t>
      </w:r>
      <w:r>
        <w:rPr>
          <w:rFonts w:hint="eastAsia"/>
        </w:rPr>
        <w:t>i</w:t>
      </w:r>
      <w:r>
        <w:t>nformation</w:t>
      </w:r>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p>
    <w:p w14:paraId="7AE905B2" w14:textId="77777777" w:rsidR="005D1745" w:rsidRDefault="004B6ABE">
      <w:pPr>
        <w:spacing w:after="240"/>
        <w:rPr>
          <w:rFonts w:eastAsia="Times New Roman"/>
          <w:bCs/>
          <w:szCs w:val="12"/>
          <w:shd w:val="clear" w:color="auto" w:fill="FFFFFF"/>
        </w:rPr>
      </w:pPr>
      <w:r>
        <w:rPr>
          <w:rFonts w:eastAsia="Times New Roman"/>
          <w:bCs/>
          <w:szCs w:val="12"/>
          <w:shd w:val="clear" w:color="auto" w:fill="FFFFFF"/>
        </w:rPr>
        <w:t>Investigators should provide any background data information required by the sponsor from the study documents and clinical record data as needed, especially when there is a suspicion of errors occurring in data transcription, which is even more important. It should also be necessary to be able to access the complete study records in the event of special problems and/or government inquiries or requests for audit inspections, while at the same time ensuring the protection of patient privacy rights.</w:t>
      </w:r>
    </w:p>
    <w:p w14:paraId="0A228F83" w14:textId="77777777" w:rsidR="005D1745" w:rsidRDefault="004B6ABE">
      <w:pPr>
        <w:pStyle w:val="3"/>
      </w:pPr>
      <w:r>
        <w:t xml:space="preserve"> </w:t>
      </w:r>
      <w:bookmarkStart w:id="1273" w:name="_Toc7950"/>
      <w:bookmarkStart w:id="1274" w:name="_Toc16607"/>
      <w:bookmarkStart w:id="1275" w:name="_Toc17749"/>
      <w:bookmarkStart w:id="1276" w:name="_Toc16764"/>
      <w:bookmarkStart w:id="1277" w:name="_Toc20821"/>
      <w:bookmarkStart w:id="1278" w:name="_Toc15507"/>
      <w:bookmarkStart w:id="1279" w:name="_Toc5960"/>
      <w:bookmarkStart w:id="1280" w:name="_Toc5816"/>
      <w:bookmarkStart w:id="1281" w:name="_Toc17498"/>
      <w:bookmarkStart w:id="1282" w:name="_Toc20136"/>
      <w:bookmarkStart w:id="1283" w:name="_Toc16782"/>
      <w:bookmarkStart w:id="1284" w:name="_Toc7983"/>
      <w:bookmarkStart w:id="1285" w:name="_Toc24879"/>
      <w:bookmarkStart w:id="1286" w:name="_Toc27284"/>
      <w:bookmarkStart w:id="1287" w:name="_Toc5046"/>
      <w:bookmarkStart w:id="1288" w:name="_Toc20067"/>
      <w:bookmarkStart w:id="1289" w:name="_Toc9125"/>
      <w:bookmarkStart w:id="1290" w:name="_Toc7960"/>
      <w:bookmarkStart w:id="1291" w:name="_Toc664"/>
      <w:bookmarkStart w:id="1292" w:name="_Toc24629"/>
      <w:bookmarkStart w:id="1293" w:name="_Toc32248"/>
      <w:bookmarkStart w:id="1294" w:name="_Toc21877"/>
      <w:bookmarkStart w:id="1295" w:name="_Toc28871"/>
      <w:bookmarkStart w:id="1296" w:name="_Toc29330"/>
      <w:bookmarkStart w:id="1297" w:name="_Toc170380211"/>
      <w:r>
        <w:t xml:space="preserve">Audit and </w:t>
      </w:r>
      <w:r>
        <w:rPr>
          <w:rFonts w:hint="eastAsia"/>
        </w:rPr>
        <w:t>i</w:t>
      </w:r>
      <w:r>
        <w:t>nspection</w:t>
      </w:r>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p>
    <w:p w14:paraId="053FFEF1" w14:textId="77777777" w:rsidR="005D1745" w:rsidRDefault="004B6ABE">
      <w:pPr>
        <w:spacing w:after="240"/>
        <w:rPr>
          <w:rFonts w:eastAsia="Times New Roman"/>
          <w:bCs/>
          <w:szCs w:val="12"/>
          <w:shd w:val="clear" w:color="auto" w:fill="FFFFFF"/>
        </w:rPr>
      </w:pPr>
      <w:r>
        <w:rPr>
          <w:rFonts w:eastAsia="Times New Roman"/>
          <w:bCs/>
          <w:szCs w:val="12"/>
          <w:shd w:val="clear" w:color="auto" w:fill="FFFFFF"/>
        </w:rPr>
        <w:t>Investigators should be aware that upon receiving formal notice, they should prepare the original records related to the study and provide them to the qualified personnel or their designated individuals, or to the inspectors from the health department. The reconciliation of data in the case report forms must be directly checked against the original records.</w:t>
      </w:r>
    </w:p>
    <w:p w14:paraId="206C4EA5" w14:textId="77777777" w:rsidR="005D1745" w:rsidRDefault="004B6ABE">
      <w:pPr>
        <w:pStyle w:val="3"/>
      </w:pPr>
      <w:r>
        <w:t xml:space="preserve"> </w:t>
      </w:r>
      <w:bookmarkStart w:id="1298" w:name="_Toc31177"/>
      <w:bookmarkStart w:id="1299" w:name="_Toc1721"/>
      <w:bookmarkStart w:id="1300" w:name="_Toc579"/>
      <w:bookmarkStart w:id="1301" w:name="_Toc30216"/>
      <w:bookmarkStart w:id="1302" w:name="_Toc15819"/>
      <w:bookmarkStart w:id="1303" w:name="_Toc6449"/>
      <w:bookmarkStart w:id="1304" w:name="_Toc12896"/>
      <w:bookmarkStart w:id="1305" w:name="_Toc13600"/>
      <w:bookmarkStart w:id="1306" w:name="_Toc27019"/>
      <w:bookmarkStart w:id="1307" w:name="_Toc12834"/>
      <w:bookmarkStart w:id="1308" w:name="_Toc10242"/>
      <w:bookmarkStart w:id="1309" w:name="_Toc17805"/>
      <w:bookmarkStart w:id="1310" w:name="_Toc6188"/>
      <w:bookmarkStart w:id="1311" w:name="_Toc5868"/>
      <w:bookmarkStart w:id="1312" w:name="_Toc17445"/>
      <w:bookmarkStart w:id="1313" w:name="_Toc18296"/>
      <w:bookmarkStart w:id="1314" w:name="_Toc733"/>
      <w:bookmarkStart w:id="1315" w:name="_Toc214"/>
      <w:bookmarkStart w:id="1316" w:name="_Toc14687"/>
      <w:bookmarkStart w:id="1317" w:name="_Toc30510"/>
      <w:bookmarkStart w:id="1318" w:name="_Toc32132"/>
      <w:bookmarkStart w:id="1319" w:name="_Toc13526"/>
      <w:bookmarkStart w:id="1320" w:name="_Toc8661"/>
      <w:bookmarkStart w:id="1321" w:name="_Toc13634"/>
      <w:bookmarkStart w:id="1322" w:name="_Toc170380212"/>
      <w:r>
        <w:t xml:space="preserve">Case </w:t>
      </w:r>
      <w:r>
        <w:rPr>
          <w:rFonts w:hint="eastAsia"/>
        </w:rPr>
        <w:t>r</w:t>
      </w:r>
      <w:r>
        <w:t xml:space="preserve">eport </w:t>
      </w:r>
      <w:r>
        <w:rPr>
          <w:rFonts w:hint="eastAsia"/>
        </w:rPr>
        <w:t>f</w:t>
      </w:r>
      <w:r>
        <w:t>orms</w:t>
      </w:r>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p>
    <w:p w14:paraId="763B3CC9" w14:textId="77777777" w:rsidR="005D1745" w:rsidRDefault="004B6ABE">
      <w:pPr>
        <w:spacing w:after="240"/>
        <w:rPr>
          <w:rFonts w:eastAsia="Times New Roman"/>
          <w:bCs/>
          <w:szCs w:val="12"/>
          <w:shd w:val="clear" w:color="auto" w:fill="FFFFFF"/>
        </w:rPr>
      </w:pPr>
      <w:r>
        <w:rPr>
          <w:rFonts w:eastAsia="Times New Roman"/>
          <w:bCs/>
          <w:szCs w:val="12"/>
          <w:shd w:val="clear" w:color="auto" w:fill="FFFFFF"/>
        </w:rPr>
        <w:t>For each enrolled patient, the Case Report Forms (CRF) must be completed and signed by the principal investigator or a representative authorized by the principal investigator or his/her delegates. This also applies to the CRF records of patients who failed to complete the trial (even during the screening period, if the case report form has been filled out). If a patient withdraws from the treatment study, the reason for withdrawal must be recorded on the CRF. If a patient withdraws from the study due to a treatment-limiting adverse event, a comprehensive effort should be made to clearly document the outcome. Investigators should ensure the accuracy, completeness, legibility, and timeliness of the data reported in the CRFs and all required reports to the sponsor.</w:t>
      </w:r>
    </w:p>
    <w:p w14:paraId="781D54EB" w14:textId="77777777" w:rsidR="005D1745" w:rsidRDefault="004B6ABE">
      <w:pPr>
        <w:pStyle w:val="1"/>
        <w:spacing w:before="240"/>
      </w:pPr>
      <w:r>
        <w:lastRenderedPageBreak/>
        <w:t xml:space="preserve"> </w:t>
      </w:r>
      <w:bookmarkStart w:id="1323" w:name="_Toc18856"/>
      <w:bookmarkStart w:id="1324" w:name="_Toc21215"/>
      <w:bookmarkStart w:id="1325" w:name="_Toc25190"/>
      <w:bookmarkStart w:id="1326" w:name="_Toc2498"/>
      <w:bookmarkStart w:id="1327" w:name="_Toc30229"/>
      <w:bookmarkStart w:id="1328" w:name="_Toc17821"/>
      <w:bookmarkStart w:id="1329" w:name="_Toc5687"/>
      <w:bookmarkStart w:id="1330" w:name="_Toc15472"/>
      <w:bookmarkStart w:id="1331" w:name="_Toc30338"/>
      <w:bookmarkStart w:id="1332" w:name="_Toc15563"/>
      <w:bookmarkStart w:id="1333" w:name="_Toc25268"/>
      <w:bookmarkStart w:id="1334" w:name="_Toc28297"/>
      <w:bookmarkStart w:id="1335" w:name="_Toc11364"/>
      <w:bookmarkStart w:id="1336" w:name="_Toc14408"/>
      <w:bookmarkStart w:id="1337" w:name="_Toc31021"/>
      <w:bookmarkStart w:id="1338" w:name="_Toc31427"/>
      <w:bookmarkStart w:id="1339" w:name="_Toc13451"/>
      <w:bookmarkStart w:id="1340" w:name="_Toc15875"/>
      <w:bookmarkStart w:id="1341" w:name="_Toc26109"/>
      <w:bookmarkStart w:id="1342" w:name="_Toc32574"/>
      <w:bookmarkStart w:id="1343" w:name="_Toc26119"/>
      <w:bookmarkStart w:id="1344" w:name="_Toc7401"/>
      <w:bookmarkStart w:id="1345" w:name="_Toc19017"/>
      <w:bookmarkStart w:id="1346" w:name="_Toc10062"/>
      <w:bookmarkStart w:id="1347" w:name="_Toc20331"/>
      <w:bookmarkStart w:id="1348" w:name="_Toc4220"/>
      <w:bookmarkStart w:id="1349" w:name="_Toc170380213"/>
      <w:r>
        <w:rPr>
          <w:rFonts w:hint="eastAsia"/>
        </w:rPr>
        <w:t>MONITORING OF THE STUDY</w:t>
      </w:r>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p>
    <w:p w14:paraId="5DE83C26" w14:textId="77777777" w:rsidR="005D1745" w:rsidRDefault="004B6ABE">
      <w:pPr>
        <w:spacing w:after="240"/>
        <w:rPr>
          <w:rFonts w:eastAsia="Times New Roman"/>
          <w:bCs/>
          <w:szCs w:val="12"/>
          <w:shd w:val="clear" w:color="auto" w:fill="FFFFFF"/>
        </w:rPr>
      </w:pPr>
      <w:r>
        <w:rPr>
          <w:rFonts w:eastAsia="Times New Roman"/>
          <w:bCs/>
          <w:szCs w:val="12"/>
          <w:shd w:val="clear" w:color="auto" w:fill="FFFFFF"/>
        </w:rPr>
        <w:t>If patient confidentiality meets local requirements, the responsible monitor (or designee) will regularly contact and visit the investigator and be allowed to inspect various trial records (case report forms and other relevant data) as required.</w:t>
      </w:r>
    </w:p>
    <w:p w14:paraId="6CE92004" w14:textId="77777777" w:rsidR="005D1745" w:rsidRDefault="004B6ABE">
      <w:pPr>
        <w:spacing w:after="240"/>
        <w:rPr>
          <w:rFonts w:eastAsia="Times New Roman"/>
          <w:bCs/>
          <w:szCs w:val="12"/>
          <w:shd w:val="clear" w:color="auto" w:fill="FFFFFF"/>
        </w:rPr>
      </w:pPr>
      <w:r>
        <w:rPr>
          <w:rFonts w:eastAsia="Times New Roman"/>
          <w:bCs/>
          <w:szCs w:val="12"/>
          <w:shd w:val="clear" w:color="auto" w:fill="FFFFFF"/>
        </w:rPr>
        <w:t>Throughout the entire study period, the monitor is responsible for regularly checking the case report forms, verifying compliance with the study protocol, and checking the completeness, consistency, and accuracy of the entered data. The monitor should have access to laboratory test reports and other patient records to verify the entries on the case report forms. Investigators (or their designated personnel) agree to cooperate with the monitor to ensure that any issues identified during these monitoring visits are resolved.</w:t>
      </w:r>
    </w:p>
    <w:p w14:paraId="745E1F47" w14:textId="22B16DAC" w:rsidR="005D1745" w:rsidRDefault="004B6ABE">
      <w:pPr>
        <w:pStyle w:val="1"/>
        <w:spacing w:before="240"/>
      </w:pPr>
      <w:bookmarkStart w:id="1350" w:name="_Toc264453865"/>
      <w:bookmarkStart w:id="1351" w:name="_Toc290378755"/>
      <w:bookmarkStart w:id="1352" w:name="_Toc14952"/>
      <w:bookmarkStart w:id="1353" w:name="_Toc290380429"/>
      <w:bookmarkStart w:id="1354" w:name="_Toc288207713"/>
      <w:bookmarkStart w:id="1355" w:name="_Toc269135896"/>
      <w:bookmarkStart w:id="1356" w:name="_Toc352012059"/>
      <w:bookmarkStart w:id="1357" w:name="_Toc290380739"/>
      <w:r>
        <w:t xml:space="preserve"> </w:t>
      </w:r>
      <w:bookmarkStart w:id="1358" w:name="_Toc29991"/>
      <w:bookmarkStart w:id="1359" w:name="_Toc8146"/>
      <w:bookmarkStart w:id="1360" w:name="_Toc14332"/>
      <w:bookmarkStart w:id="1361" w:name="_Toc17668"/>
      <w:bookmarkStart w:id="1362" w:name="_Toc29167"/>
      <w:bookmarkStart w:id="1363" w:name="_Toc17330"/>
      <w:bookmarkStart w:id="1364" w:name="_Toc13"/>
      <w:bookmarkStart w:id="1365" w:name="_Toc15432"/>
      <w:bookmarkStart w:id="1366" w:name="_Toc1047"/>
      <w:bookmarkStart w:id="1367" w:name="_Toc30213"/>
      <w:bookmarkStart w:id="1368" w:name="_Toc12806"/>
      <w:bookmarkStart w:id="1369" w:name="_Toc23831"/>
      <w:bookmarkStart w:id="1370" w:name="_Toc27701"/>
      <w:bookmarkStart w:id="1371" w:name="_Toc5358"/>
      <w:bookmarkStart w:id="1372" w:name="_Toc31824"/>
      <w:bookmarkStart w:id="1373" w:name="_Toc25076"/>
      <w:bookmarkStart w:id="1374" w:name="_Toc25171"/>
      <w:bookmarkStart w:id="1375" w:name="_Toc15317"/>
      <w:bookmarkStart w:id="1376" w:name="_Toc12279"/>
      <w:bookmarkStart w:id="1377" w:name="_Toc10773"/>
      <w:bookmarkStart w:id="1378" w:name="_Toc16966"/>
      <w:bookmarkStart w:id="1379" w:name="_Toc16538"/>
      <w:bookmarkStart w:id="1380" w:name="_Toc23527"/>
      <w:bookmarkStart w:id="1381" w:name="_Toc2707"/>
      <w:bookmarkStart w:id="1382" w:name="_Toc14363"/>
      <w:bookmarkStart w:id="1383" w:name="_Toc3101"/>
      <w:bookmarkStart w:id="1384" w:name="_Toc170380214"/>
      <w:bookmarkEnd w:id="1350"/>
      <w:bookmarkEnd w:id="1351"/>
      <w:bookmarkEnd w:id="1352"/>
      <w:bookmarkEnd w:id="1353"/>
      <w:bookmarkEnd w:id="1354"/>
      <w:bookmarkEnd w:id="1355"/>
      <w:bookmarkEnd w:id="1356"/>
      <w:bookmarkEnd w:id="1357"/>
      <w:r>
        <w:rPr>
          <w:rFonts w:hint="eastAsia"/>
        </w:rPr>
        <w:t xml:space="preserve">PUBLICATION OF RESEARCH </w:t>
      </w:r>
      <w:r w:rsidR="00CE7A5E">
        <w:t>DATA</w:t>
      </w:r>
      <w:r>
        <w:rPr>
          <w:rFonts w:hint="eastAsia"/>
        </w:rPr>
        <w:t xml:space="preserve"> AND PROTECTION OF TRADE </w:t>
      </w:r>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r w:rsidR="00CE7A5E">
        <w:t>SECRETS</w:t>
      </w:r>
    </w:p>
    <w:p w14:paraId="23C83F1A" w14:textId="199F5567" w:rsidR="005D1745" w:rsidRDefault="004B6ABE">
      <w:pPr>
        <w:pStyle w:val="Default"/>
        <w:spacing w:afterLines="100" w:after="240" w:line="360" w:lineRule="auto"/>
        <w:jc w:val="both"/>
        <w:rPr>
          <w:color w:val="auto"/>
          <w:sz w:val="21"/>
          <w:szCs w:val="21"/>
        </w:rPr>
      </w:pPr>
      <w:r>
        <w:rPr>
          <w:color w:val="auto"/>
          <w:sz w:val="21"/>
          <w:szCs w:val="21"/>
        </w:rPr>
        <w:t xml:space="preserve">The results of the study may be published or presented at scientific conferences. If this is foreseeable, investigator should commit to submitting all manuscripts or abstracts to the sponsor before submission, which allows the sponsor to protect proprietary information. At the same time, it helps </w:t>
      </w:r>
      <w:r w:rsidR="00607E6C">
        <w:rPr>
          <w:color w:val="auto"/>
          <w:sz w:val="21"/>
          <w:szCs w:val="21"/>
        </w:rPr>
        <w:t xml:space="preserve">for </w:t>
      </w:r>
      <w:r>
        <w:rPr>
          <w:color w:val="auto"/>
          <w:sz w:val="21"/>
          <w:szCs w:val="21"/>
        </w:rPr>
        <w:t xml:space="preserve">the sponsor to provide corresponding suggestions </w:t>
      </w:r>
      <w:r w:rsidR="00607E6C">
        <w:rPr>
          <w:color w:val="auto"/>
          <w:sz w:val="21"/>
          <w:szCs w:val="21"/>
        </w:rPr>
        <w:t xml:space="preserve">for the investigator </w:t>
      </w:r>
      <w:r>
        <w:rPr>
          <w:color w:val="auto"/>
          <w:sz w:val="21"/>
          <w:szCs w:val="21"/>
        </w:rPr>
        <w:t>based on information from other studies that the investigator cannot obtain.</w:t>
      </w:r>
      <w:r>
        <w:t xml:space="preserve"> </w:t>
      </w:r>
      <w:r>
        <w:rPr>
          <w:color w:val="auto"/>
          <w:sz w:val="21"/>
          <w:szCs w:val="21"/>
        </w:rPr>
        <w:t xml:space="preserve">In accordance with publishing standards and ethical guidelines, support the publication of </w:t>
      </w:r>
      <w:r>
        <w:rPr>
          <w:shd w:val="clear" w:color="auto" w:fill="FFFFFF"/>
        </w:rPr>
        <w:t>overall</w:t>
      </w:r>
      <w:r>
        <w:rPr>
          <w:color w:val="auto"/>
          <w:sz w:val="21"/>
          <w:szCs w:val="21"/>
        </w:rPr>
        <w:t xml:space="preserve"> research data from multicenter studies rather than data from individual centers. In such cases, a coordinating investigator will be appointed following mutual consent. </w:t>
      </w:r>
    </w:p>
    <w:p w14:paraId="65456946" w14:textId="77777777" w:rsidR="005D1745" w:rsidRDefault="004B6ABE">
      <w:pPr>
        <w:pStyle w:val="1"/>
        <w:spacing w:before="240"/>
      </w:pPr>
      <w:bookmarkStart w:id="1385" w:name="_Toc290378756"/>
      <w:bookmarkStart w:id="1386" w:name="_Toc30869"/>
      <w:bookmarkStart w:id="1387" w:name="_Toc288207714"/>
      <w:bookmarkStart w:id="1388" w:name="_Toc290380430"/>
      <w:bookmarkStart w:id="1389" w:name="_Toc352012060"/>
      <w:bookmarkStart w:id="1390" w:name="_Toc290380740"/>
      <w:r>
        <w:t xml:space="preserve"> </w:t>
      </w:r>
      <w:bookmarkStart w:id="1391" w:name="_Toc27501"/>
      <w:bookmarkStart w:id="1392" w:name="_Toc3724"/>
      <w:bookmarkStart w:id="1393" w:name="_Toc25008"/>
      <w:bookmarkStart w:id="1394" w:name="_Toc12901"/>
      <w:bookmarkStart w:id="1395" w:name="_Toc23686"/>
      <w:bookmarkStart w:id="1396" w:name="_Toc21915"/>
      <w:bookmarkStart w:id="1397" w:name="_Toc15631"/>
      <w:bookmarkStart w:id="1398" w:name="_Toc11089"/>
      <w:bookmarkStart w:id="1399" w:name="_Toc23140"/>
      <w:bookmarkStart w:id="1400" w:name="_Toc4947"/>
      <w:bookmarkStart w:id="1401" w:name="_Toc32570"/>
      <w:bookmarkStart w:id="1402" w:name="_Toc24328"/>
      <w:bookmarkStart w:id="1403" w:name="_Toc26174"/>
      <w:bookmarkStart w:id="1404" w:name="_Toc754"/>
      <w:bookmarkStart w:id="1405" w:name="_Toc13188"/>
      <w:bookmarkStart w:id="1406" w:name="_Toc6688"/>
      <w:bookmarkStart w:id="1407" w:name="_Toc22599"/>
      <w:bookmarkStart w:id="1408" w:name="_Toc21878"/>
      <w:bookmarkStart w:id="1409" w:name="_Toc13405"/>
      <w:bookmarkStart w:id="1410" w:name="_Toc184"/>
      <w:bookmarkStart w:id="1411" w:name="_Toc2610"/>
      <w:bookmarkStart w:id="1412" w:name="_Toc6811"/>
      <w:bookmarkStart w:id="1413" w:name="_Toc16482"/>
      <w:bookmarkStart w:id="1414" w:name="_Toc23174"/>
      <w:bookmarkStart w:id="1415" w:name="_Toc22531"/>
      <w:bookmarkStart w:id="1416" w:name="_Toc29819"/>
      <w:bookmarkStart w:id="1417" w:name="_Toc170380215"/>
      <w:bookmarkEnd w:id="1385"/>
      <w:bookmarkEnd w:id="1386"/>
      <w:bookmarkEnd w:id="1387"/>
      <w:bookmarkEnd w:id="1388"/>
      <w:bookmarkEnd w:id="1389"/>
      <w:bookmarkEnd w:id="1390"/>
      <w:r>
        <w:rPr>
          <w:rFonts w:hint="eastAsia"/>
        </w:rPr>
        <w:t>STATISTICAL AND ANALYSIS PLAN</w:t>
      </w:r>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p>
    <w:p w14:paraId="5E771F42" w14:textId="77777777" w:rsidR="005D1745" w:rsidRDefault="004B6ABE">
      <w:pPr>
        <w:pStyle w:val="2"/>
        <w:spacing w:afterLines="100" w:after="240" w:line="360" w:lineRule="auto"/>
        <w:ind w:left="0" w:firstLine="0"/>
        <w:rPr>
          <w:rFonts w:eastAsia="宋体"/>
          <w:sz w:val="21"/>
          <w:szCs w:val="21"/>
        </w:rPr>
      </w:pPr>
      <w:r>
        <w:rPr>
          <w:rFonts w:eastAsia="宋体" w:hint="eastAsia"/>
          <w:sz w:val="21"/>
          <w:szCs w:val="21"/>
        </w:rPr>
        <w:t xml:space="preserve"> </w:t>
      </w:r>
      <w:bookmarkStart w:id="1418" w:name="_Toc8257"/>
      <w:bookmarkStart w:id="1419" w:name="_Toc16171"/>
      <w:bookmarkStart w:id="1420" w:name="_Toc9636"/>
      <w:bookmarkStart w:id="1421" w:name="_Toc16106"/>
      <w:bookmarkStart w:id="1422" w:name="_Toc21802"/>
      <w:bookmarkStart w:id="1423" w:name="_Toc14934"/>
      <w:bookmarkStart w:id="1424" w:name="_Toc13831"/>
      <w:bookmarkStart w:id="1425" w:name="_Toc324"/>
      <w:bookmarkStart w:id="1426" w:name="_Toc30490"/>
      <w:bookmarkStart w:id="1427" w:name="_Toc11479"/>
      <w:bookmarkStart w:id="1428" w:name="_Toc26922"/>
      <w:bookmarkStart w:id="1429" w:name="_Toc29385"/>
      <w:bookmarkStart w:id="1430" w:name="_Toc25625"/>
      <w:bookmarkStart w:id="1431" w:name="_Toc2303"/>
      <w:bookmarkStart w:id="1432" w:name="_Toc29649"/>
      <w:bookmarkStart w:id="1433" w:name="_Toc20211"/>
      <w:bookmarkStart w:id="1434" w:name="_Toc21137"/>
      <w:bookmarkStart w:id="1435" w:name="_Toc3410"/>
      <w:bookmarkStart w:id="1436" w:name="_Toc9945"/>
      <w:bookmarkStart w:id="1437" w:name="_Toc30405"/>
      <w:bookmarkStart w:id="1438" w:name="_Toc19886"/>
      <w:bookmarkStart w:id="1439" w:name="_Toc27957"/>
      <w:bookmarkStart w:id="1440" w:name="_Toc1064"/>
      <w:bookmarkStart w:id="1441" w:name="_Toc15397"/>
      <w:bookmarkStart w:id="1442" w:name="_Toc2459"/>
      <w:bookmarkStart w:id="1443" w:name="_Toc16574"/>
      <w:bookmarkStart w:id="1444" w:name="_Toc170380216"/>
      <w:r>
        <w:rPr>
          <w:rFonts w:eastAsia="宋体" w:hint="eastAsia"/>
          <w:sz w:val="21"/>
          <w:szCs w:val="21"/>
        </w:rPr>
        <w:t>P</w:t>
      </w:r>
      <w:r>
        <w:rPr>
          <w:rFonts w:eastAsia="宋体"/>
          <w:sz w:val="21"/>
          <w:szCs w:val="21"/>
        </w:rPr>
        <w:t>rimary and secondary variables</w:t>
      </w:r>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p>
    <w:p w14:paraId="746037C0" w14:textId="3F67E01F" w:rsidR="005D1745" w:rsidRDefault="004B6ABE">
      <w:pPr>
        <w:pStyle w:val="3"/>
      </w:pPr>
      <w:bookmarkStart w:id="1445" w:name="_Toc352012062"/>
      <w:bookmarkStart w:id="1446" w:name="_Toc290380742"/>
      <w:bookmarkStart w:id="1447" w:name="_Toc5925"/>
      <w:r>
        <w:t xml:space="preserve"> </w:t>
      </w:r>
      <w:bookmarkStart w:id="1448" w:name="_Toc16902"/>
      <w:bookmarkStart w:id="1449" w:name="_Toc10841"/>
      <w:bookmarkStart w:id="1450" w:name="_Toc30785"/>
      <w:bookmarkStart w:id="1451" w:name="_Toc18298"/>
      <w:bookmarkStart w:id="1452" w:name="_Toc4969"/>
      <w:bookmarkStart w:id="1453" w:name="_Toc6117"/>
      <w:bookmarkStart w:id="1454" w:name="_Toc14712"/>
      <w:bookmarkStart w:id="1455" w:name="_Toc6496"/>
      <w:bookmarkStart w:id="1456" w:name="_Toc28589"/>
      <w:bookmarkStart w:id="1457" w:name="_Toc7324"/>
      <w:bookmarkStart w:id="1458" w:name="_Toc3252"/>
      <w:bookmarkStart w:id="1459" w:name="_Toc14101"/>
      <w:bookmarkStart w:id="1460" w:name="_Toc21595"/>
      <w:bookmarkStart w:id="1461" w:name="_Toc9985"/>
      <w:bookmarkStart w:id="1462" w:name="_Toc9354"/>
      <w:bookmarkStart w:id="1463" w:name="_Toc5179"/>
      <w:bookmarkStart w:id="1464" w:name="_Toc28045"/>
      <w:bookmarkStart w:id="1465" w:name="_Toc32608"/>
      <w:bookmarkStart w:id="1466" w:name="_Toc31954"/>
      <w:bookmarkStart w:id="1467" w:name="_Toc12587"/>
      <w:bookmarkStart w:id="1468" w:name="_Toc8901"/>
      <w:bookmarkStart w:id="1469" w:name="_Toc18733"/>
      <w:bookmarkStart w:id="1470" w:name="_Toc11376"/>
      <w:bookmarkStart w:id="1471" w:name="_Toc25626"/>
      <w:bookmarkStart w:id="1472" w:name="_Toc170380217"/>
      <w:bookmarkEnd w:id="1445"/>
      <w:bookmarkEnd w:id="1446"/>
      <w:bookmarkEnd w:id="1447"/>
      <w:r>
        <w:rPr>
          <w:rFonts w:hint="eastAsia"/>
        </w:rPr>
        <w:t>P</w:t>
      </w:r>
      <w:r>
        <w:t>rimary variable</w:t>
      </w:r>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p>
    <w:p w14:paraId="1B1704F8" w14:textId="54405311" w:rsidR="005D1745" w:rsidRDefault="004B6ABE" w:rsidP="00802658">
      <w:pPr>
        <w:spacing w:after="240"/>
        <w:rPr>
          <w:bCs/>
          <w:szCs w:val="21"/>
        </w:rPr>
      </w:pPr>
      <w:r>
        <w:rPr>
          <w:bCs/>
          <w:szCs w:val="21"/>
        </w:rPr>
        <w:t>The primary efficacy endpoint is disease-free survival (DFS)</w:t>
      </w:r>
      <w:r w:rsidR="00802658">
        <w:rPr>
          <w:bCs/>
          <w:szCs w:val="21"/>
        </w:rPr>
        <w:t xml:space="preserve"> </w:t>
      </w:r>
      <w:r w:rsidR="00802658" w:rsidRPr="00802658">
        <w:rPr>
          <w:bCs/>
          <w:szCs w:val="21"/>
        </w:rPr>
        <w:t>according to investigator</w:t>
      </w:r>
      <w:r w:rsidR="00802658">
        <w:rPr>
          <w:bCs/>
          <w:szCs w:val="21"/>
        </w:rPr>
        <w:t xml:space="preserve"> </w:t>
      </w:r>
      <w:r w:rsidR="00802658" w:rsidRPr="00802658">
        <w:rPr>
          <w:bCs/>
          <w:szCs w:val="21"/>
        </w:rPr>
        <w:t>assessment</w:t>
      </w:r>
      <w:r w:rsidRPr="00802658">
        <w:rPr>
          <w:bCs/>
          <w:szCs w:val="21"/>
        </w:rPr>
        <w:t>.</w:t>
      </w:r>
      <w:r>
        <w:rPr>
          <w:bCs/>
          <w:szCs w:val="21"/>
        </w:rPr>
        <w:t xml:space="preserve"> </w:t>
      </w:r>
    </w:p>
    <w:p w14:paraId="1C886559" w14:textId="77777777" w:rsidR="005D1745" w:rsidRDefault="004B6ABE">
      <w:pPr>
        <w:spacing w:after="240"/>
        <w:rPr>
          <w:bCs/>
          <w:szCs w:val="21"/>
        </w:rPr>
      </w:pPr>
      <w:r>
        <w:rPr>
          <w:bCs/>
          <w:szCs w:val="21"/>
        </w:rPr>
        <w:t xml:space="preserve">Disease-free survival (DFS) is defined as the time from randomization to the first confirmed recurrence of disease or death from any cause (whichever occurs first). Patients who have no disease recurrence and no death at the end of the study (or data cutoff), or who are lost to follow-up after randomization, will be censored at the date of the last tumor assessment confirming no recurrence after randomization. </w:t>
      </w:r>
    </w:p>
    <w:p w14:paraId="49EAFCBE" w14:textId="48689ED7" w:rsidR="005D1745" w:rsidRDefault="004B6ABE">
      <w:pPr>
        <w:pStyle w:val="3"/>
      </w:pPr>
      <w:bookmarkStart w:id="1473" w:name="_Toc21201"/>
      <w:bookmarkStart w:id="1474" w:name="_Toc352012063"/>
      <w:bookmarkStart w:id="1475" w:name="_Toc290380743"/>
      <w:r>
        <w:t xml:space="preserve"> </w:t>
      </w:r>
      <w:bookmarkStart w:id="1476" w:name="_Toc1838"/>
      <w:bookmarkStart w:id="1477" w:name="_Toc31340"/>
      <w:bookmarkStart w:id="1478" w:name="_Toc27857"/>
      <w:bookmarkStart w:id="1479" w:name="_Toc8739"/>
      <w:bookmarkStart w:id="1480" w:name="_Toc2931"/>
      <w:bookmarkStart w:id="1481" w:name="_Toc23645"/>
      <w:bookmarkStart w:id="1482" w:name="_Toc4004"/>
      <w:bookmarkStart w:id="1483" w:name="_Toc761"/>
      <w:bookmarkStart w:id="1484" w:name="_Toc4682"/>
      <w:bookmarkStart w:id="1485" w:name="_Toc25612"/>
      <w:bookmarkStart w:id="1486" w:name="_Toc32707"/>
      <w:bookmarkStart w:id="1487" w:name="_Toc27410"/>
      <w:bookmarkStart w:id="1488" w:name="_Toc18401"/>
      <w:bookmarkStart w:id="1489" w:name="_Toc22049"/>
      <w:bookmarkStart w:id="1490" w:name="_Toc3853"/>
      <w:bookmarkStart w:id="1491" w:name="_Toc15063"/>
      <w:bookmarkStart w:id="1492" w:name="_Toc30484"/>
      <w:bookmarkStart w:id="1493" w:name="_Toc23950"/>
      <w:bookmarkStart w:id="1494" w:name="_Toc16425"/>
      <w:bookmarkStart w:id="1495" w:name="_Toc26600"/>
      <w:bookmarkStart w:id="1496" w:name="_Toc27051"/>
      <w:bookmarkStart w:id="1497" w:name="_Toc20866"/>
      <w:bookmarkStart w:id="1498" w:name="_Toc20224"/>
      <w:bookmarkStart w:id="1499" w:name="_Toc24471"/>
      <w:bookmarkStart w:id="1500" w:name="_Toc170380218"/>
      <w:bookmarkEnd w:id="1473"/>
      <w:bookmarkEnd w:id="1474"/>
      <w:bookmarkEnd w:id="1475"/>
      <w:r>
        <w:rPr>
          <w:rFonts w:hint="eastAsia"/>
        </w:rPr>
        <w:t>S</w:t>
      </w:r>
      <w:r>
        <w:t>econdary variable</w:t>
      </w:r>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r w:rsidR="008C1606">
        <w:t>s</w:t>
      </w:r>
    </w:p>
    <w:p w14:paraId="7583D309" w14:textId="58C967AD" w:rsidR="005D1745" w:rsidRDefault="004B6ABE">
      <w:pPr>
        <w:spacing w:after="240"/>
        <w:rPr>
          <w:bCs/>
          <w:szCs w:val="21"/>
        </w:rPr>
      </w:pPr>
      <w:r>
        <w:rPr>
          <w:bCs/>
          <w:szCs w:val="21"/>
        </w:rPr>
        <w:t xml:space="preserve">Secondary endpoints include: overall survival (OS), </w:t>
      </w:r>
      <w:r w:rsidR="00802658" w:rsidRPr="00802658">
        <w:rPr>
          <w:bCs/>
          <w:szCs w:val="21"/>
        </w:rPr>
        <w:t>brain</w:t>
      </w:r>
      <w:r w:rsidR="00802658">
        <w:rPr>
          <w:bCs/>
          <w:szCs w:val="21"/>
        </w:rPr>
        <w:t xml:space="preserve"> </w:t>
      </w:r>
      <w:r w:rsidR="00802658" w:rsidRPr="00802658">
        <w:rPr>
          <w:bCs/>
          <w:szCs w:val="21"/>
        </w:rPr>
        <w:t>metastasis-free survival (BMFS)</w:t>
      </w:r>
      <w:r w:rsidR="00802658">
        <w:rPr>
          <w:bCs/>
          <w:szCs w:val="21"/>
        </w:rPr>
        <w:t xml:space="preserve">, </w:t>
      </w:r>
      <w:r>
        <w:rPr>
          <w:bCs/>
          <w:szCs w:val="21"/>
        </w:rPr>
        <w:t xml:space="preserve">safety, and </w:t>
      </w:r>
      <w:r>
        <w:rPr>
          <w:bCs/>
          <w:szCs w:val="21"/>
        </w:rPr>
        <w:lastRenderedPageBreak/>
        <w:t>tolerability.</w:t>
      </w:r>
    </w:p>
    <w:p w14:paraId="7E9942B8" w14:textId="77777777" w:rsidR="00F354B3" w:rsidRDefault="004B6ABE">
      <w:pPr>
        <w:spacing w:after="240"/>
        <w:rPr>
          <w:szCs w:val="21"/>
        </w:rPr>
      </w:pPr>
      <w:r>
        <w:rPr>
          <w:szCs w:val="21"/>
        </w:rPr>
        <w:t xml:space="preserve">Overall survival (OS) is defined as the time from randomization to death due to any cause. Patients who are still alive at the time of analysis will be censored at the date of their last contact. </w:t>
      </w:r>
    </w:p>
    <w:p w14:paraId="7EE8A996" w14:textId="461841C6" w:rsidR="005D1745" w:rsidRDefault="00F354B3">
      <w:pPr>
        <w:spacing w:after="240"/>
        <w:rPr>
          <w:szCs w:val="21"/>
        </w:rPr>
      </w:pPr>
      <w:r w:rsidRPr="00F354B3">
        <w:rPr>
          <w:szCs w:val="21"/>
        </w:rPr>
        <w:t xml:space="preserve">BMFS is defined as the time from randomization to brain metastasis or death, whichever came first. </w:t>
      </w:r>
      <w:r w:rsidR="004B6ABE">
        <w:rPr>
          <w:szCs w:val="21"/>
        </w:rPr>
        <w:t xml:space="preserve">The expected survival curves for the treatment groups will be derived </w:t>
      </w:r>
      <w:r w:rsidR="00990CBD">
        <w:rPr>
          <w:szCs w:val="21"/>
        </w:rPr>
        <w:t xml:space="preserve">through </w:t>
      </w:r>
      <w:r w:rsidR="004B6ABE">
        <w:rPr>
          <w:szCs w:val="21"/>
        </w:rPr>
        <w:t>the Kaplan-Meier method.</w:t>
      </w:r>
    </w:p>
    <w:p w14:paraId="19FA0C02" w14:textId="77777777" w:rsidR="005D1745" w:rsidRDefault="004B6ABE">
      <w:pPr>
        <w:pStyle w:val="2"/>
      </w:pPr>
      <w:r>
        <w:rPr>
          <w:rFonts w:hint="eastAsia"/>
        </w:rPr>
        <w:t xml:space="preserve"> </w:t>
      </w:r>
      <w:bookmarkStart w:id="1501" w:name="_Toc382"/>
      <w:bookmarkStart w:id="1502" w:name="_Toc19262"/>
      <w:bookmarkStart w:id="1503" w:name="_Toc262"/>
      <w:bookmarkStart w:id="1504" w:name="_Toc11540"/>
      <w:bookmarkStart w:id="1505" w:name="_Toc5740"/>
      <w:bookmarkStart w:id="1506" w:name="_Toc24573"/>
      <w:bookmarkStart w:id="1507" w:name="_Toc1426"/>
      <w:bookmarkStart w:id="1508" w:name="_Toc2388"/>
      <w:bookmarkStart w:id="1509" w:name="_Toc971"/>
      <w:bookmarkStart w:id="1510" w:name="_Toc8100"/>
      <w:bookmarkStart w:id="1511" w:name="_Toc30323"/>
      <w:bookmarkStart w:id="1512" w:name="_Toc12768"/>
      <w:bookmarkStart w:id="1513" w:name="_Toc3005"/>
      <w:bookmarkStart w:id="1514" w:name="_Toc9090"/>
      <w:bookmarkStart w:id="1515" w:name="_Toc7535"/>
      <w:bookmarkStart w:id="1516" w:name="_Toc21530"/>
      <w:bookmarkStart w:id="1517" w:name="_Toc24209"/>
      <w:bookmarkStart w:id="1518" w:name="_Toc20586"/>
      <w:bookmarkStart w:id="1519" w:name="_Toc6032"/>
      <w:bookmarkStart w:id="1520" w:name="_Toc21102"/>
      <w:bookmarkStart w:id="1521" w:name="_Toc10410"/>
      <w:bookmarkStart w:id="1522" w:name="_Toc8203"/>
      <w:bookmarkStart w:id="1523" w:name="_Toc17543"/>
      <w:bookmarkStart w:id="1524" w:name="_Toc17903"/>
      <w:bookmarkStart w:id="1525" w:name="_Toc8873"/>
      <w:bookmarkStart w:id="1526" w:name="_Toc24307"/>
      <w:bookmarkStart w:id="1527" w:name="_Toc170380219"/>
      <w:r>
        <w:t xml:space="preserve">Statistical </w:t>
      </w:r>
      <w:r>
        <w:rPr>
          <w:rFonts w:hint="eastAsia"/>
        </w:rPr>
        <w:t>a</w:t>
      </w:r>
      <w:r>
        <w:t>nalysis</w:t>
      </w:r>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p>
    <w:p w14:paraId="0170D748" w14:textId="77777777" w:rsidR="005D1745" w:rsidRDefault="004B6ABE">
      <w:pPr>
        <w:pStyle w:val="3"/>
      </w:pPr>
      <w:bookmarkStart w:id="1528" w:name="_Toc288207715"/>
      <w:bookmarkStart w:id="1529" w:name="_Toc13187"/>
      <w:bookmarkStart w:id="1530" w:name="_Toc290378758"/>
      <w:bookmarkStart w:id="1531" w:name="_Toc290380745"/>
      <w:bookmarkStart w:id="1532" w:name="_Toc352012065"/>
      <w:r>
        <w:t xml:space="preserve"> </w:t>
      </w:r>
      <w:bookmarkStart w:id="1533" w:name="_Toc14177"/>
      <w:bookmarkStart w:id="1534" w:name="_Toc28997"/>
      <w:bookmarkStart w:id="1535" w:name="_Toc20562"/>
      <w:bookmarkStart w:id="1536" w:name="_Toc21317"/>
      <w:bookmarkStart w:id="1537" w:name="_Toc18678"/>
      <w:bookmarkStart w:id="1538" w:name="_Toc7655"/>
      <w:bookmarkStart w:id="1539" w:name="_Toc4701"/>
      <w:bookmarkStart w:id="1540" w:name="_Toc26640"/>
      <w:bookmarkStart w:id="1541" w:name="_Toc7820"/>
      <w:bookmarkStart w:id="1542" w:name="_Toc10913"/>
      <w:bookmarkStart w:id="1543" w:name="_Toc14344"/>
      <w:bookmarkStart w:id="1544" w:name="_Toc20024"/>
      <w:bookmarkStart w:id="1545" w:name="_Toc29871"/>
      <w:bookmarkStart w:id="1546" w:name="_Toc15695"/>
      <w:bookmarkStart w:id="1547" w:name="_Toc1219"/>
      <w:bookmarkStart w:id="1548" w:name="_Toc16189"/>
      <w:bookmarkStart w:id="1549" w:name="_Toc18722"/>
      <w:bookmarkStart w:id="1550" w:name="_Toc16517"/>
      <w:bookmarkStart w:id="1551" w:name="_Toc31819"/>
      <w:bookmarkStart w:id="1552" w:name="_Toc29853"/>
      <w:bookmarkStart w:id="1553" w:name="_Toc22102"/>
      <w:bookmarkStart w:id="1554" w:name="_Toc12213"/>
      <w:bookmarkStart w:id="1555" w:name="_Toc3142"/>
      <w:bookmarkStart w:id="1556" w:name="_Toc32100"/>
      <w:bookmarkStart w:id="1557" w:name="_Toc170380220"/>
      <w:bookmarkEnd w:id="1528"/>
      <w:bookmarkEnd w:id="1529"/>
      <w:bookmarkEnd w:id="1530"/>
      <w:bookmarkEnd w:id="1531"/>
      <w:bookmarkEnd w:id="1532"/>
      <w:r>
        <w:t xml:space="preserve">Baseline and </w:t>
      </w:r>
      <w:r>
        <w:rPr>
          <w:rFonts w:hint="eastAsia"/>
        </w:rPr>
        <w:t>d</w:t>
      </w:r>
      <w:r>
        <w:t xml:space="preserve">emographic </w:t>
      </w:r>
      <w:r>
        <w:rPr>
          <w:rFonts w:hint="eastAsia"/>
        </w:rPr>
        <w:t>c</w:t>
      </w:r>
      <w:r>
        <w:t>haracteristics</w:t>
      </w:r>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p>
    <w:p w14:paraId="0569254A" w14:textId="3DC0F6AC" w:rsidR="005D1745" w:rsidRDefault="004B6ABE">
      <w:pPr>
        <w:pStyle w:val="BayerBodytext"/>
        <w:spacing w:afterLines="100"/>
        <w:ind w:left="0"/>
        <w:jc w:val="both"/>
        <w:rPr>
          <w:sz w:val="21"/>
          <w:szCs w:val="21"/>
          <w:lang w:eastAsia="zh-CN"/>
        </w:rPr>
      </w:pPr>
      <w:r>
        <w:rPr>
          <w:sz w:val="21"/>
          <w:szCs w:val="21"/>
          <w:lang w:eastAsia="zh-CN"/>
        </w:rPr>
        <w:t xml:space="preserve">Baseline data include: demographic characteristics, tumor staging, medical history, surgical procedures, concomitant medications, vital signs, etc. </w:t>
      </w:r>
      <w:r w:rsidR="00F80C74">
        <w:rPr>
          <w:sz w:val="21"/>
          <w:szCs w:val="21"/>
          <w:lang w:eastAsia="zh-CN"/>
        </w:rPr>
        <w:t>Dealing with c</w:t>
      </w:r>
      <w:r>
        <w:rPr>
          <w:sz w:val="21"/>
          <w:szCs w:val="21"/>
          <w:lang w:eastAsia="zh-CN"/>
        </w:rPr>
        <w:t>ontinuous data will be using descriptive statistics such as mean, standard deviation, median, minimum, and maximum; for categorical variables, frequencies and percentages will be used for describing categorical variables.</w:t>
      </w:r>
      <w:r w:rsidR="00CC4F59">
        <w:rPr>
          <w:sz w:val="21"/>
          <w:szCs w:val="21"/>
          <w:lang w:eastAsia="zh-CN"/>
        </w:rPr>
        <w:t xml:space="preserve"> </w:t>
      </w:r>
      <w:r w:rsidR="00CC4F59" w:rsidRPr="00CC4F59">
        <w:rPr>
          <w:sz w:val="21"/>
          <w:szCs w:val="21"/>
          <w:lang w:eastAsia="zh-CN"/>
        </w:rPr>
        <w:t>More details will be stated in the separate Statistical Analysis Plan.</w:t>
      </w:r>
    </w:p>
    <w:p w14:paraId="624AA12F" w14:textId="77777777" w:rsidR="005D1745" w:rsidRDefault="004B6ABE">
      <w:pPr>
        <w:pStyle w:val="3"/>
      </w:pPr>
      <w:bookmarkStart w:id="1558" w:name="_Toc2308"/>
      <w:bookmarkStart w:id="1559" w:name="_Toc290380746"/>
      <w:bookmarkStart w:id="1560" w:name="_Toc352012066"/>
      <w:r>
        <w:t xml:space="preserve"> </w:t>
      </w:r>
      <w:bookmarkStart w:id="1561" w:name="_Toc6699"/>
      <w:bookmarkStart w:id="1562" w:name="_Toc3816"/>
      <w:bookmarkStart w:id="1563" w:name="_Toc28740"/>
      <w:bookmarkStart w:id="1564" w:name="_Toc10139"/>
      <w:bookmarkStart w:id="1565" w:name="_Toc26962"/>
      <w:bookmarkStart w:id="1566" w:name="_Toc8337"/>
      <w:bookmarkStart w:id="1567" w:name="_Toc5435"/>
      <w:bookmarkStart w:id="1568" w:name="_Toc246"/>
      <w:bookmarkStart w:id="1569" w:name="_Toc1012"/>
      <w:bookmarkStart w:id="1570" w:name="_Toc29236"/>
      <w:bookmarkStart w:id="1571" w:name="_Toc30019"/>
      <w:bookmarkStart w:id="1572" w:name="_Toc938"/>
      <w:bookmarkStart w:id="1573" w:name="_Toc20165"/>
      <w:bookmarkStart w:id="1574" w:name="_Toc32575"/>
      <w:bookmarkStart w:id="1575" w:name="_Toc25825"/>
      <w:bookmarkStart w:id="1576" w:name="_Toc5735"/>
      <w:bookmarkStart w:id="1577" w:name="_Toc3100"/>
      <w:bookmarkStart w:id="1578" w:name="_Toc8053"/>
      <w:bookmarkStart w:id="1579" w:name="_Toc8414"/>
      <w:bookmarkStart w:id="1580" w:name="_Toc5595"/>
      <w:bookmarkStart w:id="1581" w:name="_Toc2659"/>
      <w:bookmarkStart w:id="1582" w:name="_Toc16998"/>
      <w:bookmarkStart w:id="1583" w:name="_Toc11058"/>
      <w:bookmarkStart w:id="1584" w:name="_Toc31557"/>
      <w:bookmarkStart w:id="1585" w:name="_Toc170380221"/>
      <w:bookmarkEnd w:id="1558"/>
      <w:bookmarkEnd w:id="1559"/>
      <w:bookmarkEnd w:id="1560"/>
      <w:r>
        <w:t>Primary efficacy</w:t>
      </w:r>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p>
    <w:p w14:paraId="690120DC" w14:textId="73688FAE" w:rsidR="005D1745" w:rsidRDefault="004B6ABE">
      <w:pPr>
        <w:spacing w:after="240"/>
        <w:rPr>
          <w:szCs w:val="21"/>
        </w:rPr>
      </w:pPr>
      <w:r>
        <w:rPr>
          <w:szCs w:val="21"/>
        </w:rPr>
        <w:t xml:space="preserve">The primary efficacy variable of this study is the disease-free survival (DFS) </w:t>
      </w:r>
      <w:r w:rsidR="00396688" w:rsidRPr="00802658">
        <w:rPr>
          <w:bCs/>
          <w:szCs w:val="21"/>
        </w:rPr>
        <w:t>according to investigator</w:t>
      </w:r>
      <w:r w:rsidR="00396688">
        <w:rPr>
          <w:bCs/>
          <w:szCs w:val="21"/>
        </w:rPr>
        <w:t xml:space="preserve"> </w:t>
      </w:r>
      <w:r w:rsidR="00396688" w:rsidRPr="00802658">
        <w:rPr>
          <w:bCs/>
          <w:szCs w:val="21"/>
        </w:rPr>
        <w:t>assessment</w:t>
      </w:r>
      <w:r w:rsidR="00396688">
        <w:rPr>
          <w:szCs w:val="21"/>
        </w:rPr>
        <w:t xml:space="preserve"> </w:t>
      </w:r>
      <w:r>
        <w:rPr>
          <w:szCs w:val="21"/>
        </w:rPr>
        <w:t>after postoperative adjuvant therapy.</w:t>
      </w:r>
    </w:p>
    <w:p w14:paraId="2170CB99" w14:textId="77777777" w:rsidR="005D1745" w:rsidRDefault="004B6ABE">
      <w:pPr>
        <w:pStyle w:val="3"/>
      </w:pPr>
      <w:bookmarkStart w:id="1586" w:name="_Toc5304"/>
      <w:bookmarkStart w:id="1587" w:name="_Toc290380747"/>
      <w:bookmarkStart w:id="1588" w:name="_Toc352012067"/>
      <w:r>
        <w:t xml:space="preserve"> </w:t>
      </w:r>
      <w:bookmarkStart w:id="1589" w:name="_Toc26602"/>
      <w:bookmarkStart w:id="1590" w:name="_Toc19738"/>
      <w:bookmarkStart w:id="1591" w:name="_Toc4703"/>
      <w:bookmarkStart w:id="1592" w:name="_Toc4305"/>
      <w:bookmarkStart w:id="1593" w:name="_Toc15174"/>
      <w:bookmarkStart w:id="1594" w:name="_Toc31331"/>
      <w:bookmarkStart w:id="1595" w:name="_Toc8429"/>
      <w:bookmarkStart w:id="1596" w:name="_Toc8401"/>
      <w:bookmarkStart w:id="1597" w:name="_Toc30862"/>
      <w:bookmarkStart w:id="1598" w:name="_Toc18868"/>
      <w:bookmarkStart w:id="1599" w:name="_Toc486"/>
      <w:bookmarkStart w:id="1600" w:name="_Toc24837"/>
      <w:bookmarkStart w:id="1601" w:name="_Toc28882"/>
      <w:bookmarkStart w:id="1602" w:name="_Toc14283"/>
      <w:bookmarkStart w:id="1603" w:name="_Toc802"/>
      <w:bookmarkStart w:id="1604" w:name="_Toc8008"/>
      <w:bookmarkStart w:id="1605" w:name="_Toc27371"/>
      <w:bookmarkStart w:id="1606" w:name="_Toc2014"/>
      <w:bookmarkStart w:id="1607" w:name="_Toc1308"/>
      <w:bookmarkStart w:id="1608" w:name="_Toc17388"/>
      <w:bookmarkStart w:id="1609" w:name="_Toc7160"/>
      <w:bookmarkStart w:id="1610" w:name="_Toc25720"/>
      <w:bookmarkStart w:id="1611" w:name="_Toc3369"/>
      <w:bookmarkStart w:id="1612" w:name="_Toc31668"/>
      <w:bookmarkStart w:id="1613" w:name="_Toc170380222"/>
      <w:bookmarkEnd w:id="1586"/>
      <w:bookmarkEnd w:id="1587"/>
      <w:bookmarkEnd w:id="1588"/>
      <w:r>
        <w:t>Secondary efficacy</w:t>
      </w:r>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p>
    <w:p w14:paraId="43A75B84" w14:textId="77777777" w:rsidR="005D1745" w:rsidRDefault="004B6ABE">
      <w:pPr>
        <w:spacing w:after="240"/>
        <w:rPr>
          <w:szCs w:val="21"/>
        </w:rPr>
      </w:pPr>
      <w:r>
        <w:rPr>
          <w:szCs w:val="21"/>
        </w:rPr>
        <w:t>The analysis of secondary efficacy variables includes the following:</w:t>
      </w:r>
    </w:p>
    <w:p w14:paraId="2FC4B8F4" w14:textId="56F1B7AC" w:rsidR="005D1745" w:rsidRDefault="004B6ABE">
      <w:pPr>
        <w:widowControl/>
        <w:numPr>
          <w:ilvl w:val="0"/>
          <w:numId w:val="13"/>
        </w:numPr>
        <w:spacing w:afterLines="0" w:after="0"/>
        <w:rPr>
          <w:bCs/>
          <w:szCs w:val="21"/>
        </w:rPr>
      </w:pPr>
      <w:r>
        <w:rPr>
          <w:bCs/>
          <w:szCs w:val="21"/>
        </w:rPr>
        <w:t>Overall survival (OS)</w:t>
      </w:r>
    </w:p>
    <w:p w14:paraId="12203374" w14:textId="04222A0A" w:rsidR="007221DC" w:rsidRDefault="007221DC" w:rsidP="007221DC">
      <w:pPr>
        <w:widowControl/>
        <w:numPr>
          <w:ilvl w:val="0"/>
          <w:numId w:val="13"/>
        </w:numPr>
        <w:spacing w:afterLines="0" w:after="0"/>
        <w:rPr>
          <w:bCs/>
          <w:szCs w:val="21"/>
        </w:rPr>
      </w:pPr>
      <w:r w:rsidRPr="007221DC">
        <w:rPr>
          <w:bCs/>
          <w:szCs w:val="21"/>
        </w:rPr>
        <w:t>brain metastasis-free survival (BMFS).</w:t>
      </w:r>
    </w:p>
    <w:p w14:paraId="0A50EFCF" w14:textId="16CE2710" w:rsidR="007221DC" w:rsidRDefault="004B6ABE" w:rsidP="00A634E0">
      <w:pPr>
        <w:widowControl/>
        <w:numPr>
          <w:ilvl w:val="0"/>
          <w:numId w:val="13"/>
        </w:numPr>
        <w:spacing w:afterLines="0" w:after="0"/>
        <w:rPr>
          <w:bCs/>
          <w:szCs w:val="21"/>
        </w:rPr>
      </w:pPr>
      <w:r w:rsidRPr="007221DC">
        <w:rPr>
          <w:bCs/>
          <w:szCs w:val="21"/>
        </w:rPr>
        <w:t xml:space="preserve">Safety analysis:. Adverse events and their most severe reaction levels will be summarized according to the standards of </w:t>
      </w:r>
      <w:r w:rsidR="00A915D6" w:rsidRPr="007221DC">
        <w:rPr>
          <w:bCs/>
          <w:szCs w:val="21"/>
        </w:rPr>
        <w:t>NCI</w:t>
      </w:r>
      <w:r w:rsidR="00A915D6">
        <w:rPr>
          <w:bCs/>
          <w:szCs w:val="21"/>
        </w:rPr>
        <w:t>-</w:t>
      </w:r>
      <w:r w:rsidRPr="007221DC">
        <w:rPr>
          <w:bCs/>
          <w:szCs w:val="21"/>
        </w:rPr>
        <w:t>CTCAE version 4.0, and adverse events will also be summarized based on the severity of the events and their relationship with the study drug. Descriptive summaries of laboratory test values will mainly focus on abnormal values. Laboratory abnormalities will also be summarized according to the most severe level in NCI CTCAE version 4.0.</w:t>
      </w:r>
    </w:p>
    <w:p w14:paraId="1CC52B70" w14:textId="7746423F" w:rsidR="007221DC" w:rsidRPr="007221DC" w:rsidRDefault="0051068F" w:rsidP="00A634E0">
      <w:pPr>
        <w:widowControl/>
        <w:numPr>
          <w:ilvl w:val="0"/>
          <w:numId w:val="13"/>
        </w:numPr>
        <w:spacing w:afterLines="0" w:after="0"/>
        <w:rPr>
          <w:bCs/>
          <w:szCs w:val="21"/>
        </w:rPr>
      </w:pPr>
      <w:r>
        <w:rPr>
          <w:bCs/>
          <w:szCs w:val="21"/>
        </w:rPr>
        <w:t>Q</w:t>
      </w:r>
      <w:r w:rsidR="007221DC" w:rsidRPr="007221DC">
        <w:rPr>
          <w:bCs/>
          <w:szCs w:val="21"/>
        </w:rPr>
        <w:t>uality of life (QoL)</w:t>
      </w:r>
      <w:r w:rsidR="007221DC" w:rsidRPr="007221DC">
        <w:rPr>
          <w:rFonts w:hint="eastAsia"/>
          <w:bCs/>
          <w:szCs w:val="21"/>
        </w:rPr>
        <w:t>:</w:t>
      </w:r>
      <w:r w:rsidR="007221DC">
        <w:rPr>
          <w:bCs/>
          <w:szCs w:val="21"/>
        </w:rPr>
        <w:t xml:space="preserve"> </w:t>
      </w:r>
      <w:r w:rsidR="007221DC" w:rsidRPr="007221DC">
        <w:rPr>
          <w:bCs/>
          <w:szCs w:val="21"/>
        </w:rPr>
        <w:t xml:space="preserve">QoL will be assessed with the Functional Assessment of Cancer Therapy – Lung (FACT-L) questionnaire and Lung Cancer Symptom Scale (LCSS).    </w:t>
      </w:r>
    </w:p>
    <w:p w14:paraId="32829A2F" w14:textId="77777777" w:rsidR="005D1745" w:rsidRDefault="004B6ABE">
      <w:pPr>
        <w:pStyle w:val="3"/>
      </w:pPr>
      <w:bookmarkStart w:id="1614" w:name="_Toc18852"/>
      <w:bookmarkStart w:id="1615" w:name="_Toc352012068"/>
      <w:bookmarkStart w:id="1616" w:name="_Toc290380748"/>
      <w:r>
        <w:t xml:space="preserve"> </w:t>
      </w:r>
      <w:bookmarkStart w:id="1617" w:name="_Toc98"/>
      <w:bookmarkStart w:id="1618" w:name="_Toc21846"/>
      <w:bookmarkStart w:id="1619" w:name="_Toc18017"/>
      <w:bookmarkStart w:id="1620" w:name="_Toc15308"/>
      <w:bookmarkStart w:id="1621" w:name="_Toc2699"/>
      <w:bookmarkStart w:id="1622" w:name="_Toc29637"/>
      <w:bookmarkStart w:id="1623" w:name="_Toc11356"/>
      <w:bookmarkStart w:id="1624" w:name="_Toc25308"/>
      <w:bookmarkStart w:id="1625" w:name="_Toc16182"/>
      <w:bookmarkStart w:id="1626" w:name="_Toc30560"/>
      <w:bookmarkStart w:id="1627" w:name="_Toc28295"/>
      <w:bookmarkStart w:id="1628" w:name="_Toc10551"/>
      <w:bookmarkStart w:id="1629" w:name="_Toc8278"/>
      <w:bookmarkStart w:id="1630" w:name="_Toc2211"/>
      <w:bookmarkStart w:id="1631" w:name="_Toc20948"/>
      <w:bookmarkStart w:id="1632" w:name="_Toc1262"/>
      <w:bookmarkStart w:id="1633" w:name="_Toc31256"/>
      <w:bookmarkStart w:id="1634" w:name="_Toc22580"/>
      <w:bookmarkStart w:id="1635" w:name="_Toc24882"/>
      <w:bookmarkStart w:id="1636" w:name="_Toc21172"/>
      <w:bookmarkStart w:id="1637" w:name="_Toc23623"/>
      <w:bookmarkStart w:id="1638" w:name="_Toc19495"/>
      <w:bookmarkStart w:id="1639" w:name="_Toc24430"/>
      <w:bookmarkStart w:id="1640" w:name="_Toc30354"/>
      <w:bookmarkStart w:id="1641" w:name="_Toc170380223"/>
      <w:bookmarkEnd w:id="1614"/>
      <w:bookmarkEnd w:id="1615"/>
      <w:bookmarkEnd w:id="1616"/>
      <w:r>
        <w:t xml:space="preserve">Exploratory </w:t>
      </w:r>
      <w:r>
        <w:rPr>
          <w:rFonts w:hint="eastAsia"/>
        </w:rPr>
        <w:t>a</w:t>
      </w:r>
      <w:r>
        <w:t>nalysis</w:t>
      </w:r>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p>
    <w:p w14:paraId="7FE99926" w14:textId="77777777" w:rsidR="005D1745" w:rsidRDefault="004B6ABE">
      <w:pPr>
        <w:widowControl/>
        <w:numPr>
          <w:ilvl w:val="0"/>
          <w:numId w:val="13"/>
        </w:numPr>
        <w:spacing w:after="240"/>
        <w:ind w:left="0" w:firstLine="0"/>
        <w:rPr>
          <w:bCs/>
          <w:szCs w:val="21"/>
        </w:rPr>
      </w:pPr>
      <w:r>
        <w:rPr>
          <w:bCs/>
          <w:szCs w:val="21"/>
        </w:rPr>
        <w:t>This study plans to conduct exploratory analyses of relevant biomarkers.</w:t>
      </w:r>
    </w:p>
    <w:p w14:paraId="75D4E4E0" w14:textId="77777777" w:rsidR="005D1745" w:rsidRDefault="004B6ABE">
      <w:pPr>
        <w:pStyle w:val="2"/>
      </w:pPr>
      <w:bookmarkStart w:id="1642" w:name="_Toc290380750"/>
      <w:bookmarkStart w:id="1643" w:name="_Toc27827"/>
      <w:bookmarkStart w:id="1644" w:name="_Toc352012069"/>
      <w:r>
        <w:rPr>
          <w:rFonts w:hint="eastAsia"/>
        </w:rPr>
        <w:lastRenderedPageBreak/>
        <w:t xml:space="preserve"> </w:t>
      </w:r>
      <w:bookmarkStart w:id="1645" w:name="_Toc22385"/>
      <w:bookmarkStart w:id="1646" w:name="_Toc5293"/>
      <w:bookmarkStart w:id="1647" w:name="_Toc13385"/>
      <w:bookmarkStart w:id="1648" w:name="_Toc9691"/>
      <w:bookmarkStart w:id="1649" w:name="_Toc12728"/>
      <w:bookmarkStart w:id="1650" w:name="_Toc16989"/>
      <w:bookmarkStart w:id="1651" w:name="_Toc20638"/>
      <w:bookmarkStart w:id="1652" w:name="_Toc28403"/>
      <w:bookmarkStart w:id="1653" w:name="_Toc28701"/>
      <w:bookmarkStart w:id="1654" w:name="_Toc31443"/>
      <w:bookmarkStart w:id="1655" w:name="_Toc4558"/>
      <w:bookmarkStart w:id="1656" w:name="_Toc24692"/>
      <w:bookmarkStart w:id="1657" w:name="_Toc15989"/>
      <w:bookmarkStart w:id="1658" w:name="_Toc2833"/>
      <w:bookmarkStart w:id="1659" w:name="_Toc26090"/>
      <w:bookmarkStart w:id="1660" w:name="_Toc4264"/>
      <w:bookmarkStart w:id="1661" w:name="_Toc9592"/>
      <w:bookmarkStart w:id="1662" w:name="_Toc4242"/>
      <w:bookmarkStart w:id="1663" w:name="_Toc2716"/>
      <w:bookmarkStart w:id="1664" w:name="_Toc26547"/>
      <w:bookmarkStart w:id="1665" w:name="_Toc27952"/>
      <w:bookmarkStart w:id="1666" w:name="_Toc27933"/>
      <w:bookmarkStart w:id="1667" w:name="_Toc994"/>
      <w:bookmarkStart w:id="1668" w:name="_Toc18088"/>
      <w:bookmarkStart w:id="1669" w:name="_Toc1978"/>
      <w:bookmarkStart w:id="1670" w:name="_Toc12373"/>
      <w:bookmarkStart w:id="1671" w:name="_Toc170380224"/>
      <w:r>
        <w:t>Type of analysis</w:t>
      </w:r>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p>
    <w:p w14:paraId="665582DB" w14:textId="77777777" w:rsidR="005D1745" w:rsidRDefault="004B6ABE">
      <w:pPr>
        <w:spacing w:after="240"/>
        <w:rPr>
          <w:szCs w:val="21"/>
          <w:u w:val="single"/>
        </w:rPr>
      </w:pPr>
      <w:r>
        <w:rPr>
          <w:szCs w:val="21"/>
          <w:u w:val="single"/>
        </w:rPr>
        <w:t>Intention-to-Treat Population</w:t>
      </w:r>
    </w:p>
    <w:p w14:paraId="4D0D3DDF" w14:textId="77777777" w:rsidR="005D1745" w:rsidRDefault="004B6ABE">
      <w:pPr>
        <w:spacing w:after="240"/>
        <w:rPr>
          <w:szCs w:val="21"/>
        </w:rPr>
      </w:pPr>
      <w:r>
        <w:rPr>
          <w:szCs w:val="21"/>
        </w:rPr>
        <w:t>Statistical analysis will be conducted in the intention-to-treat (ITT) population, which is defined as all patients who have been enrolled.</w:t>
      </w:r>
    </w:p>
    <w:p w14:paraId="7F7F9FFE" w14:textId="4CBDE826" w:rsidR="005D1745" w:rsidRDefault="004B6ABE">
      <w:pPr>
        <w:spacing w:after="240"/>
        <w:rPr>
          <w:szCs w:val="21"/>
          <w:u w:val="single"/>
        </w:rPr>
      </w:pPr>
      <w:r>
        <w:rPr>
          <w:szCs w:val="21"/>
          <w:u w:val="single"/>
        </w:rPr>
        <w:t>Safety Analysis Population</w:t>
      </w:r>
    </w:p>
    <w:p w14:paraId="2C7FEB19" w14:textId="0F296C13" w:rsidR="00E037AB" w:rsidRDefault="00E037AB">
      <w:pPr>
        <w:spacing w:after="240"/>
        <w:rPr>
          <w:szCs w:val="21"/>
          <w:u w:val="single"/>
        </w:rPr>
      </w:pPr>
      <w:r w:rsidRPr="000C3839">
        <w:rPr>
          <w:szCs w:val="21"/>
        </w:rPr>
        <w:t xml:space="preserve">All patients who receive at least 1 dose of </w:t>
      </w:r>
      <w:r>
        <w:rPr>
          <w:szCs w:val="21"/>
        </w:rPr>
        <w:t xml:space="preserve">the </w:t>
      </w:r>
      <w:r w:rsidRPr="000C3839">
        <w:rPr>
          <w:szCs w:val="21"/>
        </w:rPr>
        <w:t xml:space="preserve">study treatment in the 12-month or 6-month icotinib group and all those in the observation group will be evaluated for safety and tolerability. </w:t>
      </w:r>
      <w:r w:rsidRPr="004702BA">
        <w:rPr>
          <w:rFonts w:hint="eastAsia"/>
        </w:rPr>
        <w:t xml:space="preserve"> </w:t>
      </w:r>
    </w:p>
    <w:p w14:paraId="6E4AA687" w14:textId="0CB8534B" w:rsidR="005D1745" w:rsidRPr="004702BA" w:rsidRDefault="004B6ABE">
      <w:pPr>
        <w:pStyle w:val="2"/>
      </w:pPr>
      <w:bookmarkStart w:id="1672" w:name="_Toc8253"/>
      <w:bookmarkStart w:id="1673" w:name="_Toc290380751"/>
      <w:bookmarkStart w:id="1674" w:name="_Toc352012070"/>
      <w:bookmarkStart w:id="1675" w:name="_Toc7463"/>
      <w:bookmarkStart w:id="1676" w:name="_Toc23135"/>
      <w:bookmarkStart w:id="1677" w:name="_Toc4570"/>
      <w:bookmarkStart w:id="1678" w:name="_Toc14200"/>
      <w:bookmarkStart w:id="1679" w:name="_Toc8453"/>
      <w:bookmarkStart w:id="1680" w:name="_Toc7786"/>
      <w:bookmarkStart w:id="1681" w:name="_Toc28468"/>
      <w:bookmarkStart w:id="1682" w:name="_Toc13574"/>
      <w:bookmarkStart w:id="1683" w:name="_Toc24462"/>
      <w:bookmarkStart w:id="1684" w:name="_Toc25450"/>
      <w:bookmarkStart w:id="1685" w:name="_Toc1131"/>
      <w:bookmarkStart w:id="1686" w:name="_Toc5981"/>
      <w:bookmarkStart w:id="1687" w:name="_Toc26768"/>
      <w:bookmarkStart w:id="1688" w:name="_Toc16128"/>
      <w:bookmarkStart w:id="1689" w:name="_Toc31481"/>
      <w:bookmarkStart w:id="1690" w:name="_Toc10909"/>
      <w:bookmarkStart w:id="1691" w:name="_Toc21254"/>
      <w:bookmarkStart w:id="1692" w:name="_Toc4214"/>
      <w:bookmarkStart w:id="1693" w:name="_Toc1014"/>
      <w:bookmarkStart w:id="1694" w:name="_Toc7255"/>
      <w:bookmarkStart w:id="1695" w:name="_Toc13857"/>
      <w:bookmarkStart w:id="1696" w:name="_Toc13373"/>
      <w:bookmarkStart w:id="1697" w:name="_Toc29628"/>
      <w:bookmarkStart w:id="1698" w:name="_Toc12647"/>
      <w:bookmarkStart w:id="1699" w:name="_Toc18569"/>
      <w:bookmarkStart w:id="1700" w:name="_Toc32419"/>
      <w:bookmarkStart w:id="1701" w:name="_Toc170380225"/>
      <w:r w:rsidRPr="004702BA">
        <w:t xml:space="preserve">Interim </w:t>
      </w:r>
      <w:r w:rsidRPr="004702BA">
        <w:rPr>
          <w:rFonts w:hint="eastAsia"/>
        </w:rPr>
        <w:t>a</w:t>
      </w:r>
      <w:r w:rsidRPr="004702BA">
        <w:t>nalysis</w:t>
      </w:r>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p>
    <w:p w14:paraId="56A42D1D" w14:textId="6B89D1A9" w:rsidR="005D1745" w:rsidRPr="004702BA" w:rsidRDefault="004B6ABE">
      <w:pPr>
        <w:spacing w:after="240"/>
      </w:pPr>
      <w:r w:rsidRPr="004702BA">
        <w:rPr>
          <w:szCs w:val="21"/>
        </w:rPr>
        <w:t xml:space="preserve">This study has a planned interim analysis. </w:t>
      </w:r>
      <w:r w:rsidR="000C3839" w:rsidRPr="000C3839">
        <w:rPr>
          <w:szCs w:val="21"/>
        </w:rPr>
        <w:t>Interim analysis will be conducted when the DFS events reach 50% (99/198) for final analysis.</w:t>
      </w:r>
      <w:r w:rsidR="00CE7A5E">
        <w:rPr>
          <w:szCs w:val="21"/>
        </w:rPr>
        <w:t xml:space="preserve"> </w:t>
      </w:r>
      <w:r w:rsidR="00700958" w:rsidRPr="00700958">
        <w:t xml:space="preserve">More details about the </w:t>
      </w:r>
      <w:r w:rsidR="00CC4F59">
        <w:t>statistical</w:t>
      </w:r>
      <w:r w:rsidR="00700958" w:rsidRPr="00700958">
        <w:t xml:space="preserve"> methods will be stated in the separate </w:t>
      </w:r>
      <w:r w:rsidR="00700958">
        <w:t>S</w:t>
      </w:r>
      <w:r w:rsidR="00700958" w:rsidRPr="00700958">
        <w:t xml:space="preserve">tatistical </w:t>
      </w:r>
      <w:r w:rsidR="00700958">
        <w:t>A</w:t>
      </w:r>
      <w:r w:rsidR="00700958" w:rsidRPr="00700958">
        <w:t xml:space="preserve">nalysis </w:t>
      </w:r>
      <w:r w:rsidR="00700958">
        <w:t>P</w:t>
      </w:r>
      <w:r w:rsidR="00700958" w:rsidRPr="00700958">
        <w:t>lan</w:t>
      </w:r>
      <w:r w:rsidR="00700958">
        <w:t>.</w:t>
      </w:r>
    </w:p>
    <w:p w14:paraId="4583C084" w14:textId="77777777" w:rsidR="005D1745" w:rsidRDefault="004B6ABE">
      <w:pPr>
        <w:pStyle w:val="2"/>
      </w:pPr>
      <w:bookmarkStart w:id="1702" w:name="_Toc352012071"/>
      <w:bookmarkStart w:id="1703" w:name="_Toc290380752"/>
      <w:bookmarkStart w:id="1704" w:name="_Toc18664"/>
      <w:bookmarkStart w:id="1705" w:name="_Toc173515367"/>
      <w:r>
        <w:rPr>
          <w:rFonts w:hint="eastAsia"/>
        </w:rPr>
        <w:t xml:space="preserve"> </w:t>
      </w:r>
      <w:bookmarkStart w:id="1706" w:name="_Toc20404"/>
      <w:bookmarkStart w:id="1707" w:name="_Toc20637"/>
      <w:bookmarkStart w:id="1708" w:name="_Toc30047"/>
      <w:bookmarkStart w:id="1709" w:name="_Toc16133"/>
      <w:bookmarkStart w:id="1710" w:name="_Toc15867"/>
      <w:bookmarkStart w:id="1711" w:name="_Toc14557"/>
      <w:bookmarkStart w:id="1712" w:name="_Toc8836"/>
      <w:bookmarkStart w:id="1713" w:name="_Toc9821"/>
      <w:bookmarkStart w:id="1714" w:name="_Toc23926"/>
      <w:bookmarkStart w:id="1715" w:name="_Toc10309"/>
      <w:bookmarkStart w:id="1716" w:name="_Toc14131"/>
      <w:bookmarkStart w:id="1717" w:name="_Toc16487"/>
      <w:bookmarkStart w:id="1718" w:name="_Toc13199"/>
      <w:bookmarkStart w:id="1719" w:name="_Toc2135"/>
      <w:bookmarkStart w:id="1720" w:name="_Toc4503"/>
      <w:bookmarkStart w:id="1721" w:name="_Toc4055"/>
      <w:bookmarkStart w:id="1722" w:name="_Toc3756"/>
      <w:bookmarkStart w:id="1723" w:name="_Toc1420"/>
      <w:bookmarkStart w:id="1724" w:name="_Toc53"/>
      <w:bookmarkStart w:id="1725" w:name="_Toc27140"/>
      <w:bookmarkStart w:id="1726" w:name="_Toc18880"/>
      <w:bookmarkStart w:id="1727" w:name="_Toc19085"/>
      <w:bookmarkStart w:id="1728" w:name="_Toc4300"/>
      <w:bookmarkStart w:id="1729" w:name="_Toc26950"/>
      <w:bookmarkStart w:id="1730" w:name="_Toc1295"/>
      <w:bookmarkStart w:id="1731" w:name="_Toc1505"/>
      <w:bookmarkStart w:id="1732" w:name="_Toc170380226"/>
      <w:r>
        <w:t xml:space="preserve">Safety </w:t>
      </w:r>
      <w:r>
        <w:rPr>
          <w:rFonts w:hint="eastAsia"/>
        </w:rPr>
        <w:t>a</w:t>
      </w:r>
      <w:r>
        <w:t>nalysis</w:t>
      </w:r>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p>
    <w:p w14:paraId="2747D3FC" w14:textId="77777777" w:rsidR="005D1745" w:rsidRDefault="004B6ABE">
      <w:pPr>
        <w:spacing w:after="240"/>
        <w:rPr>
          <w:bCs/>
          <w:szCs w:val="21"/>
        </w:rPr>
      </w:pPr>
      <w:r>
        <w:rPr>
          <w:bCs/>
          <w:szCs w:val="21"/>
        </w:rPr>
        <w:t>For all patients in the safety population, the following safety parameters will be analyzed and presented based on the treatment received:</w:t>
      </w:r>
    </w:p>
    <w:p w14:paraId="0741418F" w14:textId="77777777" w:rsidR="005D1745" w:rsidRDefault="004B6ABE">
      <w:pPr>
        <w:widowControl/>
        <w:numPr>
          <w:ilvl w:val="0"/>
          <w:numId w:val="13"/>
        </w:numPr>
        <w:spacing w:afterLines="0" w:after="0"/>
        <w:rPr>
          <w:bCs/>
          <w:szCs w:val="21"/>
        </w:rPr>
      </w:pPr>
      <w:r>
        <w:rPr>
          <w:bCs/>
          <w:szCs w:val="21"/>
        </w:rPr>
        <w:t>Adverse Events</w:t>
      </w:r>
    </w:p>
    <w:p w14:paraId="1DC0D0A6" w14:textId="77777777" w:rsidR="005D1745" w:rsidRDefault="004B6ABE">
      <w:pPr>
        <w:widowControl/>
        <w:numPr>
          <w:ilvl w:val="0"/>
          <w:numId w:val="13"/>
        </w:numPr>
        <w:spacing w:afterLines="0" w:after="0"/>
        <w:rPr>
          <w:bCs/>
          <w:szCs w:val="21"/>
        </w:rPr>
      </w:pPr>
      <w:r>
        <w:rPr>
          <w:bCs/>
          <w:szCs w:val="21"/>
        </w:rPr>
        <w:t>Serious Adverse Events</w:t>
      </w:r>
    </w:p>
    <w:p w14:paraId="438A11CC" w14:textId="3F45BA36" w:rsidR="00A915D6" w:rsidRPr="00A915D6" w:rsidRDefault="00A915D6" w:rsidP="00A915D6">
      <w:pPr>
        <w:widowControl/>
        <w:numPr>
          <w:ilvl w:val="0"/>
          <w:numId w:val="13"/>
        </w:numPr>
        <w:spacing w:afterLines="0" w:after="0"/>
        <w:rPr>
          <w:bCs/>
          <w:szCs w:val="21"/>
        </w:rPr>
      </w:pPr>
      <w:r w:rsidRPr="00A915D6">
        <w:rPr>
          <w:rFonts w:hint="eastAsia"/>
          <w:bCs/>
          <w:szCs w:val="21"/>
        </w:rPr>
        <w:t xml:space="preserve">All adverse events </w:t>
      </w:r>
      <w:r w:rsidRPr="00A915D6">
        <w:rPr>
          <w:rFonts w:hint="eastAsia"/>
          <w:bCs/>
          <w:szCs w:val="21"/>
        </w:rPr>
        <w:t>≥</w:t>
      </w:r>
      <w:r w:rsidRPr="00A915D6">
        <w:rPr>
          <w:rFonts w:hint="eastAsia"/>
          <w:bCs/>
          <w:szCs w:val="21"/>
        </w:rPr>
        <w:t xml:space="preserve"> grade 3;</w:t>
      </w:r>
    </w:p>
    <w:p w14:paraId="22D9902F" w14:textId="4F927219" w:rsidR="00A915D6" w:rsidRPr="00A915D6" w:rsidRDefault="00A915D6" w:rsidP="00A915D6">
      <w:pPr>
        <w:widowControl/>
        <w:numPr>
          <w:ilvl w:val="0"/>
          <w:numId w:val="13"/>
        </w:numPr>
        <w:spacing w:afterLines="0" w:after="0"/>
        <w:rPr>
          <w:bCs/>
          <w:szCs w:val="21"/>
        </w:rPr>
      </w:pPr>
      <w:r w:rsidRPr="00A915D6">
        <w:rPr>
          <w:bCs/>
          <w:szCs w:val="21"/>
        </w:rPr>
        <w:t xml:space="preserve">All adverse events leading to treatment discontinuation; </w:t>
      </w:r>
    </w:p>
    <w:p w14:paraId="0F7D2315" w14:textId="5C68A6CF" w:rsidR="00A915D6" w:rsidRPr="00A915D6" w:rsidRDefault="00A915D6" w:rsidP="00A915D6">
      <w:pPr>
        <w:widowControl/>
        <w:numPr>
          <w:ilvl w:val="0"/>
          <w:numId w:val="13"/>
        </w:numPr>
        <w:spacing w:afterLines="0" w:after="0"/>
        <w:rPr>
          <w:bCs/>
          <w:szCs w:val="21"/>
        </w:rPr>
      </w:pPr>
      <w:r w:rsidRPr="00A915D6">
        <w:rPr>
          <w:bCs/>
          <w:szCs w:val="21"/>
        </w:rPr>
        <w:t xml:space="preserve">All adverse events leading to dose reduction; </w:t>
      </w:r>
    </w:p>
    <w:p w14:paraId="1C865363" w14:textId="1C0423AB" w:rsidR="005D1745" w:rsidRDefault="00A915D6">
      <w:pPr>
        <w:spacing w:after="240"/>
        <w:rPr>
          <w:bCs/>
          <w:szCs w:val="21"/>
        </w:rPr>
      </w:pPr>
      <w:r w:rsidRPr="00A915D6">
        <w:rPr>
          <w:bCs/>
          <w:szCs w:val="21"/>
        </w:rPr>
        <w:t xml:space="preserve">Fatal adverse events. </w:t>
      </w:r>
      <w:r w:rsidR="004B6ABE">
        <w:rPr>
          <w:bCs/>
          <w:szCs w:val="21"/>
        </w:rPr>
        <w:t xml:space="preserve">Adverse events and their most severe reaction levels will be summarized according to the </w:t>
      </w:r>
      <w:r>
        <w:rPr>
          <w:bCs/>
          <w:szCs w:val="21"/>
        </w:rPr>
        <w:t>NCI-</w:t>
      </w:r>
      <w:r w:rsidR="004B6ABE">
        <w:rPr>
          <w:bCs/>
          <w:szCs w:val="21"/>
        </w:rPr>
        <w:t xml:space="preserve">CTCAE version 4.0 criteria. Adverse events will also be summarized based on the severity of the events and their relationship with the study drug. Descriptive summaries of laboratory values will focus on abnormal values. </w:t>
      </w:r>
      <w:r w:rsidR="00CC4F59">
        <w:rPr>
          <w:bCs/>
          <w:szCs w:val="21"/>
        </w:rPr>
        <w:t xml:space="preserve"> </w:t>
      </w:r>
      <w:r w:rsidR="00CC4F59" w:rsidRPr="00700958">
        <w:t xml:space="preserve">More details will be stated in the separate </w:t>
      </w:r>
      <w:r w:rsidR="00CC4F59">
        <w:t>S</w:t>
      </w:r>
      <w:r w:rsidR="00CC4F59" w:rsidRPr="00700958">
        <w:t xml:space="preserve">tatistical </w:t>
      </w:r>
      <w:r w:rsidR="00CC4F59">
        <w:t>A</w:t>
      </w:r>
      <w:r w:rsidR="00CC4F59" w:rsidRPr="00700958">
        <w:t xml:space="preserve">nalysis </w:t>
      </w:r>
      <w:r w:rsidR="00CC4F59">
        <w:t>P</w:t>
      </w:r>
      <w:r w:rsidR="00CC4F59" w:rsidRPr="00700958">
        <w:t>lan</w:t>
      </w:r>
      <w:r w:rsidR="00CC4F59">
        <w:t>.</w:t>
      </w:r>
    </w:p>
    <w:p w14:paraId="3F67BC1F" w14:textId="77777777" w:rsidR="005D1745" w:rsidRDefault="004B6ABE">
      <w:pPr>
        <w:pStyle w:val="1"/>
        <w:spacing w:before="240"/>
      </w:pPr>
      <w:bookmarkStart w:id="1733" w:name="_Toc264453872"/>
      <w:bookmarkStart w:id="1734" w:name="_Toc110145508"/>
      <w:bookmarkStart w:id="1735" w:name="_Toc152048059"/>
      <w:bookmarkStart w:id="1736" w:name="_Toc290380432"/>
      <w:bookmarkStart w:id="1737" w:name="_Toc20661"/>
      <w:bookmarkStart w:id="1738" w:name="_Toc290380754"/>
      <w:bookmarkStart w:id="1739" w:name="_Toc173515369"/>
      <w:bookmarkStart w:id="1740" w:name="_Toc288207717"/>
      <w:bookmarkStart w:id="1741" w:name="_Toc352012073"/>
      <w:bookmarkStart w:id="1742" w:name="_Toc72738401"/>
      <w:bookmarkStart w:id="1743" w:name="_Toc269135903"/>
      <w:bookmarkStart w:id="1744" w:name="_Toc152047836"/>
      <w:bookmarkStart w:id="1745" w:name="_Toc290378760"/>
      <w:r>
        <w:t xml:space="preserve"> </w:t>
      </w:r>
      <w:bookmarkStart w:id="1746" w:name="_Toc20228"/>
      <w:bookmarkStart w:id="1747" w:name="_Toc24657"/>
      <w:bookmarkStart w:id="1748" w:name="_Toc25903"/>
      <w:bookmarkStart w:id="1749" w:name="_Toc27497"/>
      <w:bookmarkStart w:id="1750" w:name="_Toc23337"/>
      <w:bookmarkStart w:id="1751" w:name="_Toc15576"/>
      <w:bookmarkStart w:id="1752" w:name="_Toc19220"/>
      <w:bookmarkStart w:id="1753" w:name="_Toc14665"/>
      <w:bookmarkStart w:id="1754" w:name="_Toc23664"/>
      <w:bookmarkStart w:id="1755" w:name="_Toc135"/>
      <w:bookmarkStart w:id="1756" w:name="_Toc5466"/>
      <w:bookmarkStart w:id="1757" w:name="_Toc8751"/>
      <w:bookmarkStart w:id="1758" w:name="_Toc13876"/>
      <w:bookmarkStart w:id="1759" w:name="_Toc17300"/>
      <w:bookmarkStart w:id="1760" w:name="_Toc24871"/>
      <w:bookmarkStart w:id="1761" w:name="_Toc21059"/>
      <w:bookmarkStart w:id="1762" w:name="_Toc244"/>
      <w:bookmarkStart w:id="1763" w:name="_Toc22346"/>
      <w:bookmarkStart w:id="1764" w:name="_Toc19928"/>
      <w:bookmarkStart w:id="1765" w:name="_Toc20604"/>
      <w:bookmarkStart w:id="1766" w:name="_Toc4437"/>
      <w:bookmarkStart w:id="1767" w:name="_Toc16260"/>
      <w:bookmarkStart w:id="1768" w:name="_Toc31423"/>
      <w:bookmarkStart w:id="1769" w:name="_Toc27305"/>
      <w:bookmarkStart w:id="1770" w:name="_Toc11294"/>
      <w:bookmarkStart w:id="1771" w:name="_Toc18793"/>
      <w:bookmarkStart w:id="1772" w:name="_Toc170380227"/>
      <w:bookmarkEnd w:id="1733"/>
      <w:bookmarkEnd w:id="1734"/>
      <w:bookmarkEnd w:id="1735"/>
      <w:bookmarkEnd w:id="1736"/>
      <w:bookmarkEnd w:id="1737"/>
      <w:bookmarkEnd w:id="1738"/>
      <w:bookmarkEnd w:id="1739"/>
      <w:bookmarkEnd w:id="1740"/>
      <w:bookmarkEnd w:id="1741"/>
      <w:bookmarkEnd w:id="1742"/>
      <w:bookmarkEnd w:id="1743"/>
      <w:bookmarkEnd w:id="1744"/>
      <w:bookmarkEnd w:id="1745"/>
      <w:r>
        <w:rPr>
          <w:rFonts w:hint="eastAsia"/>
        </w:rPr>
        <w:t>PRINCIPLE OF SAFETY</w:t>
      </w:r>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p>
    <w:p w14:paraId="5900BADC" w14:textId="77777777" w:rsidR="005D1745" w:rsidRDefault="004B6ABE">
      <w:pPr>
        <w:pStyle w:val="2"/>
      </w:pPr>
      <w:bookmarkStart w:id="1773" w:name="_Toc173515370"/>
      <w:bookmarkStart w:id="1774" w:name="_Toc9123"/>
      <w:bookmarkStart w:id="1775" w:name="_Toc288207718"/>
      <w:bookmarkStart w:id="1776" w:name="_Toc290380755"/>
      <w:bookmarkStart w:id="1777" w:name="_Toc152047837"/>
      <w:bookmarkStart w:id="1778" w:name="_Toc290380433"/>
      <w:bookmarkStart w:id="1779" w:name="_Toc264453873"/>
      <w:bookmarkStart w:id="1780" w:name="_Toc290378761"/>
      <w:bookmarkStart w:id="1781" w:name="_Toc352012074"/>
      <w:bookmarkStart w:id="1782" w:name="_Toc110145509"/>
      <w:bookmarkStart w:id="1783" w:name="_Toc72738402"/>
      <w:bookmarkStart w:id="1784" w:name="_Toc152048060"/>
      <w:bookmarkStart w:id="1785" w:name="_Toc269135904"/>
      <w:r>
        <w:t xml:space="preserve"> </w:t>
      </w:r>
      <w:bookmarkStart w:id="1786" w:name="_Toc11869"/>
      <w:bookmarkStart w:id="1787" w:name="_Toc28983"/>
      <w:bookmarkStart w:id="1788" w:name="_Toc12181"/>
      <w:bookmarkStart w:id="1789" w:name="_Toc25768"/>
      <w:bookmarkStart w:id="1790" w:name="_Toc1817"/>
      <w:bookmarkStart w:id="1791" w:name="_Toc3828"/>
      <w:bookmarkStart w:id="1792" w:name="_Toc21873"/>
      <w:bookmarkStart w:id="1793" w:name="_Toc31094"/>
      <w:bookmarkStart w:id="1794" w:name="_Toc30535"/>
      <w:bookmarkStart w:id="1795" w:name="_Toc21574"/>
      <w:bookmarkStart w:id="1796" w:name="_Toc18146"/>
      <w:bookmarkStart w:id="1797" w:name="_Toc4180"/>
      <w:bookmarkStart w:id="1798" w:name="_Toc7229"/>
      <w:bookmarkStart w:id="1799" w:name="_Toc8727"/>
      <w:bookmarkStart w:id="1800" w:name="_Toc17155"/>
      <w:bookmarkStart w:id="1801" w:name="_Toc23304"/>
      <w:bookmarkStart w:id="1802" w:name="_Toc14904"/>
      <w:bookmarkStart w:id="1803" w:name="_Toc23839"/>
      <w:bookmarkStart w:id="1804" w:name="_Toc61"/>
      <w:bookmarkStart w:id="1805" w:name="_Toc15123"/>
      <w:bookmarkStart w:id="1806" w:name="_Toc1819"/>
      <w:bookmarkStart w:id="1807" w:name="_Toc22171"/>
      <w:bookmarkStart w:id="1808" w:name="_Toc20324"/>
      <w:bookmarkStart w:id="1809" w:name="_Toc9286"/>
      <w:bookmarkStart w:id="1810" w:name="_Toc7618"/>
      <w:bookmarkStart w:id="1811" w:name="_Toc15301"/>
      <w:bookmarkStart w:id="1812" w:name="_Toc170380228"/>
      <w:r>
        <w:t>Precautions/Warnings</w:t>
      </w:r>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p>
    <w:p w14:paraId="66F7303A" w14:textId="5DD1ACD7" w:rsidR="005D1745" w:rsidRDefault="00237DE7">
      <w:pPr>
        <w:spacing w:after="240"/>
        <w:rPr>
          <w:bCs/>
          <w:szCs w:val="21"/>
        </w:rPr>
      </w:pPr>
      <w:r>
        <w:rPr>
          <w:b/>
          <w:szCs w:val="21"/>
        </w:rPr>
        <w:t>Icotinib</w:t>
      </w:r>
    </w:p>
    <w:p w14:paraId="516985E6" w14:textId="49D6AEF6" w:rsidR="005D1745" w:rsidRDefault="004B6ABE">
      <w:pPr>
        <w:spacing w:after="240"/>
        <w:rPr>
          <w:bCs/>
          <w:szCs w:val="21"/>
        </w:rPr>
      </w:pPr>
      <w:r>
        <w:rPr>
          <w:bCs/>
          <w:szCs w:val="21"/>
        </w:rPr>
        <w:t xml:space="preserve">The common adverse drug reactions of </w:t>
      </w:r>
      <w:r w:rsidR="000040AB">
        <w:rPr>
          <w:bCs/>
          <w:szCs w:val="21"/>
        </w:rPr>
        <w:t>icotinib</w:t>
      </w:r>
      <w:r>
        <w:rPr>
          <w:bCs/>
          <w:szCs w:val="21"/>
        </w:rPr>
        <w:t xml:space="preserve"> include: rash (39.5%), diarrhea (18.5%), and elevated </w:t>
      </w:r>
      <w:r>
        <w:rPr>
          <w:bCs/>
          <w:szCs w:val="21"/>
        </w:rPr>
        <w:lastRenderedPageBreak/>
        <w:t>transaminases (8.0%). The majority are grade I-II, generally occurring within 1-3 weeks after medication, and are usually reversible without special treatment, disappearing on their own.</w:t>
      </w:r>
      <w:bookmarkStart w:id="1813" w:name="_Toc110145510"/>
      <w:bookmarkStart w:id="1814" w:name="_Toc152048061"/>
      <w:bookmarkStart w:id="1815" w:name="_Toc152047838"/>
      <w:bookmarkStart w:id="1816" w:name="_Toc72738403"/>
    </w:p>
    <w:p w14:paraId="7EF543B5" w14:textId="071E222F" w:rsidR="005D1745" w:rsidRDefault="004B6ABE">
      <w:pPr>
        <w:spacing w:after="240"/>
        <w:rPr>
          <w:b/>
          <w:szCs w:val="21"/>
        </w:rPr>
      </w:pPr>
      <w:bookmarkStart w:id="1817" w:name="_Toc250731194"/>
      <w:r>
        <w:rPr>
          <w:b/>
          <w:szCs w:val="21"/>
        </w:rPr>
        <w:t xml:space="preserve">The warnings and precautions for </w:t>
      </w:r>
      <w:r w:rsidR="000040AB">
        <w:rPr>
          <w:b/>
          <w:szCs w:val="21"/>
        </w:rPr>
        <w:t>icotinib</w:t>
      </w:r>
      <w:r>
        <w:rPr>
          <w:b/>
          <w:szCs w:val="21"/>
        </w:rPr>
        <w:t xml:space="preserve"> are as follows:</w:t>
      </w:r>
      <w:bookmarkEnd w:id="1817"/>
    </w:p>
    <w:p w14:paraId="63C08153" w14:textId="2E4EB34D" w:rsidR="005D1745" w:rsidRDefault="004B6ABE">
      <w:pPr>
        <w:numPr>
          <w:ilvl w:val="0"/>
          <w:numId w:val="14"/>
        </w:numPr>
        <w:spacing w:afterLines="0" w:after="0"/>
        <w:rPr>
          <w:szCs w:val="21"/>
        </w:rPr>
      </w:pPr>
      <w:r>
        <w:rPr>
          <w:szCs w:val="21"/>
        </w:rPr>
        <w:t xml:space="preserve">According to literature reports, the incidence of interstitial lung disease (ILD) in Eastern populations treated with gefitinib and erlotinib is 2-3% and 1-2%, respectively. No cases of interstitial lung disease were observed in the ICOGEN clinical study. Patients with interstitial lung disease typically experience acute dyspnea, accompanied by cough, low-grade fever, respiratory discomfort, and arterial oxygen desaturation. These symptoms can develop severely in a short period and lead to patient death. Radiological examinations often show pulmonary infiltration or interstitial ground-glass </w:t>
      </w:r>
      <w:r w:rsidR="00344644">
        <w:rPr>
          <w:szCs w:val="21"/>
        </w:rPr>
        <w:t>opacity</w:t>
      </w:r>
      <w:r>
        <w:rPr>
          <w:szCs w:val="21"/>
        </w:rPr>
        <w:t>.</w:t>
      </w:r>
    </w:p>
    <w:p w14:paraId="27671179" w14:textId="15BEFE55" w:rsidR="005D1745" w:rsidRDefault="004B6ABE">
      <w:pPr>
        <w:spacing w:afterLines="0" w:after="0"/>
        <w:ind w:firstLineChars="200" w:firstLine="420"/>
        <w:rPr>
          <w:szCs w:val="21"/>
        </w:rPr>
      </w:pPr>
      <w:r>
        <w:rPr>
          <w:szCs w:val="21"/>
        </w:rPr>
        <w:t xml:space="preserve">During treatment, the treating physician should closely monitor </w:t>
      </w:r>
      <w:r w:rsidR="00833D12">
        <w:rPr>
          <w:szCs w:val="21"/>
        </w:rPr>
        <w:t xml:space="preserve">patients </w:t>
      </w:r>
      <w:r>
        <w:rPr>
          <w:szCs w:val="21"/>
        </w:rPr>
        <w:t xml:space="preserve">for signs of interstitial lung disease. If a patient experiences a new acute onset or progressive worsening of dyspnea, cough, the treatment with this product should be interrupted, and relevant tests should be carried out immediately. When interstitial lung disease is confirmed, medication should be discontinued, and the patient should receive corresponding treatment. </w:t>
      </w:r>
    </w:p>
    <w:p w14:paraId="5C2FC1AB" w14:textId="77777777" w:rsidR="005D1745" w:rsidRDefault="004B6ABE">
      <w:pPr>
        <w:spacing w:afterLines="0" w:after="0"/>
        <w:ind w:firstLineChars="200" w:firstLine="420"/>
        <w:rPr>
          <w:szCs w:val="21"/>
        </w:rPr>
      </w:pPr>
      <w:r>
        <w:rPr>
          <w:szCs w:val="21"/>
        </w:rPr>
        <w:t>According to literature reports, high-risk factors for developing interstitial lung disease include: smoking, poor performance status (PS≥2), ≤50% normal lung tissue coverage on CT scans, short time since diagnosis of non-small cell lung cancer (&lt;6 months), pre-existing interstitial pneumonia, older age (≥55 years), and accompanying heart disease. Patients with the above high-risk factors should be cautious when using this product.</w:t>
      </w:r>
    </w:p>
    <w:p w14:paraId="12A71784" w14:textId="77777777" w:rsidR="005D1745" w:rsidRDefault="004B6ABE">
      <w:pPr>
        <w:numPr>
          <w:ilvl w:val="0"/>
          <w:numId w:val="14"/>
        </w:numPr>
        <w:spacing w:afterLines="0" w:after="0"/>
        <w:rPr>
          <w:szCs w:val="21"/>
        </w:rPr>
      </w:pPr>
      <w:r>
        <w:rPr>
          <w:szCs w:val="21"/>
        </w:rPr>
        <w:t>A transient mild increase in hepatic transaminases has been observed in a small number of patients, and these patients should use this product with caution. Patients with moderate or higher increases in transaminases need to interrupt medication, monitor transaminases until the increase is alleviated or disappears before resuming medication (see [Dosage and Administration]).</w:t>
      </w:r>
    </w:p>
    <w:p w14:paraId="4352E872" w14:textId="6A7686E3" w:rsidR="005D1745" w:rsidRDefault="004B6ABE">
      <w:pPr>
        <w:spacing w:afterLines="0" w:after="0"/>
        <w:rPr>
          <w:szCs w:val="21"/>
        </w:rPr>
      </w:pPr>
      <w:r>
        <w:rPr>
          <w:szCs w:val="21"/>
        </w:rPr>
        <w:t xml:space="preserve">3. Seek immediate medical attention if the following conditions worsen: </w:t>
      </w:r>
      <w:r w:rsidR="00E31D69">
        <w:rPr>
          <w:szCs w:val="21"/>
        </w:rPr>
        <w:t xml:space="preserve">a </w:t>
      </w:r>
      <w:r>
        <w:rPr>
          <w:szCs w:val="21"/>
        </w:rPr>
        <w:t xml:space="preserve">new acute onset or progressive worsening of dyspnea, cough; severe or persistent </w:t>
      </w:r>
      <w:r w:rsidR="00222F65">
        <w:rPr>
          <w:szCs w:val="21"/>
        </w:rPr>
        <w:t>diarrhea</w:t>
      </w:r>
      <w:r>
        <w:rPr>
          <w:szCs w:val="21"/>
        </w:rPr>
        <w:t>, nausea, vomiting, or anorexia.</w:t>
      </w:r>
    </w:p>
    <w:p w14:paraId="3E1DEE09" w14:textId="77777777" w:rsidR="005D1745" w:rsidRDefault="004B6ABE">
      <w:pPr>
        <w:spacing w:after="240"/>
        <w:rPr>
          <w:szCs w:val="21"/>
        </w:rPr>
      </w:pPr>
      <w:r>
        <w:rPr>
          <w:szCs w:val="21"/>
        </w:rPr>
        <w:t>4. Impact on the ability to drive and operate machinery: During treatment with this product, symptoms of fatigue may occur, and patients with these symptoms should be reminded to be cautious when driving or operating machinery.</w:t>
      </w:r>
    </w:p>
    <w:p w14:paraId="43AF2FFF" w14:textId="54F2C8D7" w:rsidR="005D1745" w:rsidRDefault="00237DE7">
      <w:pPr>
        <w:spacing w:after="240"/>
        <w:rPr>
          <w:szCs w:val="21"/>
        </w:rPr>
      </w:pPr>
      <w:r>
        <w:rPr>
          <w:szCs w:val="21"/>
        </w:rPr>
        <w:t xml:space="preserve">Icotinib may produce clinically significant drug-drug interactions (see </w:t>
      </w:r>
      <w:r w:rsidR="000040AB">
        <w:rPr>
          <w:szCs w:val="21"/>
        </w:rPr>
        <w:t>icotinib</w:t>
      </w:r>
      <w:r>
        <w:rPr>
          <w:szCs w:val="21"/>
        </w:rPr>
        <w:t xml:space="preserve"> instructions for details).</w:t>
      </w:r>
    </w:p>
    <w:p w14:paraId="26172DC5" w14:textId="77777777" w:rsidR="005D1745" w:rsidRDefault="004B6ABE">
      <w:pPr>
        <w:pStyle w:val="2"/>
      </w:pPr>
      <w:bookmarkStart w:id="1818" w:name="_Toc288207719"/>
      <w:bookmarkStart w:id="1819" w:name="_Toc9919"/>
      <w:bookmarkStart w:id="1820" w:name="_Toc269135906"/>
      <w:bookmarkStart w:id="1821" w:name="_Toc352012075"/>
      <w:bookmarkStart w:id="1822" w:name="_Toc290378767"/>
      <w:bookmarkStart w:id="1823" w:name="_Toc72738404"/>
      <w:bookmarkStart w:id="1824" w:name="_Toc152047840"/>
      <w:bookmarkStart w:id="1825" w:name="_Toc290380763"/>
      <w:bookmarkStart w:id="1826" w:name="_Toc110145511"/>
      <w:bookmarkStart w:id="1827" w:name="_Toc152048063"/>
      <w:bookmarkStart w:id="1828" w:name="_Toc290380441"/>
      <w:bookmarkStart w:id="1829" w:name="_Toc264453875"/>
      <w:bookmarkStart w:id="1830" w:name="_Toc173515372"/>
      <w:bookmarkEnd w:id="1813"/>
      <w:bookmarkEnd w:id="1814"/>
      <w:bookmarkEnd w:id="1815"/>
      <w:bookmarkEnd w:id="1816"/>
      <w:r>
        <w:t xml:space="preserve"> </w:t>
      </w:r>
      <w:bookmarkStart w:id="1831" w:name="_Toc9651"/>
      <w:bookmarkStart w:id="1832" w:name="_Toc29441"/>
      <w:bookmarkStart w:id="1833" w:name="_Toc24348"/>
      <w:bookmarkStart w:id="1834" w:name="_Toc29601"/>
      <w:bookmarkStart w:id="1835" w:name="_Toc8475"/>
      <w:bookmarkStart w:id="1836" w:name="_Toc1321"/>
      <w:bookmarkStart w:id="1837" w:name="_Toc30488"/>
      <w:bookmarkStart w:id="1838" w:name="_Toc15889"/>
      <w:bookmarkStart w:id="1839" w:name="_Toc19006"/>
      <w:bookmarkStart w:id="1840" w:name="_Toc23351"/>
      <w:bookmarkStart w:id="1841" w:name="_Toc26666"/>
      <w:bookmarkStart w:id="1842" w:name="_Toc24166"/>
      <w:bookmarkStart w:id="1843" w:name="_Toc10037"/>
      <w:bookmarkStart w:id="1844" w:name="_Toc25844"/>
      <w:bookmarkStart w:id="1845" w:name="_Toc24035"/>
      <w:bookmarkStart w:id="1846" w:name="_Toc16034"/>
      <w:bookmarkStart w:id="1847" w:name="_Toc17108"/>
      <w:bookmarkStart w:id="1848" w:name="_Toc740"/>
      <w:bookmarkStart w:id="1849" w:name="_Toc21324"/>
      <w:bookmarkStart w:id="1850" w:name="_Toc16511"/>
      <w:bookmarkStart w:id="1851" w:name="_Toc27297"/>
      <w:bookmarkStart w:id="1852" w:name="_Toc19034"/>
      <w:bookmarkStart w:id="1853" w:name="_Toc17735"/>
      <w:bookmarkStart w:id="1854" w:name="_Toc1158"/>
      <w:bookmarkStart w:id="1855" w:name="_Toc20388"/>
      <w:bookmarkStart w:id="1856" w:name="_Toc18008"/>
      <w:bookmarkStart w:id="1857" w:name="_Toc170380229"/>
      <w:r>
        <w:t xml:space="preserve">Adverse </w:t>
      </w:r>
      <w:r>
        <w:rPr>
          <w:rFonts w:hint="eastAsia"/>
        </w:rPr>
        <w:t>e</w:t>
      </w:r>
      <w:r>
        <w:t>vents</w:t>
      </w:r>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p>
    <w:p w14:paraId="515AAB0B" w14:textId="77777777" w:rsidR="005D1745" w:rsidRDefault="004B6ABE">
      <w:pPr>
        <w:pStyle w:val="3"/>
      </w:pPr>
      <w:bookmarkStart w:id="1858" w:name="_Toc352012076"/>
      <w:bookmarkStart w:id="1859" w:name="_Toc290378768"/>
      <w:bookmarkStart w:id="1860" w:name="_Toc290380442"/>
      <w:bookmarkStart w:id="1861" w:name="_Toc173515373"/>
      <w:bookmarkStart w:id="1862" w:name="_Toc290380764"/>
      <w:bookmarkStart w:id="1863" w:name="_Toc72738405"/>
      <w:bookmarkStart w:id="1864" w:name="_Toc17508"/>
      <w:bookmarkStart w:id="1865" w:name="_Toc152048064"/>
      <w:bookmarkStart w:id="1866" w:name="_Toc269135907"/>
      <w:bookmarkStart w:id="1867" w:name="_Toc110145512"/>
      <w:bookmarkStart w:id="1868" w:name="_Toc152047841"/>
      <w:bookmarkStart w:id="1869" w:name="_Toc288207720"/>
      <w:bookmarkStart w:id="1870" w:name="_Toc264453876"/>
      <w:r>
        <w:t xml:space="preserve"> </w:t>
      </w:r>
      <w:bookmarkStart w:id="1871" w:name="_Toc17978"/>
      <w:bookmarkStart w:id="1872" w:name="_Toc2810"/>
      <w:bookmarkStart w:id="1873" w:name="_Toc25687"/>
      <w:bookmarkStart w:id="1874" w:name="_Toc32512"/>
      <w:bookmarkStart w:id="1875" w:name="_Toc2638"/>
      <w:bookmarkStart w:id="1876" w:name="_Toc12541"/>
      <w:bookmarkStart w:id="1877" w:name="_Toc21486"/>
      <w:bookmarkStart w:id="1878" w:name="_Toc20946"/>
      <w:bookmarkStart w:id="1879" w:name="_Toc9987"/>
      <w:bookmarkStart w:id="1880" w:name="_Toc3881"/>
      <w:bookmarkStart w:id="1881" w:name="_Toc18080"/>
      <w:bookmarkStart w:id="1882" w:name="_Toc14780"/>
      <w:bookmarkStart w:id="1883" w:name="_Toc9361"/>
      <w:bookmarkStart w:id="1884" w:name="_Toc22650"/>
      <w:bookmarkStart w:id="1885" w:name="_Toc28430"/>
      <w:bookmarkStart w:id="1886" w:name="_Toc22537"/>
      <w:bookmarkStart w:id="1887" w:name="_Toc13610"/>
      <w:bookmarkStart w:id="1888" w:name="_Toc18488"/>
      <w:bookmarkStart w:id="1889" w:name="_Toc4144"/>
      <w:bookmarkStart w:id="1890" w:name="_Toc22736"/>
      <w:bookmarkStart w:id="1891" w:name="_Toc23302"/>
      <w:bookmarkStart w:id="1892" w:name="_Toc954"/>
      <w:bookmarkStart w:id="1893" w:name="_Toc11400"/>
      <w:bookmarkStart w:id="1894" w:name="_Toc4525"/>
      <w:bookmarkStart w:id="1895" w:name="_Toc170380230"/>
      <w:r>
        <w:t xml:space="preserve">Definition of </w:t>
      </w:r>
      <w:r>
        <w:rPr>
          <w:rFonts w:hint="eastAsia"/>
        </w:rPr>
        <w:t>a</w:t>
      </w:r>
      <w:r>
        <w:t xml:space="preserve">dverse </w:t>
      </w:r>
      <w:r>
        <w:rPr>
          <w:rFonts w:hint="eastAsia"/>
        </w:rPr>
        <w:t>e</w:t>
      </w:r>
      <w:r>
        <w:t>vents</w:t>
      </w:r>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p>
    <w:p w14:paraId="75B0680D" w14:textId="77777777" w:rsidR="005D1745" w:rsidRDefault="004B6ABE">
      <w:pPr>
        <w:spacing w:after="240"/>
        <w:rPr>
          <w:bCs/>
          <w:szCs w:val="21"/>
        </w:rPr>
      </w:pPr>
      <w:r>
        <w:rPr>
          <w:bCs/>
          <w:szCs w:val="21"/>
        </w:rPr>
        <w:t xml:space="preserve">An adverse event is any unfavorable medical occurrence in a patient or patient treated with a study drug. Adverse events do not necessarily have a causal relationship with the drug. Therefore, adverse events can be </w:t>
      </w:r>
      <w:r>
        <w:rPr>
          <w:bCs/>
          <w:szCs w:val="21"/>
        </w:rPr>
        <w:lastRenderedPageBreak/>
        <w:t xml:space="preserve">any unfavorable and unexpected signs (including abnormal laboratory findings), symptoms, or diseases temporally associated with the use of the investigational drug, regardless of whether the event is considered related to the drug. Conditions where pre-existing symptoms worsen during the study period can also be reported as AEs. </w:t>
      </w:r>
    </w:p>
    <w:p w14:paraId="438D964D" w14:textId="77777777" w:rsidR="005D1745" w:rsidRDefault="004B6ABE">
      <w:pPr>
        <w:spacing w:after="240"/>
        <w:rPr>
          <w:bCs/>
          <w:szCs w:val="21"/>
        </w:rPr>
      </w:pPr>
      <w:r>
        <w:rPr>
          <w:bCs/>
          <w:szCs w:val="21"/>
        </w:rPr>
        <w:t>Adverse events occurring in human subjects (whether drug-related or not) include the following aspects:</w:t>
      </w:r>
    </w:p>
    <w:p w14:paraId="030876BD" w14:textId="77777777" w:rsidR="005D1745" w:rsidRDefault="004B6ABE">
      <w:pPr>
        <w:numPr>
          <w:ilvl w:val="0"/>
          <w:numId w:val="15"/>
        </w:numPr>
        <w:spacing w:afterLines="0" w:after="0"/>
        <w:rPr>
          <w:bCs/>
          <w:szCs w:val="21"/>
        </w:rPr>
      </w:pPr>
      <w:r>
        <w:rPr>
          <w:bCs/>
          <w:szCs w:val="21"/>
        </w:rPr>
        <w:t>Adverse events occurring during the process of professional drug use;</w:t>
      </w:r>
    </w:p>
    <w:p w14:paraId="1B197C20" w14:textId="77777777" w:rsidR="005D1745" w:rsidRDefault="004B6ABE">
      <w:pPr>
        <w:numPr>
          <w:ilvl w:val="0"/>
          <w:numId w:val="15"/>
        </w:numPr>
        <w:spacing w:afterLines="0" w:after="0"/>
        <w:rPr>
          <w:bCs/>
          <w:szCs w:val="21"/>
        </w:rPr>
      </w:pPr>
      <w:r>
        <w:rPr>
          <w:bCs/>
          <w:szCs w:val="21"/>
        </w:rPr>
        <w:t>Adverse events caused by drug overdose (intentional or unintentional);</w:t>
      </w:r>
    </w:p>
    <w:p w14:paraId="32F2EF8F" w14:textId="77777777" w:rsidR="005D1745" w:rsidRDefault="004B6ABE">
      <w:pPr>
        <w:numPr>
          <w:ilvl w:val="0"/>
          <w:numId w:val="15"/>
        </w:numPr>
        <w:spacing w:afterLines="0" w:after="0"/>
        <w:rPr>
          <w:bCs/>
          <w:szCs w:val="21"/>
        </w:rPr>
      </w:pPr>
      <w:r>
        <w:rPr>
          <w:bCs/>
          <w:szCs w:val="21"/>
        </w:rPr>
        <w:t>Adverse events caused by drug abuse;</w:t>
      </w:r>
    </w:p>
    <w:p w14:paraId="4024AC19" w14:textId="77777777" w:rsidR="005D1745" w:rsidRDefault="004B6ABE">
      <w:pPr>
        <w:numPr>
          <w:ilvl w:val="0"/>
          <w:numId w:val="15"/>
        </w:numPr>
        <w:spacing w:afterLines="0" w:after="0"/>
        <w:rPr>
          <w:bCs/>
          <w:szCs w:val="21"/>
        </w:rPr>
      </w:pPr>
      <w:r>
        <w:rPr>
          <w:bCs/>
          <w:szCs w:val="21"/>
        </w:rPr>
        <w:t>Adverse events caused by discontinuation of medication;</w:t>
      </w:r>
    </w:p>
    <w:p w14:paraId="6925633B" w14:textId="77777777" w:rsidR="005D1745" w:rsidRDefault="004B6ABE">
      <w:pPr>
        <w:numPr>
          <w:ilvl w:val="0"/>
          <w:numId w:val="15"/>
        </w:numPr>
        <w:spacing w:after="240"/>
        <w:rPr>
          <w:bCs/>
          <w:szCs w:val="21"/>
        </w:rPr>
      </w:pPr>
      <w:r>
        <w:rPr>
          <w:bCs/>
          <w:szCs w:val="21"/>
        </w:rPr>
        <w:t>Adverse events that may be purely due to the patient's participation in the study (for example, adverse events or serious adverse events caused by stopping antihypertensive drugs during the washout period), even if unrelated to the study drug, must be reported as adverse events.</w:t>
      </w:r>
    </w:p>
    <w:p w14:paraId="13235CB6" w14:textId="77777777" w:rsidR="005D1745" w:rsidRDefault="004B6ABE">
      <w:pPr>
        <w:spacing w:after="240"/>
        <w:rPr>
          <w:bCs/>
          <w:szCs w:val="21"/>
        </w:rPr>
      </w:pPr>
      <w:r>
        <w:rPr>
          <w:bCs/>
          <w:szCs w:val="21"/>
        </w:rPr>
        <w:t>The absence of or failure to achieve the expected clinical pharmacological action is not considered an adverse event.</w:t>
      </w:r>
    </w:p>
    <w:p w14:paraId="10D63EC2" w14:textId="77777777" w:rsidR="005D1745" w:rsidRDefault="004B6ABE">
      <w:pPr>
        <w:pStyle w:val="3"/>
      </w:pPr>
      <w:bookmarkStart w:id="1896" w:name="_Toc26227"/>
      <w:bookmarkStart w:id="1897" w:name="_Toc288207721"/>
      <w:bookmarkStart w:id="1898" w:name="_Toc290378769"/>
      <w:bookmarkStart w:id="1899" w:name="_Toc290380443"/>
      <w:bookmarkStart w:id="1900" w:name="_Toc290380765"/>
      <w:bookmarkStart w:id="1901" w:name="_Toc352012077"/>
      <w:r>
        <w:t xml:space="preserve"> </w:t>
      </w:r>
      <w:bookmarkStart w:id="1902" w:name="_Toc12091"/>
      <w:bookmarkStart w:id="1903" w:name="_Toc24797"/>
      <w:bookmarkStart w:id="1904" w:name="_Toc19637"/>
      <w:bookmarkStart w:id="1905" w:name="_Toc23264"/>
      <w:bookmarkStart w:id="1906" w:name="_Toc11956"/>
      <w:bookmarkStart w:id="1907" w:name="_Toc30075"/>
      <w:bookmarkStart w:id="1908" w:name="_Toc427"/>
      <w:bookmarkStart w:id="1909" w:name="_Toc7291"/>
      <w:bookmarkStart w:id="1910" w:name="_Toc25854"/>
      <w:bookmarkStart w:id="1911" w:name="_Toc29"/>
      <w:bookmarkStart w:id="1912" w:name="_Toc28854"/>
      <w:bookmarkStart w:id="1913" w:name="_Toc14413"/>
      <w:bookmarkStart w:id="1914" w:name="_Toc16001"/>
      <w:bookmarkStart w:id="1915" w:name="_Toc4721"/>
      <w:bookmarkStart w:id="1916" w:name="_Toc20411"/>
      <w:bookmarkStart w:id="1917" w:name="_Toc6785"/>
      <w:bookmarkStart w:id="1918" w:name="_Toc24702"/>
      <w:bookmarkStart w:id="1919" w:name="_Toc1117"/>
      <w:bookmarkStart w:id="1920" w:name="_Toc32090"/>
      <w:bookmarkStart w:id="1921" w:name="_Toc11564"/>
      <w:bookmarkStart w:id="1922" w:name="_Toc15752"/>
      <w:bookmarkStart w:id="1923" w:name="_Toc14104"/>
      <w:bookmarkStart w:id="1924" w:name="_Toc23157"/>
      <w:bookmarkStart w:id="1925" w:name="_Toc21698"/>
      <w:bookmarkStart w:id="1926" w:name="_Toc170380231"/>
      <w:r>
        <w:t xml:space="preserve">Adverse </w:t>
      </w:r>
      <w:r>
        <w:rPr>
          <w:rFonts w:hint="eastAsia"/>
        </w:rPr>
        <w:t>e</w:t>
      </w:r>
      <w:r>
        <w:t xml:space="preserve">vent </w:t>
      </w:r>
      <w:r>
        <w:rPr>
          <w:rFonts w:hint="eastAsia"/>
        </w:rPr>
        <w:t>g</w:t>
      </w:r>
      <w:r>
        <w:t>rading</w:t>
      </w:r>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p>
    <w:p w14:paraId="65627B6D" w14:textId="5DA8D02E" w:rsidR="005D1745" w:rsidRDefault="004B6ABE">
      <w:pPr>
        <w:spacing w:after="240"/>
        <w:rPr>
          <w:bCs/>
          <w:szCs w:val="21"/>
        </w:rPr>
      </w:pPr>
      <w:r>
        <w:rPr>
          <w:bCs/>
          <w:szCs w:val="21"/>
        </w:rPr>
        <w:t xml:space="preserve">All adverse events will be graded according to the National Cancer Institute (NCI) Common Terminology Criteria for Adverse Events version 4.0 (CTCAE 4.0) </w:t>
      </w:r>
      <w:r w:rsidR="007339D5">
        <w:rPr>
          <w:bCs/>
          <w:szCs w:val="21"/>
        </w:rPr>
        <w:t xml:space="preserve">through </w:t>
      </w:r>
      <w:r>
        <w:rPr>
          <w:bCs/>
          <w:szCs w:val="21"/>
        </w:rPr>
        <w:t>a 5-point scale (Grades 1-5), and detailed reporting will be included in the Case Report Form (CRF).</w:t>
      </w:r>
    </w:p>
    <w:p w14:paraId="0318E792" w14:textId="77777777" w:rsidR="005D1745" w:rsidRDefault="004B6ABE">
      <w:pPr>
        <w:pStyle w:val="3"/>
      </w:pPr>
      <w:bookmarkStart w:id="1927" w:name="_Toc269135905"/>
      <w:bookmarkStart w:id="1928" w:name="_Toc173515371"/>
      <w:bookmarkStart w:id="1929" w:name="_Toc288207722"/>
      <w:bookmarkStart w:id="1930" w:name="_Toc352012078"/>
      <w:bookmarkStart w:id="1931" w:name="_Toc290380444"/>
      <w:bookmarkStart w:id="1932" w:name="_Toc32636"/>
      <w:bookmarkStart w:id="1933" w:name="_Toc264453874"/>
      <w:bookmarkStart w:id="1934" w:name="_Toc152047839"/>
      <w:bookmarkStart w:id="1935" w:name="_Toc290380766"/>
      <w:bookmarkStart w:id="1936" w:name="_Toc290378770"/>
      <w:bookmarkStart w:id="1937" w:name="_Toc152048062"/>
      <w:bookmarkStart w:id="1938" w:name="_Toc269135910"/>
      <w:bookmarkStart w:id="1939" w:name="_Toc173515376"/>
      <w:bookmarkStart w:id="1940" w:name="_Toc72738408"/>
      <w:bookmarkStart w:id="1941" w:name="_Toc152048067"/>
      <w:bookmarkStart w:id="1942" w:name="_Toc152047844"/>
      <w:bookmarkStart w:id="1943" w:name="_Toc264453879"/>
      <w:bookmarkStart w:id="1944" w:name="_Toc110145515"/>
      <w:r>
        <w:t xml:space="preserve"> </w:t>
      </w:r>
      <w:bookmarkStart w:id="1945" w:name="_Toc13568"/>
      <w:bookmarkStart w:id="1946" w:name="_Toc24107"/>
      <w:bookmarkStart w:id="1947" w:name="_Toc10457"/>
      <w:bookmarkStart w:id="1948" w:name="_Toc19948"/>
      <w:bookmarkStart w:id="1949" w:name="_Toc22719"/>
      <w:bookmarkStart w:id="1950" w:name="_Toc10177"/>
      <w:bookmarkStart w:id="1951" w:name="_Toc6762"/>
      <w:bookmarkStart w:id="1952" w:name="_Toc25390"/>
      <w:bookmarkStart w:id="1953" w:name="_Toc26811"/>
      <w:bookmarkStart w:id="1954" w:name="_Toc32287"/>
      <w:bookmarkStart w:id="1955" w:name="_Toc12334"/>
      <w:bookmarkStart w:id="1956" w:name="_Toc16943"/>
      <w:bookmarkStart w:id="1957" w:name="_Toc20658"/>
      <w:bookmarkStart w:id="1958" w:name="_Toc19244"/>
      <w:bookmarkStart w:id="1959" w:name="_Toc24335"/>
      <w:bookmarkStart w:id="1960" w:name="_Toc29075"/>
      <w:bookmarkStart w:id="1961" w:name="_Toc20820"/>
      <w:bookmarkStart w:id="1962" w:name="_Toc27350"/>
      <w:bookmarkStart w:id="1963" w:name="_Toc13843"/>
      <w:bookmarkStart w:id="1964" w:name="_Toc646"/>
      <w:bookmarkStart w:id="1965" w:name="_Toc5828"/>
      <w:bookmarkStart w:id="1966" w:name="_Toc5579"/>
      <w:bookmarkStart w:id="1967" w:name="_Toc13485"/>
      <w:bookmarkStart w:id="1968" w:name="_Toc504"/>
      <w:bookmarkStart w:id="1969" w:name="_Toc170380232"/>
      <w:r>
        <w:t>Monitoring of adverse event</w:t>
      </w:r>
      <w:bookmarkEnd w:id="1927"/>
      <w:bookmarkEnd w:id="1928"/>
      <w:bookmarkEnd w:id="1929"/>
      <w:bookmarkEnd w:id="1930"/>
      <w:bookmarkEnd w:id="1931"/>
      <w:bookmarkEnd w:id="1932"/>
      <w:bookmarkEnd w:id="1933"/>
      <w:bookmarkEnd w:id="1934"/>
      <w:bookmarkEnd w:id="1935"/>
      <w:bookmarkEnd w:id="1936"/>
      <w:bookmarkEnd w:id="1937"/>
      <w:r>
        <w:t>s</w:t>
      </w:r>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p>
    <w:p w14:paraId="3AD7F854" w14:textId="77777777" w:rsidR="005D1745" w:rsidRDefault="004B6ABE">
      <w:pPr>
        <w:spacing w:after="240"/>
        <w:rPr>
          <w:bCs/>
          <w:szCs w:val="21"/>
        </w:rPr>
      </w:pPr>
      <w:r>
        <w:rPr>
          <w:bCs/>
          <w:szCs w:val="21"/>
        </w:rPr>
        <w:t xml:space="preserve">Patients must be closely monitored for adverse events. This monitoring includes clinical laboratory tests. Adverse events should be evaluated based on their severity, seriousness, and relationship with the investigational drug. </w:t>
      </w:r>
    </w:p>
    <w:p w14:paraId="6BD3397E" w14:textId="77777777" w:rsidR="005D1745" w:rsidRDefault="004B6ABE">
      <w:pPr>
        <w:spacing w:after="240"/>
        <w:rPr>
          <w:bCs/>
          <w:szCs w:val="21"/>
        </w:rPr>
      </w:pPr>
      <w:r>
        <w:rPr>
          <w:bCs/>
          <w:szCs w:val="21"/>
        </w:rPr>
        <w:t xml:space="preserve">The investigator is responsible for assessing the relationship between all adverse events and the study drug. However, the principal investigator may delegate this judgment to other investigators participating in the study, but they are still responsible for it. </w:t>
      </w:r>
    </w:p>
    <w:p w14:paraId="3C06CEF2" w14:textId="2D2CF85E" w:rsidR="005D1745" w:rsidRDefault="004B6ABE">
      <w:pPr>
        <w:pStyle w:val="3"/>
      </w:pPr>
      <w:bookmarkStart w:id="1970" w:name="_Toc352012079"/>
      <w:bookmarkStart w:id="1971" w:name="_Toc288207723"/>
      <w:bookmarkStart w:id="1972" w:name="_Toc9778"/>
      <w:bookmarkStart w:id="1973" w:name="_Toc290378771"/>
      <w:bookmarkStart w:id="1974" w:name="_Toc290380445"/>
      <w:bookmarkStart w:id="1975" w:name="_Toc290380767"/>
      <w:r>
        <w:t xml:space="preserve"> </w:t>
      </w:r>
      <w:bookmarkStart w:id="1976" w:name="_Toc13085"/>
      <w:bookmarkStart w:id="1977" w:name="_Toc14883"/>
      <w:bookmarkStart w:id="1978" w:name="_Toc27363"/>
      <w:bookmarkStart w:id="1979" w:name="_Toc26483"/>
      <w:bookmarkStart w:id="1980" w:name="_Toc8913"/>
      <w:bookmarkStart w:id="1981" w:name="_Toc29812"/>
      <w:bookmarkStart w:id="1982" w:name="_Toc1538"/>
      <w:bookmarkStart w:id="1983" w:name="_Toc31839"/>
      <w:bookmarkStart w:id="1984" w:name="_Toc1370"/>
      <w:bookmarkStart w:id="1985" w:name="_Toc11900"/>
      <w:bookmarkStart w:id="1986" w:name="_Toc1874"/>
      <w:bookmarkStart w:id="1987" w:name="_Toc26027"/>
      <w:bookmarkStart w:id="1988" w:name="_Toc21973"/>
      <w:bookmarkStart w:id="1989" w:name="_Toc27891"/>
      <w:bookmarkStart w:id="1990" w:name="_Toc31540"/>
      <w:bookmarkStart w:id="1991" w:name="_Toc26921"/>
      <w:bookmarkStart w:id="1992" w:name="_Toc6716"/>
      <w:bookmarkStart w:id="1993" w:name="_Toc4732"/>
      <w:bookmarkStart w:id="1994" w:name="_Toc7625"/>
      <w:bookmarkStart w:id="1995" w:name="_Toc28349"/>
      <w:bookmarkStart w:id="1996" w:name="_Toc23583"/>
      <w:bookmarkStart w:id="1997" w:name="_Toc20197"/>
      <w:bookmarkStart w:id="1998" w:name="_Toc15100"/>
      <w:bookmarkStart w:id="1999" w:name="_Toc3286"/>
      <w:bookmarkStart w:id="2000" w:name="_Toc170380233"/>
      <w:r>
        <w:t xml:space="preserve">Relationship between adverse events and </w:t>
      </w:r>
      <w:r w:rsidR="00012A2F">
        <w:t xml:space="preserve">the </w:t>
      </w:r>
      <w:r>
        <w:t>study drug</w:t>
      </w:r>
      <w:bookmarkEnd w:id="1938"/>
      <w:bookmarkEnd w:id="1939"/>
      <w:bookmarkEnd w:id="1940"/>
      <w:bookmarkEnd w:id="1941"/>
      <w:bookmarkEnd w:id="1942"/>
      <w:bookmarkEnd w:id="1943"/>
      <w:bookmarkEnd w:id="1944"/>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p>
    <w:p w14:paraId="3B250027" w14:textId="77777777" w:rsidR="005D1745" w:rsidRDefault="004B6ABE">
      <w:pPr>
        <w:spacing w:after="240"/>
        <w:rPr>
          <w:bCs/>
          <w:szCs w:val="21"/>
        </w:rPr>
      </w:pPr>
      <w:r>
        <w:rPr>
          <w:bCs/>
          <w:szCs w:val="21"/>
        </w:rPr>
        <w:t xml:space="preserve">The evaluation of the relationship between an adverse event and the study drug is a comprehensive clinical judgment made based on all the information obtained at the time of completing the CRF. </w:t>
      </w:r>
    </w:p>
    <w:p w14:paraId="1F1DBE16" w14:textId="77777777" w:rsidR="005D1745" w:rsidRDefault="004B6ABE">
      <w:pPr>
        <w:spacing w:after="240"/>
      </w:pPr>
      <w:r>
        <w:rPr>
          <w:bCs/>
          <w:szCs w:val="21"/>
        </w:rPr>
        <w:t xml:space="preserve">Situations assessed as "unrelated" may include: a clear alternative explanation, such as traumatic bleeding at the surgical site; unreasonable, such as a patient being hit by a car, but there are no signs that the event was </w:t>
      </w:r>
      <w:r>
        <w:rPr>
          <w:bCs/>
          <w:szCs w:val="21"/>
        </w:rPr>
        <w:lastRenderedPageBreak/>
        <w:t>caused by drug-induced disorientation; or cancer occurring just a few days after the start of medication.</w:t>
      </w:r>
      <w:r>
        <w:t xml:space="preserve"> </w:t>
      </w:r>
    </w:p>
    <w:p w14:paraId="558ADD01" w14:textId="77777777" w:rsidR="005D1745" w:rsidRDefault="004B6ABE">
      <w:pPr>
        <w:spacing w:after="240"/>
        <w:rPr>
          <w:bCs/>
          <w:szCs w:val="21"/>
        </w:rPr>
      </w:pPr>
      <w:r>
        <w:rPr>
          <w:bCs/>
          <w:szCs w:val="21"/>
        </w:rPr>
        <w:t>An assessment of "related" indicates that there is a reasonable reason to suggest that the adverse event may be related to the study medication.</w:t>
      </w:r>
    </w:p>
    <w:p w14:paraId="4F922AA6" w14:textId="74DAD371" w:rsidR="005D1745" w:rsidRDefault="004B6ABE">
      <w:pPr>
        <w:spacing w:after="240"/>
        <w:rPr>
          <w:bCs/>
          <w:szCs w:val="21"/>
        </w:rPr>
      </w:pPr>
      <w:r>
        <w:rPr>
          <w:bCs/>
          <w:szCs w:val="21"/>
        </w:rPr>
        <w:t xml:space="preserve">Factors to consider when evaluating the relationship between adverse events and </w:t>
      </w:r>
      <w:r w:rsidR="00012A2F">
        <w:rPr>
          <w:bCs/>
          <w:szCs w:val="21"/>
        </w:rPr>
        <w:t xml:space="preserve">the </w:t>
      </w:r>
      <w:r>
        <w:rPr>
          <w:bCs/>
          <w:szCs w:val="21"/>
        </w:rPr>
        <w:t xml:space="preserve">study drug include: </w:t>
      </w:r>
    </w:p>
    <w:p w14:paraId="7D956C19" w14:textId="3B4C512B" w:rsidR="005D1745" w:rsidRDefault="004B6ABE">
      <w:pPr>
        <w:numPr>
          <w:ilvl w:val="0"/>
          <w:numId w:val="16"/>
        </w:numPr>
        <w:spacing w:afterLines="0" w:after="0"/>
        <w:rPr>
          <w:bCs/>
          <w:szCs w:val="21"/>
        </w:rPr>
      </w:pPr>
      <w:r>
        <w:rPr>
          <w:bCs/>
          <w:szCs w:val="21"/>
        </w:rPr>
        <w:t xml:space="preserve">Appearance shortly after drug use: The adverse event should occur after administration of the drug. The clinical evaluation of the event should </w:t>
      </w:r>
      <w:r w:rsidR="00222F65">
        <w:rPr>
          <w:bCs/>
          <w:szCs w:val="21"/>
        </w:rPr>
        <w:t>consider</w:t>
      </w:r>
      <w:r>
        <w:rPr>
          <w:bCs/>
          <w:szCs w:val="21"/>
        </w:rPr>
        <w:t xml:space="preserve"> the duration between medication and the occurrence of the event.</w:t>
      </w:r>
    </w:p>
    <w:p w14:paraId="5277734B" w14:textId="77777777" w:rsidR="005D1745" w:rsidRDefault="004B6ABE">
      <w:pPr>
        <w:numPr>
          <w:ilvl w:val="0"/>
          <w:numId w:val="16"/>
        </w:numPr>
        <w:spacing w:afterLines="0" w:after="0"/>
        <w:rPr>
          <w:bCs/>
          <w:szCs w:val="21"/>
        </w:rPr>
      </w:pPr>
      <w:r>
        <w:rPr>
          <w:bCs/>
          <w:szCs w:val="21"/>
        </w:rPr>
        <w:t>Disappearance of the event after stopping medication (cessation of stimulation), and recurrence of the event after re-administration (repeated stimulation): The clinical course of the suspected event should fully consider the patient's response after stopping medication (cessation of stimulation) or after the patient takes the medication again (repeated stimulation).</w:t>
      </w:r>
    </w:p>
    <w:p w14:paraId="3D84C16E" w14:textId="77777777" w:rsidR="005D1745" w:rsidRDefault="004B6ABE">
      <w:pPr>
        <w:numPr>
          <w:ilvl w:val="0"/>
          <w:numId w:val="16"/>
        </w:numPr>
        <w:spacing w:afterLines="0" w:after="0"/>
        <w:rPr>
          <w:bCs/>
          <w:szCs w:val="21"/>
        </w:rPr>
      </w:pPr>
      <w:r>
        <w:rPr>
          <w:bCs/>
          <w:szCs w:val="21"/>
        </w:rPr>
        <w:t>Underlying diseases, concurrent diseases, and intercurrent diseases: An assessment should be made of the natural history of the disease, the treatment process, and any other diseases the patient may have in each report.</w:t>
      </w:r>
    </w:p>
    <w:p w14:paraId="05888245" w14:textId="77777777" w:rsidR="005D1745" w:rsidRDefault="004B6ABE">
      <w:pPr>
        <w:numPr>
          <w:ilvl w:val="0"/>
          <w:numId w:val="16"/>
        </w:numPr>
        <w:spacing w:afterLines="0" w:after="0"/>
        <w:rPr>
          <w:bCs/>
          <w:szCs w:val="21"/>
        </w:rPr>
      </w:pPr>
      <w:r>
        <w:rPr>
          <w:bCs/>
          <w:szCs w:val="21"/>
        </w:rPr>
        <w:t>Concomitant medications or treatments: It is necessary to check other drugs taken by the patient or other treatments received to determine if one of them may have caused the adverse event.</w:t>
      </w:r>
    </w:p>
    <w:p w14:paraId="45BEC24A" w14:textId="77777777" w:rsidR="005D1745" w:rsidRDefault="004B6ABE">
      <w:pPr>
        <w:numPr>
          <w:ilvl w:val="0"/>
          <w:numId w:val="16"/>
        </w:numPr>
        <w:spacing w:afterLines="0" w:after="0"/>
        <w:rPr>
          <w:bCs/>
          <w:szCs w:val="21"/>
        </w:rPr>
      </w:pPr>
      <w:r>
        <w:rPr>
          <w:bCs/>
          <w:szCs w:val="21"/>
        </w:rPr>
        <w:t>Known reaction patterns of certain classes of drugs: Clinical/preclinical.</w:t>
      </w:r>
    </w:p>
    <w:p w14:paraId="2638D188" w14:textId="77777777" w:rsidR="005D1745" w:rsidRDefault="004B6ABE">
      <w:pPr>
        <w:numPr>
          <w:ilvl w:val="0"/>
          <w:numId w:val="16"/>
        </w:numPr>
        <w:spacing w:after="240"/>
        <w:rPr>
          <w:bCs/>
          <w:szCs w:val="21"/>
        </w:rPr>
      </w:pPr>
      <w:r>
        <w:rPr>
          <w:bCs/>
          <w:szCs w:val="21"/>
        </w:rPr>
        <w:t>Pharmacology and pharmacokinetics of the test drug: The pharmacokinetic characteristics (absorption, distribution, metabolism, and excretion) of the test drug should be considered in conjunction with the individual pharmacodynamic response of each patient.</w:t>
      </w:r>
    </w:p>
    <w:p w14:paraId="02360DF2" w14:textId="30FD5544" w:rsidR="005D1745" w:rsidRDefault="004B6ABE">
      <w:pPr>
        <w:pStyle w:val="3"/>
      </w:pPr>
      <w:r>
        <w:t xml:space="preserve"> </w:t>
      </w:r>
      <w:bookmarkStart w:id="2001" w:name="_Toc1304"/>
      <w:bookmarkStart w:id="2002" w:name="_Toc13948"/>
      <w:bookmarkStart w:id="2003" w:name="_Toc23291"/>
      <w:bookmarkStart w:id="2004" w:name="_Toc12188"/>
      <w:bookmarkStart w:id="2005" w:name="_Toc31233"/>
      <w:bookmarkStart w:id="2006" w:name="_Toc15413"/>
      <w:bookmarkStart w:id="2007" w:name="_Toc21712"/>
      <w:bookmarkStart w:id="2008" w:name="_Toc4486"/>
      <w:bookmarkStart w:id="2009" w:name="_Toc2758"/>
      <w:bookmarkStart w:id="2010" w:name="_Toc17149"/>
      <w:bookmarkStart w:id="2011" w:name="_Toc8045"/>
      <w:bookmarkStart w:id="2012" w:name="_Toc8749"/>
      <w:bookmarkStart w:id="2013" w:name="_Toc2905"/>
      <w:bookmarkStart w:id="2014" w:name="_Toc24372"/>
      <w:bookmarkStart w:id="2015" w:name="_Toc5413"/>
      <w:bookmarkStart w:id="2016" w:name="_Toc29044"/>
      <w:bookmarkStart w:id="2017" w:name="_Toc27720"/>
      <w:bookmarkStart w:id="2018" w:name="_Toc7721"/>
      <w:bookmarkStart w:id="2019" w:name="_Toc25194"/>
      <w:bookmarkStart w:id="2020" w:name="_Toc3840"/>
      <w:bookmarkStart w:id="2021" w:name="_Toc31585"/>
      <w:bookmarkStart w:id="2022" w:name="_Toc8236"/>
      <w:bookmarkStart w:id="2023" w:name="_Toc11242"/>
      <w:bookmarkStart w:id="2024" w:name="_Toc20456"/>
      <w:bookmarkStart w:id="2025" w:name="_Toc170380234"/>
      <w:r>
        <w:t>Definitions of serious adverse event</w:t>
      </w:r>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r w:rsidR="00012A2F">
        <w:t>s</w:t>
      </w:r>
    </w:p>
    <w:p w14:paraId="649F1428" w14:textId="77777777" w:rsidR="005D1745" w:rsidRDefault="004B6ABE">
      <w:pPr>
        <w:spacing w:after="240"/>
        <w:rPr>
          <w:szCs w:val="21"/>
        </w:rPr>
      </w:pPr>
      <w:r>
        <w:rPr>
          <w:szCs w:val="21"/>
        </w:rPr>
        <w:t>A serious adverse event (SAE) refers to any untoward medical occurrence that occurs at any dose that meets one of the following conditions:</w:t>
      </w:r>
    </w:p>
    <w:p w14:paraId="4F0DF852" w14:textId="77777777" w:rsidR="005D1745" w:rsidRDefault="004B6ABE">
      <w:pPr>
        <w:numPr>
          <w:ilvl w:val="0"/>
          <w:numId w:val="17"/>
        </w:numPr>
        <w:spacing w:afterLines="0" w:after="0"/>
        <w:rPr>
          <w:szCs w:val="21"/>
        </w:rPr>
      </w:pPr>
      <w:r>
        <w:rPr>
          <w:szCs w:val="21"/>
        </w:rPr>
        <w:t>Results in death;</w:t>
      </w:r>
    </w:p>
    <w:p w14:paraId="508C33B3" w14:textId="77777777" w:rsidR="005D1745" w:rsidRDefault="004B6ABE">
      <w:pPr>
        <w:numPr>
          <w:ilvl w:val="0"/>
          <w:numId w:val="17"/>
        </w:numPr>
        <w:spacing w:afterLines="0" w:after="0"/>
        <w:rPr>
          <w:szCs w:val="21"/>
        </w:rPr>
      </w:pPr>
      <w:r>
        <w:rPr>
          <w:szCs w:val="21"/>
        </w:rPr>
        <w:t>Is life-threatening;</w:t>
      </w:r>
    </w:p>
    <w:p w14:paraId="57ED94E8" w14:textId="77777777" w:rsidR="005D1745" w:rsidRDefault="004B6ABE">
      <w:pPr>
        <w:numPr>
          <w:ilvl w:val="0"/>
          <w:numId w:val="17"/>
        </w:numPr>
        <w:spacing w:afterLines="0" w:after="0"/>
        <w:rPr>
          <w:szCs w:val="21"/>
        </w:rPr>
      </w:pPr>
      <w:r>
        <w:rPr>
          <w:szCs w:val="21"/>
        </w:rPr>
        <w:t>Results in hospitalization or prolongation of existing hospitalization;</w:t>
      </w:r>
    </w:p>
    <w:p w14:paraId="6CB3574A" w14:textId="77777777" w:rsidR="005D1745" w:rsidRDefault="004B6ABE">
      <w:pPr>
        <w:numPr>
          <w:ilvl w:val="0"/>
          <w:numId w:val="17"/>
        </w:numPr>
        <w:spacing w:afterLines="0" w:after="0"/>
        <w:rPr>
          <w:szCs w:val="21"/>
        </w:rPr>
      </w:pPr>
      <w:r>
        <w:rPr>
          <w:szCs w:val="21"/>
        </w:rPr>
        <w:t>Results in persistent or significant disability/incapacity;</w:t>
      </w:r>
    </w:p>
    <w:p w14:paraId="1CD36DAA" w14:textId="77777777" w:rsidR="005D1745" w:rsidRDefault="004B6ABE">
      <w:pPr>
        <w:numPr>
          <w:ilvl w:val="0"/>
          <w:numId w:val="17"/>
        </w:numPr>
        <w:spacing w:after="240"/>
        <w:rPr>
          <w:szCs w:val="21"/>
        </w:rPr>
      </w:pPr>
      <w:r>
        <w:rPr>
          <w:szCs w:val="21"/>
        </w:rPr>
        <w:t>Is a significant medical event.</w:t>
      </w:r>
    </w:p>
    <w:p w14:paraId="78D39326" w14:textId="77777777" w:rsidR="005D1745" w:rsidRDefault="004B6ABE">
      <w:pPr>
        <w:spacing w:after="240"/>
        <w:rPr>
          <w:szCs w:val="21"/>
        </w:rPr>
      </w:pPr>
      <w:r>
        <w:rPr>
          <w:szCs w:val="21"/>
        </w:rPr>
        <w:t>Life-threatening: The term "life-threatening" is defined as "serious" indicating that the patient was at risk of death at the time of the adverse event. It does not refer to those adverse events that might have caused death if the situation had been more severe.</w:t>
      </w:r>
    </w:p>
    <w:p w14:paraId="75F016EF" w14:textId="77777777" w:rsidR="005D1745" w:rsidRDefault="004B6ABE">
      <w:pPr>
        <w:spacing w:after="240"/>
        <w:rPr>
          <w:szCs w:val="21"/>
        </w:rPr>
      </w:pPr>
      <w:r>
        <w:rPr>
          <w:szCs w:val="21"/>
        </w:rPr>
        <w:t xml:space="preserve">Hospitalization: Any adverse event that results in hospitalization or prolongation of existing hospitalization </w:t>
      </w:r>
      <w:r>
        <w:rPr>
          <w:szCs w:val="21"/>
        </w:rPr>
        <w:lastRenderedPageBreak/>
        <w:t>is considered serious, unless it meets one of the following exceptions: observation in hospital for not more than 12 hours; or admission was pre-planned (i.e., surgery or elective surgery arranged before starting this study); or admission is unrelated to the adverse event (such as hospitalization for convalescence).</w:t>
      </w:r>
    </w:p>
    <w:p w14:paraId="23768BA1" w14:textId="77777777" w:rsidR="005D1745" w:rsidRDefault="004B6ABE">
      <w:pPr>
        <w:spacing w:after="240"/>
        <w:rPr>
          <w:szCs w:val="21"/>
        </w:rPr>
      </w:pPr>
      <w:r>
        <w:rPr>
          <w:b/>
          <w:bCs/>
          <w:i/>
          <w:iCs/>
          <w:szCs w:val="21"/>
        </w:rPr>
        <w:t>Note:</w:t>
      </w:r>
      <w:r>
        <w:rPr>
          <w:szCs w:val="21"/>
        </w:rPr>
        <w:t xml:space="preserve"> Any invasive treatment during hospitalization may meet the criteria for a "significant medical event" and may need to be reported as a serious adverse event according to clinical judgment. Moreover, if local regulatory authorities specifically require a stricter definition, local regulations shall prevail.</w:t>
      </w:r>
    </w:p>
    <w:p w14:paraId="6C77A8DD" w14:textId="77777777" w:rsidR="005D1745" w:rsidRDefault="004B6ABE">
      <w:pPr>
        <w:spacing w:after="240"/>
        <w:rPr>
          <w:szCs w:val="21"/>
        </w:rPr>
      </w:pPr>
      <w:r>
        <w:rPr>
          <w:szCs w:val="21"/>
        </w:rPr>
        <w:t>Disability: Means that a person's ability to perform daily activities is severely impaired.</w:t>
      </w:r>
    </w:p>
    <w:p w14:paraId="2FF7F0E1" w14:textId="77777777" w:rsidR="005D1745" w:rsidRDefault="004B6ABE">
      <w:pPr>
        <w:spacing w:after="240"/>
        <w:rPr>
          <w:szCs w:val="21"/>
        </w:rPr>
      </w:pPr>
      <w:r>
        <w:rPr>
          <w:szCs w:val="21"/>
        </w:rPr>
        <w:t>According to the standard definition, the term sudden death can only be used when the cause of death is cardiac. The terms death and sudden death are clearly different and should not be used interchangeably.</w:t>
      </w:r>
    </w:p>
    <w:p w14:paraId="4E32F39A" w14:textId="0E03640C" w:rsidR="005D1745" w:rsidRDefault="004B6ABE">
      <w:pPr>
        <w:spacing w:after="240"/>
        <w:rPr>
          <w:szCs w:val="21"/>
        </w:rPr>
      </w:pPr>
      <w:r>
        <w:rPr>
          <w:szCs w:val="21"/>
        </w:rPr>
        <w:t xml:space="preserve">Any clinical adverse event or abnormal laboratory test value that reaches a serious level (according to the above definition) occurring during the study must be reported to the sponsor, drug regulatory authorities, </w:t>
      </w:r>
      <w:r w:rsidR="00361D3F">
        <w:rPr>
          <w:szCs w:val="21"/>
        </w:rPr>
        <w:t xml:space="preserve">and </w:t>
      </w:r>
      <w:r>
        <w:rPr>
          <w:szCs w:val="21"/>
        </w:rPr>
        <w:t>ethics committee, within one working day after the investigator becomes aware of the event, regardless of what treatment the patient receives.</w:t>
      </w:r>
    </w:p>
    <w:p w14:paraId="21B7CE4A" w14:textId="77777777" w:rsidR="005D1745" w:rsidRDefault="004B6ABE">
      <w:pPr>
        <w:spacing w:after="240"/>
        <w:rPr>
          <w:szCs w:val="21"/>
        </w:rPr>
      </w:pPr>
      <w:r>
        <w:rPr>
          <w:szCs w:val="21"/>
        </w:rPr>
        <w:t>Serious adverse events related to study treatment must be collected and reported no matter how long after the last dose, even if the trial has ended.</w:t>
      </w:r>
    </w:p>
    <w:p w14:paraId="620B3546" w14:textId="77777777" w:rsidR="005D1745" w:rsidRDefault="004B6ABE">
      <w:pPr>
        <w:spacing w:after="240"/>
        <w:rPr>
          <w:szCs w:val="21"/>
        </w:rPr>
      </w:pPr>
      <w:r>
        <w:rPr>
          <w:szCs w:val="21"/>
        </w:rPr>
        <w:t>Serious adverse events unrelated to study treatment must be collected and reported during the study period and within 28 days after the last dose of the trial.</w:t>
      </w:r>
    </w:p>
    <w:p w14:paraId="6C4E6B9C" w14:textId="77777777" w:rsidR="005D1745" w:rsidRDefault="004B6ABE">
      <w:pPr>
        <w:pStyle w:val="3"/>
      </w:pPr>
      <w:r>
        <w:rPr>
          <w:rFonts w:hint="eastAsia"/>
        </w:rPr>
        <w:t xml:space="preserve"> </w:t>
      </w:r>
      <w:bookmarkStart w:id="2026" w:name="_Toc26513"/>
      <w:bookmarkStart w:id="2027" w:name="_Toc5988"/>
      <w:bookmarkStart w:id="2028" w:name="_Toc19882"/>
      <w:bookmarkStart w:id="2029" w:name="_Toc9217"/>
      <w:bookmarkStart w:id="2030" w:name="_Toc5402"/>
      <w:bookmarkStart w:id="2031" w:name="_Toc17577"/>
      <w:bookmarkStart w:id="2032" w:name="_Toc18099"/>
      <w:bookmarkStart w:id="2033" w:name="_Toc15427"/>
      <w:bookmarkStart w:id="2034" w:name="_Toc934"/>
      <w:bookmarkStart w:id="2035" w:name="_Toc11779"/>
      <w:bookmarkStart w:id="2036" w:name="_Toc29607"/>
      <w:bookmarkStart w:id="2037" w:name="_Toc8026"/>
      <w:bookmarkStart w:id="2038" w:name="_Toc24019"/>
      <w:bookmarkStart w:id="2039" w:name="_Toc8110"/>
      <w:bookmarkStart w:id="2040" w:name="_Toc5206"/>
      <w:bookmarkStart w:id="2041" w:name="_Toc20525"/>
      <w:bookmarkStart w:id="2042" w:name="_Toc12777"/>
      <w:bookmarkStart w:id="2043" w:name="_Toc11670"/>
      <w:bookmarkStart w:id="2044" w:name="_Toc32725"/>
      <w:bookmarkStart w:id="2045" w:name="_Toc28406"/>
      <w:bookmarkStart w:id="2046" w:name="_Toc27295"/>
      <w:bookmarkStart w:id="2047" w:name="_Toc14005"/>
      <w:bookmarkStart w:id="2048" w:name="_Toc10459"/>
      <w:bookmarkStart w:id="2049" w:name="_Toc6740"/>
      <w:bookmarkStart w:id="2050" w:name="_Toc170380235"/>
      <w:r>
        <w:t xml:space="preserve">Malignant </w:t>
      </w:r>
      <w:r>
        <w:rPr>
          <w:rFonts w:hint="eastAsia"/>
        </w:rPr>
        <w:t>t</w:t>
      </w:r>
      <w:r>
        <w:t xml:space="preserve">umor </w:t>
      </w:r>
      <w:r>
        <w:rPr>
          <w:rFonts w:hint="eastAsia"/>
        </w:rPr>
        <w:t>p</w:t>
      </w:r>
      <w:r>
        <w:t>rogression</w:t>
      </w:r>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p>
    <w:p w14:paraId="6E84DCDC" w14:textId="77777777" w:rsidR="005D1745" w:rsidRDefault="004B6ABE">
      <w:pPr>
        <w:spacing w:after="240"/>
        <w:rPr>
          <w:szCs w:val="21"/>
        </w:rPr>
      </w:pPr>
      <w:r>
        <w:rPr>
          <w:b/>
          <w:bCs/>
          <w:szCs w:val="21"/>
        </w:rPr>
        <w:t xml:space="preserve">In this study, disease progression and death caused by disease progression are not reported as SAEs </w:t>
      </w:r>
      <w:r>
        <w:rPr>
          <w:szCs w:val="21"/>
        </w:rPr>
        <w:t>(Serious Adverse Events).</w:t>
      </w:r>
    </w:p>
    <w:p w14:paraId="4CB47A70" w14:textId="77777777" w:rsidR="005D1745" w:rsidRDefault="004B6ABE">
      <w:pPr>
        <w:spacing w:after="240"/>
        <w:rPr>
          <w:szCs w:val="21"/>
        </w:rPr>
      </w:pPr>
      <w:r>
        <w:rPr>
          <w:szCs w:val="21"/>
        </w:rPr>
        <w:t>If the progression of a potential malignant tumor is clearly consistent with the suspicious progression of the potential cancer defined by the RECIST 1.1 criteria or other criteria specified in the study protocol, it is not reported as an adverse event. Mere hospitalization due to the progression of a potential malignant tumor is not reported as a serious adverse event. If it cannot be determined whether these symptoms are due to the progression of a potential malignant tumor, or if they do not conform to the expected progression pattern of the study disease, the clinical symptoms of progression can be reported as an adverse event.</w:t>
      </w:r>
    </w:p>
    <w:p w14:paraId="08312AF2" w14:textId="77777777" w:rsidR="005D1745" w:rsidRDefault="004B6ABE">
      <w:pPr>
        <w:spacing w:after="240"/>
        <w:rPr>
          <w:szCs w:val="21"/>
        </w:rPr>
      </w:pPr>
      <w:r>
        <w:rPr>
          <w:szCs w:val="21"/>
        </w:rPr>
        <w:t xml:space="preserve">Some patients' symptoms may worsen. In such cases, there is a clear progression of the patient's clinical symptoms, but the tumor measurement results do not support disease progression. Or the disease progression is so obvious that researchers may choose not to conduct further disease assessments. In such cases, clinical progression will be determined based on the deterioration of symptoms. These situations of determining </w:t>
      </w:r>
      <w:r>
        <w:rPr>
          <w:szCs w:val="21"/>
        </w:rPr>
        <w:lastRenderedPageBreak/>
        <w:t>clinical progression should be rare exceptions, as every effort should be made to determine the objective progression of potential malignant tumors.</w:t>
      </w:r>
    </w:p>
    <w:p w14:paraId="727D5FA2" w14:textId="77777777" w:rsidR="005D1745" w:rsidRDefault="004B6ABE">
      <w:pPr>
        <w:spacing w:after="240"/>
        <w:rPr>
          <w:szCs w:val="21"/>
        </w:rPr>
      </w:pPr>
      <w:r>
        <w:rPr>
          <w:szCs w:val="21"/>
        </w:rPr>
        <w:t>If it is uncertain whether an adverse event is due to the study disease, it should be reported as an AE or SAE.</w:t>
      </w:r>
    </w:p>
    <w:p w14:paraId="2BBF04CF" w14:textId="77777777" w:rsidR="005D1745" w:rsidRDefault="004B6ABE">
      <w:pPr>
        <w:spacing w:after="240"/>
        <w:rPr>
          <w:szCs w:val="21"/>
        </w:rPr>
      </w:pPr>
      <w:r>
        <w:rPr>
          <w:b/>
          <w:bCs/>
          <w:szCs w:val="21"/>
        </w:rPr>
        <w:t xml:space="preserve">Significant </w:t>
      </w:r>
      <w:r>
        <w:rPr>
          <w:rFonts w:hint="eastAsia"/>
          <w:b/>
          <w:bCs/>
          <w:szCs w:val="21"/>
        </w:rPr>
        <w:t>m</w:t>
      </w:r>
      <w:r>
        <w:rPr>
          <w:b/>
          <w:bCs/>
          <w:szCs w:val="21"/>
        </w:rPr>
        <w:t xml:space="preserve">edical </w:t>
      </w:r>
      <w:r>
        <w:rPr>
          <w:rFonts w:hint="eastAsia"/>
          <w:b/>
          <w:bCs/>
          <w:szCs w:val="21"/>
        </w:rPr>
        <w:t>e</w:t>
      </w:r>
      <w:r>
        <w:rPr>
          <w:b/>
          <w:bCs/>
          <w:szCs w:val="21"/>
        </w:rPr>
        <w:t xml:space="preserve">vents: </w:t>
      </w:r>
      <w:r>
        <w:rPr>
          <w:szCs w:val="21"/>
        </w:rPr>
        <w:t>Any adverse event that may harm the patient and may require intervention to prevent a more serious situation can be considered a serious adverse event. Please refer to the 'World Health Organization Adverse Reaction Terminology - Main Term List' to determine significant medical events. These terms refer to serious disease states, or descriptions of serious disease states. Such events are reported as serious adverse events because they may be related to serious disease states, and reporting them as SAEs ensures special attention compared to other reporting methods, and promotes necessary actions.</w:t>
      </w:r>
    </w:p>
    <w:p w14:paraId="2B2B4D08" w14:textId="77777777" w:rsidR="005D1745" w:rsidRDefault="004B6ABE">
      <w:pPr>
        <w:pStyle w:val="3"/>
      </w:pPr>
      <w:r>
        <w:rPr>
          <w:rFonts w:hint="eastAsia"/>
        </w:rPr>
        <w:t xml:space="preserve"> </w:t>
      </w:r>
      <w:bookmarkStart w:id="2051" w:name="_Toc178"/>
      <w:bookmarkStart w:id="2052" w:name="_Toc23777"/>
      <w:bookmarkStart w:id="2053" w:name="_Toc21830"/>
      <w:bookmarkStart w:id="2054" w:name="_Toc1105"/>
      <w:bookmarkStart w:id="2055" w:name="_Toc9328"/>
      <w:bookmarkStart w:id="2056" w:name="_Toc958"/>
      <w:bookmarkStart w:id="2057" w:name="_Toc7407"/>
      <w:bookmarkStart w:id="2058" w:name="_Toc10954"/>
      <w:bookmarkStart w:id="2059" w:name="_Toc17617"/>
      <w:bookmarkStart w:id="2060" w:name="_Toc16479"/>
      <w:bookmarkStart w:id="2061" w:name="_Toc1610"/>
      <w:bookmarkStart w:id="2062" w:name="_Toc22240"/>
      <w:bookmarkStart w:id="2063" w:name="_Toc32260"/>
      <w:bookmarkStart w:id="2064" w:name="_Toc11954"/>
      <w:bookmarkStart w:id="2065" w:name="_Toc32117"/>
      <w:bookmarkStart w:id="2066" w:name="_Toc14713"/>
      <w:bookmarkStart w:id="2067" w:name="_Toc20902"/>
      <w:bookmarkStart w:id="2068" w:name="_Toc2268"/>
      <w:bookmarkStart w:id="2069" w:name="_Toc12534"/>
      <w:bookmarkStart w:id="2070" w:name="_Toc12039"/>
      <w:bookmarkStart w:id="2071" w:name="_Toc32276"/>
      <w:bookmarkStart w:id="2072" w:name="_Toc22887"/>
      <w:bookmarkStart w:id="2073" w:name="_Toc17023"/>
      <w:bookmarkStart w:id="2074" w:name="_Toc30185"/>
      <w:bookmarkStart w:id="2075" w:name="_Toc170380236"/>
      <w:r>
        <w:t xml:space="preserve">Unexpected </w:t>
      </w:r>
      <w:r>
        <w:rPr>
          <w:rFonts w:hint="eastAsia"/>
        </w:rPr>
        <w:t>a</w:t>
      </w:r>
      <w:r>
        <w:t xml:space="preserve">dverse </w:t>
      </w:r>
      <w:r>
        <w:rPr>
          <w:rFonts w:hint="eastAsia"/>
        </w:rPr>
        <w:t>e</w:t>
      </w:r>
      <w:r>
        <w:t>vents</w:t>
      </w:r>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p>
    <w:p w14:paraId="446E770A" w14:textId="77777777" w:rsidR="005D1745" w:rsidRDefault="004B6ABE">
      <w:pPr>
        <w:spacing w:after="240"/>
        <w:rPr>
          <w:szCs w:val="21"/>
        </w:rPr>
      </w:pPr>
      <w:r>
        <w:rPr>
          <w:szCs w:val="21"/>
        </w:rPr>
        <w:t>Unexpected adverse events refer to any drug adverse reaction whose characteristics or severity are inconsistent with the investigator's brochure. Serious unexpected adverse reactions, abbreviated as SUSARs, refer to unexpected serious adverse events related to the investigational drug.</w:t>
      </w:r>
    </w:p>
    <w:p w14:paraId="01A5E41B" w14:textId="77777777" w:rsidR="005D1745" w:rsidRDefault="004B6ABE">
      <w:pPr>
        <w:pStyle w:val="3"/>
      </w:pPr>
      <w:r>
        <w:rPr>
          <w:rFonts w:hint="eastAsia"/>
        </w:rPr>
        <w:t xml:space="preserve"> </w:t>
      </w:r>
      <w:bookmarkStart w:id="2076" w:name="_Toc23266"/>
      <w:bookmarkStart w:id="2077" w:name="_Toc24624"/>
      <w:bookmarkStart w:id="2078" w:name="_Toc5527"/>
      <w:bookmarkStart w:id="2079" w:name="_Toc30435"/>
      <w:bookmarkStart w:id="2080" w:name="_Toc32050"/>
      <w:bookmarkStart w:id="2081" w:name="_Toc28695"/>
      <w:bookmarkStart w:id="2082" w:name="_Toc13463"/>
      <w:bookmarkStart w:id="2083" w:name="_Toc50"/>
      <w:bookmarkStart w:id="2084" w:name="_Toc29533"/>
      <w:bookmarkStart w:id="2085" w:name="_Toc30357"/>
      <w:bookmarkStart w:id="2086" w:name="_Toc18641"/>
      <w:bookmarkStart w:id="2087" w:name="_Toc10606"/>
      <w:bookmarkStart w:id="2088" w:name="_Toc20583"/>
      <w:bookmarkStart w:id="2089" w:name="_Toc27142"/>
      <w:bookmarkStart w:id="2090" w:name="_Toc18070"/>
      <w:bookmarkStart w:id="2091" w:name="_Toc16767"/>
      <w:bookmarkStart w:id="2092" w:name="_Toc15670"/>
      <w:bookmarkStart w:id="2093" w:name="_Toc305"/>
      <w:bookmarkStart w:id="2094" w:name="_Toc4887"/>
      <w:bookmarkStart w:id="2095" w:name="_Toc8239"/>
      <w:bookmarkStart w:id="2096" w:name="_Toc20644"/>
      <w:bookmarkStart w:id="2097" w:name="_Toc29630"/>
      <w:bookmarkStart w:id="2098" w:name="_Toc3139"/>
      <w:bookmarkStart w:id="2099" w:name="_Toc6682"/>
      <w:bookmarkStart w:id="2100" w:name="_Toc170380237"/>
      <w:r>
        <w:t xml:space="preserve">Reporting of </w:t>
      </w:r>
      <w:r>
        <w:rPr>
          <w:rFonts w:hint="eastAsia"/>
        </w:rPr>
        <w:t>a</w:t>
      </w:r>
      <w:r>
        <w:t xml:space="preserve">dverse </w:t>
      </w:r>
      <w:r>
        <w:rPr>
          <w:rFonts w:hint="eastAsia"/>
        </w:rPr>
        <w:t>e</w:t>
      </w:r>
      <w:r>
        <w:t>vents</w:t>
      </w:r>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p>
    <w:p w14:paraId="3BF4135F" w14:textId="77777777" w:rsidR="005D1745" w:rsidRDefault="004B6ABE">
      <w:pPr>
        <w:spacing w:after="240"/>
        <w:rPr>
          <w:szCs w:val="21"/>
        </w:rPr>
      </w:pPr>
      <w:r>
        <w:rPr>
          <w:szCs w:val="21"/>
        </w:rPr>
        <w:t>Adverse events that occur after the patient signs the informed consent form until 28 days after the last dose of medication should be recorded in detail.</w:t>
      </w:r>
    </w:p>
    <w:p w14:paraId="568D8651" w14:textId="77777777" w:rsidR="005D1745" w:rsidRDefault="004B6ABE">
      <w:pPr>
        <w:spacing w:after="240"/>
        <w:rPr>
          <w:szCs w:val="21"/>
        </w:rPr>
      </w:pPr>
      <w:r>
        <w:rPr>
          <w:szCs w:val="21"/>
        </w:rPr>
        <w:t>The documentation must be supported by original data. Laboratory abnormalities that are considered clinically relevant (for example, those leading to the patient's early withdrawal from the study, requiring treatment, or causing significant clinical manifestations, or those deemed clinically relevant by the investigator) should be recorded as adverse events. Each event should be described in detail, including start and end dates, severity, relationship with the study drug, measures taken, and the outcome of the event.</w:t>
      </w:r>
    </w:p>
    <w:p w14:paraId="645A9BCA" w14:textId="1F96C2DB" w:rsidR="005D1745" w:rsidRDefault="004B6ABE">
      <w:pPr>
        <w:spacing w:after="240"/>
        <w:rPr>
          <w:szCs w:val="21"/>
        </w:rPr>
      </w:pPr>
      <w:r>
        <w:rPr>
          <w:szCs w:val="21"/>
        </w:rPr>
        <w:t xml:space="preserve">SAEs that meet the definition occurring from the signing of the informed consent form until 28 days after the last dose, including laboratory abnormalities that meet the definition of SAEs, must be reported immediately (within 24 hours after the investigator becomes aware of them) to the designated person in the study documents. The SAE report form must also be completed and submitted to the designated person within 24 hours after the investigator becomes aware of </w:t>
      </w:r>
      <w:r w:rsidR="003E471C">
        <w:rPr>
          <w:szCs w:val="21"/>
        </w:rPr>
        <w:t>an SAE</w:t>
      </w:r>
      <w:r>
        <w:rPr>
          <w:szCs w:val="21"/>
        </w:rPr>
        <w:t xml:space="preserve">. SAEs related to study treatment, regardless of how long after the last dose, even if the trial has ended, must be </w:t>
      </w:r>
      <w:r w:rsidR="00222F65">
        <w:rPr>
          <w:szCs w:val="21"/>
        </w:rPr>
        <w:t>collected</w:t>
      </w:r>
      <w:r>
        <w:rPr>
          <w:szCs w:val="21"/>
        </w:rPr>
        <w:t xml:space="preserve"> and reported. Disease progression in this study is not reported as an SAE (see Section 9.2.6).</w:t>
      </w:r>
    </w:p>
    <w:p w14:paraId="11B2AEFD" w14:textId="0AC35F49" w:rsidR="005D1745" w:rsidRDefault="004B6ABE">
      <w:pPr>
        <w:spacing w:after="240"/>
        <w:rPr>
          <w:szCs w:val="21"/>
        </w:rPr>
      </w:pPr>
      <w:r>
        <w:rPr>
          <w:szCs w:val="21"/>
        </w:rPr>
        <w:t xml:space="preserve">Each SAE should be followed up until resolution or stability, and updated reports should be submitted to the designated personnel. Isolated Grade 4 laboratory abnormalities (according to CTC-AE version 4.0 standards) should not be reported as serious adverse reactions unless the investigator believes that the </w:t>
      </w:r>
      <w:r w:rsidR="003E471C">
        <w:rPr>
          <w:szCs w:val="21"/>
        </w:rPr>
        <w:t xml:space="preserve">abnormalities </w:t>
      </w:r>
      <w:r>
        <w:rPr>
          <w:szCs w:val="21"/>
        </w:rPr>
        <w:lastRenderedPageBreak/>
        <w:t xml:space="preserve">meet the criteria for SAE (see Section 9.2.5). Grade 5 laboratory abnormalities according to CTC-AE version 4.0 standards that appear during the baseline period and are manifestations of the disease should not be reported as SAEs, especially when </w:t>
      </w:r>
      <w:r w:rsidR="003E471C">
        <w:rPr>
          <w:szCs w:val="21"/>
        </w:rPr>
        <w:t xml:space="preserve">patients with </w:t>
      </w:r>
      <w:r>
        <w:rPr>
          <w:szCs w:val="21"/>
        </w:rPr>
        <w:t xml:space="preserve">these abnormalities are present and still allowed for enrollment by the protocol or not excluded from enrollment. If there is doubt about whether </w:t>
      </w:r>
      <w:r w:rsidR="008C57DA">
        <w:rPr>
          <w:szCs w:val="21"/>
        </w:rPr>
        <w:t>such</w:t>
      </w:r>
      <w:r w:rsidR="003E471C">
        <w:rPr>
          <w:szCs w:val="21"/>
        </w:rPr>
        <w:t xml:space="preserve"> an </w:t>
      </w:r>
      <w:r>
        <w:rPr>
          <w:szCs w:val="21"/>
        </w:rPr>
        <w:t>abnormality should be reported as an SAE, the investigator may consult the study monitor. Grade 4 laboratory abnormalities according to CTC-AE should be recorded on the 'Laboratory Data' page and regularly reviewed by the medical monitor. If it is uncertain whether an adverse event is due to the study disease, it should be reported as an AE or SAE.</w:t>
      </w:r>
    </w:p>
    <w:p w14:paraId="4365B7BF" w14:textId="77777777" w:rsidR="005D1745" w:rsidRDefault="004B6ABE">
      <w:pPr>
        <w:spacing w:after="240"/>
        <w:rPr>
          <w:szCs w:val="21"/>
        </w:rPr>
      </w:pPr>
      <w:r>
        <w:rPr>
          <w:szCs w:val="21"/>
        </w:rPr>
        <w:t>According to local laws and regulations, SAEs must be reported to the ethics committee and the drug regulatory authorities.</w:t>
      </w:r>
    </w:p>
    <w:p w14:paraId="61D728B9" w14:textId="77777777" w:rsidR="005D1745" w:rsidRDefault="004B6ABE">
      <w:pPr>
        <w:pStyle w:val="3"/>
      </w:pPr>
      <w:r>
        <w:rPr>
          <w:rFonts w:hint="eastAsia"/>
        </w:rPr>
        <w:t xml:space="preserve"> </w:t>
      </w:r>
      <w:bookmarkStart w:id="2101" w:name="_Toc13890"/>
      <w:bookmarkStart w:id="2102" w:name="_Toc24520"/>
      <w:bookmarkStart w:id="2103" w:name="_Toc23018"/>
      <w:bookmarkStart w:id="2104" w:name="_Toc14006"/>
      <w:bookmarkStart w:id="2105" w:name="_Toc767"/>
      <w:bookmarkStart w:id="2106" w:name="_Toc1395"/>
      <w:bookmarkStart w:id="2107" w:name="_Toc20163"/>
      <w:bookmarkStart w:id="2108" w:name="_Toc31241"/>
      <w:bookmarkStart w:id="2109" w:name="_Toc15985"/>
      <w:bookmarkStart w:id="2110" w:name="_Toc4893"/>
      <w:bookmarkStart w:id="2111" w:name="_Toc32549"/>
      <w:bookmarkStart w:id="2112" w:name="_Toc30760"/>
      <w:bookmarkStart w:id="2113" w:name="_Toc1493"/>
      <w:bookmarkStart w:id="2114" w:name="_Toc4502"/>
      <w:bookmarkStart w:id="2115" w:name="_Toc12380"/>
      <w:bookmarkStart w:id="2116" w:name="_Toc2166"/>
      <w:bookmarkStart w:id="2117" w:name="_Toc10039"/>
      <w:bookmarkStart w:id="2118" w:name="_Toc12328"/>
      <w:bookmarkStart w:id="2119" w:name="_Toc14281"/>
      <w:bookmarkStart w:id="2120" w:name="_Toc20034"/>
      <w:bookmarkStart w:id="2121" w:name="_Toc9200"/>
      <w:bookmarkStart w:id="2122" w:name="_Toc10599"/>
      <w:bookmarkStart w:id="2123" w:name="_Toc16723"/>
      <w:bookmarkStart w:id="2124" w:name="_Toc4550"/>
      <w:bookmarkStart w:id="2125" w:name="_Toc170380238"/>
      <w:r>
        <w:t xml:space="preserve">Treatment and </w:t>
      </w:r>
      <w:r>
        <w:rPr>
          <w:rFonts w:hint="eastAsia"/>
        </w:rPr>
        <w:t>f</w:t>
      </w:r>
      <w:r>
        <w:t xml:space="preserve">ollow-up of </w:t>
      </w:r>
      <w:r>
        <w:rPr>
          <w:rFonts w:hint="eastAsia"/>
        </w:rPr>
        <w:t>a</w:t>
      </w:r>
      <w:r>
        <w:t xml:space="preserve">dverse </w:t>
      </w:r>
      <w:r>
        <w:rPr>
          <w:rFonts w:hint="eastAsia"/>
        </w:rPr>
        <w:t>e</w:t>
      </w:r>
      <w:r>
        <w:t>vents</w:t>
      </w:r>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p>
    <w:p w14:paraId="4DA745FD" w14:textId="66CA0C24" w:rsidR="005D1745" w:rsidRDefault="004B6ABE">
      <w:pPr>
        <w:spacing w:after="240"/>
        <w:rPr>
          <w:szCs w:val="21"/>
        </w:rPr>
      </w:pPr>
      <w:r>
        <w:rPr>
          <w:szCs w:val="21"/>
        </w:rPr>
        <w:t xml:space="preserve">The </w:t>
      </w:r>
      <w:r w:rsidR="00716CBB">
        <w:rPr>
          <w:szCs w:val="21"/>
        </w:rPr>
        <w:t>outcome</w:t>
      </w:r>
      <w:r>
        <w:rPr>
          <w:szCs w:val="21"/>
        </w:rPr>
        <w:t xml:space="preserve"> of each AE must be recorded on the CRF. All AEs will be followed up according to the following guidelines:</w:t>
      </w:r>
    </w:p>
    <w:p w14:paraId="1DCE403F" w14:textId="77777777" w:rsidR="005D1745" w:rsidRDefault="004B6ABE">
      <w:pPr>
        <w:spacing w:after="240"/>
        <w:rPr>
          <w:b/>
          <w:bCs/>
          <w:szCs w:val="21"/>
          <w:u w:val="single"/>
        </w:rPr>
      </w:pPr>
      <w:r>
        <w:rPr>
          <w:b/>
          <w:bCs/>
          <w:szCs w:val="21"/>
          <w:u w:val="single"/>
        </w:rPr>
        <w:t>Regarding AEs</w:t>
      </w:r>
    </w:p>
    <w:p w14:paraId="379C4202" w14:textId="77777777" w:rsidR="005D1745" w:rsidRDefault="004B6ABE">
      <w:pPr>
        <w:spacing w:after="240"/>
        <w:rPr>
          <w:szCs w:val="21"/>
        </w:rPr>
      </w:pPr>
      <w:r>
        <w:rPr>
          <w:szCs w:val="21"/>
        </w:rPr>
        <w:t>Continue follow-up until one of the following outcomes occurs:</w:t>
      </w:r>
    </w:p>
    <w:p w14:paraId="55C2E450" w14:textId="77777777" w:rsidR="005D1745" w:rsidRDefault="004B6ABE">
      <w:pPr>
        <w:numPr>
          <w:ilvl w:val="0"/>
          <w:numId w:val="18"/>
        </w:numPr>
        <w:spacing w:afterLines="0" w:after="0"/>
        <w:rPr>
          <w:szCs w:val="21"/>
        </w:rPr>
      </w:pPr>
      <w:r>
        <w:rPr>
          <w:szCs w:val="21"/>
        </w:rPr>
        <w:t>Resolution or improvement to baseline level.</w:t>
      </w:r>
    </w:p>
    <w:p w14:paraId="7E1644B0" w14:textId="77777777" w:rsidR="005D1745" w:rsidRDefault="004B6ABE">
      <w:pPr>
        <w:numPr>
          <w:ilvl w:val="0"/>
          <w:numId w:val="18"/>
        </w:numPr>
        <w:spacing w:afterLines="0" w:after="0"/>
        <w:rPr>
          <w:szCs w:val="21"/>
        </w:rPr>
      </w:pPr>
      <w:r>
        <w:rPr>
          <w:szCs w:val="21"/>
        </w:rPr>
        <w:t>Causality is reassessed as unrelated.</w:t>
      </w:r>
    </w:p>
    <w:p w14:paraId="29E20B56" w14:textId="77777777" w:rsidR="005D1745" w:rsidRDefault="004B6ABE">
      <w:pPr>
        <w:numPr>
          <w:ilvl w:val="0"/>
          <w:numId w:val="18"/>
        </w:numPr>
        <w:spacing w:afterLines="0" w:after="0"/>
        <w:rPr>
          <w:szCs w:val="21"/>
        </w:rPr>
      </w:pPr>
      <w:r>
        <w:rPr>
          <w:szCs w:val="21"/>
        </w:rPr>
        <w:t>Death.</w:t>
      </w:r>
    </w:p>
    <w:p w14:paraId="4304EFDA" w14:textId="77777777" w:rsidR="005D1745" w:rsidRDefault="004B6ABE">
      <w:pPr>
        <w:numPr>
          <w:ilvl w:val="0"/>
          <w:numId w:val="18"/>
        </w:numPr>
        <w:spacing w:afterLines="0" w:after="0"/>
        <w:rPr>
          <w:szCs w:val="21"/>
        </w:rPr>
      </w:pPr>
      <w:r>
        <w:rPr>
          <w:szCs w:val="21"/>
        </w:rPr>
        <w:t>Initiation of a new anticancer regimen.</w:t>
      </w:r>
    </w:p>
    <w:p w14:paraId="63A65332" w14:textId="77777777" w:rsidR="005D1745" w:rsidRDefault="004B6ABE">
      <w:pPr>
        <w:numPr>
          <w:ilvl w:val="0"/>
          <w:numId w:val="18"/>
        </w:numPr>
        <w:spacing w:afterLines="0" w:after="0"/>
        <w:rPr>
          <w:szCs w:val="21"/>
        </w:rPr>
      </w:pPr>
      <w:r>
        <w:rPr>
          <w:szCs w:val="21"/>
        </w:rPr>
        <w:t>Investigator confirms that further improvement is not expected.</w:t>
      </w:r>
    </w:p>
    <w:p w14:paraId="6FDD8317" w14:textId="77777777" w:rsidR="005D1745" w:rsidRDefault="004B6ABE">
      <w:pPr>
        <w:numPr>
          <w:ilvl w:val="0"/>
          <w:numId w:val="18"/>
        </w:numPr>
        <w:spacing w:after="240"/>
        <w:rPr>
          <w:szCs w:val="21"/>
        </w:rPr>
      </w:pPr>
      <w:r>
        <w:rPr>
          <w:szCs w:val="21"/>
        </w:rPr>
        <w:t>No further clinical or safety data collection, or the final database is closed.</w:t>
      </w:r>
    </w:p>
    <w:p w14:paraId="1716B927" w14:textId="77777777" w:rsidR="005D1745" w:rsidRDefault="004B6ABE">
      <w:pPr>
        <w:spacing w:after="240"/>
        <w:rPr>
          <w:b/>
          <w:bCs/>
          <w:szCs w:val="21"/>
          <w:u w:val="single"/>
        </w:rPr>
      </w:pPr>
      <w:r>
        <w:rPr>
          <w:b/>
          <w:bCs/>
          <w:szCs w:val="21"/>
          <w:u w:val="single"/>
        </w:rPr>
        <w:t>Unrelated severe or life-threatening AEs</w:t>
      </w:r>
    </w:p>
    <w:p w14:paraId="32FE6732" w14:textId="77777777" w:rsidR="005D1745" w:rsidRDefault="004B6ABE">
      <w:pPr>
        <w:spacing w:after="240"/>
        <w:rPr>
          <w:szCs w:val="21"/>
        </w:rPr>
      </w:pPr>
      <w:r>
        <w:rPr>
          <w:szCs w:val="21"/>
        </w:rPr>
        <w:t>Continue follow-up until one of the following outcomes occurs:</w:t>
      </w:r>
    </w:p>
    <w:p w14:paraId="069C9318" w14:textId="77777777" w:rsidR="005D1745" w:rsidRDefault="004B6ABE">
      <w:pPr>
        <w:numPr>
          <w:ilvl w:val="0"/>
          <w:numId w:val="18"/>
        </w:numPr>
        <w:spacing w:afterLines="0" w:after="0"/>
        <w:rPr>
          <w:szCs w:val="21"/>
        </w:rPr>
      </w:pPr>
      <w:r>
        <w:rPr>
          <w:szCs w:val="21"/>
        </w:rPr>
        <w:t>Resolution or improvement to baseline level.</w:t>
      </w:r>
    </w:p>
    <w:p w14:paraId="67D6E2D5" w14:textId="77777777" w:rsidR="005D1745" w:rsidRDefault="004B6ABE">
      <w:pPr>
        <w:numPr>
          <w:ilvl w:val="0"/>
          <w:numId w:val="18"/>
        </w:numPr>
        <w:spacing w:afterLines="0" w:after="0"/>
        <w:rPr>
          <w:szCs w:val="21"/>
        </w:rPr>
      </w:pPr>
      <w:r>
        <w:rPr>
          <w:szCs w:val="21"/>
        </w:rPr>
        <w:t>Severity improves to Grade 2.</w:t>
      </w:r>
    </w:p>
    <w:p w14:paraId="02BCCA0E" w14:textId="77777777" w:rsidR="005D1745" w:rsidRDefault="004B6ABE">
      <w:pPr>
        <w:numPr>
          <w:ilvl w:val="0"/>
          <w:numId w:val="18"/>
        </w:numPr>
        <w:spacing w:afterLines="0" w:after="0"/>
        <w:rPr>
          <w:szCs w:val="21"/>
        </w:rPr>
      </w:pPr>
      <w:r>
        <w:rPr>
          <w:szCs w:val="21"/>
        </w:rPr>
        <w:t>Death.</w:t>
      </w:r>
    </w:p>
    <w:p w14:paraId="40B6D692" w14:textId="77777777" w:rsidR="005D1745" w:rsidRDefault="004B6ABE">
      <w:pPr>
        <w:numPr>
          <w:ilvl w:val="0"/>
          <w:numId w:val="18"/>
        </w:numPr>
        <w:spacing w:afterLines="0" w:after="0"/>
        <w:rPr>
          <w:szCs w:val="21"/>
        </w:rPr>
      </w:pPr>
      <w:r>
        <w:rPr>
          <w:szCs w:val="21"/>
        </w:rPr>
        <w:t>Initiation of a new anticancer regimen.</w:t>
      </w:r>
    </w:p>
    <w:p w14:paraId="6C743E2B" w14:textId="77777777" w:rsidR="005D1745" w:rsidRDefault="004B6ABE">
      <w:pPr>
        <w:numPr>
          <w:ilvl w:val="0"/>
          <w:numId w:val="18"/>
        </w:numPr>
        <w:spacing w:afterLines="0" w:after="0"/>
        <w:rPr>
          <w:szCs w:val="21"/>
        </w:rPr>
      </w:pPr>
      <w:r>
        <w:rPr>
          <w:szCs w:val="21"/>
        </w:rPr>
        <w:t>Investigator confirms that further improvement is not expected.</w:t>
      </w:r>
    </w:p>
    <w:p w14:paraId="79EC6B38" w14:textId="77777777" w:rsidR="005D1745" w:rsidRDefault="004B6ABE">
      <w:pPr>
        <w:numPr>
          <w:ilvl w:val="0"/>
          <w:numId w:val="18"/>
        </w:numPr>
        <w:spacing w:after="240"/>
        <w:rPr>
          <w:szCs w:val="21"/>
        </w:rPr>
      </w:pPr>
      <w:r>
        <w:rPr>
          <w:szCs w:val="21"/>
        </w:rPr>
        <w:t>No further clinical or safety data collection, or the final database is closed.</w:t>
      </w:r>
    </w:p>
    <w:p w14:paraId="2FACAD4D" w14:textId="77777777" w:rsidR="005D1745" w:rsidRDefault="004B6ABE">
      <w:pPr>
        <w:spacing w:after="240"/>
        <w:rPr>
          <w:b/>
          <w:bCs/>
          <w:szCs w:val="21"/>
          <w:u w:val="single"/>
        </w:rPr>
      </w:pPr>
      <w:r>
        <w:rPr>
          <w:b/>
          <w:bCs/>
          <w:szCs w:val="21"/>
          <w:u w:val="single"/>
        </w:rPr>
        <w:t xml:space="preserve">Unrelated </w:t>
      </w:r>
      <w:r>
        <w:rPr>
          <w:rFonts w:hint="eastAsia"/>
          <w:b/>
          <w:bCs/>
          <w:szCs w:val="21"/>
          <w:u w:val="single"/>
        </w:rPr>
        <w:t>g</w:t>
      </w:r>
      <w:r>
        <w:rPr>
          <w:b/>
          <w:bCs/>
          <w:szCs w:val="21"/>
          <w:u w:val="single"/>
        </w:rPr>
        <w:t>rade 1 or 2 AEs:</w:t>
      </w:r>
    </w:p>
    <w:p w14:paraId="05050FC1" w14:textId="77777777" w:rsidR="005D1745" w:rsidRDefault="004B6ABE">
      <w:pPr>
        <w:spacing w:after="240"/>
        <w:rPr>
          <w:szCs w:val="21"/>
        </w:rPr>
      </w:pPr>
      <w:r>
        <w:rPr>
          <w:szCs w:val="21"/>
        </w:rPr>
        <w:lastRenderedPageBreak/>
        <w:t>Continue follow-up until one of the following outcomes occurs:</w:t>
      </w:r>
    </w:p>
    <w:p w14:paraId="2E0BFCA1" w14:textId="77777777" w:rsidR="005D1745" w:rsidRDefault="004B6ABE">
      <w:pPr>
        <w:numPr>
          <w:ilvl w:val="0"/>
          <w:numId w:val="18"/>
        </w:numPr>
        <w:spacing w:afterLines="0" w:after="0"/>
        <w:rPr>
          <w:szCs w:val="21"/>
        </w:rPr>
      </w:pPr>
      <w:r>
        <w:rPr>
          <w:szCs w:val="21"/>
        </w:rPr>
        <w:t>Resolution or improvement to baseline level.</w:t>
      </w:r>
    </w:p>
    <w:p w14:paraId="3C7F4062" w14:textId="77777777" w:rsidR="005D1745" w:rsidRDefault="004B6ABE">
      <w:pPr>
        <w:numPr>
          <w:ilvl w:val="0"/>
          <w:numId w:val="18"/>
        </w:numPr>
        <w:spacing w:afterLines="0" w:after="0"/>
        <w:rPr>
          <w:szCs w:val="21"/>
        </w:rPr>
      </w:pPr>
      <w:r>
        <w:rPr>
          <w:szCs w:val="21"/>
        </w:rPr>
        <w:t>Initiation of new anticancer treatment.</w:t>
      </w:r>
    </w:p>
    <w:p w14:paraId="6CEF5068" w14:textId="77777777" w:rsidR="005D1745" w:rsidRDefault="004B6ABE">
      <w:pPr>
        <w:numPr>
          <w:ilvl w:val="0"/>
          <w:numId w:val="18"/>
        </w:numPr>
        <w:spacing w:afterLines="0" w:after="0"/>
        <w:rPr>
          <w:szCs w:val="21"/>
        </w:rPr>
      </w:pPr>
      <w:r>
        <w:rPr>
          <w:szCs w:val="21"/>
        </w:rPr>
        <w:t>Investigator confirms that further improvement is not expected.</w:t>
      </w:r>
    </w:p>
    <w:p w14:paraId="65B475D7" w14:textId="77777777" w:rsidR="005D1745" w:rsidRDefault="004B6ABE">
      <w:pPr>
        <w:numPr>
          <w:ilvl w:val="0"/>
          <w:numId w:val="18"/>
        </w:numPr>
        <w:spacing w:afterLines="0" w:after="0"/>
        <w:rPr>
          <w:szCs w:val="21"/>
        </w:rPr>
      </w:pPr>
      <w:r>
        <w:rPr>
          <w:szCs w:val="21"/>
        </w:rPr>
        <w:t>No further collection of clinical or safety data, or the final database is closed.</w:t>
      </w:r>
    </w:p>
    <w:p w14:paraId="1CE4CF0D" w14:textId="77777777" w:rsidR="005D1745" w:rsidRDefault="004B6ABE">
      <w:pPr>
        <w:pStyle w:val="3"/>
      </w:pPr>
      <w:r>
        <w:rPr>
          <w:rFonts w:hint="eastAsia"/>
        </w:rPr>
        <w:t xml:space="preserve"> </w:t>
      </w:r>
      <w:bookmarkStart w:id="2126" w:name="_Toc21517"/>
      <w:bookmarkStart w:id="2127" w:name="_Toc22210"/>
      <w:bookmarkStart w:id="2128" w:name="_Toc32702"/>
      <w:bookmarkStart w:id="2129" w:name="_Toc1514"/>
      <w:bookmarkStart w:id="2130" w:name="_Toc5350"/>
      <w:bookmarkStart w:id="2131" w:name="_Toc24608"/>
      <w:bookmarkStart w:id="2132" w:name="_Toc30303"/>
      <w:bookmarkStart w:id="2133" w:name="_Toc12456"/>
      <w:bookmarkStart w:id="2134" w:name="_Toc32595"/>
      <w:bookmarkStart w:id="2135" w:name="_Toc26785"/>
      <w:bookmarkStart w:id="2136" w:name="_Toc28985"/>
      <w:bookmarkStart w:id="2137" w:name="_Toc24577"/>
      <w:bookmarkStart w:id="2138" w:name="_Toc12518"/>
      <w:bookmarkStart w:id="2139" w:name="_Toc24883"/>
      <w:bookmarkStart w:id="2140" w:name="_Toc16603"/>
      <w:bookmarkStart w:id="2141" w:name="_Toc4427"/>
      <w:bookmarkStart w:id="2142" w:name="_Toc12236"/>
      <w:bookmarkStart w:id="2143" w:name="_Toc4473"/>
      <w:bookmarkStart w:id="2144" w:name="_Toc17471"/>
      <w:bookmarkStart w:id="2145" w:name="_Toc15646"/>
      <w:bookmarkStart w:id="2146" w:name="_Toc17281"/>
      <w:bookmarkStart w:id="2147" w:name="_Toc10443"/>
      <w:bookmarkStart w:id="2148" w:name="_Toc29551"/>
      <w:bookmarkStart w:id="2149" w:name="_Toc28838"/>
      <w:bookmarkStart w:id="2150" w:name="_Toc170380239"/>
      <w:r>
        <w:t xml:space="preserve">Laboratory </w:t>
      </w:r>
      <w:r>
        <w:rPr>
          <w:rFonts w:hint="eastAsia"/>
        </w:rPr>
        <w:t>t</w:t>
      </w:r>
      <w:r>
        <w:t xml:space="preserve">est </w:t>
      </w:r>
      <w:r>
        <w:rPr>
          <w:rFonts w:hint="eastAsia"/>
        </w:rPr>
        <w:t>v</w:t>
      </w:r>
      <w:r>
        <w:t xml:space="preserve">alue </w:t>
      </w:r>
      <w:r>
        <w:rPr>
          <w:rFonts w:hint="eastAsia"/>
        </w:rPr>
        <w:t>a</w:t>
      </w:r>
      <w:r>
        <w:t>bnormalities</w:t>
      </w:r>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p>
    <w:p w14:paraId="0098229B" w14:textId="77777777" w:rsidR="005D1745" w:rsidRDefault="004B6ABE">
      <w:pPr>
        <w:spacing w:after="240"/>
        <w:rPr>
          <w:szCs w:val="21"/>
        </w:rPr>
      </w:pPr>
      <w:r>
        <w:rPr>
          <w:szCs w:val="21"/>
        </w:rPr>
        <w:t>Record laboratory test results in the CRF. For any laboratory result abnormality that meets SAE criteria, in addition to recording it as an AE in the CRF, it should also be reported as an SAE.</w:t>
      </w:r>
    </w:p>
    <w:p w14:paraId="7EE8D35E" w14:textId="6FE65C7E" w:rsidR="005D1745" w:rsidRDefault="004B6ABE">
      <w:pPr>
        <w:spacing w:after="240"/>
        <w:rPr>
          <w:szCs w:val="21"/>
        </w:rPr>
      </w:pPr>
      <w:r>
        <w:rPr>
          <w:szCs w:val="21"/>
        </w:rPr>
        <w:t>In the AE page of the CRF, any clinically significant abnormal laboratory test result</w:t>
      </w:r>
      <w:r w:rsidR="00B3454B">
        <w:rPr>
          <w:szCs w:val="21"/>
        </w:rPr>
        <w:t>s</w:t>
      </w:r>
      <w:r>
        <w:rPr>
          <w:szCs w:val="21"/>
        </w:rPr>
        <w:t xml:space="preserve"> caused by treatment should be recorded in the form of a single diagnostic result, that is, these results meet one or more of the following conditions:</w:t>
      </w:r>
    </w:p>
    <w:p w14:paraId="5C2FAF8D" w14:textId="77777777" w:rsidR="005D1745" w:rsidRDefault="004B6ABE">
      <w:pPr>
        <w:numPr>
          <w:ilvl w:val="0"/>
          <w:numId w:val="18"/>
        </w:numPr>
        <w:spacing w:afterLines="0" w:after="0"/>
        <w:rPr>
          <w:szCs w:val="21"/>
        </w:rPr>
      </w:pPr>
      <w:r>
        <w:rPr>
          <w:szCs w:val="21"/>
        </w:rPr>
        <w:t>Clinical complications have occurred.</w:t>
      </w:r>
    </w:p>
    <w:p w14:paraId="5E5E5291" w14:textId="77777777" w:rsidR="005D1745" w:rsidRDefault="004B6ABE">
      <w:pPr>
        <w:numPr>
          <w:ilvl w:val="0"/>
          <w:numId w:val="18"/>
        </w:numPr>
        <w:spacing w:afterLines="0" w:after="0"/>
        <w:rPr>
          <w:szCs w:val="21"/>
        </w:rPr>
      </w:pPr>
      <w:r>
        <w:rPr>
          <w:szCs w:val="21"/>
        </w:rPr>
        <w:t>It leads to changes in the study medication (such as dose changes, interruption of administration, or permanent discontinuation).</w:t>
      </w:r>
    </w:p>
    <w:p w14:paraId="6ED68F4F" w14:textId="77777777" w:rsidR="005D1745" w:rsidRDefault="004B6ABE">
      <w:pPr>
        <w:numPr>
          <w:ilvl w:val="0"/>
          <w:numId w:val="18"/>
        </w:numPr>
        <w:spacing w:afterLines="0" w:after="0"/>
        <w:rPr>
          <w:szCs w:val="21"/>
        </w:rPr>
      </w:pPr>
      <w:r>
        <w:rPr>
          <w:szCs w:val="21"/>
        </w:rPr>
        <w:t>It requires changes in the concurrent treatment plan (such as increases, interruptions, discontinuations, or other changes to concurrent drugs, treatments, or medication measures).</w:t>
      </w:r>
    </w:p>
    <w:p w14:paraId="19DFEF9B" w14:textId="5A7F5785" w:rsidR="005D1745" w:rsidRDefault="00C303B1">
      <w:pPr>
        <w:spacing w:after="240"/>
        <w:rPr>
          <w:szCs w:val="21"/>
        </w:rPr>
      </w:pPr>
      <w:r>
        <w:rPr>
          <w:szCs w:val="21"/>
        </w:rPr>
        <w:t>These above apply</w:t>
      </w:r>
      <w:r w:rsidR="004B6ABE">
        <w:rPr>
          <w:szCs w:val="21"/>
        </w:rPr>
        <w:t xml:space="preserve"> to any protocol and non-protocol specified laboratory safety and efficacy results obtained from tests conducted after the first dose of study drug, which exceed the laboratory reference range and meet clinical significance criteria.</w:t>
      </w:r>
    </w:p>
    <w:p w14:paraId="0E07DE72" w14:textId="74651A5F" w:rsidR="005D1745" w:rsidRDefault="00C303B1">
      <w:pPr>
        <w:spacing w:after="240"/>
        <w:rPr>
          <w:szCs w:val="21"/>
        </w:rPr>
      </w:pPr>
      <w:r>
        <w:rPr>
          <w:szCs w:val="21"/>
        </w:rPr>
        <w:t>These above do</w:t>
      </w:r>
      <w:r w:rsidR="004B6ABE">
        <w:rPr>
          <w:szCs w:val="21"/>
        </w:rPr>
        <w:t xml:space="preserve"> not apply to any laboratory test result abnormalities that exceed the laboratory reference range but do not meet clinical significance criteria (they will be analyzed and reported as laboratory test abnormalities); types of AEs explicitly excluded by the protocol; or results arising from AEs that have been reported or are being reported.</w:t>
      </w:r>
    </w:p>
    <w:p w14:paraId="3E0EB2D4" w14:textId="77777777" w:rsidR="005D1745" w:rsidRDefault="004B6ABE">
      <w:pPr>
        <w:spacing w:after="240"/>
        <w:rPr>
          <w:szCs w:val="21"/>
        </w:rPr>
      </w:pPr>
      <w:r>
        <w:rPr>
          <w:szCs w:val="21"/>
        </w:rPr>
        <w:t>If a medically significant, unexplained laboratory abnormality occurs, the test should be repeated and followed up until it returns to normal range and/or an appropriate explanation for the abnormality is found. If a clear explanation has been obtained, it should be recorded on the CRF.</w:t>
      </w:r>
    </w:p>
    <w:p w14:paraId="3509F5C3" w14:textId="77777777" w:rsidR="005D1745" w:rsidRDefault="004B6ABE">
      <w:pPr>
        <w:pStyle w:val="2"/>
      </w:pPr>
      <w:r>
        <w:rPr>
          <w:rFonts w:hint="eastAsia"/>
        </w:rPr>
        <w:t xml:space="preserve"> </w:t>
      </w:r>
      <w:bookmarkStart w:id="2151" w:name="_Toc20438"/>
      <w:bookmarkStart w:id="2152" w:name="_Toc1363"/>
      <w:bookmarkStart w:id="2153" w:name="_Toc24828"/>
      <w:bookmarkStart w:id="2154" w:name="_Toc15726"/>
      <w:bookmarkStart w:id="2155" w:name="_Toc12115"/>
      <w:bookmarkStart w:id="2156" w:name="_Toc5734"/>
      <w:bookmarkStart w:id="2157" w:name="_Toc8864"/>
      <w:bookmarkStart w:id="2158" w:name="_Toc13294"/>
      <w:bookmarkStart w:id="2159" w:name="_Toc31453"/>
      <w:bookmarkStart w:id="2160" w:name="_Toc31302"/>
      <w:bookmarkStart w:id="2161" w:name="_Toc29377"/>
      <w:bookmarkStart w:id="2162" w:name="_Toc24001"/>
      <w:bookmarkStart w:id="2163" w:name="_Toc30718"/>
      <w:bookmarkStart w:id="2164" w:name="_Toc5673"/>
      <w:bookmarkStart w:id="2165" w:name="_Toc5590"/>
      <w:bookmarkStart w:id="2166" w:name="_Toc13637"/>
      <w:bookmarkStart w:id="2167" w:name="_Toc20128"/>
      <w:bookmarkStart w:id="2168" w:name="_Toc20330"/>
      <w:bookmarkStart w:id="2169" w:name="_Toc25128"/>
      <w:bookmarkStart w:id="2170" w:name="_Toc7249"/>
      <w:bookmarkStart w:id="2171" w:name="_Toc7483"/>
      <w:bookmarkStart w:id="2172" w:name="_Toc22376"/>
      <w:bookmarkStart w:id="2173" w:name="_Toc313"/>
      <w:bookmarkStart w:id="2174" w:name="_Toc20892"/>
      <w:bookmarkStart w:id="2175" w:name="_Toc8900"/>
      <w:bookmarkStart w:id="2176" w:name="_Toc216"/>
      <w:bookmarkStart w:id="2177" w:name="_Toc170380240"/>
      <w:r>
        <w:t>Pregnancy</w:t>
      </w:r>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p>
    <w:p w14:paraId="7EF5A668" w14:textId="29E760F0" w:rsidR="005D1745" w:rsidRDefault="004B6ABE">
      <w:pPr>
        <w:spacing w:after="240"/>
        <w:rPr>
          <w:szCs w:val="21"/>
        </w:rPr>
      </w:pPr>
      <w:r>
        <w:rPr>
          <w:szCs w:val="21"/>
        </w:rPr>
        <w:t xml:space="preserve">If a female patient becomes pregnant during the study, she must stop using the study medication as instructed and immediately notify the investigator. The investigator must report the pregnancy outcome to the sponsor and drug regulatory authorities, ethics committee within 24 hours through the clinical trial pregnancy report form. </w:t>
      </w:r>
      <w:r w:rsidR="00002D69">
        <w:rPr>
          <w:szCs w:val="21"/>
        </w:rPr>
        <w:t>The i</w:t>
      </w:r>
      <w:r>
        <w:rPr>
          <w:szCs w:val="21"/>
        </w:rPr>
        <w:t xml:space="preserve">nvestigator should provide medical counseling to </w:t>
      </w:r>
      <w:r w:rsidR="00002D69">
        <w:rPr>
          <w:szCs w:val="21"/>
        </w:rPr>
        <w:t xml:space="preserve">the </w:t>
      </w:r>
      <w:r>
        <w:rPr>
          <w:szCs w:val="21"/>
        </w:rPr>
        <w:t xml:space="preserve">patient and discuss the risks of continuing </w:t>
      </w:r>
      <w:r>
        <w:rPr>
          <w:szCs w:val="21"/>
        </w:rPr>
        <w:lastRenderedPageBreak/>
        <w:t xml:space="preserve">pregnancy and potential impact on the fetus. </w:t>
      </w:r>
      <w:r w:rsidR="00002D69">
        <w:rPr>
          <w:szCs w:val="21"/>
        </w:rPr>
        <w:t>The p</w:t>
      </w:r>
      <w:r>
        <w:rPr>
          <w:szCs w:val="21"/>
        </w:rPr>
        <w:t>atient should be monitored until the end of pregnancy, and if the baby born is alive, the baby should also be followed up. Pregnancies that occur within 90 days after the completion of study drug administration should also be reported to the investigator.</w:t>
      </w:r>
    </w:p>
    <w:p w14:paraId="6D0C4A01" w14:textId="77777777" w:rsidR="005D1745" w:rsidRDefault="004B6ABE">
      <w:pPr>
        <w:spacing w:after="240"/>
        <w:rPr>
          <w:szCs w:val="21"/>
        </w:rPr>
      </w:pPr>
      <w:r>
        <w:rPr>
          <w:szCs w:val="21"/>
        </w:rPr>
        <w:t>If the spouse of a male patient participating in the study becomes pregnant or becomes pregnant within 90 days after the end of the study medication, it is necessary to obtain the informed consent signed by the pregnant spouse through the Pregnant Spouse Data Release Form as much as possible, and follow up and report the pregnancy outcome to the investigator and sponsor. The spouse should be consulted to discuss the risks of continuing pregnancy and the possible adverse reactions to the fetus. The patient should continue to be monitored until the end of pregnancy. If the baby born is alive, the baby should also be followed up.</w:t>
      </w:r>
    </w:p>
    <w:p w14:paraId="69C261A7" w14:textId="5102F561" w:rsidR="005D1745" w:rsidRDefault="004B6ABE">
      <w:pPr>
        <w:pStyle w:val="1"/>
        <w:spacing w:before="240"/>
      </w:pPr>
      <w:r>
        <w:rPr>
          <w:rFonts w:hint="eastAsia"/>
        </w:rPr>
        <w:t xml:space="preserve"> </w:t>
      </w:r>
      <w:bookmarkStart w:id="2178" w:name="_Toc20925"/>
      <w:bookmarkStart w:id="2179" w:name="_Toc31378"/>
      <w:bookmarkStart w:id="2180" w:name="_Toc12713"/>
      <w:bookmarkStart w:id="2181" w:name="_Toc21764"/>
      <w:bookmarkStart w:id="2182" w:name="_Toc26777"/>
      <w:bookmarkStart w:id="2183" w:name="_Toc22372"/>
      <w:bookmarkStart w:id="2184" w:name="_Toc26836"/>
      <w:bookmarkStart w:id="2185" w:name="_Toc21388"/>
      <w:bookmarkStart w:id="2186" w:name="_Toc30546"/>
      <w:bookmarkStart w:id="2187" w:name="_Toc18463"/>
      <w:bookmarkStart w:id="2188" w:name="_Toc20853"/>
      <w:bookmarkStart w:id="2189" w:name="_Toc14505"/>
      <w:bookmarkStart w:id="2190" w:name="_Toc6073"/>
      <w:bookmarkStart w:id="2191" w:name="_Toc14886"/>
      <w:bookmarkStart w:id="2192" w:name="_Toc20361"/>
      <w:bookmarkStart w:id="2193" w:name="_Toc26333"/>
      <w:bookmarkStart w:id="2194" w:name="_Toc12079"/>
      <w:bookmarkStart w:id="2195" w:name="_Toc24867"/>
      <w:bookmarkStart w:id="2196" w:name="_Toc22581"/>
      <w:bookmarkStart w:id="2197" w:name="_Toc7252"/>
      <w:bookmarkStart w:id="2198" w:name="_Toc26736"/>
      <w:bookmarkStart w:id="2199" w:name="_Toc11231"/>
      <w:bookmarkStart w:id="2200" w:name="_Toc18767"/>
      <w:bookmarkStart w:id="2201" w:name="_Toc14098"/>
      <w:bookmarkStart w:id="2202" w:name="_Toc3622"/>
      <w:bookmarkStart w:id="2203" w:name="_Toc23694"/>
      <w:bookmarkStart w:id="2204" w:name="_Toc170380241"/>
      <w:r>
        <w:rPr>
          <w:rFonts w:hint="eastAsia"/>
        </w:rPr>
        <w:t xml:space="preserve">INDEPENDENT </w:t>
      </w:r>
      <w:r w:rsidR="00361C1D">
        <w:t>DATA MONITORING</w:t>
      </w:r>
      <w:bookmarkStart w:id="2205" w:name="_GoBack"/>
      <w:bookmarkEnd w:id="2205"/>
      <w:r>
        <w:rPr>
          <w:rFonts w:hint="eastAsia"/>
        </w:rPr>
        <w:t xml:space="preserve"> COMMITTEE (I</w:t>
      </w:r>
      <w:r w:rsidR="00361C1D">
        <w:t>DM</w:t>
      </w:r>
      <w:r>
        <w:rPr>
          <w:rFonts w:hint="eastAsia"/>
        </w:rPr>
        <w:t>C)</w:t>
      </w:r>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p>
    <w:p w14:paraId="1CEB2FB3" w14:textId="7C004E2B" w:rsidR="005D1745" w:rsidRDefault="004B6ABE">
      <w:pPr>
        <w:spacing w:after="240"/>
        <w:rPr>
          <w:szCs w:val="21"/>
        </w:rPr>
      </w:pPr>
      <w:r>
        <w:rPr>
          <w:szCs w:val="21"/>
        </w:rPr>
        <w:t xml:space="preserve">The Independent </w:t>
      </w:r>
      <w:r w:rsidR="00361C1D" w:rsidRPr="00361C1D">
        <w:rPr>
          <w:szCs w:val="21"/>
        </w:rPr>
        <w:t>Data Monitoring</w:t>
      </w:r>
      <w:r>
        <w:rPr>
          <w:szCs w:val="21"/>
        </w:rPr>
        <w:t xml:space="preserve"> Committee (</w:t>
      </w:r>
      <w:r w:rsidR="00361C1D">
        <w:rPr>
          <w:szCs w:val="21"/>
        </w:rPr>
        <w:t>IDMC</w:t>
      </w:r>
      <w:r>
        <w:rPr>
          <w:szCs w:val="21"/>
        </w:rPr>
        <w:t>)</w:t>
      </w:r>
      <w:r w:rsidR="0089224E">
        <w:rPr>
          <w:szCs w:val="21"/>
        </w:rPr>
        <w:t xml:space="preserve"> </w:t>
      </w:r>
      <w:r w:rsidR="0089224E">
        <w:rPr>
          <w:rFonts w:hint="eastAsia"/>
          <w:szCs w:val="21"/>
        </w:rPr>
        <w:t>wi</w:t>
      </w:r>
      <w:r w:rsidR="0089224E">
        <w:rPr>
          <w:szCs w:val="21"/>
        </w:rPr>
        <w:t xml:space="preserve">ll meet every year from the trial begins. </w:t>
      </w:r>
    </w:p>
    <w:p w14:paraId="62A3E9FD" w14:textId="155D1741" w:rsidR="00FB7078" w:rsidRDefault="00FB7078">
      <w:pPr>
        <w:spacing w:after="240"/>
        <w:rPr>
          <w:szCs w:val="21"/>
        </w:rPr>
      </w:pPr>
      <w:r w:rsidRPr="00FB7078">
        <w:rPr>
          <w:szCs w:val="21"/>
        </w:rPr>
        <w:t xml:space="preserve">The timing and frequency of the </w:t>
      </w:r>
      <w:r>
        <w:rPr>
          <w:szCs w:val="21"/>
        </w:rPr>
        <w:t>IDMC meeting</w:t>
      </w:r>
      <w:r w:rsidRPr="00FB7078">
        <w:rPr>
          <w:szCs w:val="21"/>
        </w:rPr>
        <w:t xml:space="preserve"> may be changed if the </w:t>
      </w:r>
      <w:r>
        <w:rPr>
          <w:szCs w:val="21"/>
        </w:rPr>
        <w:t>IDMC</w:t>
      </w:r>
      <w:r w:rsidRPr="00FB7078">
        <w:rPr>
          <w:szCs w:val="21"/>
        </w:rPr>
        <w:t xml:space="preserve"> considers it necessary. The </w:t>
      </w:r>
      <w:r>
        <w:rPr>
          <w:szCs w:val="21"/>
        </w:rPr>
        <w:t>IDMC</w:t>
      </w:r>
      <w:r w:rsidRPr="00FB7078">
        <w:rPr>
          <w:szCs w:val="21"/>
        </w:rPr>
        <w:t xml:space="preserve"> will make recommendations to continue, amend, or stop the study based on serious adverse events, adverse events, and other safety data. The IDMC will conduct </w:t>
      </w:r>
      <w:r>
        <w:rPr>
          <w:szCs w:val="21"/>
        </w:rPr>
        <w:t>a interim analysis</w:t>
      </w:r>
      <w:r w:rsidRPr="00FB7078">
        <w:rPr>
          <w:szCs w:val="21"/>
        </w:rPr>
        <w:t>.</w:t>
      </w:r>
      <w:r>
        <w:rPr>
          <w:szCs w:val="21"/>
        </w:rPr>
        <w:t xml:space="preserve"> </w:t>
      </w:r>
      <w:r w:rsidRPr="00FB7078">
        <w:rPr>
          <w:szCs w:val="21"/>
        </w:rPr>
        <w:t xml:space="preserve">If the interim analysis meets the criteria of early termination of the trial, the sponsor and the principle investigator may accept </w:t>
      </w:r>
      <w:r>
        <w:rPr>
          <w:szCs w:val="21"/>
        </w:rPr>
        <w:t>IDMC</w:t>
      </w:r>
      <w:r w:rsidRPr="00FB7078">
        <w:rPr>
          <w:szCs w:val="21"/>
        </w:rPr>
        <w:t>'s recommendation to terminate the study.</w:t>
      </w:r>
    </w:p>
    <w:p w14:paraId="5164FC7A" w14:textId="6EA14E3E" w:rsidR="005D1745" w:rsidRDefault="004B6ABE">
      <w:pPr>
        <w:spacing w:after="240"/>
        <w:rPr>
          <w:szCs w:val="21"/>
        </w:rPr>
      </w:pPr>
      <w:r>
        <w:rPr>
          <w:szCs w:val="21"/>
        </w:rPr>
        <w:t xml:space="preserve">The review by the </w:t>
      </w:r>
      <w:r w:rsidR="00B474FC">
        <w:rPr>
          <w:szCs w:val="21"/>
        </w:rPr>
        <w:t>IDMC</w:t>
      </w:r>
      <w:r>
        <w:rPr>
          <w:szCs w:val="21"/>
        </w:rPr>
        <w:t xml:space="preserve"> does not determine the eligibility of patient enrollment, nor does it decide on the patient's treatment. Investigators make all treatment decisions based on local assessment results. The main analyses of OS and DFS are based on investigator assessment results.</w:t>
      </w:r>
    </w:p>
    <w:bookmarkEnd w:id="98"/>
    <w:bookmarkEnd w:id="99"/>
    <w:bookmarkEnd w:id="100"/>
    <w:bookmarkEnd w:id="101"/>
    <w:bookmarkEnd w:id="102"/>
    <w:bookmarkEnd w:id="103"/>
    <w:p w14:paraId="238C51BA" w14:textId="242526AB" w:rsidR="005D1745" w:rsidRDefault="005D1745">
      <w:pPr>
        <w:pStyle w:val="BayerBodytext"/>
        <w:spacing w:line="240" w:lineRule="auto"/>
        <w:ind w:left="0"/>
        <w:rPr>
          <w:sz w:val="21"/>
          <w:szCs w:val="21"/>
          <w:lang w:eastAsia="zh-CN"/>
        </w:rPr>
      </w:pPr>
    </w:p>
    <w:p w14:paraId="40492113" w14:textId="35B70548" w:rsidR="0065011F" w:rsidRDefault="0065011F">
      <w:pPr>
        <w:pStyle w:val="BayerBodytext"/>
        <w:spacing w:line="240" w:lineRule="auto"/>
        <w:ind w:left="0"/>
        <w:rPr>
          <w:sz w:val="21"/>
          <w:szCs w:val="21"/>
          <w:lang w:eastAsia="zh-CN"/>
        </w:rPr>
      </w:pPr>
    </w:p>
    <w:p w14:paraId="49527A9D" w14:textId="2B00AA85" w:rsidR="0065011F" w:rsidRDefault="0065011F">
      <w:pPr>
        <w:pStyle w:val="BayerBodytext"/>
        <w:spacing w:line="240" w:lineRule="auto"/>
        <w:ind w:left="0"/>
        <w:rPr>
          <w:sz w:val="21"/>
          <w:szCs w:val="21"/>
          <w:lang w:eastAsia="zh-CN"/>
        </w:rPr>
      </w:pPr>
    </w:p>
    <w:p w14:paraId="539A77CC" w14:textId="08DF247A" w:rsidR="0065011F" w:rsidRDefault="0065011F">
      <w:pPr>
        <w:pStyle w:val="BayerBodytext"/>
        <w:spacing w:line="240" w:lineRule="auto"/>
        <w:ind w:left="0"/>
        <w:rPr>
          <w:sz w:val="21"/>
          <w:szCs w:val="21"/>
          <w:lang w:eastAsia="zh-CN"/>
        </w:rPr>
      </w:pPr>
    </w:p>
    <w:p w14:paraId="7387036E" w14:textId="4CC79ACC" w:rsidR="0065011F" w:rsidRDefault="0065011F">
      <w:pPr>
        <w:pStyle w:val="BayerBodytext"/>
        <w:spacing w:line="240" w:lineRule="auto"/>
        <w:ind w:left="0"/>
        <w:rPr>
          <w:sz w:val="21"/>
          <w:szCs w:val="21"/>
          <w:lang w:eastAsia="zh-CN"/>
        </w:rPr>
      </w:pPr>
    </w:p>
    <w:p w14:paraId="208A5FC0" w14:textId="38D850B6" w:rsidR="0065011F" w:rsidRDefault="0065011F">
      <w:pPr>
        <w:pStyle w:val="BayerBodytext"/>
        <w:spacing w:line="240" w:lineRule="auto"/>
        <w:ind w:left="0"/>
        <w:rPr>
          <w:sz w:val="21"/>
          <w:szCs w:val="21"/>
          <w:lang w:eastAsia="zh-CN"/>
        </w:rPr>
      </w:pPr>
    </w:p>
    <w:p w14:paraId="5D9D192D" w14:textId="6173CA08" w:rsidR="0065011F" w:rsidRDefault="0065011F">
      <w:pPr>
        <w:pStyle w:val="BayerBodytext"/>
        <w:spacing w:line="240" w:lineRule="auto"/>
        <w:ind w:left="0"/>
        <w:rPr>
          <w:sz w:val="21"/>
          <w:szCs w:val="21"/>
          <w:lang w:eastAsia="zh-CN"/>
        </w:rPr>
      </w:pPr>
    </w:p>
    <w:p w14:paraId="321A77F6" w14:textId="48534489" w:rsidR="0065011F" w:rsidRDefault="0065011F">
      <w:pPr>
        <w:pStyle w:val="BayerBodytext"/>
        <w:spacing w:line="240" w:lineRule="auto"/>
        <w:ind w:left="0"/>
        <w:rPr>
          <w:sz w:val="21"/>
          <w:szCs w:val="21"/>
          <w:lang w:eastAsia="zh-CN"/>
        </w:rPr>
      </w:pPr>
    </w:p>
    <w:p w14:paraId="3D792771" w14:textId="652C93DC" w:rsidR="0065011F" w:rsidRDefault="0065011F">
      <w:pPr>
        <w:pStyle w:val="BayerBodytext"/>
        <w:spacing w:line="240" w:lineRule="auto"/>
        <w:ind w:left="0"/>
        <w:rPr>
          <w:sz w:val="21"/>
          <w:szCs w:val="21"/>
          <w:lang w:eastAsia="zh-CN"/>
        </w:rPr>
      </w:pPr>
    </w:p>
    <w:p w14:paraId="6FF6741B" w14:textId="0FA14F13" w:rsidR="0065011F" w:rsidRDefault="0065011F">
      <w:pPr>
        <w:pStyle w:val="BayerBodytext"/>
        <w:spacing w:line="240" w:lineRule="auto"/>
        <w:ind w:left="0"/>
        <w:rPr>
          <w:sz w:val="21"/>
          <w:szCs w:val="21"/>
          <w:lang w:eastAsia="zh-CN"/>
        </w:rPr>
      </w:pPr>
    </w:p>
    <w:p w14:paraId="3A6346A6" w14:textId="111EB4E6" w:rsidR="0065011F" w:rsidRDefault="0065011F">
      <w:pPr>
        <w:pStyle w:val="BayerBodytext"/>
        <w:spacing w:line="240" w:lineRule="auto"/>
        <w:ind w:left="0"/>
        <w:rPr>
          <w:sz w:val="21"/>
          <w:szCs w:val="21"/>
          <w:lang w:eastAsia="zh-CN"/>
        </w:rPr>
      </w:pPr>
    </w:p>
    <w:p w14:paraId="620E95B3" w14:textId="77777777" w:rsidR="0065011F" w:rsidRDefault="0065011F">
      <w:pPr>
        <w:pStyle w:val="BayerBodytext"/>
        <w:spacing w:line="240" w:lineRule="auto"/>
        <w:ind w:left="0"/>
        <w:rPr>
          <w:sz w:val="21"/>
          <w:szCs w:val="21"/>
          <w:lang w:eastAsia="zh-CN"/>
        </w:rPr>
        <w:sectPr w:rsidR="0065011F" w:rsidSect="004C2DFA">
          <w:pgSz w:w="11906" w:h="16838"/>
          <w:pgMar w:top="1418" w:right="1418" w:bottom="1418" w:left="1418" w:header="680" w:footer="850" w:gutter="0"/>
          <w:lnNumType w:countBy="1"/>
          <w:cols w:space="720"/>
          <w:docGrid w:linePitch="312"/>
        </w:sectPr>
      </w:pPr>
    </w:p>
    <w:p w14:paraId="7AA6CA88" w14:textId="77777777" w:rsidR="005D1745" w:rsidRDefault="004B6ABE">
      <w:pPr>
        <w:pStyle w:val="1"/>
        <w:spacing w:before="240"/>
      </w:pPr>
      <w:bookmarkStart w:id="2206" w:name="_Toc18630"/>
      <w:bookmarkStart w:id="2207" w:name="_Toc352012097"/>
      <w:r>
        <w:lastRenderedPageBreak/>
        <w:t xml:space="preserve"> </w:t>
      </w:r>
      <w:bookmarkStart w:id="2208" w:name="_Toc5165"/>
      <w:bookmarkStart w:id="2209" w:name="_Toc24323"/>
      <w:bookmarkStart w:id="2210" w:name="_Toc18926"/>
      <w:bookmarkStart w:id="2211" w:name="_Toc2753"/>
      <w:bookmarkStart w:id="2212" w:name="_Toc8850"/>
      <w:bookmarkStart w:id="2213" w:name="_Toc28080"/>
      <w:bookmarkStart w:id="2214" w:name="_Toc3107"/>
      <w:bookmarkStart w:id="2215" w:name="_Toc2117"/>
      <w:bookmarkStart w:id="2216" w:name="_Toc29087"/>
      <w:bookmarkStart w:id="2217" w:name="_Toc20002"/>
      <w:bookmarkStart w:id="2218" w:name="_Toc9806"/>
      <w:bookmarkStart w:id="2219" w:name="_Toc31389"/>
      <w:bookmarkStart w:id="2220" w:name="_Toc20543"/>
      <w:bookmarkStart w:id="2221" w:name="_Toc17647"/>
      <w:bookmarkStart w:id="2222" w:name="_Toc17677"/>
      <w:bookmarkStart w:id="2223" w:name="_Toc7545"/>
      <w:bookmarkStart w:id="2224" w:name="_Toc18125"/>
      <w:bookmarkStart w:id="2225" w:name="_Toc917"/>
      <w:bookmarkStart w:id="2226" w:name="_Toc2474"/>
      <w:bookmarkStart w:id="2227" w:name="_Toc4552"/>
      <w:bookmarkStart w:id="2228" w:name="_Toc25554"/>
      <w:bookmarkStart w:id="2229" w:name="_Toc18567"/>
      <w:bookmarkStart w:id="2230" w:name="_Toc18667"/>
      <w:bookmarkStart w:id="2231" w:name="_Toc2804"/>
      <w:bookmarkStart w:id="2232" w:name="_Toc12680"/>
      <w:bookmarkStart w:id="2233" w:name="_Toc10852"/>
      <w:bookmarkStart w:id="2234" w:name="_Toc170380242"/>
      <w:bookmarkEnd w:id="2206"/>
      <w:bookmarkEnd w:id="2207"/>
      <w:r>
        <w:t>REFERENCES</w:t>
      </w:r>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r>
        <w:t xml:space="preserve"> </w:t>
      </w:r>
    </w:p>
    <w:p w14:paraId="5EF84FF8" w14:textId="77777777" w:rsidR="00DA15F8" w:rsidRPr="00CF7C5B" w:rsidRDefault="00DA15F8" w:rsidP="00CF7C5B">
      <w:pPr>
        <w:spacing w:afterLines="0" w:after="0"/>
        <w:ind w:left="600" w:hangingChars="300" w:hanging="600"/>
        <w:rPr>
          <w:sz w:val="20"/>
          <w:szCs w:val="18"/>
        </w:rPr>
      </w:pPr>
      <w:r w:rsidRPr="00CF7C5B">
        <w:rPr>
          <w:sz w:val="20"/>
          <w:szCs w:val="18"/>
        </w:rPr>
        <w:t>[1]</w:t>
      </w:r>
      <w:r w:rsidRPr="00CF7C5B">
        <w:rPr>
          <w:sz w:val="20"/>
          <w:szCs w:val="18"/>
        </w:rPr>
        <w:tab/>
        <w:t>Parkin DM, Bray F, Ferlay J,</w:t>
      </w:r>
      <w:r w:rsidRPr="00CF7C5B">
        <w:rPr>
          <w:rFonts w:hint="eastAsia"/>
          <w:sz w:val="20"/>
          <w:szCs w:val="18"/>
        </w:rPr>
        <w:t xml:space="preserve"> et al. </w:t>
      </w:r>
      <w:r w:rsidRPr="00CF7C5B">
        <w:rPr>
          <w:sz w:val="20"/>
          <w:szCs w:val="18"/>
        </w:rPr>
        <w:t>Global cancer statistics, 2002. CA Cancer J Clin. 2005</w:t>
      </w:r>
      <w:r w:rsidRPr="00CF7C5B">
        <w:rPr>
          <w:rFonts w:hint="eastAsia"/>
          <w:sz w:val="20"/>
          <w:szCs w:val="18"/>
        </w:rPr>
        <w:t xml:space="preserve">; </w:t>
      </w:r>
      <w:r w:rsidRPr="00CF7C5B">
        <w:rPr>
          <w:sz w:val="20"/>
          <w:szCs w:val="18"/>
        </w:rPr>
        <w:t>55:74-108.</w:t>
      </w:r>
    </w:p>
    <w:p w14:paraId="7720C52B" w14:textId="77777777" w:rsidR="00DA15F8" w:rsidRPr="00CF7C5B" w:rsidRDefault="00DA15F8" w:rsidP="00CF7C5B">
      <w:pPr>
        <w:spacing w:afterLines="0" w:after="0"/>
        <w:ind w:left="600" w:hangingChars="300" w:hanging="600"/>
        <w:rPr>
          <w:sz w:val="20"/>
          <w:szCs w:val="18"/>
          <w:lang w:val="fr-FR"/>
        </w:rPr>
      </w:pPr>
      <w:r w:rsidRPr="00CF7C5B">
        <w:rPr>
          <w:sz w:val="20"/>
          <w:szCs w:val="18"/>
        </w:rPr>
        <w:t>[2]</w:t>
      </w:r>
      <w:r w:rsidRPr="00CF7C5B">
        <w:rPr>
          <w:sz w:val="20"/>
          <w:szCs w:val="18"/>
        </w:rPr>
        <w:tab/>
      </w:r>
      <w:r w:rsidRPr="00CF7C5B">
        <w:rPr>
          <w:sz w:val="20"/>
          <w:szCs w:val="18"/>
          <w:lang w:val="fr-FR"/>
        </w:rPr>
        <w:t xml:space="preserve">Govindan R, Page N, Morgensztern D, et al. </w:t>
      </w:r>
      <w:r w:rsidRPr="00CF7C5B">
        <w:rPr>
          <w:sz w:val="20"/>
          <w:szCs w:val="18"/>
        </w:rPr>
        <w:t xml:space="preserve">Changing epidemiology of small-cell lung cancer in the </w:t>
      </w:r>
      <w:smartTag w:uri="urn:schemas-microsoft-com:office:smarttags" w:element="place">
        <w:smartTag w:uri="urn:schemas-microsoft-com:office:smarttags" w:element="country-region">
          <w:r w:rsidRPr="00CF7C5B">
            <w:rPr>
              <w:sz w:val="20"/>
              <w:szCs w:val="18"/>
            </w:rPr>
            <w:t>united states</w:t>
          </w:r>
        </w:smartTag>
      </w:smartTag>
      <w:r w:rsidRPr="00CF7C5B">
        <w:rPr>
          <w:sz w:val="20"/>
          <w:szCs w:val="18"/>
        </w:rPr>
        <w:t xml:space="preserve"> over the last 30 years: Analysis of the surveillance, epidemiologic, and end results database. J Clin Oncol. 2006;24:4539-44.</w:t>
      </w:r>
    </w:p>
    <w:p w14:paraId="3F38E7ED" w14:textId="77777777" w:rsidR="00DA15F8" w:rsidRPr="00CF7C5B" w:rsidRDefault="00DA15F8" w:rsidP="00CF7C5B">
      <w:pPr>
        <w:spacing w:afterLines="0" w:after="0"/>
        <w:ind w:left="600" w:hangingChars="300" w:hanging="600"/>
        <w:rPr>
          <w:sz w:val="20"/>
          <w:szCs w:val="18"/>
        </w:rPr>
      </w:pPr>
      <w:r w:rsidRPr="00CF7C5B">
        <w:rPr>
          <w:sz w:val="20"/>
          <w:szCs w:val="18"/>
        </w:rPr>
        <w:t>[</w:t>
      </w:r>
      <w:r w:rsidRPr="00CF7C5B">
        <w:rPr>
          <w:rFonts w:hint="eastAsia"/>
          <w:sz w:val="20"/>
          <w:szCs w:val="18"/>
        </w:rPr>
        <w:t>3</w:t>
      </w:r>
      <w:r w:rsidRPr="00CF7C5B">
        <w:rPr>
          <w:sz w:val="20"/>
          <w:szCs w:val="18"/>
        </w:rPr>
        <w:t>]</w:t>
      </w:r>
      <w:r w:rsidRPr="00CF7C5B">
        <w:rPr>
          <w:sz w:val="20"/>
          <w:szCs w:val="18"/>
        </w:rPr>
        <w:tab/>
        <w:t>Goldstraw P, Crowley J, Chansky K, et al. International association for the study of lung cancer international staging committee; participating institutions. The IASLC lung cancer staging project: proposals for the revision of the TNM stage groupings in the forthcoming (seventh) edition of the TNM Classification of malignant tumours. J Thorac Oncol 2007;2:706</w:t>
      </w:r>
      <w:r w:rsidRPr="00CF7C5B">
        <w:rPr>
          <w:rFonts w:hint="eastAsia"/>
          <w:sz w:val="20"/>
          <w:szCs w:val="18"/>
        </w:rPr>
        <w:t>-</w:t>
      </w:r>
      <w:r w:rsidRPr="00CF7C5B">
        <w:rPr>
          <w:sz w:val="20"/>
          <w:szCs w:val="18"/>
        </w:rPr>
        <w:t>14.</w:t>
      </w:r>
    </w:p>
    <w:p w14:paraId="052638C2" w14:textId="77777777" w:rsidR="00DA15F8" w:rsidRPr="00CF7C5B" w:rsidRDefault="00DA15F8" w:rsidP="00CF7C5B">
      <w:pPr>
        <w:spacing w:afterLines="0" w:after="0"/>
        <w:ind w:left="600" w:hangingChars="300" w:hanging="600"/>
        <w:rPr>
          <w:sz w:val="20"/>
          <w:szCs w:val="18"/>
        </w:rPr>
      </w:pPr>
      <w:r w:rsidRPr="00CF7C5B">
        <w:rPr>
          <w:sz w:val="20"/>
          <w:szCs w:val="18"/>
        </w:rPr>
        <w:t>[</w:t>
      </w:r>
      <w:r w:rsidRPr="00CF7C5B">
        <w:rPr>
          <w:rFonts w:hint="eastAsia"/>
          <w:sz w:val="20"/>
          <w:szCs w:val="18"/>
        </w:rPr>
        <w:t>4</w:t>
      </w:r>
      <w:r w:rsidRPr="00CF7C5B">
        <w:rPr>
          <w:sz w:val="20"/>
          <w:szCs w:val="18"/>
        </w:rPr>
        <w:t>]</w:t>
      </w:r>
      <w:r w:rsidRPr="00CF7C5B">
        <w:rPr>
          <w:sz w:val="20"/>
          <w:szCs w:val="18"/>
        </w:rPr>
        <w:tab/>
        <w:t xml:space="preserve">Groome PA, Bolejack V, </w:t>
      </w:r>
      <w:smartTag w:uri="urn:schemas-microsoft-com:office:smarttags" w:element="place">
        <w:smartTag w:uri="urn:schemas-microsoft-com:office:smarttags" w:element="City">
          <w:r w:rsidRPr="00CF7C5B">
            <w:rPr>
              <w:sz w:val="20"/>
              <w:szCs w:val="18"/>
            </w:rPr>
            <w:t>Crowley</w:t>
          </w:r>
        </w:smartTag>
      </w:smartTag>
      <w:r w:rsidRPr="00CF7C5B">
        <w:rPr>
          <w:sz w:val="20"/>
          <w:szCs w:val="18"/>
        </w:rPr>
        <w:t xml:space="preserve"> JJ, et al. IASLC International Staging Committee; Cancer Research And Biostatistics; Observers To The Committee; Participating Institutions. The IASLC lung cancer staging project: validation of the proposals for revision of the T, N, and M descriptors and consequent stage groupings in the forthcoming (seventh) edition of the TNM classification of malignant tumours. J Thorac Oncol 2007;2:694</w:t>
      </w:r>
      <w:r w:rsidRPr="00CF7C5B">
        <w:rPr>
          <w:rFonts w:hint="eastAsia"/>
          <w:sz w:val="20"/>
          <w:szCs w:val="18"/>
        </w:rPr>
        <w:t>-</w:t>
      </w:r>
      <w:r w:rsidRPr="00CF7C5B">
        <w:rPr>
          <w:sz w:val="20"/>
          <w:szCs w:val="18"/>
        </w:rPr>
        <w:t>705.</w:t>
      </w:r>
    </w:p>
    <w:p w14:paraId="265C0CCC" w14:textId="77777777" w:rsidR="00DA15F8" w:rsidRPr="00CF7C5B" w:rsidRDefault="00DA15F8" w:rsidP="00CF7C5B">
      <w:pPr>
        <w:spacing w:afterLines="0" w:after="0"/>
        <w:ind w:left="600" w:hangingChars="300" w:hanging="600"/>
        <w:rPr>
          <w:sz w:val="20"/>
          <w:szCs w:val="18"/>
          <w:lang w:val="it-IT"/>
        </w:rPr>
      </w:pPr>
      <w:r w:rsidRPr="00CF7C5B">
        <w:rPr>
          <w:sz w:val="20"/>
          <w:szCs w:val="18"/>
        </w:rPr>
        <w:t>[</w:t>
      </w:r>
      <w:r w:rsidRPr="00CF7C5B">
        <w:rPr>
          <w:rFonts w:hint="eastAsia"/>
          <w:sz w:val="20"/>
          <w:szCs w:val="18"/>
        </w:rPr>
        <w:t>5</w:t>
      </w:r>
      <w:r w:rsidRPr="00CF7C5B">
        <w:rPr>
          <w:sz w:val="20"/>
          <w:szCs w:val="18"/>
        </w:rPr>
        <w:t>]</w:t>
      </w:r>
      <w:r w:rsidRPr="00CF7C5B">
        <w:rPr>
          <w:sz w:val="20"/>
          <w:szCs w:val="18"/>
        </w:rPr>
        <w:tab/>
        <w:t xml:space="preserve">Goldstraw P, </w:t>
      </w:r>
      <w:smartTag w:uri="urn:schemas-microsoft-com:office:smarttags" w:element="place">
        <w:smartTag w:uri="urn:schemas-microsoft-com:office:smarttags" w:element="City">
          <w:r w:rsidRPr="00CF7C5B">
            <w:rPr>
              <w:sz w:val="20"/>
              <w:szCs w:val="18"/>
            </w:rPr>
            <w:t>Crowley</w:t>
          </w:r>
        </w:smartTag>
      </w:smartTag>
      <w:r w:rsidRPr="00CF7C5B">
        <w:rPr>
          <w:sz w:val="20"/>
          <w:szCs w:val="18"/>
        </w:rPr>
        <w:t xml:space="preserve"> J, Chansky K, et al. The IASLC Lung Cancer</w:t>
      </w:r>
      <w:r w:rsidRPr="00CF7C5B">
        <w:rPr>
          <w:rFonts w:hint="eastAsia"/>
          <w:sz w:val="20"/>
          <w:szCs w:val="18"/>
        </w:rPr>
        <w:t xml:space="preserve"> </w:t>
      </w:r>
      <w:r w:rsidRPr="00CF7C5B">
        <w:rPr>
          <w:sz w:val="20"/>
          <w:szCs w:val="18"/>
        </w:rPr>
        <w:t>Staging Project: proposals for the revision of the TNM stage groupings</w:t>
      </w:r>
      <w:r w:rsidRPr="00CF7C5B">
        <w:rPr>
          <w:rFonts w:hint="eastAsia"/>
          <w:sz w:val="20"/>
          <w:szCs w:val="18"/>
        </w:rPr>
        <w:t xml:space="preserve"> </w:t>
      </w:r>
      <w:r w:rsidRPr="00CF7C5B">
        <w:rPr>
          <w:sz w:val="20"/>
          <w:szCs w:val="18"/>
        </w:rPr>
        <w:t>in the forthcoming (seventh) edition of the TNM classification of</w:t>
      </w:r>
      <w:r w:rsidRPr="00CF7C5B">
        <w:rPr>
          <w:rFonts w:hint="eastAsia"/>
          <w:sz w:val="20"/>
          <w:szCs w:val="18"/>
        </w:rPr>
        <w:t xml:space="preserve"> </w:t>
      </w:r>
      <w:r w:rsidRPr="00CF7C5B">
        <w:rPr>
          <w:sz w:val="20"/>
          <w:szCs w:val="18"/>
        </w:rPr>
        <w:t>malignant tumours. J Thorac Oncol 2007;2:706 –714.</w:t>
      </w:r>
    </w:p>
    <w:p w14:paraId="3463A8EE" w14:textId="77777777" w:rsidR="00DA15F8" w:rsidRPr="00CF7C5B" w:rsidRDefault="00DA15F8" w:rsidP="00CF7C5B">
      <w:pPr>
        <w:spacing w:afterLines="0" w:after="0"/>
        <w:ind w:left="600" w:hangingChars="300" w:hanging="600"/>
        <w:rPr>
          <w:sz w:val="20"/>
          <w:szCs w:val="18"/>
          <w:lang w:val="da-DK"/>
        </w:rPr>
      </w:pPr>
      <w:r w:rsidRPr="00CF7C5B">
        <w:rPr>
          <w:sz w:val="20"/>
          <w:szCs w:val="18"/>
          <w:lang w:val="it-IT"/>
        </w:rPr>
        <w:t>[</w:t>
      </w:r>
      <w:r w:rsidRPr="00CF7C5B">
        <w:rPr>
          <w:rFonts w:hint="eastAsia"/>
          <w:sz w:val="20"/>
          <w:szCs w:val="18"/>
        </w:rPr>
        <w:t>6</w:t>
      </w:r>
      <w:r w:rsidRPr="00CF7C5B">
        <w:rPr>
          <w:sz w:val="20"/>
          <w:szCs w:val="18"/>
          <w:lang w:val="it-IT"/>
        </w:rPr>
        <w:t>]</w:t>
      </w:r>
      <w:r w:rsidRPr="00CF7C5B">
        <w:rPr>
          <w:sz w:val="20"/>
          <w:szCs w:val="18"/>
          <w:lang w:val="it-IT"/>
        </w:rPr>
        <w:tab/>
      </w:r>
      <w:r w:rsidRPr="00CF7C5B">
        <w:rPr>
          <w:sz w:val="20"/>
          <w:szCs w:val="18"/>
        </w:rPr>
        <w:t>Girard N, Mornex F. Radiotherapy for locally advanced non-small cell lung cancer. Eur J Cancer 2009;45S1:113</w:t>
      </w:r>
      <w:r w:rsidRPr="00CF7C5B">
        <w:rPr>
          <w:rFonts w:hint="eastAsia"/>
          <w:sz w:val="20"/>
          <w:szCs w:val="18"/>
        </w:rPr>
        <w:t>-</w:t>
      </w:r>
      <w:r w:rsidRPr="00CF7C5B">
        <w:rPr>
          <w:sz w:val="20"/>
          <w:szCs w:val="18"/>
        </w:rPr>
        <w:t>25</w:t>
      </w:r>
      <w:r w:rsidRPr="00CF7C5B">
        <w:rPr>
          <w:rFonts w:hint="eastAsia"/>
          <w:sz w:val="20"/>
          <w:szCs w:val="18"/>
        </w:rPr>
        <w:t>.</w:t>
      </w:r>
    </w:p>
    <w:p w14:paraId="6E547C7D" w14:textId="77777777" w:rsidR="00DA15F8" w:rsidRPr="00CF7C5B" w:rsidRDefault="00DA15F8" w:rsidP="00CF7C5B">
      <w:pPr>
        <w:spacing w:afterLines="0" w:after="0"/>
        <w:ind w:left="600" w:hangingChars="300" w:hanging="600"/>
        <w:rPr>
          <w:sz w:val="20"/>
          <w:szCs w:val="18"/>
          <w:lang w:val="pt-BR"/>
        </w:rPr>
      </w:pPr>
      <w:r w:rsidRPr="00CF7C5B">
        <w:rPr>
          <w:sz w:val="20"/>
          <w:szCs w:val="18"/>
          <w:lang w:val="da-DK"/>
        </w:rPr>
        <w:t>[</w:t>
      </w:r>
      <w:r w:rsidRPr="00CF7C5B">
        <w:rPr>
          <w:rFonts w:hint="eastAsia"/>
          <w:sz w:val="20"/>
          <w:szCs w:val="18"/>
        </w:rPr>
        <w:t>7</w:t>
      </w:r>
      <w:r w:rsidRPr="00CF7C5B">
        <w:rPr>
          <w:sz w:val="20"/>
          <w:szCs w:val="18"/>
          <w:lang w:val="da-DK"/>
        </w:rPr>
        <w:t>]</w:t>
      </w:r>
      <w:r w:rsidRPr="00CF7C5B">
        <w:rPr>
          <w:sz w:val="20"/>
          <w:szCs w:val="18"/>
          <w:lang w:val="da-DK"/>
        </w:rPr>
        <w:tab/>
      </w:r>
      <w:r w:rsidRPr="00CF7C5B">
        <w:rPr>
          <w:rFonts w:hint="eastAsia"/>
          <w:sz w:val="20"/>
          <w:szCs w:val="18"/>
        </w:rPr>
        <w:t>Non-Small Cell Lung Cancer Collaborative Group: Chemotherapy in non-small cell lung cancer: A meta analysis using updated data on individual patients from 52 randomized clinical trials. BMJ 1995;311:899-909.</w:t>
      </w:r>
    </w:p>
    <w:p w14:paraId="3A38B2EF" w14:textId="77777777" w:rsidR="00DA15F8" w:rsidRPr="00CF7C5B" w:rsidRDefault="00DA15F8" w:rsidP="00CF7C5B">
      <w:pPr>
        <w:spacing w:afterLines="0" w:after="0"/>
        <w:ind w:left="600" w:hangingChars="300" w:hanging="600"/>
        <w:rPr>
          <w:sz w:val="20"/>
          <w:szCs w:val="18"/>
        </w:rPr>
      </w:pPr>
      <w:r w:rsidRPr="00CF7C5B">
        <w:rPr>
          <w:sz w:val="20"/>
          <w:szCs w:val="18"/>
          <w:lang w:val="pt-BR"/>
        </w:rPr>
        <w:t>[</w:t>
      </w:r>
      <w:r w:rsidRPr="00CF7C5B">
        <w:rPr>
          <w:rFonts w:hint="eastAsia"/>
          <w:sz w:val="20"/>
          <w:szCs w:val="18"/>
        </w:rPr>
        <w:t>8</w:t>
      </w:r>
      <w:r w:rsidRPr="00CF7C5B">
        <w:rPr>
          <w:sz w:val="20"/>
          <w:szCs w:val="18"/>
          <w:lang w:val="pt-BR"/>
        </w:rPr>
        <w:t>]</w:t>
      </w:r>
      <w:r w:rsidRPr="00CF7C5B">
        <w:rPr>
          <w:sz w:val="20"/>
          <w:szCs w:val="18"/>
          <w:lang w:val="pt-BR"/>
        </w:rPr>
        <w:tab/>
      </w:r>
      <w:r w:rsidRPr="00CF7C5B">
        <w:rPr>
          <w:rFonts w:hint="eastAsia"/>
          <w:sz w:val="20"/>
          <w:szCs w:val="18"/>
        </w:rPr>
        <w:t>The International Adjuvant Lung Cancer Trial Collaborative Group: Cisplatin-based adjuvant chemotherapy in patients with completely resected non-small cell lung cancer. N Engl J Med 2004;350:351-60.</w:t>
      </w:r>
    </w:p>
    <w:p w14:paraId="2C35477A" w14:textId="77777777" w:rsidR="00DA15F8" w:rsidRPr="00CF7C5B" w:rsidRDefault="00DA15F8" w:rsidP="00CF7C5B">
      <w:pPr>
        <w:spacing w:afterLines="0" w:after="0"/>
        <w:ind w:left="600" w:hangingChars="300" w:hanging="600"/>
        <w:rPr>
          <w:sz w:val="20"/>
          <w:szCs w:val="18"/>
        </w:rPr>
      </w:pPr>
      <w:r w:rsidRPr="00CF7C5B">
        <w:rPr>
          <w:sz w:val="20"/>
          <w:szCs w:val="18"/>
          <w:lang w:val="fr-FR"/>
        </w:rPr>
        <w:t>[</w:t>
      </w:r>
      <w:r w:rsidRPr="00CF7C5B">
        <w:rPr>
          <w:rFonts w:hint="eastAsia"/>
          <w:sz w:val="20"/>
          <w:szCs w:val="18"/>
        </w:rPr>
        <w:t>9</w:t>
      </w:r>
      <w:r w:rsidRPr="00CF7C5B">
        <w:rPr>
          <w:sz w:val="20"/>
          <w:szCs w:val="18"/>
          <w:lang w:val="fr-FR"/>
        </w:rPr>
        <w:t>]</w:t>
      </w:r>
      <w:r w:rsidRPr="00CF7C5B">
        <w:rPr>
          <w:sz w:val="20"/>
          <w:szCs w:val="18"/>
          <w:lang w:val="fr-FR"/>
        </w:rPr>
        <w:tab/>
      </w:r>
      <w:r w:rsidRPr="00CF7C5B">
        <w:rPr>
          <w:rFonts w:hint="eastAsia"/>
          <w:sz w:val="20"/>
          <w:szCs w:val="18"/>
        </w:rPr>
        <w:t>Winton T, Livingston R, Johnson D, et al: Vinorelbine plus cisplatin vs. observation in resected non-small-cell lung cancer. N Engl J Med 2005;352:2589-97.</w:t>
      </w:r>
    </w:p>
    <w:p w14:paraId="1303E632" w14:textId="77777777" w:rsidR="00DA15F8" w:rsidRPr="00CF7C5B" w:rsidRDefault="00DA15F8" w:rsidP="00CF7C5B">
      <w:pPr>
        <w:spacing w:afterLines="0" w:after="0"/>
        <w:ind w:left="600" w:hangingChars="300" w:hanging="600"/>
        <w:rPr>
          <w:sz w:val="20"/>
          <w:szCs w:val="18"/>
        </w:rPr>
      </w:pPr>
      <w:r w:rsidRPr="00CF7C5B">
        <w:rPr>
          <w:sz w:val="20"/>
          <w:szCs w:val="18"/>
        </w:rPr>
        <w:t>[</w:t>
      </w:r>
      <w:r w:rsidRPr="00CF7C5B">
        <w:rPr>
          <w:rFonts w:hint="eastAsia"/>
          <w:sz w:val="20"/>
          <w:szCs w:val="18"/>
        </w:rPr>
        <w:t>10</w:t>
      </w:r>
      <w:r w:rsidRPr="00CF7C5B">
        <w:rPr>
          <w:sz w:val="20"/>
          <w:szCs w:val="18"/>
        </w:rPr>
        <w:t>]</w:t>
      </w:r>
      <w:r w:rsidRPr="00CF7C5B">
        <w:rPr>
          <w:sz w:val="20"/>
          <w:szCs w:val="18"/>
        </w:rPr>
        <w:tab/>
      </w:r>
      <w:r w:rsidRPr="00CF7C5B">
        <w:rPr>
          <w:rFonts w:hint="eastAsia"/>
          <w:sz w:val="20"/>
          <w:szCs w:val="18"/>
        </w:rPr>
        <w:t>Douillard JY, Rosell R, De Lena M, et al: Adjuvant vinorelbine plus cisplatin versus observation in patients with completely resected stage IB-IIIA non-small cell lung cancer (Adjuvant Navelbine International Trialist Association [ANITA]): A randomised controlled trial. Lancet Oncol 2006;7:719-27.</w:t>
      </w:r>
    </w:p>
    <w:p w14:paraId="17A2BB99" w14:textId="77777777" w:rsidR="00DA15F8" w:rsidRPr="00CF7C5B" w:rsidRDefault="00DA15F8" w:rsidP="00CF7C5B">
      <w:pPr>
        <w:spacing w:afterLines="0" w:after="0"/>
        <w:ind w:left="600" w:hangingChars="300" w:hanging="600"/>
        <w:rPr>
          <w:sz w:val="20"/>
          <w:szCs w:val="18"/>
        </w:rPr>
      </w:pPr>
      <w:r w:rsidRPr="00CF7C5B">
        <w:rPr>
          <w:sz w:val="20"/>
          <w:szCs w:val="18"/>
        </w:rPr>
        <w:t>[11]</w:t>
      </w:r>
      <w:r w:rsidRPr="00CF7C5B">
        <w:rPr>
          <w:sz w:val="20"/>
          <w:szCs w:val="18"/>
        </w:rPr>
        <w:tab/>
      </w:r>
      <w:r w:rsidRPr="00CF7C5B">
        <w:rPr>
          <w:rFonts w:hint="eastAsia"/>
          <w:sz w:val="20"/>
          <w:szCs w:val="18"/>
        </w:rPr>
        <w:t>Scagliotti GV, Roldano F, Torri V, et al: Randomized study of adjuvant chemotherapy for completely resected stage I, II, or IIIA non-small cell lung cancer. J Natl Cancer Inst 2003;95:1453-1461.</w:t>
      </w:r>
    </w:p>
    <w:p w14:paraId="59038F3B" w14:textId="77777777" w:rsidR="00DA15F8" w:rsidRPr="00CF7C5B" w:rsidRDefault="00DA15F8" w:rsidP="00CF7C5B">
      <w:pPr>
        <w:spacing w:afterLines="0" w:after="0"/>
        <w:ind w:left="600" w:hangingChars="300" w:hanging="600"/>
        <w:rPr>
          <w:sz w:val="20"/>
          <w:szCs w:val="18"/>
        </w:rPr>
      </w:pPr>
      <w:r w:rsidRPr="00CF7C5B">
        <w:rPr>
          <w:sz w:val="20"/>
          <w:szCs w:val="18"/>
        </w:rPr>
        <w:t>[12]</w:t>
      </w:r>
      <w:r w:rsidRPr="00CF7C5B">
        <w:rPr>
          <w:sz w:val="20"/>
          <w:szCs w:val="18"/>
        </w:rPr>
        <w:tab/>
      </w:r>
      <w:r w:rsidRPr="00CF7C5B">
        <w:rPr>
          <w:rFonts w:hint="eastAsia"/>
          <w:sz w:val="20"/>
          <w:szCs w:val="18"/>
        </w:rPr>
        <w:t>Waller D, Peake RJ, Stephens RJ, et al: Chemotherapy for patients with non-small cell lung cancer: The surgical setting of the Big Lung Trial. Eur J Cardiothorac Surg 2004;26:173-82.</w:t>
      </w:r>
    </w:p>
    <w:p w14:paraId="789AC28A" w14:textId="77777777" w:rsidR="00DA15F8" w:rsidRPr="00CF7C5B" w:rsidRDefault="00DA15F8" w:rsidP="00CF7C5B">
      <w:pPr>
        <w:spacing w:afterLines="0" w:after="0"/>
        <w:ind w:left="600" w:hangingChars="300" w:hanging="600"/>
        <w:rPr>
          <w:sz w:val="20"/>
          <w:szCs w:val="18"/>
        </w:rPr>
      </w:pPr>
      <w:r w:rsidRPr="00CF7C5B">
        <w:rPr>
          <w:sz w:val="20"/>
          <w:szCs w:val="18"/>
        </w:rPr>
        <w:t>[</w:t>
      </w:r>
      <w:r w:rsidRPr="00CF7C5B">
        <w:rPr>
          <w:rFonts w:hint="eastAsia"/>
          <w:sz w:val="20"/>
          <w:szCs w:val="18"/>
        </w:rPr>
        <w:t>1</w:t>
      </w:r>
      <w:r w:rsidRPr="00CF7C5B">
        <w:rPr>
          <w:sz w:val="20"/>
          <w:szCs w:val="18"/>
        </w:rPr>
        <w:t>3]</w:t>
      </w:r>
      <w:r w:rsidRPr="00CF7C5B">
        <w:rPr>
          <w:sz w:val="20"/>
          <w:szCs w:val="18"/>
        </w:rPr>
        <w:tab/>
      </w:r>
      <w:r w:rsidRPr="00CF7C5B">
        <w:rPr>
          <w:rFonts w:hint="eastAsia"/>
          <w:sz w:val="20"/>
          <w:szCs w:val="18"/>
        </w:rPr>
        <w:t>Pignon JP, Tribodet H, Scagliotti GV, et al. Lung Adjuvant Cisplatin Evaluation: a pooled analysis by the LACE collaborative group. J Clin Oncol, 2008, 26(21): 3552-59.</w:t>
      </w:r>
    </w:p>
    <w:p w14:paraId="64262EDA" w14:textId="77777777" w:rsidR="00DA15F8" w:rsidRPr="00CF7C5B" w:rsidRDefault="00DA15F8" w:rsidP="00CF7C5B">
      <w:pPr>
        <w:spacing w:afterLines="0" w:after="0"/>
        <w:ind w:left="600" w:hangingChars="300" w:hanging="600"/>
        <w:rPr>
          <w:sz w:val="20"/>
          <w:szCs w:val="18"/>
          <w:lang w:val="fr-FR"/>
        </w:rPr>
      </w:pPr>
      <w:r w:rsidRPr="00CF7C5B">
        <w:rPr>
          <w:sz w:val="20"/>
          <w:szCs w:val="18"/>
        </w:rPr>
        <w:t>[</w:t>
      </w:r>
      <w:r w:rsidRPr="00CF7C5B">
        <w:rPr>
          <w:rFonts w:hint="eastAsia"/>
          <w:sz w:val="20"/>
          <w:szCs w:val="18"/>
        </w:rPr>
        <w:t>1</w:t>
      </w:r>
      <w:r w:rsidRPr="00CF7C5B">
        <w:rPr>
          <w:sz w:val="20"/>
          <w:szCs w:val="18"/>
        </w:rPr>
        <w:t>4]</w:t>
      </w:r>
      <w:r w:rsidRPr="00CF7C5B">
        <w:rPr>
          <w:sz w:val="20"/>
          <w:szCs w:val="18"/>
        </w:rPr>
        <w:tab/>
        <w:t xml:space="preserve">Strauss GM, Herndon JE 2nd, Maddaus MA, et al. Adjuvant paclitaxel plus carboplatin compared with observation in stage IB non-small-cell lung cancer: CALGB 9633 with the Cancer and Leukemia Group </w:t>
      </w:r>
      <w:r w:rsidRPr="00CF7C5B">
        <w:rPr>
          <w:sz w:val="20"/>
          <w:szCs w:val="18"/>
        </w:rPr>
        <w:lastRenderedPageBreak/>
        <w:t>B, Radiation Therapy Oncology Group, and North Central Cancer Treatment Group Study Groups.J Clin Oncol. 2008;26:5043-51.</w:t>
      </w:r>
    </w:p>
    <w:p w14:paraId="27E051D0" w14:textId="77777777" w:rsidR="00DA15F8" w:rsidRPr="00CF7C5B" w:rsidRDefault="00DA15F8" w:rsidP="00CF7C5B">
      <w:pPr>
        <w:spacing w:afterLines="0" w:after="0"/>
        <w:ind w:left="600" w:hangingChars="300" w:hanging="600"/>
        <w:rPr>
          <w:sz w:val="20"/>
          <w:szCs w:val="18"/>
        </w:rPr>
      </w:pPr>
      <w:r w:rsidRPr="00CF7C5B">
        <w:rPr>
          <w:sz w:val="20"/>
          <w:szCs w:val="18"/>
          <w:lang w:val="fr-FR"/>
        </w:rPr>
        <w:t>[</w:t>
      </w:r>
      <w:r w:rsidRPr="00CF7C5B">
        <w:rPr>
          <w:rFonts w:hint="eastAsia"/>
          <w:sz w:val="20"/>
          <w:szCs w:val="18"/>
        </w:rPr>
        <w:t>1</w:t>
      </w:r>
      <w:r w:rsidRPr="00CF7C5B">
        <w:rPr>
          <w:sz w:val="20"/>
          <w:szCs w:val="18"/>
          <w:lang w:val="fr-FR"/>
        </w:rPr>
        <w:t>5]</w:t>
      </w:r>
      <w:r w:rsidRPr="00CF7C5B">
        <w:rPr>
          <w:sz w:val="20"/>
          <w:szCs w:val="18"/>
          <w:lang w:val="fr-FR"/>
        </w:rPr>
        <w:tab/>
      </w:r>
      <w:r w:rsidRPr="00CF7C5B">
        <w:rPr>
          <w:rFonts w:hint="eastAsia"/>
          <w:sz w:val="20"/>
          <w:szCs w:val="18"/>
        </w:rPr>
        <w:t>Goss GD, Lorimer I, Tsao MS, et al. A phase III randomized, double-blind, placebo-controlled trial of the epidermal growth factor receptor inhibitor gefitinb in completely resected stage IB-IIIA non-small cell lung cancer (NSCLC): NCIC CTG BR.19. J Clin Oncol. 2010;28(20s Suppl):lba7005.</w:t>
      </w:r>
    </w:p>
    <w:p w14:paraId="63AF72A0" w14:textId="77777777" w:rsidR="00DA15F8" w:rsidRPr="00CF7C5B" w:rsidRDefault="00DA15F8" w:rsidP="00CF7C5B">
      <w:pPr>
        <w:spacing w:afterLines="0" w:after="0"/>
        <w:ind w:left="600" w:hangingChars="300" w:hanging="600"/>
        <w:rPr>
          <w:sz w:val="20"/>
          <w:szCs w:val="18"/>
        </w:rPr>
      </w:pPr>
      <w:r w:rsidRPr="00CF7C5B">
        <w:rPr>
          <w:sz w:val="20"/>
          <w:szCs w:val="18"/>
        </w:rPr>
        <w:t>[</w:t>
      </w:r>
      <w:r w:rsidRPr="00CF7C5B">
        <w:rPr>
          <w:rFonts w:hint="eastAsia"/>
          <w:sz w:val="20"/>
          <w:szCs w:val="18"/>
        </w:rPr>
        <w:t>1</w:t>
      </w:r>
      <w:r w:rsidRPr="00CF7C5B">
        <w:rPr>
          <w:sz w:val="20"/>
          <w:szCs w:val="18"/>
        </w:rPr>
        <w:t>6]</w:t>
      </w:r>
      <w:r w:rsidRPr="00CF7C5B">
        <w:rPr>
          <w:sz w:val="20"/>
          <w:szCs w:val="18"/>
        </w:rPr>
        <w:tab/>
      </w:r>
      <w:r w:rsidRPr="00CF7C5B">
        <w:rPr>
          <w:rFonts w:hint="eastAsia"/>
          <w:sz w:val="20"/>
          <w:szCs w:val="18"/>
        </w:rPr>
        <w:t>Richardson F, Richardson K, Sennello G. et al.Biomarker analysis from completely resected NSCLC patients enrolled in an adjuvant erlotinib clinical trial (RADIANT). J Clin Oncol. 2009;27(20s Suppl):abstr 7520.</w:t>
      </w:r>
    </w:p>
    <w:p w14:paraId="5CCD4AB3" w14:textId="0569B2A2" w:rsidR="00DA15F8" w:rsidRPr="00CF7C5B" w:rsidRDefault="00DA15F8" w:rsidP="00CF7C5B">
      <w:pPr>
        <w:spacing w:afterLines="0" w:after="0"/>
        <w:ind w:left="600" w:hangingChars="300" w:hanging="600"/>
        <w:rPr>
          <w:sz w:val="20"/>
          <w:szCs w:val="18"/>
        </w:rPr>
      </w:pPr>
      <w:r w:rsidRPr="00CF7C5B">
        <w:rPr>
          <w:sz w:val="20"/>
          <w:szCs w:val="18"/>
        </w:rPr>
        <w:t>[</w:t>
      </w:r>
      <w:r w:rsidRPr="00CF7C5B">
        <w:rPr>
          <w:rFonts w:hint="eastAsia"/>
          <w:sz w:val="20"/>
          <w:szCs w:val="18"/>
        </w:rPr>
        <w:t>1</w:t>
      </w:r>
      <w:r w:rsidRPr="00CF7C5B">
        <w:rPr>
          <w:sz w:val="20"/>
          <w:szCs w:val="18"/>
        </w:rPr>
        <w:t>7]</w:t>
      </w:r>
      <w:r w:rsidRPr="00CF7C5B">
        <w:rPr>
          <w:sz w:val="20"/>
          <w:szCs w:val="18"/>
        </w:rPr>
        <w:tab/>
        <w:t>Janjigian YY, Park BJ, Zakowski MF, et al. Impact on disease-free survival of adjuvant erlotinib or gefitinib in patients with resected lung adenocarcinomas that harbor EGFR mutations.</w:t>
      </w:r>
      <w:r w:rsidR="00EC58E1">
        <w:rPr>
          <w:sz w:val="20"/>
          <w:szCs w:val="18"/>
        </w:rPr>
        <w:t xml:space="preserve"> </w:t>
      </w:r>
      <w:r w:rsidRPr="00CF7C5B">
        <w:rPr>
          <w:sz w:val="20"/>
          <w:szCs w:val="18"/>
        </w:rPr>
        <w:t>J Thorac Oncol. 2011;6:569-75.</w:t>
      </w:r>
    </w:p>
    <w:p w14:paraId="4AB7A86B" w14:textId="77777777" w:rsidR="00DA15F8" w:rsidRPr="00CF7C5B" w:rsidRDefault="00DA15F8" w:rsidP="00CF7C5B">
      <w:pPr>
        <w:spacing w:afterLines="0" w:after="0"/>
        <w:ind w:left="600" w:hangingChars="300" w:hanging="600"/>
        <w:rPr>
          <w:sz w:val="20"/>
          <w:szCs w:val="18"/>
          <w:lang w:val="fr-FR"/>
        </w:rPr>
      </w:pPr>
      <w:r w:rsidRPr="00CF7C5B">
        <w:rPr>
          <w:sz w:val="20"/>
          <w:szCs w:val="18"/>
        </w:rPr>
        <w:t>[</w:t>
      </w:r>
      <w:r w:rsidRPr="00CF7C5B">
        <w:rPr>
          <w:rFonts w:hint="eastAsia"/>
          <w:sz w:val="20"/>
          <w:szCs w:val="18"/>
        </w:rPr>
        <w:t>1</w:t>
      </w:r>
      <w:r w:rsidRPr="00CF7C5B">
        <w:rPr>
          <w:sz w:val="20"/>
          <w:szCs w:val="18"/>
        </w:rPr>
        <w:t>8]</w:t>
      </w:r>
      <w:r w:rsidRPr="00CF7C5B">
        <w:rPr>
          <w:sz w:val="20"/>
          <w:szCs w:val="18"/>
        </w:rPr>
        <w:tab/>
      </w:r>
      <w:r w:rsidRPr="00CF7C5B">
        <w:rPr>
          <w:sz w:val="20"/>
          <w:szCs w:val="18"/>
          <w:lang w:val="fr-FR"/>
        </w:rPr>
        <w:t>N</w:t>
      </w:r>
      <w:r w:rsidRPr="00CF7C5B">
        <w:rPr>
          <w:rFonts w:hint="eastAsia"/>
          <w:sz w:val="20"/>
          <w:szCs w:val="18"/>
          <w:lang w:val="fr-FR"/>
        </w:rPr>
        <w:t>e</w:t>
      </w:r>
      <w:r w:rsidRPr="00CF7C5B">
        <w:rPr>
          <w:sz w:val="20"/>
          <w:szCs w:val="18"/>
          <w:lang w:val="fr-FR"/>
        </w:rPr>
        <w:t>al JW, Pennell NA, Govindan R, et al.</w:t>
      </w:r>
      <w:r w:rsidRPr="00CF7C5B">
        <w:rPr>
          <w:sz w:val="22"/>
        </w:rPr>
        <w:t xml:space="preserve"> </w:t>
      </w:r>
      <w:r w:rsidRPr="00CF7C5B">
        <w:rPr>
          <w:sz w:val="20"/>
          <w:szCs w:val="18"/>
          <w:lang w:val="fr-FR"/>
        </w:rPr>
        <w:t>The SELECT study: A multicenter phase II trial of adjuvant erlotinib in resected epidermal growth factor receptor (EGFR) mutation-positive non-small cell lung cancer (NSCLC)</w:t>
      </w:r>
      <w:r w:rsidRPr="00CF7C5B">
        <w:rPr>
          <w:sz w:val="20"/>
          <w:szCs w:val="18"/>
        </w:rPr>
        <w:t>. J Clin Oncol 30, 2012 (suppl; abstr 7010).</w:t>
      </w:r>
    </w:p>
    <w:p w14:paraId="02C4E039" w14:textId="77777777" w:rsidR="00DA15F8" w:rsidRPr="00CF7C5B" w:rsidRDefault="00DA15F8" w:rsidP="00CF7C5B">
      <w:pPr>
        <w:spacing w:afterLines="0" w:after="0"/>
        <w:ind w:left="567" w:hanging="567"/>
        <w:rPr>
          <w:sz w:val="20"/>
          <w:szCs w:val="18"/>
          <w:lang w:val="fr-FR"/>
        </w:rPr>
      </w:pPr>
      <w:r w:rsidRPr="00CF7C5B">
        <w:rPr>
          <w:sz w:val="20"/>
          <w:szCs w:val="18"/>
        </w:rPr>
        <w:t>[19]</w:t>
      </w:r>
      <w:r w:rsidRPr="00CF7C5B">
        <w:rPr>
          <w:sz w:val="20"/>
          <w:szCs w:val="18"/>
        </w:rPr>
        <w:tab/>
        <w:t>Wang S, Ou W, Li N, et al. Pemetrexed-carboplatin adjuvant chemotherapy with or without gefitinib in resected stage IIIA-N2 non-small cell lung cancer harbouring EGFR mutations: a randomized, phase II study. J Clin Oncol 31, 2013 (suppl; abstr 7519)</w:t>
      </w:r>
    </w:p>
    <w:p w14:paraId="55DAABE5" w14:textId="77777777" w:rsidR="00DA15F8" w:rsidRPr="00CF7C5B" w:rsidRDefault="00DA15F8" w:rsidP="00CF7C5B">
      <w:pPr>
        <w:spacing w:afterLines="0" w:after="0"/>
        <w:ind w:left="600" w:hangingChars="300" w:hanging="600"/>
        <w:rPr>
          <w:sz w:val="20"/>
          <w:szCs w:val="18"/>
        </w:rPr>
      </w:pPr>
      <w:r w:rsidRPr="00CF7C5B">
        <w:rPr>
          <w:sz w:val="20"/>
          <w:szCs w:val="18"/>
        </w:rPr>
        <w:t>[20]</w:t>
      </w:r>
      <w:r w:rsidRPr="00CF7C5B">
        <w:rPr>
          <w:sz w:val="20"/>
          <w:szCs w:val="18"/>
        </w:rPr>
        <w:tab/>
      </w:r>
      <w:r w:rsidRPr="00CF7C5B">
        <w:rPr>
          <w:sz w:val="20"/>
          <w:szCs w:val="18"/>
          <w:lang w:val="fr-FR"/>
        </w:rPr>
        <w:t xml:space="preserve">Zhao Q, Shentu J, Xu N, et al. </w:t>
      </w:r>
      <w:r w:rsidRPr="00CF7C5B">
        <w:rPr>
          <w:sz w:val="20"/>
          <w:szCs w:val="18"/>
        </w:rPr>
        <w:t>Phase I study of icotinib hydrochloride (BPI-2009H), an oral EGFR tyrosine kinase inhibitor, in patients with advanced NSCLC and other solid tumors. Lung Cancer. 2011. 73(2): 195-202.</w:t>
      </w:r>
    </w:p>
    <w:p w14:paraId="41014B15" w14:textId="77777777" w:rsidR="00DA15F8" w:rsidRPr="00CF7C5B" w:rsidRDefault="00DA15F8" w:rsidP="00CF7C5B">
      <w:pPr>
        <w:spacing w:afterLines="0" w:after="0"/>
        <w:ind w:left="600" w:hangingChars="300" w:hanging="600"/>
        <w:rPr>
          <w:sz w:val="20"/>
          <w:szCs w:val="18"/>
        </w:rPr>
      </w:pPr>
      <w:r w:rsidRPr="00CF7C5B">
        <w:rPr>
          <w:sz w:val="20"/>
          <w:szCs w:val="18"/>
          <w:lang w:val="fr-FR"/>
        </w:rPr>
        <w:t>[</w:t>
      </w:r>
      <w:r w:rsidRPr="00CF7C5B">
        <w:rPr>
          <w:sz w:val="20"/>
          <w:szCs w:val="18"/>
        </w:rPr>
        <w:t>21</w:t>
      </w:r>
      <w:r w:rsidRPr="00CF7C5B">
        <w:rPr>
          <w:sz w:val="20"/>
          <w:szCs w:val="18"/>
          <w:lang w:val="fr-FR"/>
        </w:rPr>
        <w:t>]</w:t>
      </w:r>
      <w:r w:rsidRPr="00CF7C5B">
        <w:rPr>
          <w:sz w:val="20"/>
          <w:szCs w:val="18"/>
          <w:lang w:val="fr-FR"/>
        </w:rPr>
        <w:tab/>
      </w:r>
      <w:r w:rsidRPr="00CF7C5B">
        <w:rPr>
          <w:sz w:val="20"/>
          <w:szCs w:val="18"/>
        </w:rPr>
        <w:t>Sun Y, Shi Y, Zhang L, et al. A randomized, double-blind phase III study of icotinib versus gefitinib in patients with advanced non-small cell lung cancer (NSCLC) previously treated with chemotherapy (ICOGEN). J Clin Oncol 29, 2011. (suppl; abstr 7522).</w:t>
      </w:r>
    </w:p>
    <w:p w14:paraId="69AA3BC5" w14:textId="77777777" w:rsidR="00DA15F8" w:rsidRPr="00CF7C5B" w:rsidRDefault="00DA15F8" w:rsidP="00CF7C5B">
      <w:pPr>
        <w:spacing w:afterLines="0" w:after="0"/>
        <w:ind w:left="600" w:hangingChars="300" w:hanging="600"/>
        <w:rPr>
          <w:sz w:val="20"/>
          <w:szCs w:val="18"/>
        </w:rPr>
      </w:pPr>
      <w:r w:rsidRPr="00CF7C5B">
        <w:rPr>
          <w:sz w:val="20"/>
          <w:szCs w:val="18"/>
        </w:rPr>
        <w:t>[22]</w:t>
      </w:r>
      <w:r w:rsidRPr="00CF7C5B">
        <w:rPr>
          <w:sz w:val="20"/>
          <w:szCs w:val="18"/>
        </w:rPr>
        <w:tab/>
        <w:t>Ren GJ, Zhao YY, Zhu YJ, et al. Tumor gene mutations and messenger RNA expression: correlation with clinical response to icotinib hydrochloride in non-small cell lung cancer. Chin Med J (Engl). 2011. 124(1): 19-25.</w:t>
      </w:r>
    </w:p>
    <w:p w14:paraId="3088DA5F" w14:textId="7D053060" w:rsidR="005404D6" w:rsidRDefault="005404D6" w:rsidP="005404D6">
      <w:pPr>
        <w:pStyle w:val="1"/>
        <w:numPr>
          <w:ilvl w:val="0"/>
          <w:numId w:val="0"/>
        </w:numPr>
        <w:spacing w:before="240"/>
      </w:pPr>
    </w:p>
    <w:p w14:paraId="4B1DDBB2" w14:textId="59B0D9BE" w:rsidR="00CF7C5B" w:rsidRDefault="00CF7C5B" w:rsidP="00CF7C5B">
      <w:pPr>
        <w:spacing w:after="240"/>
      </w:pPr>
    </w:p>
    <w:p w14:paraId="709E34AC" w14:textId="50873BA5" w:rsidR="00CF7C5B" w:rsidRDefault="00CF7C5B" w:rsidP="00CF7C5B">
      <w:pPr>
        <w:spacing w:after="240"/>
      </w:pPr>
    </w:p>
    <w:p w14:paraId="6F0812F6" w14:textId="77777777" w:rsidR="0065011F" w:rsidRDefault="0065011F" w:rsidP="00CF7C5B">
      <w:pPr>
        <w:spacing w:after="240"/>
      </w:pPr>
    </w:p>
    <w:p w14:paraId="371963B5" w14:textId="3B4A0CC4" w:rsidR="00222F65" w:rsidRPr="005404D6" w:rsidRDefault="00222F65" w:rsidP="005404D6">
      <w:pPr>
        <w:pStyle w:val="1"/>
        <w:numPr>
          <w:ilvl w:val="0"/>
          <w:numId w:val="0"/>
        </w:numPr>
        <w:spacing w:before="240"/>
        <w:ind w:left="432"/>
        <w:jc w:val="center"/>
        <w:rPr>
          <w:sz w:val="36"/>
          <w:szCs w:val="52"/>
        </w:rPr>
      </w:pPr>
      <w:bookmarkStart w:id="2235" w:name="_Toc170380243"/>
      <w:r w:rsidRPr="005404D6">
        <w:rPr>
          <w:sz w:val="36"/>
          <w:szCs w:val="52"/>
        </w:rPr>
        <w:lastRenderedPageBreak/>
        <w:t>Investigator's Statement</w:t>
      </w:r>
      <w:bookmarkEnd w:id="2235"/>
    </w:p>
    <w:p w14:paraId="6412FA1B" w14:textId="73B2307A" w:rsidR="00222F65" w:rsidRPr="00222F65" w:rsidRDefault="00222F65" w:rsidP="00BD3416">
      <w:pPr>
        <w:widowControl/>
        <w:spacing w:before="240" w:afterLines="0" w:after="0" w:line="360" w:lineRule="atLeast"/>
        <w:textAlignment w:val="baseline"/>
        <w:rPr>
          <w:kern w:val="0"/>
          <w:sz w:val="24"/>
        </w:rPr>
      </w:pPr>
      <w:r w:rsidRPr="00222F65">
        <w:rPr>
          <w:kern w:val="0"/>
          <w:sz w:val="24"/>
        </w:rPr>
        <w:t xml:space="preserve">I have read this protocol, and the study will be conducted in accordance with the </w:t>
      </w:r>
      <w:r w:rsidR="00E132C7">
        <w:rPr>
          <w:kern w:val="0"/>
          <w:sz w:val="24"/>
        </w:rPr>
        <w:t>clinical</w:t>
      </w:r>
      <w:r w:rsidRPr="00222F65">
        <w:rPr>
          <w:kern w:val="0"/>
          <w:sz w:val="24"/>
        </w:rPr>
        <w:t>, ethical, and scientific principles set forth in the Helsinki Declaration and China's GCP. I agree to carry out this clinical study in accordance with the design and provisions of this protocol.</w:t>
      </w:r>
    </w:p>
    <w:p w14:paraId="4711D877" w14:textId="77777777" w:rsidR="00222F65" w:rsidRPr="00222F65" w:rsidRDefault="00222F65" w:rsidP="00BD3416">
      <w:pPr>
        <w:widowControl/>
        <w:spacing w:before="240" w:afterLines="0" w:after="0" w:line="360" w:lineRule="atLeast"/>
        <w:textAlignment w:val="baseline"/>
        <w:rPr>
          <w:kern w:val="0"/>
          <w:sz w:val="24"/>
        </w:rPr>
      </w:pPr>
      <w:r w:rsidRPr="00222F65">
        <w:rPr>
          <w:kern w:val="0"/>
          <w:sz w:val="24"/>
        </w:rPr>
        <w:t>I will be responsible for making medical decisions related to the clinical trial, ensuring that subjects receive timely treatment in the event of an AE during the trial. I am aware of the procedures and requirements for correctly reporting SAEs, and I will record and report these events as required.</w:t>
      </w:r>
    </w:p>
    <w:p w14:paraId="12AA3456" w14:textId="2AD66A75" w:rsidR="00222F65" w:rsidRPr="00222F65" w:rsidRDefault="00222F65" w:rsidP="00BD3416">
      <w:pPr>
        <w:widowControl/>
        <w:spacing w:before="240" w:afterLines="0" w:after="0" w:line="360" w:lineRule="atLeast"/>
        <w:textAlignment w:val="baseline"/>
        <w:rPr>
          <w:kern w:val="0"/>
          <w:sz w:val="24"/>
        </w:rPr>
      </w:pPr>
      <w:r w:rsidRPr="00222F65">
        <w:rPr>
          <w:kern w:val="0"/>
          <w:sz w:val="24"/>
        </w:rPr>
        <w:t>I guarantee that the data will be accurately, completely, timely, and legally entered into the CRF. I will accept monitoring or auditing by monitors or auditors dispatched by the sponsor and inspections by drug regulatory authorities to ensure the quality of the clinical trial.</w:t>
      </w:r>
    </w:p>
    <w:p w14:paraId="26A67852" w14:textId="77777777" w:rsidR="00222F65" w:rsidRPr="00222F65" w:rsidRDefault="00222F65" w:rsidP="00BD3416">
      <w:pPr>
        <w:widowControl/>
        <w:spacing w:before="240" w:afterLines="0" w:after="0" w:line="360" w:lineRule="atLeast"/>
        <w:textAlignment w:val="baseline"/>
        <w:rPr>
          <w:kern w:val="0"/>
          <w:sz w:val="24"/>
        </w:rPr>
      </w:pPr>
      <w:r w:rsidRPr="00222F65">
        <w:rPr>
          <w:kern w:val="0"/>
          <w:sz w:val="24"/>
        </w:rPr>
        <w:t>I agree that the results of the study will be used for drug registration.</w:t>
      </w:r>
    </w:p>
    <w:p w14:paraId="5B62BAA7" w14:textId="1203BC9B" w:rsidR="00222F65" w:rsidRDefault="00222F65" w:rsidP="00BD3416">
      <w:pPr>
        <w:widowControl/>
        <w:spacing w:before="240" w:afterLines="0" w:after="240" w:line="360" w:lineRule="atLeast"/>
        <w:textAlignment w:val="baseline"/>
        <w:rPr>
          <w:kern w:val="0"/>
          <w:sz w:val="24"/>
        </w:rPr>
      </w:pPr>
      <w:r w:rsidRPr="00222F65">
        <w:rPr>
          <w:kern w:val="0"/>
          <w:sz w:val="24"/>
        </w:rPr>
        <w:t>I will provide a resume</w:t>
      </w:r>
      <w:r w:rsidR="009A004E">
        <w:rPr>
          <w:kern w:val="0"/>
          <w:sz w:val="24"/>
        </w:rPr>
        <w:t>’</w:t>
      </w:r>
      <w:r w:rsidRPr="00222F65">
        <w:rPr>
          <w:kern w:val="0"/>
          <w:sz w:val="24"/>
        </w:rPr>
        <w:t xml:space="preserve"> before the start of the study, submit it to the ethics committee, and possibly submit it to the drug administration department.</w:t>
      </w:r>
    </w:p>
    <w:p w14:paraId="69697245" w14:textId="77777777" w:rsidR="005404D6" w:rsidRDefault="005404D6" w:rsidP="00222F65">
      <w:pPr>
        <w:widowControl/>
        <w:spacing w:before="240" w:afterLines="0" w:after="240" w:line="360" w:lineRule="atLeast"/>
        <w:jc w:val="left"/>
        <w:textAlignment w:val="baseline"/>
        <w:rPr>
          <w:kern w:val="0"/>
          <w:sz w:val="24"/>
        </w:rPr>
      </w:pPr>
    </w:p>
    <w:p w14:paraId="450AC3CB" w14:textId="495AB459" w:rsidR="005404D6" w:rsidRPr="005404D6" w:rsidRDefault="005404D6" w:rsidP="005404D6">
      <w:pPr>
        <w:widowControl/>
        <w:spacing w:afterLines="0" w:after="240" w:line="360" w:lineRule="atLeast"/>
        <w:jc w:val="left"/>
        <w:textAlignment w:val="baseline"/>
        <w:rPr>
          <w:rFonts w:ascii="inherit" w:hAnsi="inherit" w:cs="宋体" w:hint="eastAsia"/>
          <w:kern w:val="0"/>
          <w:sz w:val="24"/>
        </w:rPr>
      </w:pPr>
      <w:r w:rsidRPr="005404D6">
        <w:rPr>
          <w:rFonts w:ascii="inherit" w:hAnsi="inherit" w:cs="宋体"/>
          <w:kern w:val="0"/>
          <w:sz w:val="24"/>
        </w:rPr>
        <w:t xml:space="preserve">Researcher (Signature):                       </w:t>
      </w:r>
      <w:r>
        <w:rPr>
          <w:rFonts w:ascii="inherit" w:hAnsi="inherit" w:cs="宋体"/>
          <w:kern w:val="0"/>
          <w:sz w:val="24"/>
        </w:rPr>
        <w:tab/>
      </w:r>
      <w:r>
        <w:rPr>
          <w:rFonts w:ascii="inherit" w:hAnsi="inherit" w:cs="宋体"/>
          <w:kern w:val="0"/>
          <w:sz w:val="24"/>
        </w:rPr>
        <w:tab/>
      </w:r>
      <w:r>
        <w:rPr>
          <w:rFonts w:ascii="inherit" w:hAnsi="inherit" w:cs="宋体"/>
          <w:kern w:val="0"/>
          <w:sz w:val="24"/>
        </w:rPr>
        <w:tab/>
      </w:r>
      <w:r>
        <w:rPr>
          <w:rFonts w:ascii="inherit" w:hAnsi="inherit" w:cs="宋体"/>
          <w:kern w:val="0"/>
          <w:sz w:val="24"/>
        </w:rPr>
        <w:tab/>
      </w:r>
      <w:r>
        <w:rPr>
          <w:rFonts w:ascii="inherit" w:hAnsi="inherit" w:cs="宋体"/>
          <w:kern w:val="0"/>
          <w:sz w:val="24"/>
        </w:rPr>
        <w:tab/>
      </w:r>
      <w:r>
        <w:rPr>
          <w:rFonts w:ascii="inherit" w:hAnsi="inherit" w:cs="宋体"/>
          <w:kern w:val="0"/>
          <w:sz w:val="24"/>
        </w:rPr>
        <w:tab/>
      </w:r>
      <w:r w:rsidRPr="005404D6">
        <w:rPr>
          <w:rFonts w:ascii="inherit" w:hAnsi="inherit" w:cs="宋体"/>
          <w:kern w:val="0"/>
          <w:sz w:val="24"/>
        </w:rPr>
        <w:t>Date:               </w:t>
      </w:r>
    </w:p>
    <w:p w14:paraId="11066D0E" w14:textId="23B7F9D0" w:rsidR="005404D6" w:rsidRDefault="005404D6" w:rsidP="00222F65">
      <w:pPr>
        <w:widowControl/>
        <w:spacing w:before="240" w:afterLines="0" w:after="240" w:line="360" w:lineRule="atLeast"/>
        <w:jc w:val="left"/>
        <w:textAlignment w:val="baseline"/>
        <w:rPr>
          <w:kern w:val="0"/>
          <w:sz w:val="24"/>
        </w:rPr>
      </w:pPr>
    </w:p>
    <w:p w14:paraId="63F761E6" w14:textId="77777777" w:rsidR="00D86494" w:rsidRPr="00222F65" w:rsidRDefault="00D86494" w:rsidP="00222F65">
      <w:pPr>
        <w:widowControl/>
        <w:spacing w:before="240" w:afterLines="0" w:after="240" w:line="360" w:lineRule="atLeast"/>
        <w:jc w:val="left"/>
        <w:textAlignment w:val="baseline"/>
        <w:rPr>
          <w:kern w:val="0"/>
          <w:sz w:val="24"/>
        </w:rPr>
      </w:pPr>
    </w:p>
    <w:p w14:paraId="1E51BE77" w14:textId="5C8D7FEF" w:rsidR="00222F65" w:rsidRDefault="00222F65">
      <w:pPr>
        <w:spacing w:afterLines="0" w:after="0"/>
        <w:ind w:left="540" w:hangingChars="300" w:hanging="540"/>
        <w:rPr>
          <w:sz w:val="18"/>
          <w:szCs w:val="18"/>
        </w:rPr>
      </w:pPr>
    </w:p>
    <w:p w14:paraId="3B71DBAD" w14:textId="7E225E15" w:rsidR="0065011F" w:rsidRDefault="0065011F">
      <w:pPr>
        <w:spacing w:afterLines="0" w:after="0"/>
        <w:ind w:left="540" w:hangingChars="300" w:hanging="540"/>
        <w:rPr>
          <w:sz w:val="18"/>
          <w:szCs w:val="18"/>
        </w:rPr>
      </w:pPr>
    </w:p>
    <w:p w14:paraId="07803F8C" w14:textId="37B660E6" w:rsidR="0065011F" w:rsidRDefault="0065011F">
      <w:pPr>
        <w:spacing w:afterLines="0" w:after="0"/>
        <w:ind w:left="540" w:hangingChars="300" w:hanging="540"/>
        <w:rPr>
          <w:sz w:val="18"/>
          <w:szCs w:val="18"/>
        </w:rPr>
      </w:pPr>
    </w:p>
    <w:p w14:paraId="6AB017FE" w14:textId="294117C3" w:rsidR="0065011F" w:rsidRDefault="0065011F">
      <w:pPr>
        <w:spacing w:afterLines="0" w:after="0"/>
        <w:ind w:left="540" w:hangingChars="300" w:hanging="540"/>
        <w:rPr>
          <w:sz w:val="18"/>
          <w:szCs w:val="18"/>
        </w:rPr>
      </w:pPr>
    </w:p>
    <w:p w14:paraId="41394DFC" w14:textId="12D6C046" w:rsidR="0065011F" w:rsidRDefault="0065011F">
      <w:pPr>
        <w:spacing w:afterLines="0" w:after="0"/>
        <w:ind w:left="540" w:hangingChars="300" w:hanging="540"/>
        <w:rPr>
          <w:sz w:val="18"/>
          <w:szCs w:val="18"/>
        </w:rPr>
      </w:pPr>
    </w:p>
    <w:p w14:paraId="539AEB96" w14:textId="69472EF4" w:rsidR="0065011F" w:rsidRDefault="0065011F">
      <w:pPr>
        <w:spacing w:afterLines="0" w:after="0"/>
        <w:ind w:left="540" w:hangingChars="300" w:hanging="540"/>
        <w:rPr>
          <w:sz w:val="18"/>
          <w:szCs w:val="18"/>
        </w:rPr>
      </w:pPr>
    </w:p>
    <w:p w14:paraId="6AE144BE" w14:textId="7417A591" w:rsidR="0065011F" w:rsidRDefault="0065011F">
      <w:pPr>
        <w:spacing w:afterLines="0" w:after="0"/>
        <w:ind w:left="540" w:hangingChars="300" w:hanging="540"/>
        <w:rPr>
          <w:sz w:val="18"/>
          <w:szCs w:val="18"/>
        </w:rPr>
      </w:pPr>
    </w:p>
    <w:p w14:paraId="4A37A56F" w14:textId="240AD7AF" w:rsidR="0065011F" w:rsidRDefault="0065011F">
      <w:pPr>
        <w:spacing w:afterLines="0" w:after="0"/>
        <w:ind w:left="540" w:hangingChars="300" w:hanging="540"/>
        <w:rPr>
          <w:sz w:val="18"/>
          <w:szCs w:val="18"/>
        </w:rPr>
      </w:pPr>
    </w:p>
    <w:p w14:paraId="4F012CD7" w14:textId="42E241E5" w:rsidR="0065011F" w:rsidRDefault="0065011F">
      <w:pPr>
        <w:spacing w:afterLines="0" w:after="0"/>
        <w:ind w:left="540" w:hangingChars="300" w:hanging="540"/>
        <w:rPr>
          <w:sz w:val="18"/>
          <w:szCs w:val="18"/>
        </w:rPr>
      </w:pPr>
    </w:p>
    <w:p w14:paraId="7D06D8E3" w14:textId="4E74EAA9" w:rsidR="0065011F" w:rsidRDefault="0065011F">
      <w:pPr>
        <w:spacing w:afterLines="0" w:after="0"/>
        <w:ind w:left="540" w:hangingChars="300" w:hanging="540"/>
        <w:rPr>
          <w:sz w:val="18"/>
          <w:szCs w:val="18"/>
        </w:rPr>
      </w:pPr>
    </w:p>
    <w:p w14:paraId="765B2557" w14:textId="77777777" w:rsidR="0065011F" w:rsidRDefault="0065011F">
      <w:pPr>
        <w:spacing w:afterLines="0" w:after="0"/>
        <w:ind w:left="540" w:hangingChars="300" w:hanging="540"/>
        <w:rPr>
          <w:sz w:val="18"/>
          <w:szCs w:val="18"/>
        </w:rPr>
      </w:pPr>
    </w:p>
    <w:p w14:paraId="3CF44290" w14:textId="0CAFE72F" w:rsidR="0065360F" w:rsidRDefault="0065360F">
      <w:pPr>
        <w:spacing w:afterLines="0" w:after="0"/>
        <w:ind w:left="540" w:hangingChars="300" w:hanging="540"/>
        <w:rPr>
          <w:sz w:val="18"/>
          <w:szCs w:val="18"/>
        </w:rPr>
      </w:pPr>
    </w:p>
    <w:p w14:paraId="53449F5C" w14:textId="41507B53" w:rsidR="0065360F" w:rsidRDefault="0065360F">
      <w:pPr>
        <w:spacing w:afterLines="0" w:after="0"/>
        <w:ind w:left="540" w:hangingChars="300" w:hanging="540"/>
        <w:rPr>
          <w:sz w:val="18"/>
          <w:szCs w:val="18"/>
        </w:rPr>
      </w:pPr>
    </w:p>
    <w:p w14:paraId="4797E3DD" w14:textId="47B39FF6" w:rsidR="0065360F" w:rsidRPr="0046154C" w:rsidRDefault="0065360F" w:rsidP="0046154C">
      <w:pPr>
        <w:spacing w:afterLines="0" w:after="0"/>
        <w:ind w:left="1084" w:hangingChars="300" w:hanging="1084"/>
        <w:jc w:val="center"/>
        <w:rPr>
          <w:b/>
          <w:sz w:val="36"/>
          <w:szCs w:val="36"/>
        </w:rPr>
      </w:pPr>
      <w:r w:rsidRPr="0046154C">
        <w:rPr>
          <w:b/>
          <w:sz w:val="36"/>
          <w:szCs w:val="36"/>
        </w:rPr>
        <w:lastRenderedPageBreak/>
        <w:t>Summary of changes of the protocol</w:t>
      </w:r>
    </w:p>
    <w:p w14:paraId="0CA665C8" w14:textId="0FC312DB" w:rsidR="001C5C24" w:rsidRPr="00585023" w:rsidRDefault="001C5C24" w:rsidP="001C5C24">
      <w:pPr>
        <w:spacing w:afterLines="0" w:after="0"/>
        <w:ind w:left="2"/>
        <w:rPr>
          <w:sz w:val="24"/>
        </w:rPr>
      </w:pPr>
      <w:r w:rsidRPr="00585023">
        <w:rPr>
          <w:sz w:val="24"/>
        </w:rPr>
        <w:tab/>
        <w:t xml:space="preserve">Changes to from the original protocol (Version 1.0, October 15, 2013) to the final </w:t>
      </w:r>
      <w:r w:rsidR="008C57DA" w:rsidRPr="00585023">
        <w:rPr>
          <w:sz w:val="24"/>
        </w:rPr>
        <w:t>protocol</w:t>
      </w:r>
      <w:r w:rsidRPr="00585023">
        <w:rPr>
          <w:sz w:val="24"/>
        </w:rPr>
        <w:t xml:space="preserve"> (Version 3.0, September 1, 2020) are listed below:</w:t>
      </w:r>
    </w:p>
    <w:p w14:paraId="7ED50B7D" w14:textId="57478B08" w:rsidR="00C055F9" w:rsidRPr="00585023" w:rsidRDefault="00C055F9" w:rsidP="00C055F9">
      <w:pPr>
        <w:spacing w:afterLines="0" w:after="0"/>
        <w:ind w:left="2"/>
        <w:rPr>
          <w:b/>
          <w:sz w:val="24"/>
        </w:rPr>
      </w:pPr>
      <w:r w:rsidRPr="00585023">
        <w:rPr>
          <w:b/>
          <w:sz w:val="24"/>
        </w:rPr>
        <w:t xml:space="preserve">Page 1: </w:t>
      </w:r>
    </w:p>
    <w:p w14:paraId="6EADA897" w14:textId="117AF96E" w:rsidR="00B45985" w:rsidRPr="00585023" w:rsidRDefault="00585023" w:rsidP="00B45985">
      <w:pPr>
        <w:spacing w:afterLines="0" w:after="0"/>
        <w:ind w:left="2"/>
        <w:rPr>
          <w:sz w:val="24"/>
        </w:rPr>
      </w:pPr>
      <w:r w:rsidRPr="00585023">
        <w:rPr>
          <w:i/>
          <w:sz w:val="24"/>
        </w:rPr>
        <w:t>Previous text</w:t>
      </w:r>
      <w:r w:rsidR="00B45985" w:rsidRPr="00585023">
        <w:rPr>
          <w:sz w:val="24"/>
        </w:rPr>
        <w:t>: Adjuvant icotinib of 12 months or 6 months versus observation following adjuvant chemotherapy for resected EGFR-mutated stage II–IIIA non-small cell lung cancer (ICTAN): a randomized phase III trial.</w:t>
      </w:r>
    </w:p>
    <w:p w14:paraId="4C50970B" w14:textId="6181A8FB" w:rsidR="00B45985" w:rsidRPr="00585023" w:rsidRDefault="00585023" w:rsidP="00B45985">
      <w:pPr>
        <w:spacing w:afterLines="0" w:after="0"/>
        <w:ind w:left="2"/>
        <w:rPr>
          <w:sz w:val="24"/>
        </w:rPr>
      </w:pPr>
      <w:r w:rsidRPr="00585023">
        <w:rPr>
          <w:i/>
          <w:sz w:val="24"/>
        </w:rPr>
        <w:t>Revised text</w:t>
      </w:r>
      <w:r w:rsidR="00B45985" w:rsidRPr="00585023">
        <w:rPr>
          <w:sz w:val="24"/>
        </w:rPr>
        <w:t>: Adjuvant icotinib of 12 months or 6 months versus observation following adjuvant chemotherapy for resected EGFR-mutated stage II–IIIA non-small cell lung cancer (ICTAN</w:t>
      </w:r>
      <w:r w:rsidR="0003131A" w:rsidRPr="00585023">
        <w:rPr>
          <w:sz w:val="24"/>
        </w:rPr>
        <w:t>, GASTO1002</w:t>
      </w:r>
      <w:r w:rsidR="00B45985" w:rsidRPr="00585023">
        <w:rPr>
          <w:sz w:val="24"/>
        </w:rPr>
        <w:t>): a randomized phase III trial.</w:t>
      </w:r>
    </w:p>
    <w:p w14:paraId="000CC7B8" w14:textId="53C3A567" w:rsidR="00530AE5" w:rsidRPr="00585023" w:rsidRDefault="00585023" w:rsidP="00C055F9">
      <w:pPr>
        <w:spacing w:afterLines="0" w:after="0"/>
        <w:ind w:left="2"/>
        <w:rPr>
          <w:sz w:val="24"/>
        </w:rPr>
      </w:pPr>
      <w:r w:rsidRPr="00585023">
        <w:rPr>
          <w:i/>
          <w:sz w:val="24"/>
        </w:rPr>
        <w:t>Previous text</w:t>
      </w:r>
      <w:r w:rsidR="00C055F9" w:rsidRPr="00585023">
        <w:rPr>
          <w:sz w:val="24"/>
        </w:rPr>
        <w:t xml:space="preserve">: Protocol Number: WSY003. </w:t>
      </w:r>
    </w:p>
    <w:p w14:paraId="5BA11B7A" w14:textId="22486C11" w:rsidR="00C055F9" w:rsidRPr="00585023" w:rsidRDefault="00585023" w:rsidP="00C055F9">
      <w:pPr>
        <w:spacing w:afterLines="0" w:after="0"/>
        <w:ind w:left="2"/>
        <w:rPr>
          <w:sz w:val="24"/>
        </w:rPr>
      </w:pPr>
      <w:r w:rsidRPr="00585023">
        <w:rPr>
          <w:i/>
          <w:sz w:val="24"/>
        </w:rPr>
        <w:t>Revised text</w:t>
      </w:r>
      <w:r w:rsidR="00C055F9" w:rsidRPr="00585023">
        <w:rPr>
          <w:sz w:val="24"/>
        </w:rPr>
        <w:t>: Protocol Number: GASTO1002.</w:t>
      </w:r>
    </w:p>
    <w:p w14:paraId="66BED8AA" w14:textId="1654AD59" w:rsidR="00CC7E60" w:rsidRPr="00585023" w:rsidRDefault="00CC7E60" w:rsidP="00C055F9">
      <w:pPr>
        <w:spacing w:afterLines="0" w:after="0"/>
        <w:ind w:left="2"/>
        <w:rPr>
          <w:b/>
          <w:sz w:val="24"/>
        </w:rPr>
      </w:pPr>
      <w:r w:rsidRPr="00585023">
        <w:rPr>
          <w:b/>
          <w:sz w:val="24"/>
        </w:rPr>
        <w:t>Page 2</w:t>
      </w:r>
      <w:r w:rsidR="006D5475" w:rsidRPr="00585023">
        <w:rPr>
          <w:b/>
          <w:sz w:val="24"/>
        </w:rPr>
        <w:t xml:space="preserve">. </w:t>
      </w:r>
      <w:r w:rsidRPr="00585023">
        <w:rPr>
          <w:b/>
          <w:sz w:val="24"/>
        </w:rPr>
        <w:t>Title</w:t>
      </w:r>
      <w:r w:rsidR="006D5475" w:rsidRPr="00585023">
        <w:rPr>
          <w:b/>
          <w:sz w:val="24"/>
        </w:rPr>
        <w:t>.</w:t>
      </w:r>
    </w:p>
    <w:p w14:paraId="2E1A9DE7" w14:textId="39047FF4" w:rsidR="006D5475" w:rsidRPr="00585023" w:rsidRDefault="00585023" w:rsidP="006D5475">
      <w:pPr>
        <w:spacing w:afterLines="0" w:after="0"/>
        <w:ind w:left="2"/>
        <w:rPr>
          <w:sz w:val="24"/>
        </w:rPr>
      </w:pPr>
      <w:r w:rsidRPr="00585023">
        <w:rPr>
          <w:i/>
          <w:sz w:val="24"/>
        </w:rPr>
        <w:t>Previous text</w:t>
      </w:r>
      <w:r w:rsidR="006D5475" w:rsidRPr="00585023">
        <w:rPr>
          <w:sz w:val="24"/>
        </w:rPr>
        <w:t xml:space="preserve">: ICTAN. </w:t>
      </w:r>
    </w:p>
    <w:p w14:paraId="4E2866E8" w14:textId="73390BD1" w:rsidR="006D5475" w:rsidRPr="00585023" w:rsidRDefault="00585023" w:rsidP="006D5475">
      <w:pPr>
        <w:spacing w:afterLines="0" w:after="0"/>
        <w:ind w:left="2"/>
        <w:rPr>
          <w:sz w:val="24"/>
        </w:rPr>
      </w:pPr>
      <w:r w:rsidRPr="00585023">
        <w:rPr>
          <w:i/>
          <w:sz w:val="24"/>
        </w:rPr>
        <w:t>Revised text</w:t>
      </w:r>
      <w:r w:rsidR="006D5475" w:rsidRPr="00585023">
        <w:rPr>
          <w:sz w:val="24"/>
        </w:rPr>
        <w:t>: ICTAN, GASTO1002.</w:t>
      </w:r>
    </w:p>
    <w:p w14:paraId="0C95032A" w14:textId="1D6B8331" w:rsidR="0045046E" w:rsidRPr="00585023" w:rsidRDefault="0045046E" w:rsidP="0045046E">
      <w:pPr>
        <w:spacing w:afterLines="0" w:after="0"/>
        <w:ind w:left="2"/>
        <w:rPr>
          <w:b/>
          <w:sz w:val="24"/>
        </w:rPr>
      </w:pPr>
      <w:r w:rsidRPr="00585023">
        <w:rPr>
          <w:b/>
          <w:sz w:val="24"/>
        </w:rPr>
        <w:t>Page 2. Endpoints.</w:t>
      </w:r>
    </w:p>
    <w:p w14:paraId="4094C006" w14:textId="140E43ED" w:rsidR="000C1C1A" w:rsidRPr="00585023" w:rsidRDefault="00585023" w:rsidP="000C1C1A">
      <w:pPr>
        <w:spacing w:afterLines="0" w:after="0"/>
        <w:ind w:left="2"/>
        <w:rPr>
          <w:sz w:val="24"/>
          <w:lang w:val="en-GB"/>
        </w:rPr>
      </w:pPr>
      <w:r w:rsidRPr="00585023">
        <w:rPr>
          <w:i/>
          <w:sz w:val="24"/>
        </w:rPr>
        <w:t>Previous text</w:t>
      </w:r>
      <w:r w:rsidR="000C1C1A" w:rsidRPr="00585023">
        <w:rPr>
          <w:sz w:val="24"/>
        </w:rPr>
        <w:t>:</w:t>
      </w:r>
      <w:r w:rsidR="000C1C1A" w:rsidRPr="00585023">
        <w:t xml:space="preserve"> </w:t>
      </w:r>
      <w:r w:rsidR="000C1C1A" w:rsidRPr="00585023">
        <w:rPr>
          <w:sz w:val="24"/>
        </w:rPr>
        <w:t xml:space="preserve">Disease-free survival (DFS). </w:t>
      </w:r>
    </w:p>
    <w:p w14:paraId="780E8965" w14:textId="57C49638" w:rsidR="000C1C1A" w:rsidRPr="00585023" w:rsidRDefault="00585023" w:rsidP="000C1C1A">
      <w:pPr>
        <w:spacing w:afterLines="0" w:after="0"/>
        <w:ind w:left="2"/>
        <w:rPr>
          <w:b/>
          <w:sz w:val="24"/>
          <w:lang w:val="en-GB"/>
        </w:rPr>
      </w:pPr>
      <w:r w:rsidRPr="00585023">
        <w:rPr>
          <w:i/>
          <w:sz w:val="24"/>
        </w:rPr>
        <w:t>Revised text</w:t>
      </w:r>
      <w:r w:rsidR="000C1C1A" w:rsidRPr="00585023">
        <w:rPr>
          <w:sz w:val="24"/>
        </w:rPr>
        <w:t xml:space="preserve">: Disease-free survival (DFS) according to investigator assessment. </w:t>
      </w:r>
    </w:p>
    <w:p w14:paraId="75273A3C" w14:textId="5E47ABE4" w:rsidR="0045046E" w:rsidRPr="00585023" w:rsidRDefault="00585023" w:rsidP="0045046E">
      <w:pPr>
        <w:spacing w:afterLines="0" w:after="0"/>
        <w:ind w:left="2"/>
        <w:rPr>
          <w:sz w:val="24"/>
          <w:lang w:val="en-GB"/>
        </w:rPr>
      </w:pPr>
      <w:r w:rsidRPr="00585023">
        <w:rPr>
          <w:i/>
          <w:sz w:val="24"/>
        </w:rPr>
        <w:t>Previous text</w:t>
      </w:r>
      <w:r w:rsidR="0045046E" w:rsidRPr="00585023">
        <w:rPr>
          <w:sz w:val="24"/>
        </w:rPr>
        <w:t>: Secondary Endpoints: Overall survival (OS); safety and tolerability; quality of life.</w:t>
      </w:r>
    </w:p>
    <w:p w14:paraId="7CF210D2" w14:textId="12980066" w:rsidR="0045046E" w:rsidRPr="00585023" w:rsidRDefault="00585023" w:rsidP="0045046E">
      <w:pPr>
        <w:spacing w:afterLines="0" w:after="0"/>
        <w:ind w:left="2"/>
        <w:rPr>
          <w:sz w:val="24"/>
        </w:rPr>
      </w:pPr>
      <w:r w:rsidRPr="00585023">
        <w:rPr>
          <w:i/>
          <w:sz w:val="24"/>
        </w:rPr>
        <w:t>Revised text</w:t>
      </w:r>
      <w:r w:rsidR="0045046E" w:rsidRPr="00585023">
        <w:rPr>
          <w:sz w:val="24"/>
        </w:rPr>
        <w:t>: Secondary Endpoints: Overall survival (OS); brain metastasis-free survival (BMFS); safety and tolerability; quality of life.</w:t>
      </w:r>
    </w:p>
    <w:p w14:paraId="37CAAE95" w14:textId="024DDD0B" w:rsidR="0045046E" w:rsidRPr="00585023" w:rsidRDefault="0045046E" w:rsidP="0045046E">
      <w:pPr>
        <w:spacing w:afterLines="0" w:after="0"/>
        <w:ind w:left="2"/>
        <w:rPr>
          <w:b/>
          <w:sz w:val="24"/>
        </w:rPr>
      </w:pPr>
      <w:r w:rsidRPr="00585023">
        <w:rPr>
          <w:b/>
          <w:sz w:val="24"/>
        </w:rPr>
        <w:t>Page 2. Number of cases.</w:t>
      </w:r>
    </w:p>
    <w:p w14:paraId="7E546F87" w14:textId="449C8310" w:rsidR="0045046E" w:rsidRPr="00585023" w:rsidRDefault="00585023" w:rsidP="0045046E">
      <w:pPr>
        <w:spacing w:afterLines="0" w:after="0"/>
        <w:ind w:left="2"/>
        <w:rPr>
          <w:sz w:val="24"/>
        </w:rPr>
      </w:pPr>
      <w:r w:rsidRPr="00585023">
        <w:rPr>
          <w:i/>
          <w:sz w:val="24"/>
        </w:rPr>
        <w:t>Previous text</w:t>
      </w:r>
      <w:r w:rsidR="0045046E" w:rsidRPr="00585023">
        <w:rPr>
          <w:sz w:val="24"/>
        </w:rPr>
        <w:t xml:space="preserve">: 477. </w:t>
      </w:r>
    </w:p>
    <w:p w14:paraId="084789D4" w14:textId="6FC35FC7" w:rsidR="0045046E" w:rsidRPr="00585023" w:rsidRDefault="00585023" w:rsidP="0045046E">
      <w:pPr>
        <w:spacing w:afterLines="0" w:after="0"/>
        <w:ind w:left="2"/>
        <w:rPr>
          <w:sz w:val="24"/>
        </w:rPr>
      </w:pPr>
      <w:r w:rsidRPr="00585023">
        <w:rPr>
          <w:i/>
          <w:sz w:val="24"/>
        </w:rPr>
        <w:t>Revised text</w:t>
      </w:r>
      <w:r w:rsidR="0045046E" w:rsidRPr="00585023">
        <w:rPr>
          <w:sz w:val="24"/>
        </w:rPr>
        <w:t>: 318.</w:t>
      </w:r>
    </w:p>
    <w:p w14:paraId="52D61214" w14:textId="03BF5CBD" w:rsidR="005D1E9C" w:rsidRPr="00585023" w:rsidRDefault="005D1E9C" w:rsidP="005D1E9C">
      <w:pPr>
        <w:spacing w:afterLines="0" w:after="0"/>
        <w:ind w:left="2"/>
        <w:rPr>
          <w:b/>
          <w:sz w:val="24"/>
        </w:rPr>
      </w:pPr>
      <w:r w:rsidRPr="00585023">
        <w:rPr>
          <w:b/>
          <w:sz w:val="24"/>
        </w:rPr>
        <w:t>Page 2. Inclusion Criteria.</w:t>
      </w:r>
    </w:p>
    <w:p w14:paraId="79805F35" w14:textId="60506B29" w:rsidR="005D1E9C" w:rsidRPr="00585023" w:rsidRDefault="00585023" w:rsidP="005D1E9C">
      <w:pPr>
        <w:spacing w:afterLines="0" w:after="0"/>
        <w:ind w:left="2"/>
        <w:rPr>
          <w:sz w:val="24"/>
        </w:rPr>
      </w:pPr>
      <w:r w:rsidRPr="00585023">
        <w:rPr>
          <w:i/>
          <w:sz w:val="24"/>
        </w:rPr>
        <w:t>Previous text</w:t>
      </w:r>
      <w:r w:rsidR="005D1E9C" w:rsidRPr="00585023">
        <w:rPr>
          <w:sz w:val="24"/>
        </w:rPr>
        <w:t xml:space="preserve">: Received 4 cycles of adjuvant chemotherapy postoperatively. </w:t>
      </w:r>
    </w:p>
    <w:p w14:paraId="4CD15B34" w14:textId="33573B67" w:rsidR="005D1E9C" w:rsidRPr="00585023" w:rsidRDefault="00585023" w:rsidP="005D1E9C">
      <w:pPr>
        <w:spacing w:afterLines="0" w:after="0"/>
        <w:ind w:left="2"/>
        <w:rPr>
          <w:sz w:val="24"/>
        </w:rPr>
      </w:pPr>
      <w:r w:rsidRPr="00585023">
        <w:rPr>
          <w:i/>
          <w:sz w:val="24"/>
        </w:rPr>
        <w:t>Revised text</w:t>
      </w:r>
      <w:r w:rsidR="005D1E9C" w:rsidRPr="00585023">
        <w:rPr>
          <w:sz w:val="24"/>
        </w:rPr>
        <w:t>: Received 2-4 cycles of adjuvant chemotherapy postoperatively.</w:t>
      </w:r>
    </w:p>
    <w:p w14:paraId="6B6DCF11" w14:textId="73A7B7F0" w:rsidR="00EB1F27" w:rsidRPr="00585023" w:rsidRDefault="00585023" w:rsidP="00EB1F27">
      <w:pPr>
        <w:spacing w:afterLines="0" w:after="0"/>
        <w:ind w:left="2"/>
        <w:rPr>
          <w:sz w:val="24"/>
        </w:rPr>
      </w:pPr>
      <w:r w:rsidRPr="00585023">
        <w:rPr>
          <w:i/>
          <w:sz w:val="24"/>
        </w:rPr>
        <w:t>Previous text</w:t>
      </w:r>
      <w:r w:rsidR="00EB1F27" w:rsidRPr="00585023">
        <w:rPr>
          <w:sz w:val="24"/>
        </w:rPr>
        <w:t xml:space="preserve">: biotherapy except for the 4 cycles of adjuvant chemotherapy. </w:t>
      </w:r>
    </w:p>
    <w:p w14:paraId="6EADAE4B" w14:textId="5FF24829" w:rsidR="00EB1F27" w:rsidRPr="00585023" w:rsidRDefault="00585023" w:rsidP="00EB1F27">
      <w:pPr>
        <w:spacing w:afterLines="0" w:after="0"/>
        <w:ind w:left="2"/>
        <w:rPr>
          <w:sz w:val="24"/>
        </w:rPr>
      </w:pPr>
      <w:r w:rsidRPr="00585023">
        <w:rPr>
          <w:i/>
          <w:sz w:val="24"/>
        </w:rPr>
        <w:t>Revised text</w:t>
      </w:r>
      <w:r w:rsidR="00EB1F27" w:rsidRPr="00585023">
        <w:rPr>
          <w:sz w:val="24"/>
        </w:rPr>
        <w:t>: biotherapy except for the 2-4 cycles of adjuvant chemotherapy.</w:t>
      </w:r>
    </w:p>
    <w:p w14:paraId="60034823" w14:textId="38074369" w:rsidR="00EB1F27" w:rsidRPr="00585023" w:rsidRDefault="00585023" w:rsidP="00EB1F27">
      <w:pPr>
        <w:spacing w:afterLines="0" w:after="0"/>
        <w:ind w:left="2"/>
        <w:rPr>
          <w:sz w:val="24"/>
        </w:rPr>
      </w:pPr>
      <w:r w:rsidRPr="00585023">
        <w:rPr>
          <w:i/>
          <w:sz w:val="24"/>
        </w:rPr>
        <w:t>Previous text</w:t>
      </w:r>
      <w:r w:rsidR="00EB1F27" w:rsidRPr="00585023">
        <w:rPr>
          <w:sz w:val="24"/>
        </w:rPr>
        <w:t>: Treatment initiation within 4 weeks after the completion of 4 cycles of adjuvant</w:t>
      </w:r>
    </w:p>
    <w:p w14:paraId="6F7CB29B" w14:textId="78F34978" w:rsidR="00EB1F27" w:rsidRPr="00585023" w:rsidRDefault="00EB1F27" w:rsidP="00EB1F27">
      <w:pPr>
        <w:spacing w:afterLines="0" w:after="0"/>
        <w:ind w:left="2"/>
        <w:rPr>
          <w:sz w:val="24"/>
        </w:rPr>
      </w:pPr>
      <w:r w:rsidRPr="00585023">
        <w:rPr>
          <w:sz w:val="24"/>
        </w:rPr>
        <w:t xml:space="preserve">chemotherapy. </w:t>
      </w:r>
    </w:p>
    <w:p w14:paraId="50357521" w14:textId="2F342B53" w:rsidR="00EB1F27" w:rsidRPr="00585023" w:rsidRDefault="00585023" w:rsidP="00EB1F27">
      <w:pPr>
        <w:spacing w:afterLines="0" w:after="0"/>
        <w:ind w:left="2"/>
        <w:rPr>
          <w:sz w:val="24"/>
        </w:rPr>
      </w:pPr>
      <w:r w:rsidRPr="00585023">
        <w:rPr>
          <w:i/>
          <w:sz w:val="24"/>
        </w:rPr>
        <w:lastRenderedPageBreak/>
        <w:t>Revised text</w:t>
      </w:r>
      <w:r w:rsidR="00EB1F27" w:rsidRPr="00585023">
        <w:rPr>
          <w:sz w:val="24"/>
        </w:rPr>
        <w:t>: Treatment initiation within 4 weeks after the completion of 2-4 cycles of adjuvant</w:t>
      </w:r>
    </w:p>
    <w:p w14:paraId="1DDCE1AB" w14:textId="5DF06B51" w:rsidR="00EB1F27" w:rsidRPr="00585023" w:rsidRDefault="00EB1F27" w:rsidP="00EB1F27">
      <w:pPr>
        <w:spacing w:afterLines="0" w:after="0"/>
        <w:ind w:left="2"/>
        <w:rPr>
          <w:sz w:val="24"/>
        </w:rPr>
      </w:pPr>
      <w:r w:rsidRPr="00585023">
        <w:rPr>
          <w:sz w:val="24"/>
        </w:rPr>
        <w:t>chemotherapy.</w:t>
      </w:r>
    </w:p>
    <w:p w14:paraId="787ADFD3" w14:textId="2F788010" w:rsidR="00E12BB7" w:rsidRPr="00585023" w:rsidRDefault="00E12BB7" w:rsidP="00E12BB7">
      <w:pPr>
        <w:spacing w:afterLines="0" w:after="0"/>
        <w:ind w:left="2"/>
        <w:rPr>
          <w:b/>
          <w:sz w:val="24"/>
        </w:rPr>
      </w:pPr>
      <w:r w:rsidRPr="00585023">
        <w:rPr>
          <w:b/>
          <w:sz w:val="24"/>
        </w:rPr>
        <w:t>Page 3. Inclusion Criteria.</w:t>
      </w:r>
    </w:p>
    <w:p w14:paraId="6C0F47D6" w14:textId="2FDBDB9E" w:rsidR="007C287E" w:rsidRPr="00585023" w:rsidRDefault="007C287E" w:rsidP="007C287E">
      <w:pPr>
        <w:spacing w:afterLines="0" w:after="0"/>
        <w:ind w:left="2"/>
        <w:rPr>
          <w:sz w:val="24"/>
        </w:rPr>
      </w:pPr>
      <w:r w:rsidRPr="00585023">
        <w:rPr>
          <w:sz w:val="24"/>
        </w:rPr>
        <w:t>“Able to obtain sufficient tumor histological specimens (non-cytological) for biomarker</w:t>
      </w:r>
    </w:p>
    <w:p w14:paraId="0025A5EC" w14:textId="6D300050" w:rsidR="0045046E" w:rsidRPr="00585023" w:rsidRDefault="007C287E" w:rsidP="007C287E">
      <w:pPr>
        <w:spacing w:afterLines="0" w:after="0"/>
        <w:ind w:left="2"/>
        <w:rPr>
          <w:sz w:val="24"/>
        </w:rPr>
      </w:pPr>
      <w:r w:rsidRPr="00585023">
        <w:rPr>
          <w:sz w:val="24"/>
        </w:rPr>
        <w:t xml:space="preserve">analysis” was deleted. </w:t>
      </w:r>
    </w:p>
    <w:p w14:paraId="638C9056" w14:textId="56A8CD15" w:rsidR="00E12BB7" w:rsidRPr="00585023" w:rsidRDefault="00E12BB7" w:rsidP="00E12BB7">
      <w:pPr>
        <w:spacing w:afterLines="0" w:after="0"/>
        <w:ind w:left="2"/>
        <w:rPr>
          <w:sz w:val="24"/>
        </w:rPr>
      </w:pPr>
      <w:r w:rsidRPr="00585023">
        <w:rPr>
          <w:b/>
          <w:sz w:val="24"/>
        </w:rPr>
        <w:t xml:space="preserve">Page 4. Study duration. </w:t>
      </w:r>
    </w:p>
    <w:p w14:paraId="663B9F6F" w14:textId="405EC8D1" w:rsidR="007E538E" w:rsidRPr="00585023" w:rsidRDefault="00585023" w:rsidP="007E538E">
      <w:pPr>
        <w:spacing w:afterLines="0" w:after="0"/>
        <w:ind w:left="2"/>
        <w:rPr>
          <w:sz w:val="24"/>
        </w:rPr>
      </w:pPr>
      <w:r w:rsidRPr="00585023">
        <w:rPr>
          <w:i/>
          <w:sz w:val="24"/>
        </w:rPr>
        <w:t>Previous text</w:t>
      </w:r>
      <w:r w:rsidR="007E538E" w:rsidRPr="00585023">
        <w:rPr>
          <w:sz w:val="24"/>
        </w:rPr>
        <w:t>: Based on an estimated enrollment of about 20 patients per month, a total of 477  patients are planned to be enrolled, which will take approximately 24 months. The minimum</w:t>
      </w:r>
      <w:r w:rsidR="00995372" w:rsidRPr="00585023">
        <w:rPr>
          <w:sz w:val="24"/>
        </w:rPr>
        <w:t xml:space="preserve"> </w:t>
      </w:r>
      <w:r w:rsidR="007E538E" w:rsidRPr="00585023">
        <w:rPr>
          <w:sz w:val="24"/>
        </w:rPr>
        <w:t>survival follow-up period is 5 years, making the total study duration approximately 84 months.</w:t>
      </w:r>
    </w:p>
    <w:p w14:paraId="09CEF6E3" w14:textId="59C84E28" w:rsidR="00995372" w:rsidRPr="00585023" w:rsidRDefault="00585023" w:rsidP="00995372">
      <w:pPr>
        <w:spacing w:afterLines="0" w:after="0"/>
        <w:ind w:left="2"/>
        <w:rPr>
          <w:sz w:val="24"/>
        </w:rPr>
      </w:pPr>
      <w:r w:rsidRPr="00585023">
        <w:rPr>
          <w:i/>
          <w:sz w:val="24"/>
        </w:rPr>
        <w:t>Revised text</w:t>
      </w:r>
      <w:r w:rsidR="007E538E" w:rsidRPr="00585023">
        <w:rPr>
          <w:sz w:val="24"/>
        </w:rPr>
        <w:t xml:space="preserve">: </w:t>
      </w:r>
      <w:r w:rsidR="00995372" w:rsidRPr="00585023">
        <w:rPr>
          <w:sz w:val="24"/>
        </w:rPr>
        <w:t>Based on an estimated enrollment of about 5 patients per month, a total of 318  patients are planned to be enrolled, which will take approximately 64 months. The minimum survival follow-up period is 5 years, making the total study duration approximately 124 months.</w:t>
      </w:r>
    </w:p>
    <w:p w14:paraId="16484F2E" w14:textId="41AEBB39" w:rsidR="00A2039F" w:rsidRPr="00585023" w:rsidRDefault="00A2039F" w:rsidP="00A2039F">
      <w:pPr>
        <w:spacing w:afterLines="0" w:after="0"/>
        <w:ind w:left="2"/>
        <w:rPr>
          <w:b/>
          <w:sz w:val="24"/>
        </w:rPr>
      </w:pPr>
      <w:r w:rsidRPr="00585023">
        <w:rPr>
          <w:b/>
          <w:sz w:val="24"/>
        </w:rPr>
        <w:t xml:space="preserve">Page 5. Study drug dosage/route of administration/regimen. </w:t>
      </w:r>
    </w:p>
    <w:p w14:paraId="62CEAE66" w14:textId="185DC71A" w:rsidR="00A2039F" w:rsidRPr="00585023" w:rsidRDefault="00585023" w:rsidP="00A2039F">
      <w:pPr>
        <w:spacing w:afterLines="0" w:after="0"/>
        <w:ind w:left="2"/>
        <w:rPr>
          <w:sz w:val="24"/>
        </w:rPr>
      </w:pPr>
      <w:r w:rsidRPr="00585023">
        <w:rPr>
          <w:i/>
          <w:sz w:val="24"/>
        </w:rPr>
        <w:t>Previous text</w:t>
      </w:r>
      <w:r w:rsidR="00A2039F" w:rsidRPr="00585023">
        <w:rPr>
          <w:sz w:val="24"/>
        </w:rPr>
        <w:t>: After R0 resection and 4 cycles of adjuvant chemotherapy.</w:t>
      </w:r>
    </w:p>
    <w:p w14:paraId="6BFCB990" w14:textId="4F463F87" w:rsidR="00A2039F" w:rsidRPr="00585023" w:rsidRDefault="00585023" w:rsidP="00A2039F">
      <w:pPr>
        <w:spacing w:afterLines="0" w:after="0"/>
        <w:ind w:left="2"/>
        <w:rPr>
          <w:sz w:val="24"/>
        </w:rPr>
      </w:pPr>
      <w:r w:rsidRPr="00585023">
        <w:rPr>
          <w:i/>
          <w:sz w:val="24"/>
        </w:rPr>
        <w:t>Revised text</w:t>
      </w:r>
      <w:r w:rsidR="00A2039F" w:rsidRPr="00585023">
        <w:rPr>
          <w:sz w:val="24"/>
        </w:rPr>
        <w:t>: After R0 resection and 2-4 cycles of adjuvant chemotherapy.</w:t>
      </w:r>
    </w:p>
    <w:p w14:paraId="18604443" w14:textId="149EEC19" w:rsidR="007E538E" w:rsidRPr="00585023" w:rsidRDefault="00C032E5" w:rsidP="00C032E5">
      <w:pPr>
        <w:spacing w:afterLines="0" w:after="0"/>
        <w:ind w:left="2"/>
        <w:rPr>
          <w:sz w:val="24"/>
        </w:rPr>
      </w:pPr>
      <w:r w:rsidRPr="00585023">
        <w:rPr>
          <w:b/>
          <w:sz w:val="24"/>
        </w:rPr>
        <w:t>Page 5. Treatment period &amp; Follow-up period.</w:t>
      </w:r>
    </w:p>
    <w:p w14:paraId="7A88B299" w14:textId="2ED4C2B0" w:rsidR="00C032E5" w:rsidRPr="00585023" w:rsidRDefault="00585023" w:rsidP="00C032E5">
      <w:pPr>
        <w:spacing w:afterLines="0" w:after="0"/>
        <w:ind w:left="2"/>
        <w:rPr>
          <w:sz w:val="24"/>
        </w:rPr>
      </w:pPr>
      <w:r w:rsidRPr="00585023">
        <w:rPr>
          <w:i/>
          <w:sz w:val="24"/>
        </w:rPr>
        <w:t>Previous text</w:t>
      </w:r>
      <w:r w:rsidR="00C032E5" w:rsidRPr="00585023">
        <w:rPr>
          <w:sz w:val="24"/>
        </w:rPr>
        <w:t>: with 159 cases in each group.</w:t>
      </w:r>
    </w:p>
    <w:p w14:paraId="69387E3B" w14:textId="7B8D627E" w:rsidR="00C032E5" w:rsidRPr="00585023" w:rsidRDefault="00585023" w:rsidP="00C032E5">
      <w:pPr>
        <w:spacing w:afterLines="0" w:after="0"/>
        <w:ind w:left="2"/>
        <w:rPr>
          <w:sz w:val="24"/>
        </w:rPr>
      </w:pPr>
      <w:r w:rsidRPr="00585023">
        <w:rPr>
          <w:i/>
          <w:sz w:val="24"/>
        </w:rPr>
        <w:t>Revised text</w:t>
      </w:r>
      <w:r w:rsidR="00C032E5" w:rsidRPr="00585023">
        <w:rPr>
          <w:sz w:val="24"/>
        </w:rPr>
        <w:t>: with 106 cases in each group.</w:t>
      </w:r>
    </w:p>
    <w:p w14:paraId="1291FFF8" w14:textId="77842694" w:rsidR="006C54DC" w:rsidRPr="00585023" w:rsidRDefault="006C54DC" w:rsidP="006C54DC">
      <w:pPr>
        <w:spacing w:afterLines="0" w:after="0"/>
        <w:ind w:left="2"/>
        <w:rPr>
          <w:sz w:val="24"/>
        </w:rPr>
      </w:pPr>
      <w:r w:rsidRPr="00585023">
        <w:rPr>
          <w:b/>
          <w:sz w:val="24"/>
        </w:rPr>
        <w:t>Page 5. Statistical methods.</w:t>
      </w:r>
    </w:p>
    <w:p w14:paraId="4DBC8F92" w14:textId="55969B90" w:rsidR="006C54DC" w:rsidRPr="00585023" w:rsidRDefault="00585023" w:rsidP="006C54DC">
      <w:pPr>
        <w:spacing w:afterLines="0" w:after="0"/>
        <w:ind w:left="2"/>
        <w:rPr>
          <w:sz w:val="24"/>
        </w:rPr>
      </w:pPr>
      <w:r w:rsidRPr="00585023">
        <w:rPr>
          <w:i/>
          <w:sz w:val="24"/>
        </w:rPr>
        <w:t>Previous text</w:t>
      </w:r>
      <w:r w:rsidR="006C54DC" w:rsidRPr="00585023">
        <w:rPr>
          <w:sz w:val="24"/>
        </w:rPr>
        <w:t>: A sample size of 477 (requiring 363 events) is based on the following considerations: From previous studies, it is assumed that the median DFS in for the chemotherapy-only group is 27.0 months, with a hazard ratio (HR) of 0.7, a power of test (1-β) of 80%, a significance level (α) of 5% for a two-sided test, a 24-month recruitment period, and an overall study period of 84 months.</w:t>
      </w:r>
    </w:p>
    <w:p w14:paraId="55DCC002" w14:textId="332FB011" w:rsidR="006C54DC" w:rsidRPr="00585023" w:rsidRDefault="00585023" w:rsidP="006C54DC">
      <w:pPr>
        <w:spacing w:afterLines="0" w:after="0"/>
        <w:ind w:left="2"/>
        <w:rPr>
          <w:sz w:val="24"/>
        </w:rPr>
      </w:pPr>
      <w:r w:rsidRPr="00585023">
        <w:rPr>
          <w:i/>
          <w:sz w:val="24"/>
        </w:rPr>
        <w:t>Revised text</w:t>
      </w:r>
      <w:r w:rsidR="006C54DC" w:rsidRPr="00585023">
        <w:rPr>
          <w:sz w:val="24"/>
        </w:rPr>
        <w:t xml:space="preserve">: </w:t>
      </w:r>
      <w:r w:rsidR="00AB03B2" w:rsidRPr="00585023">
        <w:rPr>
          <w:bCs/>
          <w:sz w:val="24"/>
        </w:rPr>
        <w:t>A sample size of 318 (requiring 198 events) is based on the following considerations: From previous studies, it is assumed that the median DFS is 30 months for patients with EGFR-mutated stage II-IIIA NSCLC following adjuvant chemotherapy, with a hazard ratio (HR) of 0.6, a power of test (1-β) of 85%, a significance level (α) of 5% for a two-sided test, and an overall dropout rate of 5%.</w:t>
      </w:r>
    </w:p>
    <w:p w14:paraId="682A2199" w14:textId="3039ED91" w:rsidR="00725615" w:rsidRPr="00585023" w:rsidRDefault="00725615" w:rsidP="00725615">
      <w:pPr>
        <w:spacing w:afterLines="0" w:after="0"/>
        <w:ind w:left="2"/>
        <w:rPr>
          <w:b/>
          <w:sz w:val="24"/>
        </w:rPr>
      </w:pPr>
      <w:r w:rsidRPr="00585023">
        <w:rPr>
          <w:b/>
          <w:sz w:val="24"/>
        </w:rPr>
        <w:t>Page 6. Study overview.</w:t>
      </w:r>
    </w:p>
    <w:p w14:paraId="4C71A968" w14:textId="7B7A77B0" w:rsidR="00725615" w:rsidRPr="00585023" w:rsidRDefault="00585023" w:rsidP="00725615">
      <w:pPr>
        <w:spacing w:afterLines="0" w:after="0"/>
        <w:ind w:left="2"/>
        <w:rPr>
          <w:sz w:val="24"/>
        </w:rPr>
      </w:pPr>
      <w:r w:rsidRPr="00585023">
        <w:rPr>
          <w:i/>
          <w:sz w:val="24"/>
        </w:rPr>
        <w:t>Previous text</w:t>
      </w:r>
      <w:r w:rsidR="00725615" w:rsidRPr="00585023">
        <w:rPr>
          <w:sz w:val="24"/>
        </w:rPr>
        <w:t>: following 4 cycles of standardized chemotherapy after surgery.</w:t>
      </w:r>
    </w:p>
    <w:p w14:paraId="3F7CCCD4" w14:textId="6DD46D01" w:rsidR="00725615" w:rsidRPr="00585023" w:rsidRDefault="00585023" w:rsidP="00725615">
      <w:pPr>
        <w:spacing w:afterLines="0" w:after="0"/>
        <w:ind w:left="2"/>
        <w:rPr>
          <w:sz w:val="24"/>
        </w:rPr>
      </w:pPr>
      <w:r w:rsidRPr="00585023">
        <w:rPr>
          <w:i/>
          <w:sz w:val="24"/>
        </w:rPr>
        <w:t>Revised text</w:t>
      </w:r>
      <w:r w:rsidR="00725615" w:rsidRPr="00585023">
        <w:rPr>
          <w:sz w:val="24"/>
        </w:rPr>
        <w:t>: following 2-4 cycles of standardized chemotherapy after surgery.</w:t>
      </w:r>
    </w:p>
    <w:p w14:paraId="2AF7C5FB" w14:textId="4DF95FB8" w:rsidR="00725615" w:rsidRPr="00585023" w:rsidRDefault="00585023" w:rsidP="00725615">
      <w:pPr>
        <w:spacing w:afterLines="0" w:after="0"/>
        <w:ind w:left="2"/>
        <w:rPr>
          <w:sz w:val="24"/>
        </w:rPr>
      </w:pPr>
      <w:r w:rsidRPr="00585023">
        <w:rPr>
          <w:i/>
          <w:sz w:val="24"/>
        </w:rPr>
        <w:lastRenderedPageBreak/>
        <w:t>Previous text</w:t>
      </w:r>
      <w:r w:rsidR="00725615" w:rsidRPr="00585023">
        <w:rPr>
          <w:sz w:val="24"/>
        </w:rPr>
        <w:t xml:space="preserve">: </w:t>
      </w:r>
      <w:r w:rsidR="006E16C6" w:rsidRPr="00585023">
        <w:rPr>
          <w:sz w:val="24"/>
        </w:rPr>
        <w:t>N=159</w:t>
      </w:r>
      <w:r w:rsidR="00725615" w:rsidRPr="00585023">
        <w:rPr>
          <w:sz w:val="24"/>
        </w:rPr>
        <w:t>.</w:t>
      </w:r>
    </w:p>
    <w:p w14:paraId="7E72FF54" w14:textId="4146A3AC" w:rsidR="00725615" w:rsidRPr="00585023" w:rsidRDefault="00585023" w:rsidP="00725615">
      <w:pPr>
        <w:spacing w:afterLines="0" w:after="0"/>
        <w:ind w:left="2"/>
        <w:rPr>
          <w:sz w:val="24"/>
        </w:rPr>
      </w:pPr>
      <w:r w:rsidRPr="00585023">
        <w:rPr>
          <w:i/>
          <w:sz w:val="24"/>
        </w:rPr>
        <w:t>Revised text</w:t>
      </w:r>
      <w:r w:rsidR="00725615" w:rsidRPr="00585023">
        <w:rPr>
          <w:sz w:val="24"/>
        </w:rPr>
        <w:t xml:space="preserve">: </w:t>
      </w:r>
      <w:r w:rsidR="006E16C6" w:rsidRPr="00585023">
        <w:rPr>
          <w:sz w:val="24"/>
        </w:rPr>
        <w:t>N=</w:t>
      </w:r>
      <w:r w:rsidR="00725615" w:rsidRPr="00585023">
        <w:rPr>
          <w:sz w:val="24"/>
        </w:rPr>
        <w:t>106.</w:t>
      </w:r>
    </w:p>
    <w:p w14:paraId="4E53E0FA" w14:textId="47B31DD1" w:rsidR="006E16C6" w:rsidRPr="00585023" w:rsidRDefault="00585023" w:rsidP="006E16C6">
      <w:pPr>
        <w:spacing w:afterLines="0" w:after="0"/>
        <w:ind w:left="2"/>
        <w:rPr>
          <w:sz w:val="24"/>
        </w:rPr>
      </w:pPr>
      <w:r w:rsidRPr="00585023">
        <w:rPr>
          <w:i/>
          <w:sz w:val="24"/>
        </w:rPr>
        <w:t>Previous text</w:t>
      </w:r>
      <w:r w:rsidR="00725615" w:rsidRPr="00585023">
        <w:rPr>
          <w:sz w:val="24"/>
        </w:rPr>
        <w:t xml:space="preserve">: </w:t>
      </w:r>
      <w:r w:rsidR="006E16C6" w:rsidRPr="00585023">
        <w:rPr>
          <w:rFonts w:hint="eastAsia"/>
          <w:sz w:val="24"/>
        </w:rPr>
        <w:t>Primary endpoint</w:t>
      </w:r>
      <w:r w:rsidR="006E16C6" w:rsidRPr="00585023">
        <w:rPr>
          <w:sz w:val="24"/>
        </w:rPr>
        <w:t xml:space="preserve">: </w:t>
      </w:r>
    </w:p>
    <w:p w14:paraId="770B5533" w14:textId="4925FFC7" w:rsidR="006E16C6" w:rsidRPr="00585023" w:rsidRDefault="006E16C6" w:rsidP="006E16C6">
      <w:pPr>
        <w:spacing w:afterLines="0" w:after="0"/>
        <w:ind w:left="2"/>
        <w:rPr>
          <w:sz w:val="24"/>
        </w:rPr>
      </w:pPr>
      <w:r w:rsidRPr="00585023">
        <w:rPr>
          <w:sz w:val="24"/>
        </w:rPr>
        <w:t xml:space="preserve">DFS </w:t>
      </w:r>
    </w:p>
    <w:p w14:paraId="08D06E22" w14:textId="77777777" w:rsidR="006E16C6" w:rsidRPr="00585023" w:rsidRDefault="006E16C6" w:rsidP="006E16C6">
      <w:pPr>
        <w:spacing w:afterLines="0" w:after="0"/>
        <w:ind w:left="2"/>
        <w:rPr>
          <w:sz w:val="24"/>
        </w:rPr>
      </w:pPr>
      <w:r w:rsidRPr="00585023">
        <w:rPr>
          <w:rFonts w:hint="eastAsia"/>
          <w:sz w:val="24"/>
        </w:rPr>
        <w:t>Secondary endpoints</w:t>
      </w:r>
      <w:r w:rsidRPr="00585023">
        <w:rPr>
          <w:rFonts w:hint="eastAsia"/>
          <w:sz w:val="24"/>
        </w:rPr>
        <w:t>：</w:t>
      </w:r>
    </w:p>
    <w:p w14:paraId="3F1DC86C" w14:textId="77777777" w:rsidR="006E16C6" w:rsidRPr="00585023" w:rsidRDefault="006E16C6" w:rsidP="006E16C6">
      <w:pPr>
        <w:spacing w:afterLines="0" w:after="0"/>
        <w:ind w:left="2"/>
        <w:rPr>
          <w:sz w:val="24"/>
        </w:rPr>
      </w:pPr>
      <w:r w:rsidRPr="00585023">
        <w:rPr>
          <w:sz w:val="24"/>
        </w:rPr>
        <w:t>OS</w:t>
      </w:r>
    </w:p>
    <w:p w14:paraId="05ABA6B6" w14:textId="77777777" w:rsidR="006E16C6" w:rsidRPr="00585023" w:rsidRDefault="006E16C6" w:rsidP="006E16C6">
      <w:pPr>
        <w:spacing w:afterLines="0" w:after="0"/>
        <w:ind w:left="2"/>
        <w:rPr>
          <w:sz w:val="24"/>
        </w:rPr>
      </w:pPr>
      <w:r w:rsidRPr="00585023">
        <w:rPr>
          <w:sz w:val="24"/>
        </w:rPr>
        <w:t>Safety</w:t>
      </w:r>
    </w:p>
    <w:p w14:paraId="5C4E2F78" w14:textId="252736A9" w:rsidR="00725615" w:rsidRPr="00585023" w:rsidRDefault="006E16C6" w:rsidP="006E16C6">
      <w:pPr>
        <w:spacing w:afterLines="0" w:after="0"/>
        <w:ind w:left="2"/>
        <w:rPr>
          <w:sz w:val="24"/>
        </w:rPr>
      </w:pPr>
      <w:r w:rsidRPr="00585023">
        <w:rPr>
          <w:sz w:val="24"/>
        </w:rPr>
        <w:t>QoL</w:t>
      </w:r>
      <w:r w:rsidR="00725615" w:rsidRPr="00585023">
        <w:rPr>
          <w:sz w:val="24"/>
        </w:rPr>
        <w:t>.</w:t>
      </w:r>
    </w:p>
    <w:p w14:paraId="22E93A7E" w14:textId="35331968" w:rsidR="006E16C6" w:rsidRPr="00585023" w:rsidRDefault="00585023" w:rsidP="006E16C6">
      <w:pPr>
        <w:spacing w:afterLines="0" w:after="0"/>
        <w:ind w:left="2"/>
        <w:rPr>
          <w:sz w:val="24"/>
        </w:rPr>
      </w:pPr>
      <w:r w:rsidRPr="00585023">
        <w:rPr>
          <w:i/>
          <w:sz w:val="24"/>
        </w:rPr>
        <w:t>Revised text</w:t>
      </w:r>
      <w:r w:rsidR="00725615" w:rsidRPr="00585023">
        <w:rPr>
          <w:sz w:val="24"/>
        </w:rPr>
        <w:t xml:space="preserve">: </w:t>
      </w:r>
      <w:r w:rsidR="006E16C6" w:rsidRPr="00585023">
        <w:rPr>
          <w:rFonts w:hint="eastAsia"/>
          <w:sz w:val="24"/>
        </w:rPr>
        <w:t>Primary endpoint</w:t>
      </w:r>
      <w:r w:rsidR="006E16C6" w:rsidRPr="00585023">
        <w:rPr>
          <w:sz w:val="24"/>
        </w:rPr>
        <w:t xml:space="preserve">: </w:t>
      </w:r>
    </w:p>
    <w:p w14:paraId="6875B136" w14:textId="77777777" w:rsidR="006E16C6" w:rsidRPr="00585023" w:rsidRDefault="006E16C6" w:rsidP="006E16C6">
      <w:pPr>
        <w:spacing w:afterLines="0" w:after="0"/>
        <w:ind w:left="2"/>
        <w:rPr>
          <w:sz w:val="24"/>
        </w:rPr>
      </w:pPr>
      <w:r w:rsidRPr="00585023">
        <w:rPr>
          <w:sz w:val="24"/>
        </w:rPr>
        <w:t>DFS according to investigator assessment</w:t>
      </w:r>
    </w:p>
    <w:p w14:paraId="061C62BA" w14:textId="77777777" w:rsidR="006E16C6" w:rsidRPr="00585023" w:rsidRDefault="006E16C6" w:rsidP="006E16C6">
      <w:pPr>
        <w:spacing w:afterLines="0" w:after="0"/>
        <w:ind w:left="2"/>
        <w:rPr>
          <w:sz w:val="24"/>
        </w:rPr>
      </w:pPr>
      <w:r w:rsidRPr="00585023">
        <w:rPr>
          <w:rFonts w:hint="eastAsia"/>
          <w:sz w:val="24"/>
        </w:rPr>
        <w:t>Secondary endpoints</w:t>
      </w:r>
      <w:r w:rsidRPr="00585023">
        <w:rPr>
          <w:rFonts w:hint="eastAsia"/>
          <w:sz w:val="24"/>
        </w:rPr>
        <w:t>：</w:t>
      </w:r>
    </w:p>
    <w:p w14:paraId="0A042196" w14:textId="4BB16431" w:rsidR="006E16C6" w:rsidRPr="00585023" w:rsidRDefault="006E16C6" w:rsidP="006E16C6">
      <w:pPr>
        <w:spacing w:afterLines="0" w:after="0"/>
        <w:ind w:left="2"/>
        <w:rPr>
          <w:sz w:val="24"/>
        </w:rPr>
      </w:pPr>
      <w:r w:rsidRPr="00585023">
        <w:rPr>
          <w:sz w:val="24"/>
        </w:rPr>
        <w:t>OS</w:t>
      </w:r>
    </w:p>
    <w:p w14:paraId="6F5D8F4E" w14:textId="7BF6C851" w:rsidR="006E16C6" w:rsidRPr="00585023" w:rsidRDefault="006E16C6" w:rsidP="006E16C6">
      <w:pPr>
        <w:spacing w:afterLines="0" w:after="0"/>
        <w:ind w:left="2"/>
        <w:rPr>
          <w:sz w:val="24"/>
        </w:rPr>
      </w:pPr>
      <w:r w:rsidRPr="00585023">
        <w:rPr>
          <w:sz w:val="24"/>
        </w:rPr>
        <w:t>BMFS</w:t>
      </w:r>
    </w:p>
    <w:p w14:paraId="5B892AD1" w14:textId="77777777" w:rsidR="006E16C6" w:rsidRPr="00585023" w:rsidRDefault="006E16C6" w:rsidP="006E16C6">
      <w:pPr>
        <w:spacing w:afterLines="0" w:after="0"/>
        <w:ind w:left="2"/>
        <w:rPr>
          <w:sz w:val="24"/>
        </w:rPr>
      </w:pPr>
      <w:r w:rsidRPr="00585023">
        <w:rPr>
          <w:sz w:val="24"/>
        </w:rPr>
        <w:t>Safety</w:t>
      </w:r>
    </w:p>
    <w:p w14:paraId="383C7E06" w14:textId="77777777" w:rsidR="006E16C6" w:rsidRPr="00585023" w:rsidRDefault="006E16C6" w:rsidP="006E16C6">
      <w:pPr>
        <w:spacing w:afterLines="0" w:after="0"/>
        <w:ind w:left="2"/>
        <w:rPr>
          <w:sz w:val="24"/>
        </w:rPr>
      </w:pPr>
      <w:r w:rsidRPr="00585023">
        <w:rPr>
          <w:sz w:val="24"/>
        </w:rPr>
        <w:t>QoL.</w:t>
      </w:r>
    </w:p>
    <w:p w14:paraId="6DE3917A" w14:textId="18617F24" w:rsidR="002752A9" w:rsidRPr="00585023" w:rsidRDefault="002752A9" w:rsidP="002752A9">
      <w:pPr>
        <w:spacing w:afterLines="0" w:after="0"/>
        <w:ind w:left="2"/>
        <w:rPr>
          <w:b/>
          <w:sz w:val="24"/>
        </w:rPr>
      </w:pPr>
      <w:r w:rsidRPr="00585023">
        <w:rPr>
          <w:b/>
          <w:sz w:val="24"/>
        </w:rPr>
        <w:t>Page 9. List of investigators.</w:t>
      </w:r>
    </w:p>
    <w:p w14:paraId="3E7FE5BC" w14:textId="101AF028" w:rsidR="00725615" w:rsidRPr="00585023" w:rsidRDefault="002752A9" w:rsidP="002752A9">
      <w:pPr>
        <w:spacing w:afterLines="0" w:after="0"/>
        <w:ind w:left="2"/>
        <w:rPr>
          <w:sz w:val="24"/>
        </w:rPr>
      </w:pPr>
      <w:r w:rsidRPr="00585023">
        <w:rPr>
          <w:sz w:val="24"/>
        </w:rPr>
        <w:t>The table of list of investigators was added.</w:t>
      </w:r>
    </w:p>
    <w:p w14:paraId="5D281D35" w14:textId="54356706" w:rsidR="00EF176A" w:rsidRPr="00585023" w:rsidRDefault="00EF176A" w:rsidP="00EF176A">
      <w:pPr>
        <w:spacing w:afterLines="0" w:after="0"/>
        <w:ind w:left="2"/>
        <w:rPr>
          <w:b/>
          <w:sz w:val="24"/>
        </w:rPr>
      </w:pPr>
      <w:r w:rsidRPr="00585023">
        <w:rPr>
          <w:b/>
          <w:sz w:val="24"/>
        </w:rPr>
        <w:t>Page 10. Subject selection.</w:t>
      </w:r>
    </w:p>
    <w:p w14:paraId="66F565B3" w14:textId="4275F1EB" w:rsidR="00EF176A" w:rsidRPr="00585023" w:rsidRDefault="00EF176A" w:rsidP="00EF176A">
      <w:pPr>
        <w:spacing w:afterLines="0" w:after="0"/>
        <w:ind w:left="2"/>
        <w:rPr>
          <w:sz w:val="24"/>
        </w:rPr>
      </w:pPr>
      <w:r w:rsidRPr="00585023">
        <w:rPr>
          <w:sz w:val="24"/>
        </w:rPr>
        <w:t xml:space="preserve">“3.2.3 </w:t>
      </w:r>
      <w:r w:rsidR="008C57DA" w:rsidRPr="00585023">
        <w:rPr>
          <w:sz w:val="24"/>
        </w:rPr>
        <w:t>Definition</w:t>
      </w:r>
      <w:r w:rsidRPr="00585023">
        <w:rPr>
          <w:sz w:val="24"/>
        </w:rPr>
        <w:t xml:space="preserve"> of R0 resection” was added.</w:t>
      </w:r>
    </w:p>
    <w:p w14:paraId="6301A0C2" w14:textId="6B1DFF20" w:rsidR="00D4696E" w:rsidRPr="00585023" w:rsidRDefault="00D4696E" w:rsidP="00D4696E">
      <w:pPr>
        <w:spacing w:afterLines="0" w:after="0"/>
        <w:ind w:left="2"/>
        <w:rPr>
          <w:b/>
          <w:sz w:val="24"/>
        </w:rPr>
      </w:pPr>
      <w:r w:rsidRPr="00585023">
        <w:rPr>
          <w:b/>
          <w:sz w:val="24"/>
        </w:rPr>
        <w:t>Page 15. 2.1. Primary objective.</w:t>
      </w:r>
    </w:p>
    <w:p w14:paraId="6D28A1A9" w14:textId="77EB6E9A" w:rsidR="00D4696E" w:rsidRPr="00585023" w:rsidRDefault="00585023" w:rsidP="00D4696E">
      <w:pPr>
        <w:spacing w:afterLines="0" w:after="0"/>
        <w:ind w:left="2"/>
        <w:rPr>
          <w:sz w:val="24"/>
          <w:lang w:val="en-GB"/>
        </w:rPr>
      </w:pPr>
      <w:r w:rsidRPr="00585023">
        <w:rPr>
          <w:i/>
          <w:sz w:val="24"/>
        </w:rPr>
        <w:t>Previous text</w:t>
      </w:r>
      <w:r w:rsidR="00D4696E" w:rsidRPr="00585023">
        <w:rPr>
          <w:sz w:val="24"/>
        </w:rPr>
        <w:t>:</w:t>
      </w:r>
      <w:r w:rsidR="00D4696E" w:rsidRPr="00585023">
        <w:t xml:space="preserve"> </w:t>
      </w:r>
      <w:r w:rsidR="00D4696E" w:rsidRPr="00585023">
        <w:rPr>
          <w:sz w:val="24"/>
        </w:rPr>
        <w:t xml:space="preserve">Disease-free survival (DFS). </w:t>
      </w:r>
    </w:p>
    <w:p w14:paraId="4ACEC4E8" w14:textId="50F70B69" w:rsidR="00D4696E" w:rsidRPr="00585023" w:rsidRDefault="00585023" w:rsidP="00D4696E">
      <w:pPr>
        <w:spacing w:afterLines="0" w:after="0"/>
        <w:ind w:left="2"/>
        <w:rPr>
          <w:b/>
          <w:sz w:val="24"/>
          <w:lang w:val="en-GB"/>
        </w:rPr>
      </w:pPr>
      <w:r w:rsidRPr="00585023">
        <w:rPr>
          <w:i/>
          <w:sz w:val="24"/>
        </w:rPr>
        <w:t>Revised text</w:t>
      </w:r>
      <w:r w:rsidR="00D4696E" w:rsidRPr="00585023">
        <w:rPr>
          <w:sz w:val="24"/>
        </w:rPr>
        <w:t xml:space="preserve">: Disease-free survival (DFS) according to investigator assessment. </w:t>
      </w:r>
    </w:p>
    <w:p w14:paraId="4A9887BB" w14:textId="0B3CF296" w:rsidR="00D4696E" w:rsidRPr="00585023" w:rsidRDefault="00585023" w:rsidP="00D4696E">
      <w:pPr>
        <w:spacing w:afterLines="0" w:after="0"/>
        <w:ind w:left="2"/>
        <w:rPr>
          <w:sz w:val="24"/>
          <w:lang w:val="en-GB"/>
        </w:rPr>
      </w:pPr>
      <w:r w:rsidRPr="00585023">
        <w:rPr>
          <w:i/>
          <w:sz w:val="24"/>
        </w:rPr>
        <w:t>Previous text</w:t>
      </w:r>
      <w:r w:rsidR="00D4696E" w:rsidRPr="00585023">
        <w:rPr>
          <w:sz w:val="24"/>
        </w:rPr>
        <w:t>: Overall survival (OS); safety and tolerability; quality of life (QoL).</w:t>
      </w:r>
    </w:p>
    <w:p w14:paraId="589BDBB6" w14:textId="45848311" w:rsidR="00D4696E" w:rsidRPr="00585023" w:rsidRDefault="00585023" w:rsidP="00D4696E">
      <w:pPr>
        <w:spacing w:afterLines="0" w:after="0"/>
        <w:ind w:left="2"/>
        <w:rPr>
          <w:sz w:val="24"/>
        </w:rPr>
      </w:pPr>
      <w:r w:rsidRPr="00585023">
        <w:rPr>
          <w:i/>
          <w:sz w:val="24"/>
        </w:rPr>
        <w:t>Revised text</w:t>
      </w:r>
      <w:r w:rsidR="00D4696E" w:rsidRPr="00585023">
        <w:rPr>
          <w:sz w:val="24"/>
        </w:rPr>
        <w:t>: Overall survival (OS); brain metastasis-free survival (BMFS); safety and tolerability; quality of life (QoL).</w:t>
      </w:r>
    </w:p>
    <w:p w14:paraId="5A30340F" w14:textId="36D61397" w:rsidR="001D24EF" w:rsidRPr="00585023" w:rsidRDefault="001D24EF" w:rsidP="001D24EF">
      <w:pPr>
        <w:spacing w:afterLines="0" w:after="0"/>
        <w:ind w:left="2"/>
        <w:rPr>
          <w:b/>
          <w:sz w:val="24"/>
        </w:rPr>
      </w:pPr>
      <w:r w:rsidRPr="00585023">
        <w:rPr>
          <w:b/>
          <w:sz w:val="24"/>
        </w:rPr>
        <w:t>Page 16. 3.1. Study design and plan.</w:t>
      </w:r>
    </w:p>
    <w:p w14:paraId="51F0145C" w14:textId="0E95DD7E" w:rsidR="001D24EF" w:rsidRPr="00585023" w:rsidRDefault="00585023" w:rsidP="005C7ED9">
      <w:pPr>
        <w:spacing w:afterLines="0" w:after="0"/>
        <w:ind w:left="2"/>
        <w:rPr>
          <w:sz w:val="24"/>
          <w:lang w:val="en-GB"/>
        </w:rPr>
      </w:pPr>
      <w:r w:rsidRPr="00585023">
        <w:rPr>
          <w:i/>
          <w:sz w:val="24"/>
        </w:rPr>
        <w:t>Previous text</w:t>
      </w:r>
      <w:r w:rsidR="001D24EF" w:rsidRPr="00585023">
        <w:rPr>
          <w:sz w:val="24"/>
        </w:rPr>
        <w:t>:</w:t>
      </w:r>
      <w:r w:rsidR="001D24EF" w:rsidRPr="00585023">
        <w:t xml:space="preserve"> </w:t>
      </w:r>
      <w:r w:rsidR="005C7ED9" w:rsidRPr="00585023">
        <w:rPr>
          <w:sz w:val="24"/>
        </w:rPr>
        <w:t>A sample size of 477 (requiring 363 events) is based on the following considerations: From previous studies, it is assumed that the median DFS in the chemotherapy-only group is 27.0 months, with a hazard ratio (HR) of 0.7, a power of test (1-β) of 80%, a significance level (α) of 5% for a two-sided test, a 24-month recruitment period, and an overall study period of 84 months. These 477 patients are planned to be enrolled in the study</w:t>
      </w:r>
      <w:r w:rsidR="001D24EF" w:rsidRPr="00585023">
        <w:rPr>
          <w:sz w:val="24"/>
        </w:rPr>
        <w:t xml:space="preserve">. </w:t>
      </w:r>
    </w:p>
    <w:p w14:paraId="0249F1FB" w14:textId="60B9268B" w:rsidR="001D24EF" w:rsidRPr="00585023" w:rsidRDefault="00585023" w:rsidP="005C7ED9">
      <w:pPr>
        <w:spacing w:afterLines="0" w:after="0"/>
        <w:ind w:left="2"/>
        <w:rPr>
          <w:b/>
          <w:sz w:val="24"/>
          <w:lang w:val="en-GB"/>
        </w:rPr>
      </w:pPr>
      <w:r w:rsidRPr="00585023">
        <w:rPr>
          <w:i/>
          <w:sz w:val="24"/>
        </w:rPr>
        <w:t>Revised text</w:t>
      </w:r>
      <w:r w:rsidR="001D24EF" w:rsidRPr="00585023">
        <w:rPr>
          <w:sz w:val="24"/>
        </w:rPr>
        <w:t xml:space="preserve">: </w:t>
      </w:r>
      <w:r w:rsidR="005C7ED9" w:rsidRPr="00585023">
        <w:rPr>
          <w:sz w:val="24"/>
        </w:rPr>
        <w:t xml:space="preserve">A sample size of 318 (requiring 198 events) is based on the following </w:t>
      </w:r>
      <w:r w:rsidR="005C7ED9" w:rsidRPr="00585023">
        <w:rPr>
          <w:sz w:val="24"/>
        </w:rPr>
        <w:lastRenderedPageBreak/>
        <w:t>considerations: From previous studies, it is assumed that the median DFS is 30 months for patients with EGFR-mutated stage II-IIIA NSCLC following adjuvant chemotherapy, with a hazard ratio (HR) of 0.76, a power of test (1-β) of 85%, a significance level (α) of 5% for a two-sided test, and an overall dropout rate of 5%. These 318 patients are planned to be enrolled in the study</w:t>
      </w:r>
      <w:r w:rsidR="001D24EF" w:rsidRPr="00585023">
        <w:rPr>
          <w:sz w:val="24"/>
        </w:rPr>
        <w:t xml:space="preserve">. </w:t>
      </w:r>
    </w:p>
    <w:p w14:paraId="28124E6B" w14:textId="599CE0BA" w:rsidR="001D24EF" w:rsidRPr="00585023" w:rsidRDefault="001D24EF" w:rsidP="001D24EF">
      <w:pPr>
        <w:spacing w:afterLines="0" w:after="0"/>
        <w:ind w:left="2"/>
        <w:rPr>
          <w:b/>
          <w:sz w:val="24"/>
        </w:rPr>
      </w:pPr>
      <w:r w:rsidRPr="00585023">
        <w:rPr>
          <w:b/>
          <w:sz w:val="24"/>
        </w:rPr>
        <w:t>Page 16. 3.</w:t>
      </w:r>
      <w:r w:rsidR="00546461" w:rsidRPr="00585023">
        <w:rPr>
          <w:b/>
          <w:sz w:val="24"/>
        </w:rPr>
        <w:t>2.1</w:t>
      </w:r>
      <w:r w:rsidRPr="00585023">
        <w:rPr>
          <w:b/>
          <w:sz w:val="24"/>
        </w:rPr>
        <w:t xml:space="preserve">. </w:t>
      </w:r>
      <w:r w:rsidR="00546461" w:rsidRPr="00585023">
        <w:rPr>
          <w:b/>
          <w:sz w:val="24"/>
        </w:rPr>
        <w:t>Inclusion criteria</w:t>
      </w:r>
      <w:r w:rsidRPr="00585023">
        <w:rPr>
          <w:b/>
          <w:sz w:val="24"/>
        </w:rPr>
        <w:t>.</w:t>
      </w:r>
    </w:p>
    <w:p w14:paraId="6157369C" w14:textId="23CE28E7" w:rsidR="001D24EF" w:rsidRPr="00585023" w:rsidRDefault="00585023" w:rsidP="001D24EF">
      <w:pPr>
        <w:spacing w:afterLines="0" w:after="0"/>
        <w:ind w:left="2"/>
        <w:rPr>
          <w:sz w:val="24"/>
          <w:lang w:val="en-GB"/>
        </w:rPr>
      </w:pPr>
      <w:r w:rsidRPr="00585023">
        <w:rPr>
          <w:i/>
          <w:sz w:val="24"/>
        </w:rPr>
        <w:t>Previous text</w:t>
      </w:r>
      <w:r w:rsidR="001D24EF" w:rsidRPr="00585023">
        <w:rPr>
          <w:sz w:val="24"/>
        </w:rPr>
        <w:t>:</w:t>
      </w:r>
      <w:r w:rsidR="001D24EF" w:rsidRPr="00585023">
        <w:t xml:space="preserve"> </w:t>
      </w:r>
      <w:r w:rsidR="00546461" w:rsidRPr="00585023">
        <w:rPr>
          <w:sz w:val="24"/>
        </w:rPr>
        <w:t>Received 4 cycles of adjuvant chemotherapy postoperatively</w:t>
      </w:r>
      <w:r w:rsidR="001D24EF" w:rsidRPr="00585023">
        <w:rPr>
          <w:sz w:val="24"/>
        </w:rPr>
        <w:t xml:space="preserve">. </w:t>
      </w:r>
    </w:p>
    <w:p w14:paraId="69D6F368" w14:textId="76AA31F7" w:rsidR="001D24EF" w:rsidRPr="00585023" w:rsidRDefault="00585023" w:rsidP="001D24EF">
      <w:pPr>
        <w:spacing w:afterLines="0" w:after="0"/>
        <w:ind w:left="2"/>
        <w:rPr>
          <w:b/>
          <w:sz w:val="24"/>
          <w:lang w:val="en-GB"/>
        </w:rPr>
      </w:pPr>
      <w:r w:rsidRPr="00585023">
        <w:rPr>
          <w:i/>
          <w:sz w:val="24"/>
        </w:rPr>
        <w:t>Revised text</w:t>
      </w:r>
      <w:r w:rsidR="001D24EF" w:rsidRPr="00585023">
        <w:rPr>
          <w:sz w:val="24"/>
        </w:rPr>
        <w:t xml:space="preserve">: </w:t>
      </w:r>
      <w:r w:rsidR="00546461" w:rsidRPr="00585023">
        <w:rPr>
          <w:sz w:val="24"/>
        </w:rPr>
        <w:t>Received 2-4 cycles of adjuvant chemotherapy postoperatively</w:t>
      </w:r>
      <w:r w:rsidR="001D24EF" w:rsidRPr="00585023">
        <w:rPr>
          <w:sz w:val="24"/>
        </w:rPr>
        <w:t xml:space="preserve">. </w:t>
      </w:r>
    </w:p>
    <w:p w14:paraId="1CDAC442" w14:textId="14274A16" w:rsidR="001D24EF" w:rsidRPr="00585023" w:rsidRDefault="001D24EF" w:rsidP="001D24EF">
      <w:pPr>
        <w:spacing w:afterLines="0" w:after="0"/>
        <w:ind w:left="2"/>
        <w:rPr>
          <w:b/>
          <w:sz w:val="24"/>
        </w:rPr>
      </w:pPr>
      <w:r w:rsidRPr="00585023">
        <w:rPr>
          <w:b/>
          <w:sz w:val="24"/>
        </w:rPr>
        <w:t xml:space="preserve">Page </w:t>
      </w:r>
      <w:r w:rsidR="00F74778" w:rsidRPr="00585023">
        <w:rPr>
          <w:b/>
          <w:sz w:val="24"/>
        </w:rPr>
        <w:t>17</w:t>
      </w:r>
      <w:r w:rsidRPr="00585023">
        <w:rPr>
          <w:b/>
          <w:sz w:val="24"/>
        </w:rPr>
        <w:t>. 3.</w:t>
      </w:r>
      <w:r w:rsidR="00F74778" w:rsidRPr="00585023">
        <w:rPr>
          <w:b/>
          <w:sz w:val="24"/>
        </w:rPr>
        <w:t>2.2</w:t>
      </w:r>
      <w:r w:rsidRPr="00585023">
        <w:rPr>
          <w:b/>
          <w:sz w:val="24"/>
        </w:rPr>
        <w:t>. Study design and plan.</w:t>
      </w:r>
    </w:p>
    <w:p w14:paraId="3603927B" w14:textId="6F9BA28A" w:rsidR="001D24EF" w:rsidRPr="00585023" w:rsidRDefault="00F74778" w:rsidP="00F74778">
      <w:pPr>
        <w:spacing w:afterLines="0" w:after="0"/>
        <w:ind w:left="2"/>
        <w:rPr>
          <w:b/>
          <w:sz w:val="24"/>
          <w:lang w:val="en-GB"/>
        </w:rPr>
      </w:pPr>
      <w:r w:rsidRPr="00585023">
        <w:rPr>
          <w:sz w:val="24"/>
        </w:rPr>
        <w:t xml:space="preserve">“Unable to obtain sufficient tumor histological specimens (non-cytological) for biomarker analysis” was deleted. </w:t>
      </w:r>
    </w:p>
    <w:p w14:paraId="45C9BE7B" w14:textId="0F37104A" w:rsidR="001D24EF" w:rsidRPr="00585023" w:rsidRDefault="001D24EF" w:rsidP="00205287">
      <w:pPr>
        <w:spacing w:afterLines="0" w:after="0"/>
        <w:ind w:left="2"/>
        <w:rPr>
          <w:b/>
          <w:sz w:val="24"/>
        </w:rPr>
      </w:pPr>
      <w:r w:rsidRPr="00585023">
        <w:rPr>
          <w:b/>
          <w:sz w:val="24"/>
        </w:rPr>
        <w:t xml:space="preserve">Page </w:t>
      </w:r>
      <w:r w:rsidR="00205287" w:rsidRPr="00585023">
        <w:rPr>
          <w:b/>
          <w:sz w:val="24"/>
        </w:rPr>
        <w:t>18</w:t>
      </w:r>
      <w:r w:rsidRPr="00585023">
        <w:rPr>
          <w:b/>
          <w:sz w:val="24"/>
        </w:rPr>
        <w:t xml:space="preserve">. </w:t>
      </w:r>
    </w:p>
    <w:p w14:paraId="2FC4A6DF" w14:textId="66142E0B" w:rsidR="00205287" w:rsidRPr="00585023" w:rsidRDefault="00205287" w:rsidP="00205287">
      <w:pPr>
        <w:spacing w:afterLines="0" w:after="0"/>
        <w:ind w:left="2"/>
        <w:rPr>
          <w:sz w:val="24"/>
        </w:rPr>
      </w:pPr>
      <w:r w:rsidRPr="00585023">
        <w:rPr>
          <w:sz w:val="24"/>
        </w:rPr>
        <w:t xml:space="preserve">“3.2.3. </w:t>
      </w:r>
      <w:r w:rsidR="008C57DA" w:rsidRPr="00585023">
        <w:rPr>
          <w:sz w:val="24"/>
        </w:rPr>
        <w:t>Definition</w:t>
      </w:r>
      <w:r w:rsidRPr="00585023">
        <w:rPr>
          <w:sz w:val="24"/>
        </w:rPr>
        <w:t xml:space="preserve"> of R0 resection:</w:t>
      </w:r>
    </w:p>
    <w:p w14:paraId="49E54D21" w14:textId="78644151" w:rsidR="00205287" w:rsidRPr="00585023" w:rsidRDefault="00205287" w:rsidP="00205287">
      <w:pPr>
        <w:spacing w:afterLines="0" w:after="0"/>
        <w:ind w:left="2"/>
        <w:rPr>
          <w:sz w:val="24"/>
        </w:rPr>
      </w:pPr>
      <w:r w:rsidRPr="00585023">
        <w:rPr>
          <w:sz w:val="24"/>
        </w:rPr>
        <w:t xml:space="preserve">Hilar and mediastinal lymph nodes (N1 and N2 lymph nodes) must be excised, marked and sent for pathology in addition to complete removal of the primary lung lesions. At least 3 mediastinal drainage areas (N2 groups) must be sampled and dissected by making the best use of en bloc resection of lymph nodes. Preferably, for the right chest, dissection should include 2R, 3a, 3p, 4R and 7-9 groups of lymph nodes and surrounding soft tissues; and for left chest, dissection should include 4L and 5-9 groups of lymph nodes and surrounding soft tissues” was added. </w:t>
      </w:r>
    </w:p>
    <w:p w14:paraId="51A09516" w14:textId="5D473458" w:rsidR="001D24EF" w:rsidRPr="00585023" w:rsidRDefault="001D24EF" w:rsidP="001D24EF">
      <w:pPr>
        <w:spacing w:afterLines="0" w:after="0"/>
        <w:ind w:left="2"/>
        <w:rPr>
          <w:b/>
          <w:sz w:val="24"/>
        </w:rPr>
      </w:pPr>
      <w:r w:rsidRPr="00585023">
        <w:rPr>
          <w:b/>
          <w:sz w:val="24"/>
        </w:rPr>
        <w:t xml:space="preserve">Page </w:t>
      </w:r>
      <w:r w:rsidR="003C59D4" w:rsidRPr="00585023">
        <w:rPr>
          <w:b/>
          <w:sz w:val="24"/>
        </w:rPr>
        <w:t>18</w:t>
      </w:r>
      <w:r w:rsidRPr="00585023">
        <w:rPr>
          <w:b/>
          <w:sz w:val="24"/>
        </w:rPr>
        <w:t>. 3.</w:t>
      </w:r>
      <w:r w:rsidR="003C59D4" w:rsidRPr="00585023">
        <w:rPr>
          <w:b/>
          <w:sz w:val="24"/>
        </w:rPr>
        <w:t>3</w:t>
      </w:r>
      <w:r w:rsidRPr="00585023">
        <w:rPr>
          <w:b/>
          <w:sz w:val="24"/>
        </w:rPr>
        <w:t xml:space="preserve">. Study </w:t>
      </w:r>
      <w:r w:rsidR="003C59D4" w:rsidRPr="00585023">
        <w:rPr>
          <w:b/>
          <w:sz w:val="24"/>
        </w:rPr>
        <w:t>duration</w:t>
      </w:r>
      <w:r w:rsidRPr="00585023">
        <w:rPr>
          <w:b/>
          <w:sz w:val="24"/>
        </w:rPr>
        <w:t>.</w:t>
      </w:r>
    </w:p>
    <w:p w14:paraId="18843B72" w14:textId="2C0DAE77" w:rsidR="001D24EF" w:rsidRPr="00585023" w:rsidRDefault="00585023" w:rsidP="003C59D4">
      <w:pPr>
        <w:spacing w:afterLines="0" w:after="0"/>
        <w:ind w:left="2"/>
        <w:rPr>
          <w:sz w:val="24"/>
          <w:lang w:val="en-GB"/>
        </w:rPr>
      </w:pPr>
      <w:r w:rsidRPr="00585023">
        <w:rPr>
          <w:i/>
          <w:sz w:val="24"/>
        </w:rPr>
        <w:t>Previous text</w:t>
      </w:r>
      <w:r w:rsidR="001D24EF" w:rsidRPr="00585023">
        <w:rPr>
          <w:sz w:val="24"/>
        </w:rPr>
        <w:t>:</w:t>
      </w:r>
      <w:r w:rsidR="001D24EF" w:rsidRPr="00585023">
        <w:t xml:space="preserve"> </w:t>
      </w:r>
      <w:r w:rsidR="003C59D4" w:rsidRPr="00585023">
        <w:rPr>
          <w:sz w:val="24"/>
        </w:rPr>
        <w:t>It is planned to enroll a total of 477 patients, and based on an estimated enrollment of about 20 patients per month, the enrollment process is expected to take approximately 24 months; the minimum survival follow-up period is 5 years. The total study period is expected to be about 84 months</w:t>
      </w:r>
      <w:r w:rsidR="001D24EF" w:rsidRPr="00585023">
        <w:rPr>
          <w:sz w:val="24"/>
        </w:rPr>
        <w:t xml:space="preserve">. </w:t>
      </w:r>
    </w:p>
    <w:p w14:paraId="23E93EB6" w14:textId="62F4FEA8" w:rsidR="001D24EF" w:rsidRPr="00585023" w:rsidRDefault="00585023" w:rsidP="001D24EF">
      <w:pPr>
        <w:spacing w:afterLines="0" w:after="0"/>
        <w:ind w:left="2"/>
        <w:rPr>
          <w:b/>
          <w:sz w:val="24"/>
          <w:lang w:val="en-GB"/>
        </w:rPr>
      </w:pPr>
      <w:r w:rsidRPr="00585023">
        <w:rPr>
          <w:i/>
          <w:sz w:val="24"/>
        </w:rPr>
        <w:t>Revised text</w:t>
      </w:r>
      <w:r w:rsidR="001D24EF" w:rsidRPr="00585023">
        <w:rPr>
          <w:sz w:val="24"/>
        </w:rPr>
        <w:t xml:space="preserve">: </w:t>
      </w:r>
      <w:r w:rsidR="003C59D4" w:rsidRPr="00585023">
        <w:rPr>
          <w:sz w:val="24"/>
        </w:rPr>
        <w:t>It is planned to enroll a total of 318 patients, and based on an estimated enrollment of about 5 patients per month, the enrollment process is expected to take approximately 64 months; the minimum survival follow-up period is 5 years. The total study period is expected to be about 124 months</w:t>
      </w:r>
      <w:r w:rsidR="001D24EF" w:rsidRPr="00585023">
        <w:rPr>
          <w:sz w:val="24"/>
        </w:rPr>
        <w:t xml:space="preserve">. </w:t>
      </w:r>
    </w:p>
    <w:p w14:paraId="1262A805" w14:textId="6DDAF28D" w:rsidR="001D24EF" w:rsidRPr="00585023" w:rsidRDefault="001D24EF" w:rsidP="001D24EF">
      <w:pPr>
        <w:spacing w:afterLines="0" w:after="0"/>
        <w:ind w:left="2"/>
        <w:rPr>
          <w:b/>
          <w:sz w:val="24"/>
        </w:rPr>
      </w:pPr>
      <w:r w:rsidRPr="00585023">
        <w:rPr>
          <w:b/>
          <w:sz w:val="24"/>
        </w:rPr>
        <w:t xml:space="preserve">Page </w:t>
      </w:r>
      <w:r w:rsidR="00366C50" w:rsidRPr="00585023">
        <w:rPr>
          <w:b/>
          <w:sz w:val="24"/>
        </w:rPr>
        <w:t>21</w:t>
      </w:r>
      <w:r w:rsidRPr="00585023">
        <w:rPr>
          <w:b/>
          <w:sz w:val="24"/>
        </w:rPr>
        <w:t xml:space="preserve">. 3.1. Study </w:t>
      </w:r>
      <w:r w:rsidR="00366C50" w:rsidRPr="00585023">
        <w:rPr>
          <w:b/>
          <w:sz w:val="24"/>
        </w:rPr>
        <w:t>endpoint</w:t>
      </w:r>
      <w:r w:rsidRPr="00585023">
        <w:rPr>
          <w:b/>
          <w:sz w:val="24"/>
        </w:rPr>
        <w:t>.</w:t>
      </w:r>
    </w:p>
    <w:p w14:paraId="6DD48EEC" w14:textId="03578CC1" w:rsidR="001D24EF" w:rsidRPr="00585023" w:rsidRDefault="00585023" w:rsidP="001D24EF">
      <w:pPr>
        <w:spacing w:afterLines="0" w:after="0"/>
        <w:ind w:left="2"/>
        <w:rPr>
          <w:sz w:val="24"/>
          <w:lang w:val="en-GB"/>
        </w:rPr>
      </w:pPr>
      <w:r w:rsidRPr="00585023">
        <w:rPr>
          <w:i/>
          <w:sz w:val="24"/>
        </w:rPr>
        <w:t>Previous text</w:t>
      </w:r>
      <w:r w:rsidR="001D24EF" w:rsidRPr="00585023">
        <w:rPr>
          <w:sz w:val="24"/>
        </w:rPr>
        <w:t>:</w:t>
      </w:r>
      <w:r w:rsidR="001D24EF" w:rsidRPr="00585023">
        <w:t xml:space="preserve"> </w:t>
      </w:r>
      <w:r w:rsidR="00366C50" w:rsidRPr="00585023">
        <w:rPr>
          <w:sz w:val="24"/>
        </w:rPr>
        <w:t>The primary efficacy endpoint of the study is disease-free survival (DFS)</w:t>
      </w:r>
      <w:r w:rsidR="001D24EF" w:rsidRPr="00585023">
        <w:rPr>
          <w:sz w:val="24"/>
        </w:rPr>
        <w:t xml:space="preserve">. </w:t>
      </w:r>
    </w:p>
    <w:p w14:paraId="0E7BDC0A" w14:textId="53FDF788" w:rsidR="001D24EF" w:rsidRPr="00585023" w:rsidRDefault="00585023" w:rsidP="001D24EF">
      <w:pPr>
        <w:spacing w:afterLines="0" w:after="0"/>
        <w:ind w:left="2"/>
        <w:rPr>
          <w:b/>
          <w:sz w:val="24"/>
          <w:lang w:val="en-GB"/>
        </w:rPr>
      </w:pPr>
      <w:r w:rsidRPr="00585023">
        <w:rPr>
          <w:i/>
          <w:sz w:val="24"/>
        </w:rPr>
        <w:t>Revised text</w:t>
      </w:r>
      <w:r w:rsidR="001D24EF" w:rsidRPr="00585023">
        <w:rPr>
          <w:sz w:val="24"/>
        </w:rPr>
        <w:t xml:space="preserve">: </w:t>
      </w:r>
      <w:r w:rsidR="00366C50" w:rsidRPr="00585023">
        <w:rPr>
          <w:sz w:val="24"/>
        </w:rPr>
        <w:t>The primary efficacy endpoint of the study is d</w:t>
      </w:r>
      <w:r w:rsidR="001D24EF" w:rsidRPr="00585023">
        <w:rPr>
          <w:sz w:val="24"/>
        </w:rPr>
        <w:t xml:space="preserve">isease-free survival (DFS) according to investigator assessment. </w:t>
      </w:r>
    </w:p>
    <w:p w14:paraId="19B058E4" w14:textId="5A4EC00C" w:rsidR="00687DA9" w:rsidRPr="00585023" w:rsidRDefault="00585023" w:rsidP="00687DA9">
      <w:pPr>
        <w:spacing w:afterLines="0" w:after="0"/>
        <w:ind w:left="2"/>
        <w:rPr>
          <w:sz w:val="24"/>
          <w:lang w:val="en-GB"/>
        </w:rPr>
      </w:pPr>
      <w:r w:rsidRPr="00585023">
        <w:rPr>
          <w:i/>
          <w:sz w:val="24"/>
        </w:rPr>
        <w:lastRenderedPageBreak/>
        <w:t>Previous text</w:t>
      </w:r>
      <w:r w:rsidR="00687DA9" w:rsidRPr="00585023">
        <w:rPr>
          <w:sz w:val="24"/>
        </w:rPr>
        <w:t>: overall survival (OS); safety and tolerability; quality of life (QoL).</w:t>
      </w:r>
    </w:p>
    <w:p w14:paraId="1D4EDF99" w14:textId="1E876DC1" w:rsidR="00687DA9" w:rsidRPr="00585023" w:rsidRDefault="00585023" w:rsidP="00687DA9">
      <w:pPr>
        <w:spacing w:afterLines="0" w:after="0"/>
        <w:ind w:left="2"/>
        <w:rPr>
          <w:sz w:val="24"/>
        </w:rPr>
      </w:pPr>
      <w:r w:rsidRPr="00585023">
        <w:rPr>
          <w:i/>
          <w:sz w:val="24"/>
        </w:rPr>
        <w:t>Revised text</w:t>
      </w:r>
      <w:r w:rsidR="00687DA9" w:rsidRPr="00585023">
        <w:rPr>
          <w:sz w:val="24"/>
        </w:rPr>
        <w:t>: overall survival (OS); brain metastasis-free survival (BMFS); safety and tolerability; quality of life (QoL).</w:t>
      </w:r>
    </w:p>
    <w:p w14:paraId="42A77CCB" w14:textId="77777777" w:rsidR="00225A6F" w:rsidRPr="00585023" w:rsidRDefault="001D24EF" w:rsidP="00225A6F">
      <w:pPr>
        <w:spacing w:afterLines="0" w:after="0"/>
        <w:ind w:left="2"/>
        <w:rPr>
          <w:b/>
          <w:sz w:val="24"/>
        </w:rPr>
      </w:pPr>
      <w:r w:rsidRPr="00585023">
        <w:rPr>
          <w:b/>
          <w:sz w:val="24"/>
        </w:rPr>
        <w:t xml:space="preserve">Page </w:t>
      </w:r>
      <w:r w:rsidR="00225A6F" w:rsidRPr="00585023">
        <w:rPr>
          <w:b/>
          <w:sz w:val="24"/>
        </w:rPr>
        <w:t>31</w:t>
      </w:r>
      <w:r w:rsidRPr="00585023">
        <w:rPr>
          <w:b/>
          <w:sz w:val="24"/>
        </w:rPr>
        <w:t xml:space="preserve">. </w:t>
      </w:r>
      <w:r w:rsidR="00225A6F" w:rsidRPr="00585023">
        <w:rPr>
          <w:b/>
          <w:sz w:val="24"/>
        </w:rPr>
        <w:t>8</w:t>
      </w:r>
      <w:r w:rsidRPr="00585023">
        <w:rPr>
          <w:b/>
          <w:sz w:val="24"/>
        </w:rPr>
        <w:t xml:space="preserve">.1. </w:t>
      </w:r>
      <w:r w:rsidR="00225A6F" w:rsidRPr="00585023">
        <w:rPr>
          <w:b/>
          <w:sz w:val="24"/>
        </w:rPr>
        <w:t>Primary and secondary variables.</w:t>
      </w:r>
    </w:p>
    <w:p w14:paraId="502693A2" w14:textId="6993ADB2" w:rsidR="00225A6F" w:rsidRPr="00585023" w:rsidRDefault="00585023" w:rsidP="00225A6F">
      <w:pPr>
        <w:spacing w:afterLines="0" w:after="0"/>
        <w:ind w:left="2"/>
        <w:rPr>
          <w:sz w:val="24"/>
          <w:lang w:val="en-GB"/>
        </w:rPr>
      </w:pPr>
      <w:r w:rsidRPr="00585023">
        <w:rPr>
          <w:i/>
          <w:sz w:val="24"/>
        </w:rPr>
        <w:t>Previous text</w:t>
      </w:r>
      <w:r w:rsidR="00225A6F" w:rsidRPr="00585023">
        <w:rPr>
          <w:sz w:val="24"/>
        </w:rPr>
        <w:t>:</w:t>
      </w:r>
      <w:r w:rsidR="00225A6F" w:rsidRPr="00585023">
        <w:t xml:space="preserve"> </w:t>
      </w:r>
      <w:r w:rsidR="00225A6F" w:rsidRPr="00585023">
        <w:rPr>
          <w:sz w:val="24"/>
        </w:rPr>
        <w:t xml:space="preserve">The primary efficacy endpoint of the study is disease-free survival (DFS). </w:t>
      </w:r>
    </w:p>
    <w:p w14:paraId="72FA9626" w14:textId="6D594E25" w:rsidR="00225A6F" w:rsidRPr="00585023" w:rsidRDefault="00585023" w:rsidP="00225A6F">
      <w:pPr>
        <w:spacing w:afterLines="0" w:after="0"/>
        <w:ind w:left="2"/>
        <w:rPr>
          <w:b/>
          <w:sz w:val="24"/>
          <w:lang w:val="en-GB"/>
        </w:rPr>
      </w:pPr>
      <w:r w:rsidRPr="00585023">
        <w:rPr>
          <w:i/>
          <w:sz w:val="24"/>
        </w:rPr>
        <w:t>Revised text</w:t>
      </w:r>
      <w:r w:rsidR="00225A6F" w:rsidRPr="00585023">
        <w:rPr>
          <w:sz w:val="24"/>
        </w:rPr>
        <w:t xml:space="preserve">: The primary efficacy endpoint of the study is disease-free survival (DFS) according to investigator assessment. </w:t>
      </w:r>
    </w:p>
    <w:p w14:paraId="125F2A04" w14:textId="56C095E0" w:rsidR="00225A6F" w:rsidRPr="00585023" w:rsidRDefault="00585023" w:rsidP="00225A6F">
      <w:pPr>
        <w:spacing w:afterLines="0" w:after="0"/>
        <w:ind w:left="2"/>
        <w:rPr>
          <w:sz w:val="24"/>
          <w:lang w:val="en-GB"/>
        </w:rPr>
      </w:pPr>
      <w:r w:rsidRPr="00585023">
        <w:rPr>
          <w:i/>
          <w:sz w:val="24"/>
        </w:rPr>
        <w:t>Previous text</w:t>
      </w:r>
      <w:r w:rsidR="00225A6F" w:rsidRPr="00585023">
        <w:rPr>
          <w:sz w:val="24"/>
        </w:rPr>
        <w:t>: overall survival (OS); safety and tolerability; quality of life (QoL).</w:t>
      </w:r>
    </w:p>
    <w:p w14:paraId="67DB98D1" w14:textId="2D3288F3" w:rsidR="00225A6F" w:rsidRPr="00585023" w:rsidRDefault="00585023" w:rsidP="00225A6F">
      <w:pPr>
        <w:spacing w:afterLines="0" w:after="0"/>
        <w:ind w:left="2"/>
        <w:rPr>
          <w:sz w:val="24"/>
        </w:rPr>
      </w:pPr>
      <w:r w:rsidRPr="00585023">
        <w:rPr>
          <w:i/>
          <w:sz w:val="24"/>
        </w:rPr>
        <w:t>Revised text</w:t>
      </w:r>
      <w:r w:rsidR="00225A6F" w:rsidRPr="00585023">
        <w:rPr>
          <w:sz w:val="24"/>
        </w:rPr>
        <w:t>: overall survival (OS); brain metastasis-free survival (BMFS); safety and tolerability; quality of life (QoL).</w:t>
      </w:r>
    </w:p>
    <w:p w14:paraId="5E0BFB4D" w14:textId="1C95518F" w:rsidR="001D24EF" w:rsidRPr="00585023" w:rsidRDefault="001D24EF" w:rsidP="001D24EF">
      <w:pPr>
        <w:spacing w:afterLines="0" w:after="0"/>
        <w:ind w:left="2"/>
        <w:rPr>
          <w:b/>
          <w:sz w:val="24"/>
        </w:rPr>
      </w:pPr>
      <w:r w:rsidRPr="00585023">
        <w:rPr>
          <w:b/>
          <w:sz w:val="24"/>
        </w:rPr>
        <w:t xml:space="preserve">Page </w:t>
      </w:r>
      <w:r w:rsidR="00E037AB" w:rsidRPr="00585023">
        <w:rPr>
          <w:b/>
          <w:sz w:val="24"/>
        </w:rPr>
        <w:t>31</w:t>
      </w:r>
      <w:r w:rsidRPr="00585023">
        <w:rPr>
          <w:b/>
          <w:sz w:val="24"/>
        </w:rPr>
        <w:t xml:space="preserve">. </w:t>
      </w:r>
      <w:r w:rsidR="00E037AB" w:rsidRPr="00585023">
        <w:rPr>
          <w:b/>
          <w:sz w:val="24"/>
        </w:rPr>
        <w:t>8.2.1. Baseline and demographic characteristics</w:t>
      </w:r>
      <w:r w:rsidRPr="00585023">
        <w:rPr>
          <w:b/>
          <w:sz w:val="24"/>
        </w:rPr>
        <w:t>.</w:t>
      </w:r>
    </w:p>
    <w:p w14:paraId="0CB49104" w14:textId="33978011" w:rsidR="001D24EF" w:rsidRPr="00585023" w:rsidRDefault="00E037AB" w:rsidP="00E037AB">
      <w:pPr>
        <w:spacing w:afterLines="0" w:after="0"/>
        <w:ind w:left="2"/>
        <w:rPr>
          <w:sz w:val="24"/>
          <w:lang w:val="en-GB"/>
        </w:rPr>
      </w:pPr>
      <w:r w:rsidRPr="00585023">
        <w:rPr>
          <w:sz w:val="24"/>
        </w:rPr>
        <w:t>“More details will be stated in the separate Statistical Analysis Plan” was added.</w:t>
      </w:r>
    </w:p>
    <w:p w14:paraId="29D96906" w14:textId="2664B7AD" w:rsidR="001D24EF" w:rsidRPr="00585023" w:rsidRDefault="001D24EF" w:rsidP="001D24EF">
      <w:pPr>
        <w:spacing w:afterLines="0" w:after="0"/>
        <w:ind w:left="2"/>
        <w:rPr>
          <w:b/>
          <w:sz w:val="24"/>
        </w:rPr>
      </w:pPr>
      <w:r w:rsidRPr="00585023">
        <w:rPr>
          <w:b/>
          <w:sz w:val="24"/>
        </w:rPr>
        <w:t xml:space="preserve">Page </w:t>
      </w:r>
      <w:r w:rsidR="00177778" w:rsidRPr="00585023">
        <w:rPr>
          <w:b/>
          <w:sz w:val="24"/>
        </w:rPr>
        <w:t>32</w:t>
      </w:r>
      <w:r w:rsidRPr="00585023">
        <w:rPr>
          <w:b/>
          <w:sz w:val="24"/>
        </w:rPr>
        <w:t xml:space="preserve">. </w:t>
      </w:r>
      <w:r w:rsidR="00177778" w:rsidRPr="00585023">
        <w:rPr>
          <w:b/>
          <w:sz w:val="24"/>
        </w:rPr>
        <w:t>8.4</w:t>
      </w:r>
      <w:r w:rsidRPr="00585023">
        <w:rPr>
          <w:b/>
          <w:sz w:val="24"/>
        </w:rPr>
        <w:t xml:space="preserve">. </w:t>
      </w:r>
      <w:r w:rsidR="00177778" w:rsidRPr="00585023">
        <w:rPr>
          <w:b/>
          <w:sz w:val="24"/>
        </w:rPr>
        <w:t>Interim analysis</w:t>
      </w:r>
      <w:r w:rsidRPr="00585023">
        <w:rPr>
          <w:b/>
          <w:sz w:val="24"/>
        </w:rPr>
        <w:t>.</w:t>
      </w:r>
    </w:p>
    <w:p w14:paraId="149EE76B" w14:textId="58D57FF0" w:rsidR="001D24EF" w:rsidRPr="00585023" w:rsidRDefault="00585023" w:rsidP="001D24EF">
      <w:pPr>
        <w:spacing w:afterLines="0" w:after="0"/>
        <w:ind w:left="2"/>
        <w:rPr>
          <w:sz w:val="24"/>
          <w:lang w:val="en-GB"/>
        </w:rPr>
      </w:pPr>
      <w:r w:rsidRPr="00585023">
        <w:rPr>
          <w:i/>
          <w:sz w:val="24"/>
        </w:rPr>
        <w:t>Previous text</w:t>
      </w:r>
      <w:r w:rsidR="001D24EF" w:rsidRPr="00585023">
        <w:rPr>
          <w:sz w:val="24"/>
        </w:rPr>
        <w:t>:</w:t>
      </w:r>
      <w:r w:rsidR="001D24EF" w:rsidRPr="00585023">
        <w:t xml:space="preserve"> </w:t>
      </w:r>
      <w:r w:rsidR="0087070A" w:rsidRPr="00585023">
        <w:rPr>
          <w:sz w:val="24"/>
        </w:rPr>
        <w:t>Interim analysis will be conducted when the DFS events reach 50% (182/363) for final analysis.</w:t>
      </w:r>
      <w:r w:rsidR="001D24EF" w:rsidRPr="00585023">
        <w:rPr>
          <w:sz w:val="24"/>
        </w:rPr>
        <w:t xml:space="preserve"> </w:t>
      </w:r>
    </w:p>
    <w:p w14:paraId="2F20BE5A" w14:textId="0B9A5550" w:rsidR="001D24EF" w:rsidRPr="00585023" w:rsidRDefault="00585023" w:rsidP="001D24EF">
      <w:pPr>
        <w:spacing w:afterLines="0" w:after="0"/>
        <w:ind w:left="2"/>
        <w:rPr>
          <w:b/>
          <w:sz w:val="24"/>
          <w:lang w:val="en-GB"/>
        </w:rPr>
      </w:pPr>
      <w:r w:rsidRPr="00585023">
        <w:rPr>
          <w:i/>
          <w:sz w:val="24"/>
        </w:rPr>
        <w:t>Revised text</w:t>
      </w:r>
      <w:r w:rsidR="001D24EF" w:rsidRPr="00585023">
        <w:rPr>
          <w:sz w:val="24"/>
        </w:rPr>
        <w:t xml:space="preserve">: </w:t>
      </w:r>
      <w:r w:rsidR="007E59AA" w:rsidRPr="00585023">
        <w:rPr>
          <w:sz w:val="24"/>
        </w:rPr>
        <w:t>Interim analysis will be conducted when the DFS events reach 50% (99/198) for final analysis. More details about the statistical methods will be stated in the separate Statistical Analysis Plan</w:t>
      </w:r>
      <w:r w:rsidR="001D24EF" w:rsidRPr="00585023">
        <w:rPr>
          <w:sz w:val="24"/>
        </w:rPr>
        <w:t xml:space="preserve">. </w:t>
      </w:r>
    </w:p>
    <w:p w14:paraId="27354D60" w14:textId="77777777" w:rsidR="00BC0A76" w:rsidRPr="00585023" w:rsidRDefault="00BC0A76" w:rsidP="00BC0A76">
      <w:pPr>
        <w:spacing w:afterLines="0" w:after="0"/>
        <w:ind w:left="2"/>
        <w:rPr>
          <w:b/>
          <w:sz w:val="24"/>
        </w:rPr>
      </w:pPr>
      <w:r w:rsidRPr="00585023">
        <w:rPr>
          <w:b/>
          <w:sz w:val="24"/>
        </w:rPr>
        <w:t>Page 33. 8.5. Safety analysis.</w:t>
      </w:r>
    </w:p>
    <w:p w14:paraId="59DBF507" w14:textId="5E1BD535" w:rsidR="00BC0A76" w:rsidRPr="00585023" w:rsidRDefault="00585023" w:rsidP="00BC0A76">
      <w:pPr>
        <w:spacing w:afterLines="0" w:after="0"/>
        <w:ind w:left="2"/>
        <w:rPr>
          <w:b/>
          <w:sz w:val="24"/>
        </w:rPr>
      </w:pPr>
      <w:r w:rsidRPr="00585023">
        <w:rPr>
          <w:i/>
          <w:sz w:val="24"/>
        </w:rPr>
        <w:t>Previous text</w:t>
      </w:r>
      <w:r w:rsidR="00BC0A76" w:rsidRPr="00585023">
        <w:rPr>
          <w:sz w:val="24"/>
        </w:rPr>
        <w:t>:</w:t>
      </w:r>
      <w:r w:rsidR="00BC0A76" w:rsidRPr="00585023">
        <w:t xml:space="preserve"> </w:t>
      </w:r>
    </w:p>
    <w:p w14:paraId="03024A59" w14:textId="1DDA46D4" w:rsidR="00BC0A76" w:rsidRPr="00585023" w:rsidRDefault="00BC0A76" w:rsidP="00BC0A76">
      <w:pPr>
        <w:numPr>
          <w:ilvl w:val="0"/>
          <w:numId w:val="13"/>
        </w:numPr>
        <w:spacing w:afterLines="0" w:after="0"/>
        <w:rPr>
          <w:bCs/>
          <w:sz w:val="24"/>
        </w:rPr>
      </w:pPr>
      <w:r w:rsidRPr="00585023">
        <w:rPr>
          <w:bCs/>
          <w:sz w:val="24"/>
        </w:rPr>
        <w:t>Adverse Events</w:t>
      </w:r>
    </w:p>
    <w:p w14:paraId="09EAFA93" w14:textId="77777777" w:rsidR="00BC0A76" w:rsidRPr="00585023" w:rsidRDefault="00BC0A76" w:rsidP="00BC0A76">
      <w:pPr>
        <w:numPr>
          <w:ilvl w:val="0"/>
          <w:numId w:val="13"/>
        </w:numPr>
        <w:spacing w:afterLines="0" w:after="0"/>
        <w:rPr>
          <w:bCs/>
          <w:sz w:val="24"/>
        </w:rPr>
      </w:pPr>
      <w:r w:rsidRPr="00585023">
        <w:rPr>
          <w:bCs/>
          <w:sz w:val="24"/>
        </w:rPr>
        <w:t>Serious Adverse Events</w:t>
      </w:r>
    </w:p>
    <w:p w14:paraId="169B7C66" w14:textId="77777777" w:rsidR="00BC0A76" w:rsidRPr="00585023" w:rsidRDefault="00BC0A76" w:rsidP="00BC0A76">
      <w:pPr>
        <w:numPr>
          <w:ilvl w:val="0"/>
          <w:numId w:val="13"/>
        </w:numPr>
        <w:spacing w:afterLines="0" w:after="0"/>
        <w:rPr>
          <w:bCs/>
          <w:sz w:val="24"/>
        </w:rPr>
      </w:pPr>
      <w:r w:rsidRPr="00585023">
        <w:rPr>
          <w:bCs/>
          <w:sz w:val="24"/>
        </w:rPr>
        <w:t>Laboratory Parameters</w:t>
      </w:r>
    </w:p>
    <w:p w14:paraId="0D3F110E" w14:textId="77777777" w:rsidR="00BC0A76" w:rsidRPr="00585023" w:rsidRDefault="00BC0A76" w:rsidP="00BC0A76">
      <w:pPr>
        <w:numPr>
          <w:ilvl w:val="0"/>
          <w:numId w:val="13"/>
        </w:numPr>
        <w:spacing w:afterLines="0" w:after="0"/>
        <w:rPr>
          <w:bCs/>
          <w:sz w:val="24"/>
        </w:rPr>
      </w:pPr>
      <w:r w:rsidRPr="00585023">
        <w:rPr>
          <w:bCs/>
          <w:sz w:val="24"/>
        </w:rPr>
        <w:t>Vital signs, including ECOG performance status</w:t>
      </w:r>
    </w:p>
    <w:p w14:paraId="178817B6" w14:textId="14275851" w:rsidR="00BC0A76" w:rsidRPr="00585023" w:rsidRDefault="00585023" w:rsidP="00BC0A76">
      <w:pPr>
        <w:spacing w:afterLines="0" w:after="0"/>
        <w:ind w:left="420" w:hanging="420"/>
        <w:rPr>
          <w:bCs/>
          <w:sz w:val="24"/>
        </w:rPr>
      </w:pPr>
      <w:r w:rsidRPr="00585023">
        <w:rPr>
          <w:i/>
          <w:sz w:val="24"/>
        </w:rPr>
        <w:t>Revised text</w:t>
      </w:r>
      <w:r w:rsidR="00BC0A76" w:rsidRPr="00585023">
        <w:rPr>
          <w:sz w:val="24"/>
        </w:rPr>
        <w:t xml:space="preserve">: </w:t>
      </w:r>
    </w:p>
    <w:p w14:paraId="145C63CA" w14:textId="78560844" w:rsidR="00BC0A76" w:rsidRPr="00585023" w:rsidRDefault="00BC0A76" w:rsidP="00BC0A76">
      <w:pPr>
        <w:numPr>
          <w:ilvl w:val="0"/>
          <w:numId w:val="13"/>
        </w:numPr>
        <w:spacing w:afterLines="0" w:after="0"/>
        <w:rPr>
          <w:bCs/>
          <w:sz w:val="24"/>
        </w:rPr>
      </w:pPr>
      <w:r w:rsidRPr="00585023">
        <w:rPr>
          <w:bCs/>
          <w:sz w:val="24"/>
        </w:rPr>
        <w:t>Adverse Events</w:t>
      </w:r>
    </w:p>
    <w:p w14:paraId="376D0A62" w14:textId="77777777" w:rsidR="00BC0A76" w:rsidRPr="00585023" w:rsidRDefault="00BC0A76" w:rsidP="00BC0A76">
      <w:pPr>
        <w:numPr>
          <w:ilvl w:val="0"/>
          <w:numId w:val="13"/>
        </w:numPr>
        <w:spacing w:afterLines="0" w:after="0"/>
        <w:rPr>
          <w:bCs/>
          <w:sz w:val="24"/>
        </w:rPr>
      </w:pPr>
      <w:r w:rsidRPr="00585023">
        <w:rPr>
          <w:bCs/>
          <w:sz w:val="24"/>
        </w:rPr>
        <w:t>Serious Adverse Events</w:t>
      </w:r>
    </w:p>
    <w:p w14:paraId="6D342ECF" w14:textId="77777777" w:rsidR="00BC0A76" w:rsidRPr="00585023" w:rsidRDefault="00BC0A76" w:rsidP="00BC0A76">
      <w:pPr>
        <w:numPr>
          <w:ilvl w:val="0"/>
          <w:numId w:val="13"/>
        </w:numPr>
        <w:spacing w:afterLines="0" w:after="0"/>
        <w:rPr>
          <w:bCs/>
          <w:sz w:val="24"/>
        </w:rPr>
      </w:pPr>
      <w:r w:rsidRPr="00585023">
        <w:rPr>
          <w:rFonts w:hint="eastAsia"/>
          <w:bCs/>
          <w:sz w:val="24"/>
        </w:rPr>
        <w:t xml:space="preserve">All adverse events </w:t>
      </w:r>
      <w:r w:rsidRPr="00585023">
        <w:rPr>
          <w:rFonts w:hint="eastAsia"/>
          <w:bCs/>
          <w:sz w:val="24"/>
        </w:rPr>
        <w:t>≥</w:t>
      </w:r>
      <w:r w:rsidRPr="00585023">
        <w:rPr>
          <w:rFonts w:hint="eastAsia"/>
          <w:bCs/>
          <w:sz w:val="24"/>
        </w:rPr>
        <w:t xml:space="preserve"> grade 3;</w:t>
      </w:r>
    </w:p>
    <w:p w14:paraId="05F4B9E8" w14:textId="3D889AE0" w:rsidR="00BC0A76" w:rsidRPr="00585023" w:rsidRDefault="00BC0A76" w:rsidP="00BC0A76">
      <w:pPr>
        <w:numPr>
          <w:ilvl w:val="0"/>
          <w:numId w:val="13"/>
        </w:numPr>
        <w:spacing w:afterLines="0" w:after="0"/>
        <w:rPr>
          <w:bCs/>
          <w:sz w:val="24"/>
        </w:rPr>
      </w:pPr>
      <w:r w:rsidRPr="00585023">
        <w:rPr>
          <w:bCs/>
          <w:sz w:val="24"/>
        </w:rPr>
        <w:t xml:space="preserve">All adverse events leading to treatment discontinuation; </w:t>
      </w:r>
    </w:p>
    <w:p w14:paraId="79A743E3" w14:textId="77777777" w:rsidR="00BC0A76" w:rsidRPr="00585023" w:rsidRDefault="00BC0A76" w:rsidP="00BC0A76">
      <w:pPr>
        <w:numPr>
          <w:ilvl w:val="0"/>
          <w:numId w:val="13"/>
        </w:numPr>
        <w:spacing w:afterLines="0" w:after="0"/>
        <w:rPr>
          <w:bCs/>
          <w:sz w:val="24"/>
        </w:rPr>
      </w:pPr>
      <w:r w:rsidRPr="00585023">
        <w:rPr>
          <w:bCs/>
          <w:sz w:val="24"/>
        </w:rPr>
        <w:t xml:space="preserve">All adverse events leading to dose reduction; </w:t>
      </w:r>
    </w:p>
    <w:p w14:paraId="78811EAE" w14:textId="7DAE4DFD" w:rsidR="001D24EF" w:rsidRPr="00585023" w:rsidRDefault="00BC0A76" w:rsidP="003609DF">
      <w:pPr>
        <w:numPr>
          <w:ilvl w:val="0"/>
          <w:numId w:val="13"/>
        </w:numPr>
        <w:spacing w:afterLines="0" w:after="0"/>
        <w:rPr>
          <w:sz w:val="24"/>
          <w:lang w:val="en-GB"/>
        </w:rPr>
      </w:pPr>
      <w:r w:rsidRPr="00585023">
        <w:rPr>
          <w:bCs/>
          <w:sz w:val="24"/>
        </w:rPr>
        <w:t>Fatal adverse events.</w:t>
      </w:r>
      <w:r w:rsidR="003609DF" w:rsidRPr="00585023">
        <w:rPr>
          <w:sz w:val="24"/>
          <w:lang w:val="en-GB"/>
        </w:rPr>
        <w:t xml:space="preserve"> </w:t>
      </w:r>
    </w:p>
    <w:sectPr w:rsidR="001D24EF" w:rsidRPr="00585023" w:rsidSect="00F873B2">
      <w:type w:val="continuous"/>
      <w:pgSz w:w="11906" w:h="16838"/>
      <w:pgMar w:top="1418" w:right="1418" w:bottom="1418" w:left="1418" w:header="851" w:footer="992" w:gutter="0"/>
      <w:lnNumType w:countBy="1"/>
      <w:cols w:space="720"/>
      <w:docGrid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8B4B6A8" w16cex:dateUtc="2024-06-27T03:07:00Z"/>
  <w16cex:commentExtensible w16cex:durableId="317A96D0" w16cex:dateUtc="2024-06-27T05:44:00Z"/>
  <w16cex:commentExtensible w16cex:durableId="52002816" w16cex:dateUtc="2024-06-27T06: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32452CA" w16cid:durableId="56960E4B"/>
  <w16cid:commentId w16cid:paraId="07619CE3" w16cid:durableId="78B4B6A8"/>
  <w16cid:commentId w16cid:paraId="26D6A80E" w16cid:durableId="317A96D0"/>
  <w16cid:commentId w16cid:paraId="5A1DC7B6" w16cid:durableId="5200281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C651E9" w14:textId="77777777" w:rsidR="00D64A22" w:rsidRDefault="00D64A22">
      <w:pPr>
        <w:spacing w:after="240" w:line="240" w:lineRule="auto"/>
      </w:pPr>
      <w:r>
        <w:separator/>
      </w:r>
    </w:p>
  </w:endnote>
  <w:endnote w:type="continuationSeparator" w:id="0">
    <w:p w14:paraId="30B8635E" w14:textId="77777777" w:rsidR="00D64A22" w:rsidRDefault="00D64A22">
      <w:pPr>
        <w:spacing w:after="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7FE188" w14:textId="77777777" w:rsidR="00CC7E60" w:rsidRDefault="00CC7E60">
    <w:pPr>
      <w:pStyle w:val="ab"/>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B25CB" w14:textId="6F156C53" w:rsidR="00CC7E60" w:rsidRDefault="00CC7E60" w:rsidP="00EB66CE">
    <w:pPr>
      <w:pStyle w:val="ab"/>
      <w:pBdr>
        <w:top w:val="single" w:sz="4" w:space="1" w:color="auto"/>
        <w:left w:val="none" w:sz="0" w:space="4" w:color="auto"/>
        <w:bottom w:val="none" w:sz="0" w:space="1" w:color="auto"/>
        <w:right w:val="none" w:sz="0" w:space="4" w:color="auto"/>
      </w:pBdr>
      <w:tabs>
        <w:tab w:val="clear" w:pos="4153"/>
        <w:tab w:val="clear" w:pos="8306"/>
        <w:tab w:val="left" w:pos="6612"/>
        <w:tab w:val="left" w:pos="7407"/>
      </w:tabs>
      <w:ind w:right="-50"/>
      <w:rPr>
        <w:rFonts w:ascii="Arial" w:hAnsi="Arial" w:cs="Arial"/>
      </w:rPr>
    </w:pPr>
    <w:r>
      <w:rPr>
        <w:noProof/>
        <w:lang w:val="en-GB" w:eastAsia="en-GB"/>
      </w:rPr>
      <mc:AlternateContent>
        <mc:Choice Requires="wps">
          <w:drawing>
            <wp:anchor distT="0" distB="0" distL="114300" distR="114300" simplePos="0" relativeHeight="251658240" behindDoc="0" locked="0" layoutInCell="1" allowOverlap="1" wp14:anchorId="28EAB10B" wp14:editId="2DD3E6D6">
              <wp:simplePos x="0" y="0"/>
              <wp:positionH relativeFrom="margin">
                <wp:posOffset>2226945</wp:posOffset>
              </wp:positionH>
              <wp:positionV relativeFrom="paragraph">
                <wp:posOffset>132994</wp:posOffset>
              </wp:positionV>
              <wp:extent cx="1428750" cy="1828800"/>
              <wp:effectExtent l="0" t="0" r="0" b="0"/>
              <wp:wrapNone/>
              <wp:docPr id="13" name="文本框 2049"/>
              <wp:cNvGraphicFramePr/>
              <a:graphic xmlns:a="http://schemas.openxmlformats.org/drawingml/2006/main">
                <a:graphicData uri="http://schemas.microsoft.com/office/word/2010/wordprocessingShape">
                  <wps:wsp>
                    <wps:cNvSpPr txBox="1"/>
                    <wps:spPr>
                      <a:xfrm>
                        <a:off x="0" y="0"/>
                        <a:ext cx="1428750" cy="1828800"/>
                      </a:xfrm>
                      <a:prstGeom prst="rect">
                        <a:avLst/>
                      </a:prstGeom>
                      <a:noFill/>
                      <a:ln>
                        <a:noFill/>
                      </a:ln>
                    </wps:spPr>
                    <wps:txbx>
                      <w:txbxContent>
                        <w:p w14:paraId="14B19B7E" w14:textId="6D5D4108" w:rsidR="00CC7E60" w:rsidRDefault="00CC7E60" w:rsidP="00716CBB">
                          <w:pPr>
                            <w:pStyle w:val="ab"/>
                            <w:jc w:val="center"/>
                          </w:pPr>
                          <w:r>
                            <w:fldChar w:fldCharType="begin"/>
                          </w:r>
                          <w:r>
                            <w:instrText xml:space="preserve"> PAGE  \* MERGEFORMAT </w:instrText>
                          </w:r>
                          <w:r>
                            <w:fldChar w:fldCharType="separate"/>
                          </w:r>
                          <w:r w:rsidR="008A4DDB">
                            <w:rPr>
                              <w:noProof/>
                            </w:rPr>
                            <w:t>47</w:t>
                          </w:r>
                          <w:r>
                            <w:fldChar w:fldCharType="end"/>
                          </w:r>
                          <w:r>
                            <w:t>/</w:t>
                          </w:r>
                          <w:fldSimple w:instr=" NUMPAGES  \* MERGEFORMAT ">
                            <w:r w:rsidR="008A4DDB">
                              <w:rPr>
                                <w:noProof/>
                              </w:rPr>
                              <w:t>48</w:t>
                            </w:r>
                          </w:fldSimple>
                        </w:p>
                      </w:txbxContent>
                    </wps:txbx>
                    <wps:bodyPr vert="horz" wrap="square" lIns="0" tIns="0" rIns="0" bIns="0" anchor="t" anchorCtr="0">
                      <a:spAutoFit/>
                    </wps:bodyPr>
                  </wps:wsp>
                </a:graphicData>
              </a:graphic>
              <wp14:sizeRelH relativeFrom="margin">
                <wp14:pctWidth>0</wp14:pctWidth>
              </wp14:sizeRelH>
            </wp:anchor>
          </w:drawing>
        </mc:Choice>
        <mc:Fallback>
          <w:pict>
            <v:shapetype w14:anchorId="28EAB10B" id="_x0000_t202" coordsize="21600,21600" o:spt="202" path="m,l,21600r21600,l21600,xe">
              <v:stroke joinstyle="miter"/>
              <v:path gradientshapeok="t" o:connecttype="rect"/>
            </v:shapetype>
            <v:shape id="文本框 2049" o:spid="_x0000_s1033" type="#_x0000_t202" style="position:absolute;margin-left:175.35pt;margin-top:10.45pt;width:112.5pt;height:2in;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" filled="f" stroked="f">
              <v:textbox style="mso-fit-shape-to-text:t" inset="0,0,0,0">
                <w:txbxContent>
                  <w:p w14:paraId="14B19B7E" w14:textId="6D5D4108" w:rsidR="00CC7E60" w:rsidRDefault="00CC7E60" w:rsidP="00716CBB">
                    <w:pPr>
                      <w:pStyle w:val="ab"/>
                      <w:jc w:val="center"/>
                    </w:pPr>
                    <w:r>
                      <w:fldChar w:fldCharType="begin"/>
                    </w:r>
                    <w:r>
                      <w:instrText xml:space="preserve"> PAGE  \* MERGEFORMAT </w:instrText>
                    </w:r>
                    <w:r>
                      <w:fldChar w:fldCharType="separate"/>
                    </w:r>
                    <w:r w:rsidR="008A4DDB">
                      <w:rPr>
                        <w:noProof/>
                      </w:rPr>
                      <w:t>47</w:t>
                    </w:r>
                    <w:r>
                      <w:fldChar w:fldCharType="end"/>
                    </w:r>
                    <w:r>
                      <w:t>/</w:t>
                    </w:r>
                    <w:fldSimple w:instr=" NUMPAGES  \* MERGEFORMAT ">
                      <w:r w:rsidR="008A4DDB">
                        <w:rPr>
                          <w:noProof/>
                        </w:rPr>
                        <w:t>48</w:t>
                      </w:r>
                    </w:fldSimple>
                  </w:p>
                </w:txbxContent>
              </v:textbox>
              <w10:wrap anchorx="margin"/>
            </v:shape>
          </w:pict>
        </mc:Fallback>
      </mc:AlternateContent>
    </w:r>
    <w:r>
      <w:rPr>
        <w:rFonts w:ascii="Arial" w:hAnsi="Arial" w:cs="Arial"/>
      </w:rPr>
      <w:tab/>
    </w:r>
    <w:r>
      <w:rPr>
        <w:rFonts w:ascii="Arial" w:hAnsi="Arial" w:cs="Arial"/>
      </w:rPr>
      <w:tab/>
    </w:r>
  </w:p>
  <w:p w14:paraId="1EB9627D" w14:textId="10074A22" w:rsidR="00CC7E60" w:rsidRDefault="00CC7E60" w:rsidP="00EB66CE">
    <w:pPr>
      <w:pStyle w:val="ab"/>
      <w:tabs>
        <w:tab w:val="clear" w:pos="4153"/>
        <w:tab w:val="clear" w:pos="8306"/>
        <w:tab w:val="left" w:pos="6371"/>
      </w:tabs>
      <w:ind w:right="360"/>
      <w:rPr>
        <w:rFonts w:ascii="Arial" w:hAnsi="Arial" w:cs="Arial"/>
      </w:rPr>
    </w:pPr>
    <w:r>
      <w:rPr>
        <w:rFonts w:ascii="Arial" w:hAnsi="Arial" w:cs="Arial"/>
      </w:rP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6648250"/>
      <w:docPartObj>
        <w:docPartGallery w:val="Page Numbers (Bottom of Page)"/>
        <w:docPartUnique/>
      </w:docPartObj>
    </w:sdtPr>
    <w:sdtEndPr/>
    <w:sdtContent>
      <w:sdt>
        <w:sdtPr>
          <w:id w:val="2128729930"/>
          <w:docPartObj>
            <w:docPartGallery w:val="Page Numbers (Top of Page)"/>
            <w:docPartUnique/>
          </w:docPartObj>
        </w:sdtPr>
        <w:sdtEndPr/>
        <w:sdtContent>
          <w:p w14:paraId="0A962D5C" w14:textId="66DFF270" w:rsidR="00CC7E60" w:rsidRDefault="00CC7E60">
            <w:pPr>
              <w:pStyle w:val="ab"/>
              <w:spacing w:after="24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8A4DDB">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A4DDB">
              <w:rPr>
                <w:b/>
                <w:bCs/>
                <w:noProof/>
              </w:rPr>
              <w:t>48</w:t>
            </w:r>
            <w:r>
              <w:rPr>
                <w:b/>
                <w:bCs/>
                <w:sz w:val="24"/>
                <w:szCs w:val="24"/>
              </w:rPr>
              <w:fldChar w:fldCharType="end"/>
            </w:r>
          </w:p>
        </w:sdtContent>
      </w:sdt>
    </w:sdtContent>
  </w:sdt>
  <w:p w14:paraId="2B1B5045" w14:textId="77777777" w:rsidR="00CC7E60" w:rsidRDefault="00CC7E60">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991D7C" w14:textId="77777777" w:rsidR="00D64A22" w:rsidRDefault="00D64A22">
      <w:pPr>
        <w:spacing w:after="240"/>
      </w:pPr>
      <w:r>
        <w:separator/>
      </w:r>
    </w:p>
  </w:footnote>
  <w:footnote w:type="continuationSeparator" w:id="0">
    <w:p w14:paraId="280D36F5" w14:textId="77777777" w:rsidR="00D64A22" w:rsidRDefault="00D64A22">
      <w:pPr>
        <w:spacing w:after="2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863C05" w14:textId="77777777" w:rsidR="00CC7E60" w:rsidRDefault="00CC7E60">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6551F9" w14:textId="19DBECE8" w:rsidR="00CC7E60" w:rsidRDefault="00CC7E60">
    <w:pPr>
      <w:pStyle w:val="ad"/>
      <w:pBdr>
        <w:bottom w:val="single" w:sz="6" w:space="0" w:color="auto"/>
      </w:pBdr>
      <w:adjustRightInd w:val="0"/>
      <w:spacing w:after="0" w:line="216" w:lineRule="auto"/>
      <w:jc w:val="left"/>
    </w:pPr>
    <w:r>
      <w:t>Study: ICTAN</w:t>
    </w:r>
    <w:r>
      <w:rPr>
        <w:rFonts w:hint="eastAsia"/>
      </w:rPr>
      <w:t>,</w:t>
    </w:r>
    <w:r w:rsidR="007C05C6">
      <w:t xml:space="preserve"> GASTO</w:t>
    </w:r>
    <w:r>
      <w:t>1002</w:t>
    </w:r>
  </w:p>
  <w:p w14:paraId="11152CC9" w14:textId="77ED1876" w:rsidR="00CC7E60" w:rsidRDefault="00CC7E60">
    <w:pPr>
      <w:pStyle w:val="ad"/>
      <w:pBdr>
        <w:bottom w:val="single" w:sz="6" w:space="0" w:color="auto"/>
      </w:pBdr>
      <w:adjustRightInd w:val="0"/>
      <w:spacing w:after="0" w:line="216" w:lineRule="auto"/>
      <w:jc w:val="left"/>
    </w:pPr>
    <w:r>
      <w:t>Version</w:t>
    </w:r>
    <w:r>
      <w:rPr>
        <w:rFonts w:hint="eastAsia"/>
      </w:rPr>
      <w:t>:</w:t>
    </w:r>
    <w:r>
      <w:t xml:space="preserve"> 3</w:t>
    </w:r>
    <w:r>
      <w:rPr>
        <w:rFonts w:hint="eastAsia"/>
      </w:rPr>
      <w:t>.</w:t>
    </w:r>
    <w:r>
      <w:t>0</w:t>
    </w:r>
  </w:p>
  <w:p w14:paraId="34DDA334" w14:textId="076E4588" w:rsidR="00CC7E60" w:rsidRDefault="00CC7E60">
    <w:pPr>
      <w:pStyle w:val="ad"/>
      <w:pBdr>
        <w:bottom w:val="single" w:sz="6" w:space="0" w:color="auto"/>
      </w:pBdr>
      <w:adjustRightInd w:val="0"/>
      <w:spacing w:after="0" w:line="216" w:lineRule="auto"/>
      <w:jc w:val="left"/>
    </w:pPr>
    <w:r>
      <w:rPr>
        <w:rFonts w:hint="eastAsia"/>
      </w:rPr>
      <w:t>D</w:t>
    </w:r>
    <w:r>
      <w:t>ate: September 1, 2020</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E3EB9" w14:textId="68443CD7" w:rsidR="00CC7E60" w:rsidRDefault="00CC7E60">
    <w:pPr>
      <w:pStyle w:val="ad"/>
      <w:pBdr>
        <w:bottom w:val="single" w:sz="6" w:space="0" w:color="auto"/>
      </w:pBdr>
      <w:adjustRightInd w:val="0"/>
      <w:spacing w:after="0" w:line="216" w:lineRule="auto"/>
      <w:jc w:val="left"/>
    </w:pPr>
    <w:r>
      <w:t>S</w:t>
    </w:r>
    <w:r w:rsidR="007C05C6">
      <w:t>tudy: ICTAN, GASTO</w:t>
    </w:r>
    <w:r>
      <w:t>1002</w:t>
    </w:r>
  </w:p>
  <w:p w14:paraId="58AE6E8B" w14:textId="2D226B1B" w:rsidR="00CC7E60" w:rsidRDefault="00CC7E60">
    <w:pPr>
      <w:pStyle w:val="ad"/>
      <w:pBdr>
        <w:bottom w:val="single" w:sz="6" w:space="0" w:color="auto"/>
      </w:pBdr>
      <w:adjustRightInd w:val="0"/>
      <w:spacing w:after="0" w:line="216" w:lineRule="auto"/>
      <w:jc w:val="left"/>
    </w:pPr>
    <w:r>
      <w:t>Version</w:t>
    </w:r>
    <w:r>
      <w:rPr>
        <w:rFonts w:hint="eastAsia"/>
      </w:rPr>
      <w:t>:</w:t>
    </w:r>
    <w:r>
      <w:t xml:space="preserve"> 3</w:t>
    </w:r>
    <w:r>
      <w:rPr>
        <w:rFonts w:hint="eastAsia"/>
      </w:rPr>
      <w:t>.</w:t>
    </w:r>
    <w:r>
      <w:t>0</w:t>
    </w:r>
  </w:p>
  <w:p w14:paraId="2A0297ED" w14:textId="746A9EAC" w:rsidR="00CC7E60" w:rsidRDefault="00CC7E60">
    <w:pPr>
      <w:pStyle w:val="ad"/>
      <w:pBdr>
        <w:bottom w:val="single" w:sz="6" w:space="0" w:color="auto"/>
      </w:pBdr>
      <w:adjustRightInd w:val="0"/>
      <w:spacing w:after="0" w:line="216" w:lineRule="auto"/>
      <w:jc w:val="left"/>
    </w:pPr>
    <w:r>
      <w:rPr>
        <w:rFonts w:hint="eastAsia"/>
      </w:rPr>
      <w:t>D</w:t>
    </w:r>
    <w:r>
      <w:t>ate: September 1, 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7165EEA"/>
    <w:multiLevelType w:val="singleLevel"/>
    <w:tmpl w:val="97165EEA"/>
    <w:lvl w:ilvl="0">
      <w:start w:val="1"/>
      <w:numFmt w:val="bullet"/>
      <w:lvlText w:val=""/>
      <w:lvlJc w:val="left"/>
      <w:pPr>
        <w:ind w:left="6091" w:hanging="420"/>
      </w:pPr>
      <w:rPr>
        <w:rFonts w:ascii="Wingdings" w:hAnsi="Wingdings" w:hint="default"/>
        <w:sz w:val="13"/>
        <w:szCs w:val="13"/>
      </w:rPr>
    </w:lvl>
  </w:abstractNum>
  <w:abstractNum w:abstractNumId="1" w15:restartNumberingAfterBreak="0">
    <w:nsid w:val="ADF38B2C"/>
    <w:multiLevelType w:val="singleLevel"/>
    <w:tmpl w:val="ADF38B2C"/>
    <w:lvl w:ilvl="0">
      <w:start w:val="1"/>
      <w:numFmt w:val="bullet"/>
      <w:lvlText w:val=""/>
      <w:lvlJc w:val="left"/>
      <w:pPr>
        <w:ind w:left="420" w:hanging="420"/>
      </w:pPr>
      <w:rPr>
        <w:rFonts w:ascii="Wingdings" w:hAnsi="Wingdings" w:hint="default"/>
        <w:sz w:val="13"/>
        <w:szCs w:val="13"/>
      </w:rPr>
    </w:lvl>
  </w:abstractNum>
  <w:abstractNum w:abstractNumId="2" w15:restartNumberingAfterBreak="0">
    <w:nsid w:val="AF3351C4"/>
    <w:multiLevelType w:val="singleLevel"/>
    <w:tmpl w:val="AF3351C4"/>
    <w:lvl w:ilvl="0">
      <w:start w:val="1"/>
      <w:numFmt w:val="bullet"/>
      <w:lvlText w:val=""/>
      <w:lvlJc w:val="left"/>
      <w:pPr>
        <w:ind w:left="420" w:hanging="420"/>
      </w:pPr>
      <w:rPr>
        <w:rFonts w:ascii="Wingdings" w:hAnsi="Wingdings" w:hint="default"/>
        <w:sz w:val="13"/>
        <w:szCs w:val="13"/>
      </w:rPr>
    </w:lvl>
  </w:abstractNum>
  <w:abstractNum w:abstractNumId="3" w15:restartNumberingAfterBreak="0">
    <w:nsid w:val="B79AC9AB"/>
    <w:multiLevelType w:val="singleLevel"/>
    <w:tmpl w:val="B79AC9AB"/>
    <w:lvl w:ilvl="0">
      <w:start w:val="1"/>
      <w:numFmt w:val="bullet"/>
      <w:lvlText w:val=""/>
      <w:lvlJc w:val="left"/>
      <w:pPr>
        <w:ind w:left="420" w:hanging="420"/>
      </w:pPr>
      <w:rPr>
        <w:rFonts w:ascii="Wingdings" w:hAnsi="Wingdings" w:hint="default"/>
        <w:sz w:val="13"/>
        <w:szCs w:val="13"/>
      </w:rPr>
    </w:lvl>
  </w:abstractNum>
  <w:abstractNum w:abstractNumId="4" w15:restartNumberingAfterBreak="0">
    <w:nsid w:val="B9EA66CD"/>
    <w:multiLevelType w:val="singleLevel"/>
    <w:tmpl w:val="B9EA66CD"/>
    <w:lvl w:ilvl="0">
      <w:start w:val="1"/>
      <w:numFmt w:val="bullet"/>
      <w:lvlText w:val=""/>
      <w:lvlJc w:val="left"/>
      <w:pPr>
        <w:ind w:left="420" w:hanging="420"/>
      </w:pPr>
      <w:rPr>
        <w:rFonts w:ascii="Wingdings" w:hAnsi="Wingdings" w:hint="default"/>
        <w:sz w:val="13"/>
        <w:szCs w:val="13"/>
      </w:rPr>
    </w:lvl>
  </w:abstractNum>
  <w:abstractNum w:abstractNumId="5" w15:restartNumberingAfterBreak="0">
    <w:nsid w:val="C5E9787B"/>
    <w:multiLevelType w:val="multilevel"/>
    <w:tmpl w:val="C5E9787B"/>
    <w:lvl w:ilvl="0">
      <w:start w:val="1"/>
      <w:numFmt w:val="decimal"/>
      <w:pStyle w:val="1"/>
      <w:lvlText w:val="%1."/>
      <w:lvlJc w:val="left"/>
      <w:pPr>
        <w:ind w:left="432" w:hanging="432"/>
      </w:pPr>
      <w:rPr>
        <w:rFonts w:hint="default"/>
      </w:rPr>
    </w:lvl>
    <w:lvl w:ilvl="1">
      <w:start w:val="1"/>
      <w:numFmt w:val="decimal"/>
      <w:pStyle w:val="2"/>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6" w15:restartNumberingAfterBreak="0">
    <w:nsid w:val="0A638879"/>
    <w:multiLevelType w:val="singleLevel"/>
    <w:tmpl w:val="0A638879"/>
    <w:lvl w:ilvl="0">
      <w:start w:val="1"/>
      <w:numFmt w:val="bullet"/>
      <w:lvlText w:val=""/>
      <w:lvlJc w:val="left"/>
      <w:pPr>
        <w:ind w:left="420" w:hanging="420"/>
      </w:pPr>
      <w:rPr>
        <w:rFonts w:ascii="Wingdings" w:hAnsi="Wingdings" w:hint="default"/>
        <w:sz w:val="13"/>
        <w:szCs w:val="13"/>
      </w:rPr>
    </w:lvl>
  </w:abstractNum>
  <w:abstractNum w:abstractNumId="7" w15:restartNumberingAfterBreak="0">
    <w:nsid w:val="14B7AB6D"/>
    <w:multiLevelType w:val="singleLevel"/>
    <w:tmpl w:val="14B7AB6D"/>
    <w:lvl w:ilvl="0">
      <w:start w:val="1"/>
      <w:numFmt w:val="bullet"/>
      <w:lvlText w:val=""/>
      <w:lvlJc w:val="left"/>
      <w:pPr>
        <w:ind w:left="420" w:hanging="420"/>
      </w:pPr>
      <w:rPr>
        <w:rFonts w:ascii="Wingdings" w:hAnsi="Wingdings" w:hint="default"/>
        <w:sz w:val="13"/>
        <w:szCs w:val="13"/>
      </w:rPr>
    </w:lvl>
  </w:abstractNum>
  <w:abstractNum w:abstractNumId="8" w15:restartNumberingAfterBreak="0">
    <w:nsid w:val="15D1F616"/>
    <w:multiLevelType w:val="singleLevel"/>
    <w:tmpl w:val="15D1F616"/>
    <w:lvl w:ilvl="0">
      <w:start w:val="1"/>
      <w:numFmt w:val="upperLetter"/>
      <w:lvlText w:val="%1."/>
      <w:lvlJc w:val="left"/>
      <w:pPr>
        <w:ind w:left="425" w:hanging="425"/>
      </w:pPr>
      <w:rPr>
        <w:rFonts w:hint="default"/>
        <w:sz w:val="13"/>
        <w:szCs w:val="13"/>
      </w:rPr>
    </w:lvl>
  </w:abstractNum>
  <w:abstractNum w:abstractNumId="9" w15:restartNumberingAfterBreak="0">
    <w:nsid w:val="180479A5"/>
    <w:multiLevelType w:val="multilevel"/>
    <w:tmpl w:val="180479A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05A2FA6"/>
    <w:multiLevelType w:val="multilevel"/>
    <w:tmpl w:val="305A2FA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0255D7F"/>
    <w:multiLevelType w:val="multilevel"/>
    <w:tmpl w:val="50255D7F"/>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64C76CB1"/>
    <w:multiLevelType w:val="multilevel"/>
    <w:tmpl w:val="64C76C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BBB7404"/>
    <w:multiLevelType w:val="singleLevel"/>
    <w:tmpl w:val="6BBB7404"/>
    <w:lvl w:ilvl="0">
      <w:start w:val="1"/>
      <w:numFmt w:val="decimal"/>
      <w:suff w:val="space"/>
      <w:lvlText w:val="%1."/>
      <w:lvlJc w:val="left"/>
    </w:lvl>
  </w:abstractNum>
  <w:abstractNum w:abstractNumId="14" w15:restartNumberingAfterBreak="0">
    <w:nsid w:val="73E43B32"/>
    <w:multiLevelType w:val="singleLevel"/>
    <w:tmpl w:val="73E43B32"/>
    <w:lvl w:ilvl="0">
      <w:start w:val="1"/>
      <w:numFmt w:val="bullet"/>
      <w:lvlText w:val=""/>
      <w:lvlJc w:val="left"/>
      <w:pPr>
        <w:ind w:left="420" w:hanging="420"/>
      </w:pPr>
      <w:rPr>
        <w:rFonts w:ascii="Wingdings" w:hAnsi="Wingdings" w:hint="default"/>
        <w:sz w:val="13"/>
        <w:szCs w:val="13"/>
      </w:rPr>
    </w:lvl>
  </w:abstractNum>
  <w:abstractNum w:abstractNumId="15" w15:restartNumberingAfterBreak="0">
    <w:nsid w:val="76D81E19"/>
    <w:multiLevelType w:val="multilevel"/>
    <w:tmpl w:val="76D81E19"/>
    <w:lvl w:ilvl="0">
      <w:start w:val="1"/>
      <w:numFmt w:val="decimal"/>
      <w:lvlText w:val="%1."/>
      <w:lvlJc w:val="left"/>
      <w:pPr>
        <w:ind w:left="420" w:hanging="420"/>
      </w:pPr>
    </w:lvl>
    <w:lvl w:ilvl="1">
      <w:numFmt w:val="bullet"/>
      <w:lvlText w:val="•"/>
      <w:lvlJc w:val="left"/>
      <w:pPr>
        <w:ind w:left="780" w:hanging="360"/>
      </w:pPr>
      <w:rPr>
        <w:rFonts w:ascii="宋体" w:eastAsia="宋体" w:hAnsi="宋体" w:cs="Times New Roman"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774AB2F7"/>
    <w:multiLevelType w:val="singleLevel"/>
    <w:tmpl w:val="774AB2F7"/>
    <w:lvl w:ilvl="0">
      <w:start w:val="1"/>
      <w:numFmt w:val="bullet"/>
      <w:lvlText w:val=""/>
      <w:lvlJc w:val="left"/>
      <w:pPr>
        <w:ind w:left="420" w:hanging="420"/>
      </w:pPr>
      <w:rPr>
        <w:rFonts w:ascii="Wingdings" w:hAnsi="Wingdings" w:hint="default"/>
        <w:sz w:val="13"/>
        <w:szCs w:val="13"/>
      </w:rPr>
    </w:lvl>
  </w:abstractNum>
  <w:abstractNum w:abstractNumId="17" w15:restartNumberingAfterBreak="0">
    <w:nsid w:val="7A110EA9"/>
    <w:multiLevelType w:val="singleLevel"/>
    <w:tmpl w:val="7A110EA9"/>
    <w:lvl w:ilvl="0">
      <w:start w:val="1"/>
      <w:numFmt w:val="bullet"/>
      <w:lvlText w:val=""/>
      <w:lvlJc w:val="left"/>
      <w:pPr>
        <w:ind w:left="420" w:hanging="420"/>
      </w:pPr>
      <w:rPr>
        <w:rFonts w:ascii="Wingdings" w:hAnsi="Wingdings" w:hint="default"/>
        <w:sz w:val="13"/>
        <w:szCs w:val="13"/>
      </w:rPr>
    </w:lvl>
  </w:abstractNum>
  <w:num w:numId="1">
    <w:abstractNumId w:val="5"/>
  </w:num>
  <w:num w:numId="2">
    <w:abstractNumId w:val="8"/>
  </w:num>
  <w:num w:numId="3">
    <w:abstractNumId w:val="15"/>
  </w:num>
  <w:num w:numId="4">
    <w:abstractNumId w:val="11"/>
  </w:num>
  <w:num w:numId="5">
    <w:abstractNumId w:val="10"/>
  </w:num>
  <w:num w:numId="6">
    <w:abstractNumId w:val="12"/>
  </w:num>
  <w:num w:numId="7">
    <w:abstractNumId w:val="9"/>
  </w:num>
  <w:num w:numId="8">
    <w:abstractNumId w:val="14"/>
  </w:num>
  <w:num w:numId="9">
    <w:abstractNumId w:val="0"/>
  </w:num>
  <w:num w:numId="10">
    <w:abstractNumId w:val="16"/>
  </w:num>
  <w:num w:numId="11">
    <w:abstractNumId w:val="1"/>
  </w:num>
  <w:num w:numId="12">
    <w:abstractNumId w:val="3"/>
  </w:num>
  <w:num w:numId="13">
    <w:abstractNumId w:val="17"/>
  </w:num>
  <w:num w:numId="14">
    <w:abstractNumId w:val="13"/>
  </w:num>
  <w:num w:numId="15">
    <w:abstractNumId w:val="6"/>
  </w:num>
  <w:num w:numId="16">
    <w:abstractNumId w:val="4"/>
  </w:num>
  <w:num w:numId="17">
    <w:abstractNumId w:val="7"/>
  </w:num>
  <w:num w:numId="18">
    <w:abstractNumId w:val="2"/>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zMmNkYmIxZjEwMzg5YzNkZGMyMDcxNGMzMWRmNGQifQ=="/>
  </w:docVars>
  <w:rsids>
    <w:rsidRoot w:val="00172A27"/>
    <w:rsid w:val="00001B17"/>
    <w:rsid w:val="00002D69"/>
    <w:rsid w:val="000040AB"/>
    <w:rsid w:val="00004243"/>
    <w:rsid w:val="00006321"/>
    <w:rsid w:val="00007865"/>
    <w:rsid w:val="00012A2F"/>
    <w:rsid w:val="00014AE6"/>
    <w:rsid w:val="000160DA"/>
    <w:rsid w:val="0002040B"/>
    <w:rsid w:val="00026685"/>
    <w:rsid w:val="0003131A"/>
    <w:rsid w:val="00031CD4"/>
    <w:rsid w:val="00032C0C"/>
    <w:rsid w:val="00035AA5"/>
    <w:rsid w:val="00047C57"/>
    <w:rsid w:val="00047D07"/>
    <w:rsid w:val="00050D0F"/>
    <w:rsid w:val="00053379"/>
    <w:rsid w:val="00056559"/>
    <w:rsid w:val="00063453"/>
    <w:rsid w:val="00073EF3"/>
    <w:rsid w:val="0007526F"/>
    <w:rsid w:val="00076EB7"/>
    <w:rsid w:val="00080CC0"/>
    <w:rsid w:val="000816F9"/>
    <w:rsid w:val="000871CF"/>
    <w:rsid w:val="00095050"/>
    <w:rsid w:val="0009720B"/>
    <w:rsid w:val="0009743B"/>
    <w:rsid w:val="000A12DC"/>
    <w:rsid w:val="000B0336"/>
    <w:rsid w:val="000B0E6D"/>
    <w:rsid w:val="000B2184"/>
    <w:rsid w:val="000B6DE3"/>
    <w:rsid w:val="000C00F6"/>
    <w:rsid w:val="000C1C1A"/>
    <w:rsid w:val="000C32C0"/>
    <w:rsid w:val="000C3839"/>
    <w:rsid w:val="000D385C"/>
    <w:rsid w:val="000D69FC"/>
    <w:rsid w:val="000D6DFC"/>
    <w:rsid w:val="00110468"/>
    <w:rsid w:val="0011058C"/>
    <w:rsid w:val="001120D8"/>
    <w:rsid w:val="001276B3"/>
    <w:rsid w:val="00134120"/>
    <w:rsid w:val="001348DD"/>
    <w:rsid w:val="00140D90"/>
    <w:rsid w:val="00143BA2"/>
    <w:rsid w:val="00145C48"/>
    <w:rsid w:val="00145DC1"/>
    <w:rsid w:val="001463E7"/>
    <w:rsid w:val="00147639"/>
    <w:rsid w:val="00156D39"/>
    <w:rsid w:val="00172A27"/>
    <w:rsid w:val="00173BB5"/>
    <w:rsid w:val="00177778"/>
    <w:rsid w:val="00180683"/>
    <w:rsid w:val="00183976"/>
    <w:rsid w:val="00185B0A"/>
    <w:rsid w:val="001871E2"/>
    <w:rsid w:val="00190450"/>
    <w:rsid w:val="00193870"/>
    <w:rsid w:val="001939C7"/>
    <w:rsid w:val="001A2866"/>
    <w:rsid w:val="001A31CD"/>
    <w:rsid w:val="001B1423"/>
    <w:rsid w:val="001B5488"/>
    <w:rsid w:val="001B7CEC"/>
    <w:rsid w:val="001C47DD"/>
    <w:rsid w:val="001C5C24"/>
    <w:rsid w:val="001D24EF"/>
    <w:rsid w:val="001D3E89"/>
    <w:rsid w:val="001D5CB4"/>
    <w:rsid w:val="001E05A1"/>
    <w:rsid w:val="001E7330"/>
    <w:rsid w:val="001E7F15"/>
    <w:rsid w:val="001F129C"/>
    <w:rsid w:val="00204BC0"/>
    <w:rsid w:val="00205287"/>
    <w:rsid w:val="00210A56"/>
    <w:rsid w:val="00217DD1"/>
    <w:rsid w:val="00222699"/>
    <w:rsid w:val="00222F65"/>
    <w:rsid w:val="00225A6F"/>
    <w:rsid w:val="00225E12"/>
    <w:rsid w:val="00230838"/>
    <w:rsid w:val="002316A8"/>
    <w:rsid w:val="00234242"/>
    <w:rsid w:val="00237DE7"/>
    <w:rsid w:val="00244F2A"/>
    <w:rsid w:val="00247563"/>
    <w:rsid w:val="00252DF2"/>
    <w:rsid w:val="00257F1A"/>
    <w:rsid w:val="00261D58"/>
    <w:rsid w:val="00262A0B"/>
    <w:rsid w:val="00265B9E"/>
    <w:rsid w:val="002668C0"/>
    <w:rsid w:val="00274FF9"/>
    <w:rsid w:val="002752A9"/>
    <w:rsid w:val="00276F80"/>
    <w:rsid w:val="00281F3F"/>
    <w:rsid w:val="002839C7"/>
    <w:rsid w:val="002870B3"/>
    <w:rsid w:val="002A0FEC"/>
    <w:rsid w:val="002A2588"/>
    <w:rsid w:val="002A58A0"/>
    <w:rsid w:val="002C6407"/>
    <w:rsid w:val="002D7B8A"/>
    <w:rsid w:val="002E3A40"/>
    <w:rsid w:val="002F7189"/>
    <w:rsid w:val="00300F41"/>
    <w:rsid w:val="00301F19"/>
    <w:rsid w:val="00302901"/>
    <w:rsid w:val="00315038"/>
    <w:rsid w:val="003230E9"/>
    <w:rsid w:val="00324BC4"/>
    <w:rsid w:val="003267BB"/>
    <w:rsid w:val="00326A93"/>
    <w:rsid w:val="003304E9"/>
    <w:rsid w:val="0033152C"/>
    <w:rsid w:val="00337658"/>
    <w:rsid w:val="00344644"/>
    <w:rsid w:val="0034730B"/>
    <w:rsid w:val="00353C74"/>
    <w:rsid w:val="00354998"/>
    <w:rsid w:val="003609DF"/>
    <w:rsid w:val="00361C1D"/>
    <w:rsid w:val="00361D3F"/>
    <w:rsid w:val="00366139"/>
    <w:rsid w:val="00366C50"/>
    <w:rsid w:val="003730A7"/>
    <w:rsid w:val="00380DDB"/>
    <w:rsid w:val="003865F7"/>
    <w:rsid w:val="0039067E"/>
    <w:rsid w:val="00390915"/>
    <w:rsid w:val="003909B6"/>
    <w:rsid w:val="00396688"/>
    <w:rsid w:val="003B148F"/>
    <w:rsid w:val="003C0AC0"/>
    <w:rsid w:val="003C113B"/>
    <w:rsid w:val="003C1C85"/>
    <w:rsid w:val="003C4B06"/>
    <w:rsid w:val="003C550E"/>
    <w:rsid w:val="003C59D4"/>
    <w:rsid w:val="003D04E8"/>
    <w:rsid w:val="003D3BF7"/>
    <w:rsid w:val="003D44CD"/>
    <w:rsid w:val="003D48ED"/>
    <w:rsid w:val="003D582C"/>
    <w:rsid w:val="003D7CC3"/>
    <w:rsid w:val="003E21F6"/>
    <w:rsid w:val="003E471C"/>
    <w:rsid w:val="003E679C"/>
    <w:rsid w:val="003F0293"/>
    <w:rsid w:val="00400C52"/>
    <w:rsid w:val="004155C3"/>
    <w:rsid w:val="004412F2"/>
    <w:rsid w:val="00443DEC"/>
    <w:rsid w:val="00444965"/>
    <w:rsid w:val="0045046E"/>
    <w:rsid w:val="00450D55"/>
    <w:rsid w:val="00454A76"/>
    <w:rsid w:val="0046022A"/>
    <w:rsid w:val="0046154C"/>
    <w:rsid w:val="004621E2"/>
    <w:rsid w:val="004702BA"/>
    <w:rsid w:val="0047189B"/>
    <w:rsid w:val="0047716F"/>
    <w:rsid w:val="004842B2"/>
    <w:rsid w:val="00486074"/>
    <w:rsid w:val="00490254"/>
    <w:rsid w:val="00497EBB"/>
    <w:rsid w:val="004A008E"/>
    <w:rsid w:val="004A39EC"/>
    <w:rsid w:val="004A48D2"/>
    <w:rsid w:val="004B28C7"/>
    <w:rsid w:val="004B4F81"/>
    <w:rsid w:val="004B6ABE"/>
    <w:rsid w:val="004C0FDE"/>
    <w:rsid w:val="004C2488"/>
    <w:rsid w:val="004C2DFA"/>
    <w:rsid w:val="004C4BB0"/>
    <w:rsid w:val="004C5B9A"/>
    <w:rsid w:val="004C6A30"/>
    <w:rsid w:val="004D273B"/>
    <w:rsid w:val="004D47C6"/>
    <w:rsid w:val="004E7408"/>
    <w:rsid w:val="004F38A3"/>
    <w:rsid w:val="00500059"/>
    <w:rsid w:val="0050282B"/>
    <w:rsid w:val="0051068F"/>
    <w:rsid w:val="00511950"/>
    <w:rsid w:val="005153C1"/>
    <w:rsid w:val="00515E1E"/>
    <w:rsid w:val="005235F4"/>
    <w:rsid w:val="00530AE5"/>
    <w:rsid w:val="005342C9"/>
    <w:rsid w:val="00536066"/>
    <w:rsid w:val="005404D6"/>
    <w:rsid w:val="0054273C"/>
    <w:rsid w:val="00543954"/>
    <w:rsid w:val="00546461"/>
    <w:rsid w:val="00552513"/>
    <w:rsid w:val="0055481E"/>
    <w:rsid w:val="00560872"/>
    <w:rsid w:val="005633B7"/>
    <w:rsid w:val="00571B5F"/>
    <w:rsid w:val="00574082"/>
    <w:rsid w:val="00577BA9"/>
    <w:rsid w:val="00582789"/>
    <w:rsid w:val="00582DEE"/>
    <w:rsid w:val="00585023"/>
    <w:rsid w:val="00587336"/>
    <w:rsid w:val="00596898"/>
    <w:rsid w:val="005A05E7"/>
    <w:rsid w:val="005A6FD6"/>
    <w:rsid w:val="005B1758"/>
    <w:rsid w:val="005B2410"/>
    <w:rsid w:val="005B42BE"/>
    <w:rsid w:val="005C679E"/>
    <w:rsid w:val="005C7ED9"/>
    <w:rsid w:val="005D1080"/>
    <w:rsid w:val="005D1745"/>
    <w:rsid w:val="005D1E9C"/>
    <w:rsid w:val="005D22B4"/>
    <w:rsid w:val="005E60E4"/>
    <w:rsid w:val="005E79E4"/>
    <w:rsid w:val="005F163D"/>
    <w:rsid w:val="005F7B09"/>
    <w:rsid w:val="0060212C"/>
    <w:rsid w:val="006027EE"/>
    <w:rsid w:val="006061F1"/>
    <w:rsid w:val="00607E6C"/>
    <w:rsid w:val="006142E7"/>
    <w:rsid w:val="00614CB8"/>
    <w:rsid w:val="006175F9"/>
    <w:rsid w:val="006252D8"/>
    <w:rsid w:val="00625F68"/>
    <w:rsid w:val="00631595"/>
    <w:rsid w:val="00633A67"/>
    <w:rsid w:val="00634DFF"/>
    <w:rsid w:val="00637141"/>
    <w:rsid w:val="0064216B"/>
    <w:rsid w:val="0065011F"/>
    <w:rsid w:val="00651C6E"/>
    <w:rsid w:val="0065360F"/>
    <w:rsid w:val="006564A0"/>
    <w:rsid w:val="0066033C"/>
    <w:rsid w:val="0066214B"/>
    <w:rsid w:val="00663C87"/>
    <w:rsid w:val="006648F0"/>
    <w:rsid w:val="00676F73"/>
    <w:rsid w:val="00680928"/>
    <w:rsid w:val="00687DA9"/>
    <w:rsid w:val="006934A2"/>
    <w:rsid w:val="00697D3D"/>
    <w:rsid w:val="006A4388"/>
    <w:rsid w:val="006A59F2"/>
    <w:rsid w:val="006C007A"/>
    <w:rsid w:val="006C54DC"/>
    <w:rsid w:val="006D5475"/>
    <w:rsid w:val="006D66E4"/>
    <w:rsid w:val="006E04FC"/>
    <w:rsid w:val="006E16C6"/>
    <w:rsid w:val="006E438D"/>
    <w:rsid w:val="006E4E3D"/>
    <w:rsid w:val="006F3629"/>
    <w:rsid w:val="00700119"/>
    <w:rsid w:val="00700958"/>
    <w:rsid w:val="007036CC"/>
    <w:rsid w:val="00704E3B"/>
    <w:rsid w:val="007119B3"/>
    <w:rsid w:val="007138F8"/>
    <w:rsid w:val="00716CBB"/>
    <w:rsid w:val="007221DC"/>
    <w:rsid w:val="00722642"/>
    <w:rsid w:val="00722B83"/>
    <w:rsid w:val="00722D0B"/>
    <w:rsid w:val="00722EC8"/>
    <w:rsid w:val="007242E3"/>
    <w:rsid w:val="00725615"/>
    <w:rsid w:val="00732111"/>
    <w:rsid w:val="007339D5"/>
    <w:rsid w:val="00735E8A"/>
    <w:rsid w:val="00746422"/>
    <w:rsid w:val="00751867"/>
    <w:rsid w:val="00752F55"/>
    <w:rsid w:val="007619D8"/>
    <w:rsid w:val="00763DD7"/>
    <w:rsid w:val="00764CAC"/>
    <w:rsid w:val="007657F4"/>
    <w:rsid w:val="00770012"/>
    <w:rsid w:val="00785A82"/>
    <w:rsid w:val="007876DB"/>
    <w:rsid w:val="00787D31"/>
    <w:rsid w:val="007906ED"/>
    <w:rsid w:val="007966F7"/>
    <w:rsid w:val="007A2D3E"/>
    <w:rsid w:val="007A589C"/>
    <w:rsid w:val="007C05C6"/>
    <w:rsid w:val="007C287E"/>
    <w:rsid w:val="007D0121"/>
    <w:rsid w:val="007D60E0"/>
    <w:rsid w:val="007E538E"/>
    <w:rsid w:val="007E59AA"/>
    <w:rsid w:val="007E6664"/>
    <w:rsid w:val="007F627D"/>
    <w:rsid w:val="00802658"/>
    <w:rsid w:val="00802C55"/>
    <w:rsid w:val="00807ECA"/>
    <w:rsid w:val="00813543"/>
    <w:rsid w:val="00813D95"/>
    <w:rsid w:val="00814229"/>
    <w:rsid w:val="00816F1D"/>
    <w:rsid w:val="0083389B"/>
    <w:rsid w:val="00833D12"/>
    <w:rsid w:val="00834121"/>
    <w:rsid w:val="008364A7"/>
    <w:rsid w:val="00843151"/>
    <w:rsid w:val="008439F5"/>
    <w:rsid w:val="00844726"/>
    <w:rsid w:val="008479D0"/>
    <w:rsid w:val="00855916"/>
    <w:rsid w:val="008655B5"/>
    <w:rsid w:val="0087070A"/>
    <w:rsid w:val="008736ED"/>
    <w:rsid w:val="008802FB"/>
    <w:rsid w:val="00886AD8"/>
    <w:rsid w:val="00886DAF"/>
    <w:rsid w:val="00890DC1"/>
    <w:rsid w:val="00891503"/>
    <w:rsid w:val="0089224E"/>
    <w:rsid w:val="00895DE3"/>
    <w:rsid w:val="00896016"/>
    <w:rsid w:val="0089666E"/>
    <w:rsid w:val="008A30D4"/>
    <w:rsid w:val="008A4DDB"/>
    <w:rsid w:val="008A7B5F"/>
    <w:rsid w:val="008B1230"/>
    <w:rsid w:val="008B3611"/>
    <w:rsid w:val="008C1606"/>
    <w:rsid w:val="008C2CCF"/>
    <w:rsid w:val="008C3ED4"/>
    <w:rsid w:val="008C5731"/>
    <w:rsid w:val="008C57DA"/>
    <w:rsid w:val="008C7D43"/>
    <w:rsid w:val="008E1291"/>
    <w:rsid w:val="008E427D"/>
    <w:rsid w:val="008E6D12"/>
    <w:rsid w:val="008E777B"/>
    <w:rsid w:val="008F2580"/>
    <w:rsid w:val="009068AC"/>
    <w:rsid w:val="00912E6D"/>
    <w:rsid w:val="0091315C"/>
    <w:rsid w:val="009151EF"/>
    <w:rsid w:val="00921B7B"/>
    <w:rsid w:val="009220C0"/>
    <w:rsid w:val="009250E6"/>
    <w:rsid w:val="00927E65"/>
    <w:rsid w:val="00951D17"/>
    <w:rsid w:val="00954C4C"/>
    <w:rsid w:val="0095609D"/>
    <w:rsid w:val="00956654"/>
    <w:rsid w:val="00956CE6"/>
    <w:rsid w:val="00957BD4"/>
    <w:rsid w:val="009601D8"/>
    <w:rsid w:val="009653F9"/>
    <w:rsid w:val="00972CB9"/>
    <w:rsid w:val="00974C50"/>
    <w:rsid w:val="00977557"/>
    <w:rsid w:val="009808FC"/>
    <w:rsid w:val="0098577F"/>
    <w:rsid w:val="0098775A"/>
    <w:rsid w:val="00990CBD"/>
    <w:rsid w:val="0099186B"/>
    <w:rsid w:val="00991EE7"/>
    <w:rsid w:val="00995372"/>
    <w:rsid w:val="00995457"/>
    <w:rsid w:val="009A004E"/>
    <w:rsid w:val="009A7A59"/>
    <w:rsid w:val="009A7F8B"/>
    <w:rsid w:val="009B29D7"/>
    <w:rsid w:val="009B3706"/>
    <w:rsid w:val="009B6E23"/>
    <w:rsid w:val="009B7363"/>
    <w:rsid w:val="009C3374"/>
    <w:rsid w:val="009C6443"/>
    <w:rsid w:val="009E1862"/>
    <w:rsid w:val="009E3AD0"/>
    <w:rsid w:val="009E5AFB"/>
    <w:rsid w:val="009F4C3F"/>
    <w:rsid w:val="00A11203"/>
    <w:rsid w:val="00A2039F"/>
    <w:rsid w:val="00A31B78"/>
    <w:rsid w:val="00A35840"/>
    <w:rsid w:val="00A376BA"/>
    <w:rsid w:val="00A43AAE"/>
    <w:rsid w:val="00A46081"/>
    <w:rsid w:val="00A47ABA"/>
    <w:rsid w:val="00A61CD9"/>
    <w:rsid w:val="00A634E0"/>
    <w:rsid w:val="00A63846"/>
    <w:rsid w:val="00A64D55"/>
    <w:rsid w:val="00A659BB"/>
    <w:rsid w:val="00A65B1E"/>
    <w:rsid w:val="00A70F5A"/>
    <w:rsid w:val="00A84046"/>
    <w:rsid w:val="00A856F7"/>
    <w:rsid w:val="00A857B7"/>
    <w:rsid w:val="00A915D6"/>
    <w:rsid w:val="00A97402"/>
    <w:rsid w:val="00AB03B2"/>
    <w:rsid w:val="00AC78AA"/>
    <w:rsid w:val="00AD02EF"/>
    <w:rsid w:val="00AD3B6F"/>
    <w:rsid w:val="00AD4393"/>
    <w:rsid w:val="00AD6EA5"/>
    <w:rsid w:val="00AE34B9"/>
    <w:rsid w:val="00AE3D76"/>
    <w:rsid w:val="00AE6475"/>
    <w:rsid w:val="00AE6B6C"/>
    <w:rsid w:val="00AE715A"/>
    <w:rsid w:val="00AF09B6"/>
    <w:rsid w:val="00AF1DBB"/>
    <w:rsid w:val="00AF3659"/>
    <w:rsid w:val="00AF7C88"/>
    <w:rsid w:val="00B03E32"/>
    <w:rsid w:val="00B124C8"/>
    <w:rsid w:val="00B15E74"/>
    <w:rsid w:val="00B17D44"/>
    <w:rsid w:val="00B23C17"/>
    <w:rsid w:val="00B24DC7"/>
    <w:rsid w:val="00B3454B"/>
    <w:rsid w:val="00B45985"/>
    <w:rsid w:val="00B471CE"/>
    <w:rsid w:val="00B474FC"/>
    <w:rsid w:val="00B5056C"/>
    <w:rsid w:val="00B50857"/>
    <w:rsid w:val="00B608C1"/>
    <w:rsid w:val="00B63E06"/>
    <w:rsid w:val="00B6464E"/>
    <w:rsid w:val="00B705B5"/>
    <w:rsid w:val="00B84B4A"/>
    <w:rsid w:val="00B8638F"/>
    <w:rsid w:val="00B86A44"/>
    <w:rsid w:val="00B93095"/>
    <w:rsid w:val="00B968C9"/>
    <w:rsid w:val="00B9699C"/>
    <w:rsid w:val="00BA03F9"/>
    <w:rsid w:val="00BB34D9"/>
    <w:rsid w:val="00BB4392"/>
    <w:rsid w:val="00BB582A"/>
    <w:rsid w:val="00BC0A76"/>
    <w:rsid w:val="00BC30D7"/>
    <w:rsid w:val="00BD3416"/>
    <w:rsid w:val="00BD767F"/>
    <w:rsid w:val="00BE4D9D"/>
    <w:rsid w:val="00C00638"/>
    <w:rsid w:val="00C02ED1"/>
    <w:rsid w:val="00C032E5"/>
    <w:rsid w:val="00C055F9"/>
    <w:rsid w:val="00C303B1"/>
    <w:rsid w:val="00C30F28"/>
    <w:rsid w:val="00C33C44"/>
    <w:rsid w:val="00C402C4"/>
    <w:rsid w:val="00C4501D"/>
    <w:rsid w:val="00C6331D"/>
    <w:rsid w:val="00C82B77"/>
    <w:rsid w:val="00C83C9E"/>
    <w:rsid w:val="00C86AFA"/>
    <w:rsid w:val="00C86CED"/>
    <w:rsid w:val="00C94441"/>
    <w:rsid w:val="00C9568D"/>
    <w:rsid w:val="00CA189D"/>
    <w:rsid w:val="00CA4093"/>
    <w:rsid w:val="00CB408F"/>
    <w:rsid w:val="00CC04AD"/>
    <w:rsid w:val="00CC4F59"/>
    <w:rsid w:val="00CC7E60"/>
    <w:rsid w:val="00CD0617"/>
    <w:rsid w:val="00CD3D20"/>
    <w:rsid w:val="00CD57EC"/>
    <w:rsid w:val="00CE21B7"/>
    <w:rsid w:val="00CE22B5"/>
    <w:rsid w:val="00CE7A5E"/>
    <w:rsid w:val="00CE7F24"/>
    <w:rsid w:val="00CF3AEC"/>
    <w:rsid w:val="00CF7C5B"/>
    <w:rsid w:val="00D17B3D"/>
    <w:rsid w:val="00D20181"/>
    <w:rsid w:val="00D310EE"/>
    <w:rsid w:val="00D45E9B"/>
    <w:rsid w:val="00D463FE"/>
    <w:rsid w:val="00D4696E"/>
    <w:rsid w:val="00D47574"/>
    <w:rsid w:val="00D5200B"/>
    <w:rsid w:val="00D524F0"/>
    <w:rsid w:val="00D543A1"/>
    <w:rsid w:val="00D55AA3"/>
    <w:rsid w:val="00D63153"/>
    <w:rsid w:val="00D64A22"/>
    <w:rsid w:val="00D8119A"/>
    <w:rsid w:val="00D85B5A"/>
    <w:rsid w:val="00D86494"/>
    <w:rsid w:val="00D9411C"/>
    <w:rsid w:val="00DA0D87"/>
    <w:rsid w:val="00DA15F8"/>
    <w:rsid w:val="00DA2F5D"/>
    <w:rsid w:val="00DB3580"/>
    <w:rsid w:val="00DB71C7"/>
    <w:rsid w:val="00DC3467"/>
    <w:rsid w:val="00DC4271"/>
    <w:rsid w:val="00DC663B"/>
    <w:rsid w:val="00DD492A"/>
    <w:rsid w:val="00DD7B58"/>
    <w:rsid w:val="00DE549E"/>
    <w:rsid w:val="00DE580E"/>
    <w:rsid w:val="00DE6AED"/>
    <w:rsid w:val="00DE75F2"/>
    <w:rsid w:val="00DF198F"/>
    <w:rsid w:val="00DF2002"/>
    <w:rsid w:val="00DF3543"/>
    <w:rsid w:val="00DF68F2"/>
    <w:rsid w:val="00E037AB"/>
    <w:rsid w:val="00E058C6"/>
    <w:rsid w:val="00E05C21"/>
    <w:rsid w:val="00E10B64"/>
    <w:rsid w:val="00E12BB7"/>
    <w:rsid w:val="00E132C7"/>
    <w:rsid w:val="00E14038"/>
    <w:rsid w:val="00E14B55"/>
    <w:rsid w:val="00E17F36"/>
    <w:rsid w:val="00E21C49"/>
    <w:rsid w:val="00E31D69"/>
    <w:rsid w:val="00E322EF"/>
    <w:rsid w:val="00E40365"/>
    <w:rsid w:val="00E44649"/>
    <w:rsid w:val="00E47871"/>
    <w:rsid w:val="00E50B9C"/>
    <w:rsid w:val="00E56024"/>
    <w:rsid w:val="00E613A1"/>
    <w:rsid w:val="00E6244E"/>
    <w:rsid w:val="00E624CE"/>
    <w:rsid w:val="00E7124D"/>
    <w:rsid w:val="00E77A03"/>
    <w:rsid w:val="00E94BF1"/>
    <w:rsid w:val="00E962C3"/>
    <w:rsid w:val="00EB1F27"/>
    <w:rsid w:val="00EB518E"/>
    <w:rsid w:val="00EB66CE"/>
    <w:rsid w:val="00EC0F75"/>
    <w:rsid w:val="00EC58E1"/>
    <w:rsid w:val="00ED577F"/>
    <w:rsid w:val="00EE1392"/>
    <w:rsid w:val="00EE751D"/>
    <w:rsid w:val="00EF176A"/>
    <w:rsid w:val="00EF3CF7"/>
    <w:rsid w:val="00F06694"/>
    <w:rsid w:val="00F2628F"/>
    <w:rsid w:val="00F26755"/>
    <w:rsid w:val="00F34119"/>
    <w:rsid w:val="00F354B3"/>
    <w:rsid w:val="00F40A7C"/>
    <w:rsid w:val="00F41616"/>
    <w:rsid w:val="00F424CC"/>
    <w:rsid w:val="00F47AA8"/>
    <w:rsid w:val="00F50D9F"/>
    <w:rsid w:val="00F61874"/>
    <w:rsid w:val="00F74778"/>
    <w:rsid w:val="00F80C74"/>
    <w:rsid w:val="00F82A82"/>
    <w:rsid w:val="00F873B2"/>
    <w:rsid w:val="00F95F80"/>
    <w:rsid w:val="00FA62A4"/>
    <w:rsid w:val="00FB6501"/>
    <w:rsid w:val="00FB6E51"/>
    <w:rsid w:val="00FB7078"/>
    <w:rsid w:val="00FC0509"/>
    <w:rsid w:val="00FC0905"/>
    <w:rsid w:val="00FC3BB6"/>
    <w:rsid w:val="00FC3D19"/>
    <w:rsid w:val="00FC795A"/>
    <w:rsid w:val="00FD1959"/>
    <w:rsid w:val="00FE36F0"/>
    <w:rsid w:val="00FE4C0D"/>
    <w:rsid w:val="00FF2608"/>
    <w:rsid w:val="00FF6EC5"/>
    <w:rsid w:val="018D1BC7"/>
    <w:rsid w:val="05B2448D"/>
    <w:rsid w:val="0A037FC9"/>
    <w:rsid w:val="0A4F1460"/>
    <w:rsid w:val="0AA3355A"/>
    <w:rsid w:val="0DCD1FE2"/>
    <w:rsid w:val="112453F4"/>
    <w:rsid w:val="13785584"/>
    <w:rsid w:val="15273705"/>
    <w:rsid w:val="154C6CC8"/>
    <w:rsid w:val="168D57EA"/>
    <w:rsid w:val="16E9736B"/>
    <w:rsid w:val="195B397D"/>
    <w:rsid w:val="1A0F6516"/>
    <w:rsid w:val="1BBA5A0D"/>
    <w:rsid w:val="1D491D3F"/>
    <w:rsid w:val="1DE026A3"/>
    <w:rsid w:val="1E3D7AF5"/>
    <w:rsid w:val="1E42510C"/>
    <w:rsid w:val="1E5C6C22"/>
    <w:rsid w:val="1E623484"/>
    <w:rsid w:val="1EF04B68"/>
    <w:rsid w:val="1FAB0A8F"/>
    <w:rsid w:val="23130E25"/>
    <w:rsid w:val="253120E1"/>
    <w:rsid w:val="27770538"/>
    <w:rsid w:val="28FE60D3"/>
    <w:rsid w:val="2BC60FC8"/>
    <w:rsid w:val="2C8763E0"/>
    <w:rsid w:val="2C884632"/>
    <w:rsid w:val="2DCA0C7A"/>
    <w:rsid w:val="301461DC"/>
    <w:rsid w:val="325D20BC"/>
    <w:rsid w:val="326F3B9E"/>
    <w:rsid w:val="32C45055"/>
    <w:rsid w:val="32C95CEC"/>
    <w:rsid w:val="32F44214"/>
    <w:rsid w:val="34032DFA"/>
    <w:rsid w:val="341964B7"/>
    <w:rsid w:val="35DA3A24"/>
    <w:rsid w:val="378C0D4E"/>
    <w:rsid w:val="38B36EDA"/>
    <w:rsid w:val="39D94D88"/>
    <w:rsid w:val="39E430C3"/>
    <w:rsid w:val="3C4B5A48"/>
    <w:rsid w:val="3E1A7F74"/>
    <w:rsid w:val="401D0CD5"/>
    <w:rsid w:val="403A57EB"/>
    <w:rsid w:val="41A22C8D"/>
    <w:rsid w:val="42216253"/>
    <w:rsid w:val="42F3205C"/>
    <w:rsid w:val="45080CD1"/>
    <w:rsid w:val="483F14F6"/>
    <w:rsid w:val="48645AFB"/>
    <w:rsid w:val="4885562E"/>
    <w:rsid w:val="494920D2"/>
    <w:rsid w:val="4A183041"/>
    <w:rsid w:val="4E74767F"/>
    <w:rsid w:val="4EA96313"/>
    <w:rsid w:val="502C6392"/>
    <w:rsid w:val="530C74BB"/>
    <w:rsid w:val="545E3090"/>
    <w:rsid w:val="54CF07A0"/>
    <w:rsid w:val="55AD5BF9"/>
    <w:rsid w:val="573E1C0D"/>
    <w:rsid w:val="578B5A58"/>
    <w:rsid w:val="5C9522CF"/>
    <w:rsid w:val="5D2252A3"/>
    <w:rsid w:val="5D43080B"/>
    <w:rsid w:val="5E833101"/>
    <w:rsid w:val="5EF33E9C"/>
    <w:rsid w:val="5FE175DC"/>
    <w:rsid w:val="60C82547"/>
    <w:rsid w:val="61BE7E71"/>
    <w:rsid w:val="61D76EE6"/>
    <w:rsid w:val="62127F1E"/>
    <w:rsid w:val="636321D7"/>
    <w:rsid w:val="636E73D6"/>
    <w:rsid w:val="674B461D"/>
    <w:rsid w:val="684006A8"/>
    <w:rsid w:val="6E5F44EB"/>
    <w:rsid w:val="709F0666"/>
    <w:rsid w:val="70A82465"/>
    <w:rsid w:val="7304545A"/>
    <w:rsid w:val="761773CF"/>
    <w:rsid w:val="7B8C2698"/>
    <w:rsid w:val="7C293133"/>
    <w:rsid w:val="7DE976D0"/>
    <w:rsid w:val="7FB56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48952F2E"/>
  <w15:docId w15:val="{4C93689D-DC4C-451C-9F24-BDB1E89BE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semiHidden="1" w:unhideWhenUsed="1"/>
    <w:lsdException w:name="annotation text" w:uiPriority="0"/>
    <w:lsdException w:name="index heading" w:semiHidden="1" w:unhideWhenUsed="1"/>
    <w:lsdException w:name="caption" w:uiPriority="0" w:qFormat="1"/>
    <w:lsdException w:name="table of figures" w:uiPriority="0"/>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uiPriority="0"/>
    <w:lsdException w:name="Body Text Indent 2" w:semiHidden="1" w:unhideWhenUsed="1"/>
    <w:lsdException w:name="Body Text Indent 3" w:semiHidden="1" w:unhideWhenUsed="1"/>
    <w:lsdException w:name="Block Text" w:semiHidden="1" w:unhideWhenUsed="1"/>
    <w:lsdException w:name="FollowedHyperlink" w:uiPriority="0"/>
    <w:lsdException w:name="Strong" w:uiPriority="0" w:qFormat="1"/>
    <w:lsdException w:name="Emphasis" w:uiPriority="20" w:qFormat="1"/>
    <w:lsdException w:name="Document Map"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afterLines="100" w:after="100" w:line="360" w:lineRule="auto"/>
      <w:jc w:val="both"/>
    </w:pPr>
    <w:rPr>
      <w:kern w:val="2"/>
      <w:sz w:val="21"/>
      <w:szCs w:val="24"/>
    </w:rPr>
  </w:style>
  <w:style w:type="paragraph" w:styleId="1">
    <w:name w:val="heading 1"/>
    <w:basedOn w:val="a"/>
    <w:next w:val="a"/>
    <w:link w:val="10"/>
    <w:qFormat/>
    <w:pPr>
      <w:keepNext/>
      <w:keepLines/>
      <w:numPr>
        <w:numId w:val="1"/>
      </w:numPr>
      <w:spacing w:beforeLines="100" w:before="100" w:afterLines="0" w:after="20" w:line="480" w:lineRule="auto"/>
      <w:outlineLvl w:val="0"/>
    </w:pPr>
    <w:rPr>
      <w:rFonts w:eastAsia="微软雅黑"/>
      <w:b/>
      <w:bCs/>
      <w:kern w:val="44"/>
      <w:sz w:val="28"/>
      <w:szCs w:val="44"/>
    </w:rPr>
  </w:style>
  <w:style w:type="paragraph" w:styleId="2">
    <w:name w:val="heading 2"/>
    <w:basedOn w:val="a"/>
    <w:next w:val="a"/>
    <w:link w:val="20"/>
    <w:qFormat/>
    <w:pPr>
      <w:keepNext/>
      <w:keepLines/>
      <w:numPr>
        <w:ilvl w:val="1"/>
        <w:numId w:val="1"/>
      </w:numPr>
      <w:spacing w:afterLines="0" w:after="200" w:line="480" w:lineRule="auto"/>
      <w:outlineLvl w:val="1"/>
    </w:pPr>
    <w:rPr>
      <w:rFonts w:eastAsia="黑体"/>
      <w:b/>
      <w:bCs/>
      <w:sz w:val="24"/>
      <w:szCs w:val="32"/>
    </w:rPr>
  </w:style>
  <w:style w:type="paragraph" w:styleId="3">
    <w:name w:val="heading 3"/>
    <w:basedOn w:val="a"/>
    <w:next w:val="a"/>
    <w:link w:val="30"/>
    <w:qFormat/>
    <w:pPr>
      <w:keepNext/>
      <w:keepLines/>
      <w:numPr>
        <w:ilvl w:val="2"/>
        <w:numId w:val="1"/>
      </w:numPr>
      <w:spacing w:afterLines="0" w:after="200" w:line="420" w:lineRule="auto"/>
      <w:outlineLvl w:val="2"/>
    </w:pPr>
    <w:rPr>
      <w:b/>
      <w:bCs/>
      <w:szCs w:val="32"/>
    </w:rPr>
  </w:style>
  <w:style w:type="paragraph" w:styleId="4">
    <w:name w:val="heading 4"/>
    <w:basedOn w:val="a"/>
    <w:next w:val="a"/>
    <w:link w:val="40"/>
    <w:qFormat/>
    <w:pPr>
      <w:keepNext/>
      <w:keepLines/>
      <w:numPr>
        <w:ilvl w:val="3"/>
        <w:numId w:val="1"/>
      </w:numPr>
      <w:spacing w:afterLines="0" w:line="372" w:lineRule="auto"/>
      <w:ind w:left="0" w:firstLine="0"/>
      <w:outlineLvl w:val="3"/>
    </w:pPr>
    <w:rPr>
      <w:rFonts w:eastAsia="黑体"/>
      <w:b/>
      <w:bCs/>
      <w:szCs w:val="28"/>
    </w:rPr>
  </w:style>
  <w:style w:type="paragraph" w:styleId="5">
    <w:name w:val="heading 5"/>
    <w:basedOn w:val="a"/>
    <w:next w:val="a"/>
    <w:link w:val="50"/>
    <w:qFormat/>
    <w:pPr>
      <w:keepNext/>
      <w:keepLines/>
      <w:widowControl/>
      <w:numPr>
        <w:ilvl w:val="4"/>
        <w:numId w:val="1"/>
      </w:numPr>
      <w:spacing w:before="280" w:afterLines="0" w:after="290" w:line="372" w:lineRule="auto"/>
      <w:jc w:val="left"/>
      <w:outlineLvl w:val="4"/>
    </w:pPr>
    <w:rPr>
      <w:rFonts w:ascii="Cambria" w:hAnsi="Cambria"/>
      <w:b/>
      <w:bCs/>
      <w:kern w:val="0"/>
      <w:sz w:val="28"/>
      <w:szCs w:val="28"/>
    </w:rPr>
  </w:style>
  <w:style w:type="paragraph" w:styleId="6">
    <w:name w:val="heading 6"/>
    <w:basedOn w:val="a"/>
    <w:next w:val="BayerBodytext"/>
    <w:qFormat/>
    <w:pPr>
      <w:widowControl/>
      <w:numPr>
        <w:ilvl w:val="5"/>
        <w:numId w:val="1"/>
      </w:numPr>
      <w:tabs>
        <w:tab w:val="left" w:pos="0"/>
      </w:tabs>
      <w:spacing w:before="240" w:afterLines="0" w:after="60"/>
      <w:jc w:val="left"/>
      <w:outlineLvl w:val="5"/>
    </w:pPr>
    <w:rPr>
      <w:kern w:val="0"/>
      <w:sz w:val="24"/>
      <w:lang w:eastAsia="ja-JP"/>
    </w:rPr>
  </w:style>
  <w:style w:type="paragraph" w:styleId="7">
    <w:name w:val="heading 7"/>
    <w:basedOn w:val="a"/>
    <w:next w:val="BayerBodytext"/>
    <w:qFormat/>
    <w:pPr>
      <w:widowControl/>
      <w:numPr>
        <w:ilvl w:val="6"/>
        <w:numId w:val="1"/>
      </w:numPr>
      <w:tabs>
        <w:tab w:val="left" w:pos="0"/>
      </w:tabs>
      <w:spacing w:before="240" w:afterLines="0" w:after="60"/>
      <w:jc w:val="left"/>
      <w:outlineLvl w:val="6"/>
    </w:pPr>
    <w:rPr>
      <w:rFonts w:ascii="Arial" w:hAnsi="Arial" w:cs="Arial"/>
      <w:kern w:val="0"/>
      <w:sz w:val="24"/>
      <w:lang w:eastAsia="ja-JP"/>
    </w:rPr>
  </w:style>
  <w:style w:type="paragraph" w:styleId="8">
    <w:name w:val="heading 8"/>
    <w:basedOn w:val="a"/>
    <w:next w:val="BayerBodytext"/>
    <w:qFormat/>
    <w:pPr>
      <w:widowControl/>
      <w:numPr>
        <w:ilvl w:val="7"/>
        <w:numId w:val="1"/>
      </w:numPr>
      <w:tabs>
        <w:tab w:val="left" w:pos="0"/>
      </w:tabs>
      <w:spacing w:before="240" w:afterLines="0" w:after="60"/>
      <w:jc w:val="left"/>
      <w:outlineLvl w:val="7"/>
    </w:pPr>
    <w:rPr>
      <w:rFonts w:ascii="Arial" w:hAnsi="Arial" w:cs="Arial"/>
      <w:i/>
      <w:iCs/>
      <w:kern w:val="0"/>
      <w:sz w:val="24"/>
      <w:lang w:eastAsia="ja-JP"/>
    </w:rPr>
  </w:style>
  <w:style w:type="paragraph" w:styleId="9">
    <w:name w:val="heading 9"/>
    <w:basedOn w:val="a"/>
    <w:next w:val="BayerBodytext"/>
    <w:qFormat/>
    <w:pPr>
      <w:widowControl/>
      <w:numPr>
        <w:ilvl w:val="8"/>
        <w:numId w:val="1"/>
      </w:numPr>
      <w:tabs>
        <w:tab w:val="left" w:pos="0"/>
      </w:tabs>
      <w:spacing w:before="240" w:afterLines="0" w:after="60"/>
      <w:jc w:val="left"/>
      <w:outlineLvl w:val="8"/>
    </w:pPr>
    <w:rPr>
      <w:rFonts w:ascii="Arial" w:hAnsi="Arial" w:cs="Arial"/>
      <w:b/>
      <w:bCs/>
      <w:i/>
      <w:iCs/>
      <w:kern w:val="0"/>
      <w:sz w:val="18"/>
      <w:szCs w:val="18"/>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yerBodytext">
    <w:name w:val="Bayer Body text"/>
    <w:basedOn w:val="a"/>
    <w:pPr>
      <w:widowControl/>
      <w:tabs>
        <w:tab w:val="left" w:pos="1717"/>
      </w:tabs>
      <w:spacing w:afterLines="0" w:after="240"/>
      <w:ind w:left="907"/>
      <w:jc w:val="left"/>
    </w:pPr>
    <w:rPr>
      <w:kern w:val="0"/>
      <w:sz w:val="24"/>
      <w:lang w:eastAsia="ja-JP"/>
    </w:rPr>
  </w:style>
  <w:style w:type="paragraph" w:styleId="70">
    <w:name w:val="toc 7"/>
    <w:basedOn w:val="a"/>
    <w:next w:val="a"/>
    <w:pPr>
      <w:ind w:left="1260"/>
      <w:jc w:val="left"/>
    </w:pPr>
    <w:rPr>
      <w:sz w:val="20"/>
      <w:szCs w:val="20"/>
    </w:rPr>
  </w:style>
  <w:style w:type="paragraph" w:styleId="a3">
    <w:name w:val="Normal Indent"/>
    <w:basedOn w:val="a"/>
    <w:pPr>
      <w:tabs>
        <w:tab w:val="left" w:pos="3780"/>
      </w:tabs>
      <w:ind w:left="3780" w:firstLine="420"/>
    </w:pPr>
    <w:rPr>
      <w:szCs w:val="20"/>
    </w:rPr>
  </w:style>
  <w:style w:type="paragraph" w:styleId="a4">
    <w:name w:val="caption"/>
    <w:basedOn w:val="a"/>
    <w:next w:val="a"/>
    <w:qFormat/>
    <w:pPr>
      <w:keepNext/>
      <w:widowControl/>
      <w:spacing w:before="120" w:afterLines="0" w:after="120"/>
      <w:ind w:left="907"/>
      <w:jc w:val="left"/>
    </w:pPr>
    <w:rPr>
      <w:rFonts w:ascii="Arial" w:hAnsi="Arial" w:cs="Arial"/>
      <w:b/>
      <w:bCs/>
      <w:kern w:val="0"/>
      <w:sz w:val="20"/>
      <w:szCs w:val="20"/>
      <w:lang w:eastAsia="ja-JP"/>
    </w:rPr>
  </w:style>
  <w:style w:type="paragraph" w:styleId="a5">
    <w:name w:val="Document Map"/>
    <w:basedOn w:val="a"/>
    <w:link w:val="a6"/>
    <w:pPr>
      <w:shd w:val="clear" w:color="auto" w:fill="000080"/>
    </w:pPr>
    <w:rPr>
      <w:szCs w:val="20"/>
      <w:shd w:val="clear" w:color="auto" w:fill="000080"/>
    </w:rPr>
  </w:style>
  <w:style w:type="paragraph" w:styleId="a7">
    <w:name w:val="annotation text"/>
    <w:basedOn w:val="a"/>
    <w:pPr>
      <w:jc w:val="left"/>
    </w:pPr>
  </w:style>
  <w:style w:type="paragraph" w:styleId="31">
    <w:name w:val="Body Text 3"/>
    <w:basedOn w:val="a"/>
    <w:pPr>
      <w:widowControl/>
      <w:spacing w:afterLines="0" w:after="120"/>
      <w:jc w:val="left"/>
    </w:pPr>
    <w:rPr>
      <w:rFonts w:ascii="Cambria" w:hAnsi="Cambria"/>
      <w:kern w:val="0"/>
      <w:sz w:val="16"/>
      <w:szCs w:val="16"/>
      <w:lang w:eastAsia="en-US"/>
    </w:rPr>
  </w:style>
  <w:style w:type="paragraph" w:styleId="51">
    <w:name w:val="toc 5"/>
    <w:basedOn w:val="a"/>
    <w:next w:val="a"/>
    <w:pPr>
      <w:ind w:left="840"/>
      <w:jc w:val="left"/>
    </w:pPr>
    <w:rPr>
      <w:sz w:val="20"/>
      <w:szCs w:val="20"/>
    </w:rPr>
  </w:style>
  <w:style w:type="paragraph" w:styleId="32">
    <w:name w:val="toc 3"/>
    <w:basedOn w:val="a"/>
    <w:next w:val="a"/>
    <w:uiPriority w:val="39"/>
    <w:pPr>
      <w:tabs>
        <w:tab w:val="right" w:leader="dot" w:pos="9060"/>
      </w:tabs>
      <w:ind w:left="420"/>
      <w:jc w:val="center"/>
    </w:pPr>
    <w:rPr>
      <w:b/>
      <w:sz w:val="24"/>
    </w:rPr>
  </w:style>
  <w:style w:type="paragraph" w:styleId="80">
    <w:name w:val="toc 8"/>
    <w:basedOn w:val="a"/>
    <w:next w:val="a"/>
    <w:pPr>
      <w:ind w:left="1470"/>
      <w:jc w:val="left"/>
    </w:pPr>
    <w:rPr>
      <w:sz w:val="20"/>
      <w:szCs w:val="20"/>
    </w:rPr>
  </w:style>
  <w:style w:type="paragraph" w:styleId="a8">
    <w:name w:val="Date"/>
    <w:basedOn w:val="a"/>
    <w:next w:val="a"/>
    <w:pPr>
      <w:widowControl/>
      <w:spacing w:afterLines="0" w:after="200"/>
      <w:jc w:val="left"/>
    </w:pPr>
    <w:rPr>
      <w:rFonts w:ascii="Cambria" w:hAnsi="Cambria"/>
      <w:kern w:val="0"/>
      <w:sz w:val="24"/>
      <w:lang w:eastAsia="en-US"/>
    </w:rPr>
  </w:style>
  <w:style w:type="paragraph" w:styleId="a9">
    <w:name w:val="Balloon Text"/>
    <w:basedOn w:val="a"/>
    <w:link w:val="aa"/>
    <w:pPr>
      <w:widowControl/>
      <w:jc w:val="left"/>
    </w:pPr>
    <w:rPr>
      <w:kern w:val="0"/>
      <w:sz w:val="18"/>
      <w:szCs w:val="18"/>
    </w:rPr>
  </w:style>
  <w:style w:type="paragraph" w:styleId="ab">
    <w:name w:val="footer"/>
    <w:basedOn w:val="a"/>
    <w:link w:val="ac"/>
    <w:uiPriority w:val="99"/>
    <w:pPr>
      <w:widowControl/>
      <w:tabs>
        <w:tab w:val="center" w:pos="4153"/>
        <w:tab w:val="right" w:pos="8306"/>
      </w:tabs>
      <w:snapToGrid w:val="0"/>
      <w:spacing w:afterLines="0" w:after="200"/>
      <w:jc w:val="left"/>
    </w:pPr>
    <w:rPr>
      <w:kern w:val="0"/>
      <w:sz w:val="18"/>
      <w:szCs w:val="18"/>
    </w:rPr>
  </w:style>
  <w:style w:type="paragraph" w:styleId="ad">
    <w:name w:val="header"/>
    <w:basedOn w:val="a"/>
    <w:link w:val="ae"/>
    <w:uiPriority w:val="99"/>
    <w:pPr>
      <w:widowControl/>
      <w:pBdr>
        <w:bottom w:val="single" w:sz="6" w:space="1" w:color="auto"/>
      </w:pBdr>
      <w:tabs>
        <w:tab w:val="center" w:pos="4153"/>
        <w:tab w:val="right" w:pos="8306"/>
      </w:tabs>
      <w:snapToGrid w:val="0"/>
      <w:spacing w:afterLines="0" w:after="200"/>
      <w:jc w:val="center"/>
    </w:pPr>
    <w:rPr>
      <w:kern w:val="0"/>
      <w:sz w:val="18"/>
      <w:szCs w:val="18"/>
    </w:rPr>
  </w:style>
  <w:style w:type="paragraph" w:styleId="11">
    <w:name w:val="toc 1"/>
    <w:basedOn w:val="a"/>
    <w:next w:val="a"/>
    <w:uiPriority w:val="39"/>
    <w:pPr>
      <w:spacing w:before="240" w:afterLines="0" w:after="120"/>
      <w:jc w:val="left"/>
    </w:pPr>
    <w:rPr>
      <w:b/>
      <w:bCs/>
      <w:sz w:val="20"/>
      <w:szCs w:val="20"/>
    </w:rPr>
  </w:style>
  <w:style w:type="paragraph" w:styleId="41">
    <w:name w:val="toc 4"/>
    <w:basedOn w:val="a"/>
    <w:next w:val="a"/>
    <w:pPr>
      <w:ind w:left="630"/>
      <w:jc w:val="left"/>
    </w:pPr>
    <w:rPr>
      <w:sz w:val="20"/>
      <w:szCs w:val="20"/>
    </w:rPr>
  </w:style>
  <w:style w:type="paragraph" w:styleId="60">
    <w:name w:val="toc 6"/>
    <w:basedOn w:val="a"/>
    <w:next w:val="a"/>
    <w:pPr>
      <w:ind w:left="1050"/>
      <w:jc w:val="left"/>
    </w:pPr>
    <w:rPr>
      <w:sz w:val="20"/>
      <w:szCs w:val="20"/>
    </w:rPr>
  </w:style>
  <w:style w:type="paragraph" w:styleId="af">
    <w:name w:val="table of figures"/>
    <w:basedOn w:val="a"/>
    <w:next w:val="a"/>
    <w:pPr>
      <w:widowControl/>
      <w:ind w:left="480" w:hanging="480"/>
      <w:jc w:val="left"/>
    </w:pPr>
    <w:rPr>
      <w:kern w:val="0"/>
      <w:sz w:val="24"/>
      <w:lang w:eastAsia="ja-JP"/>
    </w:rPr>
  </w:style>
  <w:style w:type="paragraph" w:styleId="21">
    <w:name w:val="toc 2"/>
    <w:basedOn w:val="a"/>
    <w:next w:val="a"/>
    <w:uiPriority w:val="39"/>
    <w:pPr>
      <w:spacing w:before="120"/>
      <w:ind w:left="210"/>
      <w:jc w:val="left"/>
    </w:pPr>
    <w:rPr>
      <w:i/>
      <w:iCs/>
      <w:sz w:val="20"/>
      <w:szCs w:val="20"/>
    </w:rPr>
  </w:style>
  <w:style w:type="paragraph" w:styleId="90">
    <w:name w:val="toc 9"/>
    <w:basedOn w:val="a"/>
    <w:next w:val="a"/>
    <w:pPr>
      <w:ind w:left="1680"/>
      <w:jc w:val="left"/>
    </w:pPr>
    <w:rPr>
      <w:sz w:val="20"/>
      <w:szCs w:val="20"/>
    </w:rPr>
  </w:style>
  <w:style w:type="paragraph" w:styleId="22">
    <w:name w:val="Body Text 2"/>
    <w:basedOn w:val="a"/>
    <w:link w:val="23"/>
    <w:pPr>
      <w:tabs>
        <w:tab w:val="left" w:pos="2880"/>
        <w:tab w:val="left" w:pos="3780"/>
      </w:tabs>
      <w:ind w:left="1584" w:hanging="1584"/>
      <w:jc w:val="center"/>
    </w:pPr>
    <w:rPr>
      <w:b/>
      <w:bCs/>
      <w:szCs w:val="20"/>
    </w:rPr>
  </w:style>
  <w:style w:type="paragraph" w:styleId="af0">
    <w:name w:val="Normal (Web)"/>
    <w:basedOn w:val="a"/>
    <w:uiPriority w:val="99"/>
    <w:pPr>
      <w:widowControl/>
      <w:spacing w:before="100" w:beforeAutospacing="1" w:afterLines="0" w:afterAutospacing="1"/>
      <w:jc w:val="left"/>
    </w:pPr>
    <w:rPr>
      <w:rFonts w:ascii="宋体" w:hAnsi="宋体" w:cs="宋体"/>
      <w:kern w:val="0"/>
      <w:sz w:val="24"/>
    </w:rPr>
  </w:style>
  <w:style w:type="paragraph" w:styleId="af1">
    <w:name w:val="annotation subject"/>
    <w:basedOn w:val="a7"/>
    <w:next w:val="a7"/>
    <w:pPr>
      <w:widowControl/>
      <w:spacing w:afterLines="0" w:after="200"/>
    </w:pPr>
    <w:rPr>
      <w:rFonts w:ascii="Cambria" w:hAnsi="Cambria"/>
      <w:b/>
      <w:bCs/>
      <w:kern w:val="0"/>
      <w:sz w:val="24"/>
      <w:lang w:eastAsia="en-US"/>
    </w:rPr>
  </w:style>
  <w:style w:type="character" w:styleId="af2">
    <w:name w:val="Strong"/>
    <w:qFormat/>
    <w:rPr>
      <w:b/>
      <w:bCs/>
    </w:rPr>
  </w:style>
  <w:style w:type="character" w:styleId="af3">
    <w:name w:val="page number"/>
    <w:basedOn w:val="a0"/>
  </w:style>
  <w:style w:type="character" w:styleId="af4">
    <w:name w:val="FollowedHyperlink"/>
    <w:rPr>
      <w:color w:val="000080"/>
      <w:u w:val="single"/>
    </w:rPr>
  </w:style>
  <w:style w:type="character" w:styleId="af5">
    <w:name w:val="Emphasis"/>
    <w:uiPriority w:val="20"/>
    <w:qFormat/>
    <w:rPr>
      <w:i/>
      <w:iCs/>
    </w:rPr>
  </w:style>
  <w:style w:type="character" w:styleId="af6">
    <w:name w:val="Hyperlink"/>
    <w:uiPriority w:val="99"/>
    <w:rPr>
      <w:color w:val="0000FF"/>
      <w:u w:val="single"/>
    </w:rPr>
  </w:style>
  <w:style w:type="character" w:styleId="af7">
    <w:name w:val="annotation reference"/>
    <w:rPr>
      <w:sz w:val="21"/>
      <w:szCs w:val="21"/>
    </w:rPr>
  </w:style>
  <w:style w:type="character" w:customStyle="1" w:styleId="10">
    <w:name w:val="标题 1 字符"/>
    <w:link w:val="1"/>
    <w:rPr>
      <w:rFonts w:ascii="Times New Roman" w:eastAsia="微软雅黑" w:hAnsi="Times New Roman"/>
      <w:b/>
      <w:bCs/>
      <w:kern w:val="44"/>
      <w:sz w:val="28"/>
      <w:szCs w:val="44"/>
      <w:lang w:eastAsia="zh-CN" w:bidi="ar-SA"/>
    </w:rPr>
  </w:style>
  <w:style w:type="character" w:customStyle="1" w:styleId="20">
    <w:name w:val="标题 2 字符"/>
    <w:link w:val="2"/>
    <w:rPr>
      <w:rFonts w:ascii="Times New Roman" w:eastAsia="黑体" w:hAnsi="Times New Roman"/>
      <w:b/>
      <w:bCs/>
      <w:kern w:val="2"/>
      <w:sz w:val="24"/>
      <w:szCs w:val="32"/>
      <w:lang w:val="en-US" w:eastAsia="zh-CN" w:bidi="ar-SA"/>
    </w:rPr>
  </w:style>
  <w:style w:type="character" w:customStyle="1" w:styleId="30">
    <w:name w:val="标题 3 字符"/>
    <w:link w:val="3"/>
    <w:rPr>
      <w:rFonts w:ascii="Times New Roman" w:eastAsia="宋体" w:hAnsi="Times New Roman"/>
      <w:b/>
      <w:bCs/>
      <w:kern w:val="2"/>
      <w:sz w:val="21"/>
      <w:szCs w:val="32"/>
      <w:lang w:eastAsia="zh-CN" w:bidi="ar-SA"/>
    </w:rPr>
  </w:style>
  <w:style w:type="character" w:customStyle="1" w:styleId="40">
    <w:name w:val="标题 4 字符"/>
    <w:link w:val="4"/>
    <w:rPr>
      <w:rFonts w:ascii="Times New Roman" w:eastAsia="黑体" w:hAnsi="Times New Roman"/>
      <w:b/>
      <w:bCs/>
      <w:kern w:val="2"/>
      <w:sz w:val="21"/>
      <w:szCs w:val="28"/>
      <w:lang w:eastAsia="zh-CN" w:bidi="ar-SA"/>
    </w:rPr>
  </w:style>
  <w:style w:type="character" w:customStyle="1" w:styleId="50">
    <w:name w:val="标题 5 字符"/>
    <w:link w:val="5"/>
    <w:rPr>
      <w:rFonts w:ascii="Cambria" w:eastAsia="宋体" w:hAnsi="Cambria"/>
      <w:b/>
      <w:bCs/>
      <w:sz w:val="28"/>
      <w:szCs w:val="28"/>
      <w:lang w:bidi="ar-SA"/>
    </w:rPr>
  </w:style>
  <w:style w:type="character" w:customStyle="1" w:styleId="a6">
    <w:name w:val="文档结构图 字符"/>
    <w:link w:val="a5"/>
    <w:rPr>
      <w:kern w:val="2"/>
      <w:sz w:val="21"/>
      <w:shd w:val="clear" w:color="auto" w:fill="000080"/>
      <w:lang w:eastAsia="zh-CN" w:bidi="ar-SA"/>
    </w:rPr>
  </w:style>
  <w:style w:type="character" w:customStyle="1" w:styleId="aa">
    <w:name w:val="批注框文本 字符"/>
    <w:link w:val="a9"/>
    <w:rPr>
      <w:sz w:val="18"/>
      <w:szCs w:val="18"/>
      <w:lang w:bidi="ar-SA"/>
    </w:rPr>
  </w:style>
  <w:style w:type="character" w:customStyle="1" w:styleId="ac">
    <w:name w:val="页脚 字符"/>
    <w:link w:val="ab"/>
    <w:uiPriority w:val="99"/>
    <w:rPr>
      <w:sz w:val="18"/>
      <w:szCs w:val="18"/>
      <w:lang w:bidi="ar-SA"/>
    </w:rPr>
  </w:style>
  <w:style w:type="character" w:customStyle="1" w:styleId="ae">
    <w:name w:val="页眉 字符"/>
    <w:link w:val="ad"/>
    <w:uiPriority w:val="99"/>
    <w:rPr>
      <w:sz w:val="18"/>
      <w:szCs w:val="18"/>
      <w:lang w:bidi="ar-SA"/>
    </w:rPr>
  </w:style>
  <w:style w:type="character" w:customStyle="1" w:styleId="23">
    <w:name w:val="正文文本 2 字符"/>
    <w:link w:val="22"/>
    <w:rPr>
      <w:b/>
      <w:bCs/>
      <w:kern w:val="2"/>
      <w:sz w:val="21"/>
      <w:lang w:eastAsia="zh-CN" w:bidi="ar-SA"/>
    </w:rPr>
  </w:style>
  <w:style w:type="character" w:customStyle="1" w:styleId="jrnl">
    <w:name w:val="jrnl"/>
    <w:basedOn w:val="a0"/>
  </w:style>
  <w:style w:type="character" w:customStyle="1" w:styleId="src1">
    <w:name w:val="src1"/>
  </w:style>
  <w:style w:type="character" w:customStyle="1" w:styleId="apple-style-span">
    <w:name w:val="apple-style-span"/>
    <w:basedOn w:val="a0"/>
  </w:style>
  <w:style w:type="character" w:customStyle="1" w:styleId="apple-converted-space">
    <w:name w:val="apple-converted-space"/>
    <w:basedOn w:val="a0"/>
  </w:style>
  <w:style w:type="character" w:customStyle="1" w:styleId="EntryTextTi10CharChar">
    <w:name w:val="EntryText:Ti10 Char Char"/>
    <w:link w:val="EntryTextTi10"/>
    <w:rPr>
      <w:lang w:eastAsia="ja-JP" w:bidi="ar-SA"/>
    </w:rPr>
  </w:style>
  <w:style w:type="paragraph" w:customStyle="1" w:styleId="EntryTextTi10">
    <w:name w:val="EntryText:Ti10"/>
    <w:basedOn w:val="a"/>
    <w:link w:val="EntryTextTi10CharChar"/>
    <w:pPr>
      <w:widowControl/>
      <w:jc w:val="left"/>
    </w:pPr>
    <w:rPr>
      <w:kern w:val="0"/>
      <w:sz w:val="20"/>
      <w:szCs w:val="20"/>
      <w:lang w:eastAsia="ja-JP"/>
    </w:rPr>
  </w:style>
  <w:style w:type="paragraph" w:customStyle="1" w:styleId="TableText">
    <w:name w:val="TableText"/>
    <w:pPr>
      <w:keepNext/>
    </w:pPr>
    <w:rPr>
      <w:lang w:eastAsia="en-US"/>
    </w:rPr>
  </w:style>
  <w:style w:type="paragraph" w:customStyle="1" w:styleId="12">
    <w:name w:val="列表段落1"/>
    <w:basedOn w:val="a"/>
    <w:pPr>
      <w:widowControl/>
      <w:spacing w:afterLines="0" w:after="200"/>
      <w:ind w:left="720"/>
      <w:contextualSpacing/>
      <w:jc w:val="left"/>
    </w:pPr>
    <w:rPr>
      <w:rFonts w:ascii="Cambria" w:hAnsi="Cambria"/>
      <w:kern w:val="0"/>
      <w:sz w:val="24"/>
      <w:lang w:eastAsia="en-US"/>
    </w:rPr>
  </w:style>
  <w:style w:type="paragraph" w:customStyle="1" w:styleId="BayerTableFootnote">
    <w:name w:val="Bayer Table Footnote"/>
    <w:basedOn w:val="a"/>
    <w:pPr>
      <w:keepNext/>
      <w:ind w:left="360" w:hanging="360"/>
      <w:jc w:val="left"/>
    </w:pPr>
    <w:rPr>
      <w:rFonts w:ascii="Arial" w:hAnsi="Arial"/>
      <w:kern w:val="0"/>
      <w:sz w:val="20"/>
      <w:szCs w:val="20"/>
      <w:lang w:eastAsia="en-US"/>
    </w:rPr>
  </w:style>
  <w:style w:type="paragraph" w:customStyle="1" w:styleId="BulletBayerBodyText">
    <w:name w:val="Bullet Bayer Body Text"/>
    <w:basedOn w:val="BayerBodytext"/>
    <w:pPr>
      <w:tabs>
        <w:tab w:val="clear" w:pos="1717"/>
        <w:tab w:val="left" w:pos="1320"/>
      </w:tabs>
      <w:spacing w:after="120"/>
      <w:ind w:left="1320" w:right="-360" w:hanging="360"/>
    </w:pPr>
    <w:rPr>
      <w:lang w:eastAsia="zh-CN"/>
    </w:rPr>
  </w:style>
  <w:style w:type="paragraph" w:customStyle="1" w:styleId="BayerTableColumnHeadings">
    <w:name w:val="Bayer Table Column Headings"/>
    <w:basedOn w:val="a"/>
    <w:pPr>
      <w:keepNext/>
      <w:jc w:val="center"/>
    </w:pPr>
    <w:rPr>
      <w:rFonts w:ascii="Arial" w:hAnsi="Arial"/>
      <w:b/>
      <w:kern w:val="0"/>
      <w:sz w:val="20"/>
      <w:szCs w:val="20"/>
      <w:lang w:eastAsia="en-US"/>
    </w:rPr>
  </w:style>
  <w:style w:type="paragraph" w:customStyle="1" w:styleId="BayerTableRowHeadings">
    <w:name w:val="Bayer Table Row Headings"/>
    <w:basedOn w:val="a"/>
    <w:pPr>
      <w:keepNext/>
      <w:jc w:val="left"/>
    </w:pPr>
    <w:rPr>
      <w:rFonts w:ascii="Arial" w:hAnsi="Arial"/>
      <w:kern w:val="0"/>
      <w:sz w:val="20"/>
      <w:szCs w:val="20"/>
      <w:lang w:eastAsia="en-US"/>
    </w:rPr>
  </w:style>
  <w:style w:type="paragraph" w:customStyle="1" w:styleId="BayerTableStyle">
    <w:name w:val="Bayer TableStyle"/>
    <w:pPr>
      <w:keepNext/>
      <w:widowControl w:val="0"/>
    </w:pPr>
    <w:rPr>
      <w:rFonts w:ascii="Arial" w:hAnsi="Arial" w:cs="Arial"/>
      <w:lang w:eastAsia="ja-JP"/>
    </w:rPr>
  </w:style>
  <w:style w:type="paragraph" w:customStyle="1" w:styleId="SynopsisLeftColumn">
    <w:name w:val="Synopsis Left Column"/>
    <w:basedOn w:val="a"/>
    <w:pPr>
      <w:widowControl/>
      <w:spacing w:before="120" w:afterLines="0" w:after="120"/>
      <w:jc w:val="right"/>
    </w:pPr>
    <w:rPr>
      <w:b/>
      <w:bCs/>
      <w:kern w:val="0"/>
      <w:sz w:val="24"/>
      <w:lang w:eastAsia="ja-JP"/>
    </w:rPr>
  </w:style>
  <w:style w:type="paragraph" w:customStyle="1" w:styleId="BayerBibliography">
    <w:name w:val="Bayer Bibliography"/>
    <w:basedOn w:val="a"/>
    <w:pPr>
      <w:widowControl/>
      <w:spacing w:afterLines="0" w:after="120"/>
      <w:ind w:left="1627" w:hanging="720"/>
      <w:jc w:val="left"/>
    </w:pPr>
    <w:rPr>
      <w:rFonts w:ascii="Helv" w:hAnsi="Helv"/>
      <w:snapToGrid w:val="0"/>
      <w:color w:val="000000"/>
      <w:kern w:val="0"/>
      <w:sz w:val="24"/>
      <w:lang w:eastAsia="en-US"/>
    </w:rPr>
  </w:style>
  <w:style w:type="paragraph" w:styleId="af8">
    <w:name w:val="List Paragraph"/>
    <w:basedOn w:val="a"/>
    <w:qFormat/>
    <w:pPr>
      <w:widowControl/>
      <w:spacing w:afterLines="0" w:after="200"/>
      <w:ind w:left="720"/>
      <w:jc w:val="left"/>
    </w:pPr>
    <w:rPr>
      <w:rFonts w:ascii="Cambria" w:hAnsi="Cambria"/>
      <w:kern w:val="0"/>
      <w:sz w:val="24"/>
      <w:lang w:eastAsia="en-US"/>
    </w:rPr>
  </w:style>
  <w:style w:type="paragraph" w:customStyle="1" w:styleId="13">
    <w:name w:val="修订1"/>
    <w:rPr>
      <w:rFonts w:ascii="Cambria" w:hAnsi="Cambria"/>
      <w:sz w:val="24"/>
      <w:szCs w:val="24"/>
      <w:lang w:eastAsia="en-US"/>
    </w:rPr>
  </w:style>
  <w:style w:type="paragraph" w:customStyle="1" w:styleId="TextBull">
    <w:name w:val="Text:Bull"/>
    <w:basedOn w:val="a"/>
    <w:pPr>
      <w:widowControl/>
      <w:tabs>
        <w:tab w:val="left" w:pos="510"/>
      </w:tabs>
      <w:spacing w:afterLines="0" w:after="200"/>
      <w:ind w:left="510" w:hanging="510"/>
      <w:jc w:val="left"/>
    </w:pPr>
    <w:rPr>
      <w:rFonts w:ascii="Cambria" w:hAnsi="Cambria"/>
      <w:kern w:val="0"/>
      <w:sz w:val="24"/>
      <w:lang w:eastAsia="en-US"/>
    </w:rPr>
  </w:style>
  <w:style w:type="paragraph" w:customStyle="1" w:styleId="TOCX2">
    <w:name w:val="TOCX 2"/>
    <w:basedOn w:val="21"/>
    <w:pPr>
      <w:widowControl/>
      <w:tabs>
        <w:tab w:val="right" w:leader="dot" w:pos="9360"/>
      </w:tabs>
      <w:suppressAutoHyphens/>
      <w:ind w:left="677" w:right="360" w:firstLineChars="200" w:hanging="677"/>
    </w:pPr>
    <w:rPr>
      <w:rFonts w:ascii="Calibri" w:hAnsi="Calibri"/>
      <w:smallCaps/>
      <w:kern w:val="0"/>
      <w:lang w:eastAsia="en-US"/>
    </w:rPr>
  </w:style>
  <w:style w:type="paragraph" w:customStyle="1" w:styleId="Gliederung1">
    <w:name w:val="Gliederung1"/>
    <w:basedOn w:val="a"/>
    <w:pPr>
      <w:widowControl/>
      <w:tabs>
        <w:tab w:val="left" w:pos="709"/>
      </w:tabs>
      <w:suppressAutoHyphens/>
      <w:spacing w:line="240" w:lineRule="auto"/>
    </w:pPr>
    <w:rPr>
      <w:b/>
      <w:kern w:val="0"/>
      <w:lang w:val="en-GB"/>
    </w:rPr>
  </w:style>
  <w:style w:type="paragraph" w:customStyle="1" w:styleId="Default">
    <w:name w:val="Default"/>
    <w:pPr>
      <w:widowControl w:val="0"/>
      <w:autoSpaceDE w:val="0"/>
      <w:autoSpaceDN w:val="0"/>
      <w:adjustRightInd w:val="0"/>
    </w:pPr>
    <w:rPr>
      <w:color w:val="000000"/>
      <w:sz w:val="24"/>
      <w:szCs w:val="24"/>
    </w:rPr>
  </w:style>
  <w:style w:type="paragraph" w:customStyle="1" w:styleId="A-ListNumber">
    <w:name w:val="A-List Number"/>
    <w:pPr>
      <w:spacing w:after="240" w:line="280" w:lineRule="atLeast"/>
    </w:pPr>
    <w:rPr>
      <w:sz w:val="24"/>
      <w:lang w:val="en-GB" w:eastAsia="en-US"/>
    </w:rPr>
  </w:style>
  <w:style w:type="paragraph" w:customStyle="1" w:styleId="Table12pt-zent">
    <w:name w:val="Table:12pt-zent"/>
    <w:basedOn w:val="a"/>
    <w:pPr>
      <w:widowControl/>
      <w:spacing w:before="24" w:afterLines="0" w:after="24"/>
      <w:jc w:val="center"/>
    </w:pPr>
    <w:rPr>
      <w:kern w:val="0"/>
      <w:sz w:val="24"/>
      <w:szCs w:val="20"/>
      <w:lang w:val="en-GB"/>
    </w:rPr>
  </w:style>
  <w:style w:type="paragraph" w:customStyle="1" w:styleId="SynopsisRightColumn">
    <w:name w:val="Synopsis Right Column"/>
    <w:basedOn w:val="a"/>
    <w:pPr>
      <w:widowControl/>
      <w:spacing w:before="120" w:afterLines="0" w:after="120"/>
      <w:jc w:val="left"/>
    </w:pPr>
    <w:rPr>
      <w:kern w:val="0"/>
      <w:sz w:val="24"/>
      <w:lang w:eastAsia="ja-JP"/>
    </w:rPr>
  </w:style>
  <w:style w:type="paragraph" w:customStyle="1" w:styleId="WPSOffice1">
    <w:name w:val="WPSOffice手动目录 1"/>
  </w:style>
  <w:style w:type="paragraph" w:customStyle="1" w:styleId="WPSOffice3">
    <w:name w:val="WPSOffice手动目录 3"/>
    <w:pPr>
      <w:ind w:leftChars="400" w:left="400"/>
    </w:pPr>
  </w:style>
  <w:style w:type="paragraph" w:customStyle="1" w:styleId="WPSOffice2">
    <w:name w:val="WPSOffice手动目录 2"/>
    <w:pPr>
      <w:ind w:leftChars="200" w:left="200"/>
    </w:pPr>
  </w:style>
  <w:style w:type="paragraph" w:styleId="af9">
    <w:name w:val="Revision"/>
    <w:hidden/>
    <w:uiPriority w:val="99"/>
    <w:unhideWhenUsed/>
    <w:rsid w:val="00B24DC7"/>
    <w:rPr>
      <w:kern w:val="2"/>
      <w:sz w:val="21"/>
      <w:szCs w:val="24"/>
    </w:rPr>
  </w:style>
  <w:style w:type="character" w:styleId="afa">
    <w:name w:val="line number"/>
    <w:basedOn w:val="a0"/>
    <w:uiPriority w:val="99"/>
    <w:semiHidden/>
    <w:unhideWhenUsed/>
    <w:rsid w:val="00F873B2"/>
  </w:style>
  <w:style w:type="table" w:styleId="afb">
    <w:name w:val="Table Grid"/>
    <w:basedOn w:val="a1"/>
    <w:uiPriority w:val="39"/>
    <w:rsid w:val="00D86494"/>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7E538E"/>
    <w:rPr>
      <w:rFonts w:ascii="Times New Roman" w:hAnsi="Times New Roman" w:cs="Times New Roman"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8239">
      <w:bodyDiv w:val="1"/>
      <w:marLeft w:val="0"/>
      <w:marRight w:val="0"/>
      <w:marTop w:val="0"/>
      <w:marBottom w:val="0"/>
      <w:divBdr>
        <w:top w:val="none" w:sz="0" w:space="0" w:color="auto"/>
        <w:left w:val="none" w:sz="0" w:space="0" w:color="auto"/>
        <w:bottom w:val="none" w:sz="0" w:space="0" w:color="auto"/>
        <w:right w:val="none" w:sz="0" w:space="0" w:color="auto"/>
      </w:divBdr>
    </w:div>
    <w:div w:id="57944635">
      <w:bodyDiv w:val="1"/>
      <w:marLeft w:val="0"/>
      <w:marRight w:val="0"/>
      <w:marTop w:val="0"/>
      <w:marBottom w:val="0"/>
      <w:divBdr>
        <w:top w:val="none" w:sz="0" w:space="0" w:color="auto"/>
        <w:left w:val="none" w:sz="0" w:space="0" w:color="auto"/>
        <w:bottom w:val="none" w:sz="0" w:space="0" w:color="auto"/>
        <w:right w:val="none" w:sz="0" w:space="0" w:color="auto"/>
      </w:divBdr>
    </w:div>
    <w:div w:id="110323429">
      <w:bodyDiv w:val="1"/>
      <w:marLeft w:val="0"/>
      <w:marRight w:val="0"/>
      <w:marTop w:val="0"/>
      <w:marBottom w:val="0"/>
      <w:divBdr>
        <w:top w:val="none" w:sz="0" w:space="0" w:color="auto"/>
        <w:left w:val="none" w:sz="0" w:space="0" w:color="auto"/>
        <w:bottom w:val="none" w:sz="0" w:space="0" w:color="auto"/>
        <w:right w:val="none" w:sz="0" w:space="0" w:color="auto"/>
      </w:divBdr>
    </w:div>
    <w:div w:id="180708775">
      <w:bodyDiv w:val="1"/>
      <w:marLeft w:val="0"/>
      <w:marRight w:val="0"/>
      <w:marTop w:val="0"/>
      <w:marBottom w:val="0"/>
      <w:divBdr>
        <w:top w:val="none" w:sz="0" w:space="0" w:color="auto"/>
        <w:left w:val="none" w:sz="0" w:space="0" w:color="auto"/>
        <w:bottom w:val="none" w:sz="0" w:space="0" w:color="auto"/>
        <w:right w:val="none" w:sz="0" w:space="0" w:color="auto"/>
      </w:divBdr>
    </w:div>
    <w:div w:id="222564530">
      <w:bodyDiv w:val="1"/>
      <w:marLeft w:val="0"/>
      <w:marRight w:val="0"/>
      <w:marTop w:val="0"/>
      <w:marBottom w:val="0"/>
      <w:divBdr>
        <w:top w:val="none" w:sz="0" w:space="0" w:color="auto"/>
        <w:left w:val="none" w:sz="0" w:space="0" w:color="auto"/>
        <w:bottom w:val="none" w:sz="0" w:space="0" w:color="auto"/>
        <w:right w:val="none" w:sz="0" w:space="0" w:color="auto"/>
      </w:divBdr>
    </w:div>
    <w:div w:id="418140199">
      <w:bodyDiv w:val="1"/>
      <w:marLeft w:val="0"/>
      <w:marRight w:val="0"/>
      <w:marTop w:val="0"/>
      <w:marBottom w:val="0"/>
      <w:divBdr>
        <w:top w:val="none" w:sz="0" w:space="0" w:color="auto"/>
        <w:left w:val="none" w:sz="0" w:space="0" w:color="auto"/>
        <w:bottom w:val="none" w:sz="0" w:space="0" w:color="auto"/>
        <w:right w:val="none" w:sz="0" w:space="0" w:color="auto"/>
      </w:divBdr>
    </w:div>
    <w:div w:id="524559694">
      <w:bodyDiv w:val="1"/>
      <w:marLeft w:val="0"/>
      <w:marRight w:val="0"/>
      <w:marTop w:val="0"/>
      <w:marBottom w:val="0"/>
      <w:divBdr>
        <w:top w:val="none" w:sz="0" w:space="0" w:color="auto"/>
        <w:left w:val="none" w:sz="0" w:space="0" w:color="auto"/>
        <w:bottom w:val="none" w:sz="0" w:space="0" w:color="auto"/>
        <w:right w:val="none" w:sz="0" w:space="0" w:color="auto"/>
      </w:divBdr>
    </w:div>
    <w:div w:id="546647380">
      <w:bodyDiv w:val="1"/>
      <w:marLeft w:val="0"/>
      <w:marRight w:val="0"/>
      <w:marTop w:val="0"/>
      <w:marBottom w:val="0"/>
      <w:divBdr>
        <w:top w:val="none" w:sz="0" w:space="0" w:color="auto"/>
        <w:left w:val="none" w:sz="0" w:space="0" w:color="auto"/>
        <w:bottom w:val="none" w:sz="0" w:space="0" w:color="auto"/>
        <w:right w:val="none" w:sz="0" w:space="0" w:color="auto"/>
      </w:divBdr>
    </w:div>
    <w:div w:id="569461961">
      <w:bodyDiv w:val="1"/>
      <w:marLeft w:val="0"/>
      <w:marRight w:val="0"/>
      <w:marTop w:val="0"/>
      <w:marBottom w:val="0"/>
      <w:divBdr>
        <w:top w:val="none" w:sz="0" w:space="0" w:color="auto"/>
        <w:left w:val="none" w:sz="0" w:space="0" w:color="auto"/>
        <w:bottom w:val="none" w:sz="0" w:space="0" w:color="auto"/>
        <w:right w:val="none" w:sz="0" w:space="0" w:color="auto"/>
      </w:divBdr>
      <w:divsChild>
        <w:div w:id="1120302481">
          <w:marLeft w:val="0"/>
          <w:marRight w:val="0"/>
          <w:marTop w:val="0"/>
          <w:marBottom w:val="0"/>
          <w:divBdr>
            <w:top w:val="none" w:sz="0" w:space="0" w:color="auto"/>
            <w:left w:val="none" w:sz="0" w:space="0" w:color="auto"/>
            <w:bottom w:val="none" w:sz="0" w:space="0" w:color="auto"/>
            <w:right w:val="none" w:sz="0" w:space="0" w:color="auto"/>
          </w:divBdr>
          <w:divsChild>
            <w:div w:id="1956477549">
              <w:marLeft w:val="0"/>
              <w:marRight w:val="0"/>
              <w:marTop w:val="0"/>
              <w:marBottom w:val="0"/>
              <w:divBdr>
                <w:top w:val="none" w:sz="0" w:space="0" w:color="auto"/>
                <w:left w:val="none" w:sz="0" w:space="0" w:color="auto"/>
                <w:bottom w:val="none" w:sz="0" w:space="0" w:color="auto"/>
                <w:right w:val="none" w:sz="0" w:space="0" w:color="auto"/>
              </w:divBdr>
              <w:divsChild>
                <w:div w:id="1731347327">
                  <w:marLeft w:val="0"/>
                  <w:marRight w:val="0"/>
                  <w:marTop w:val="0"/>
                  <w:marBottom w:val="0"/>
                  <w:divBdr>
                    <w:top w:val="none" w:sz="0" w:space="0" w:color="auto"/>
                    <w:left w:val="none" w:sz="0" w:space="0" w:color="auto"/>
                    <w:bottom w:val="none" w:sz="0" w:space="0" w:color="auto"/>
                    <w:right w:val="none" w:sz="0" w:space="0" w:color="auto"/>
                  </w:divBdr>
                  <w:divsChild>
                    <w:div w:id="571160876">
                      <w:marLeft w:val="0"/>
                      <w:marRight w:val="0"/>
                      <w:marTop w:val="0"/>
                      <w:marBottom w:val="0"/>
                      <w:divBdr>
                        <w:top w:val="none" w:sz="0" w:space="0" w:color="auto"/>
                        <w:left w:val="none" w:sz="0" w:space="0" w:color="auto"/>
                        <w:bottom w:val="none" w:sz="0" w:space="0" w:color="auto"/>
                        <w:right w:val="none" w:sz="0" w:space="0" w:color="auto"/>
                      </w:divBdr>
                      <w:divsChild>
                        <w:div w:id="122402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0231260">
      <w:bodyDiv w:val="1"/>
      <w:marLeft w:val="0"/>
      <w:marRight w:val="0"/>
      <w:marTop w:val="0"/>
      <w:marBottom w:val="0"/>
      <w:divBdr>
        <w:top w:val="none" w:sz="0" w:space="0" w:color="auto"/>
        <w:left w:val="none" w:sz="0" w:space="0" w:color="auto"/>
        <w:bottom w:val="none" w:sz="0" w:space="0" w:color="auto"/>
        <w:right w:val="none" w:sz="0" w:space="0" w:color="auto"/>
      </w:divBdr>
    </w:div>
    <w:div w:id="791247557">
      <w:bodyDiv w:val="1"/>
      <w:marLeft w:val="0"/>
      <w:marRight w:val="0"/>
      <w:marTop w:val="0"/>
      <w:marBottom w:val="0"/>
      <w:divBdr>
        <w:top w:val="none" w:sz="0" w:space="0" w:color="auto"/>
        <w:left w:val="none" w:sz="0" w:space="0" w:color="auto"/>
        <w:bottom w:val="none" w:sz="0" w:space="0" w:color="auto"/>
        <w:right w:val="none" w:sz="0" w:space="0" w:color="auto"/>
      </w:divBdr>
    </w:div>
    <w:div w:id="880094011">
      <w:bodyDiv w:val="1"/>
      <w:marLeft w:val="0"/>
      <w:marRight w:val="0"/>
      <w:marTop w:val="0"/>
      <w:marBottom w:val="0"/>
      <w:divBdr>
        <w:top w:val="none" w:sz="0" w:space="0" w:color="auto"/>
        <w:left w:val="none" w:sz="0" w:space="0" w:color="auto"/>
        <w:bottom w:val="none" w:sz="0" w:space="0" w:color="auto"/>
        <w:right w:val="none" w:sz="0" w:space="0" w:color="auto"/>
      </w:divBdr>
    </w:div>
    <w:div w:id="883252505">
      <w:bodyDiv w:val="1"/>
      <w:marLeft w:val="0"/>
      <w:marRight w:val="0"/>
      <w:marTop w:val="0"/>
      <w:marBottom w:val="0"/>
      <w:divBdr>
        <w:top w:val="none" w:sz="0" w:space="0" w:color="auto"/>
        <w:left w:val="none" w:sz="0" w:space="0" w:color="auto"/>
        <w:bottom w:val="none" w:sz="0" w:space="0" w:color="auto"/>
        <w:right w:val="none" w:sz="0" w:space="0" w:color="auto"/>
      </w:divBdr>
    </w:div>
    <w:div w:id="959914900">
      <w:bodyDiv w:val="1"/>
      <w:marLeft w:val="0"/>
      <w:marRight w:val="0"/>
      <w:marTop w:val="0"/>
      <w:marBottom w:val="0"/>
      <w:divBdr>
        <w:top w:val="none" w:sz="0" w:space="0" w:color="auto"/>
        <w:left w:val="none" w:sz="0" w:space="0" w:color="auto"/>
        <w:bottom w:val="none" w:sz="0" w:space="0" w:color="auto"/>
        <w:right w:val="none" w:sz="0" w:space="0" w:color="auto"/>
      </w:divBdr>
    </w:div>
    <w:div w:id="961110432">
      <w:bodyDiv w:val="1"/>
      <w:marLeft w:val="0"/>
      <w:marRight w:val="0"/>
      <w:marTop w:val="0"/>
      <w:marBottom w:val="0"/>
      <w:divBdr>
        <w:top w:val="none" w:sz="0" w:space="0" w:color="auto"/>
        <w:left w:val="none" w:sz="0" w:space="0" w:color="auto"/>
        <w:bottom w:val="none" w:sz="0" w:space="0" w:color="auto"/>
        <w:right w:val="none" w:sz="0" w:space="0" w:color="auto"/>
      </w:divBdr>
    </w:div>
    <w:div w:id="1084495803">
      <w:bodyDiv w:val="1"/>
      <w:marLeft w:val="0"/>
      <w:marRight w:val="0"/>
      <w:marTop w:val="0"/>
      <w:marBottom w:val="0"/>
      <w:divBdr>
        <w:top w:val="none" w:sz="0" w:space="0" w:color="auto"/>
        <w:left w:val="none" w:sz="0" w:space="0" w:color="auto"/>
        <w:bottom w:val="none" w:sz="0" w:space="0" w:color="auto"/>
        <w:right w:val="none" w:sz="0" w:space="0" w:color="auto"/>
      </w:divBdr>
    </w:div>
    <w:div w:id="1101877015">
      <w:bodyDiv w:val="1"/>
      <w:marLeft w:val="0"/>
      <w:marRight w:val="0"/>
      <w:marTop w:val="0"/>
      <w:marBottom w:val="0"/>
      <w:divBdr>
        <w:top w:val="none" w:sz="0" w:space="0" w:color="auto"/>
        <w:left w:val="none" w:sz="0" w:space="0" w:color="auto"/>
        <w:bottom w:val="none" w:sz="0" w:space="0" w:color="auto"/>
        <w:right w:val="none" w:sz="0" w:space="0" w:color="auto"/>
      </w:divBdr>
    </w:div>
    <w:div w:id="1319312139">
      <w:bodyDiv w:val="1"/>
      <w:marLeft w:val="0"/>
      <w:marRight w:val="0"/>
      <w:marTop w:val="0"/>
      <w:marBottom w:val="0"/>
      <w:divBdr>
        <w:top w:val="none" w:sz="0" w:space="0" w:color="auto"/>
        <w:left w:val="none" w:sz="0" w:space="0" w:color="auto"/>
        <w:bottom w:val="none" w:sz="0" w:space="0" w:color="auto"/>
        <w:right w:val="none" w:sz="0" w:space="0" w:color="auto"/>
      </w:divBdr>
    </w:div>
    <w:div w:id="1344937457">
      <w:bodyDiv w:val="1"/>
      <w:marLeft w:val="0"/>
      <w:marRight w:val="0"/>
      <w:marTop w:val="0"/>
      <w:marBottom w:val="0"/>
      <w:divBdr>
        <w:top w:val="none" w:sz="0" w:space="0" w:color="auto"/>
        <w:left w:val="none" w:sz="0" w:space="0" w:color="auto"/>
        <w:bottom w:val="none" w:sz="0" w:space="0" w:color="auto"/>
        <w:right w:val="none" w:sz="0" w:space="0" w:color="auto"/>
      </w:divBdr>
    </w:div>
    <w:div w:id="1449008837">
      <w:bodyDiv w:val="1"/>
      <w:marLeft w:val="0"/>
      <w:marRight w:val="0"/>
      <w:marTop w:val="0"/>
      <w:marBottom w:val="0"/>
      <w:divBdr>
        <w:top w:val="none" w:sz="0" w:space="0" w:color="auto"/>
        <w:left w:val="none" w:sz="0" w:space="0" w:color="auto"/>
        <w:bottom w:val="none" w:sz="0" w:space="0" w:color="auto"/>
        <w:right w:val="none" w:sz="0" w:space="0" w:color="auto"/>
      </w:divBdr>
    </w:div>
    <w:div w:id="1522086662">
      <w:bodyDiv w:val="1"/>
      <w:marLeft w:val="0"/>
      <w:marRight w:val="0"/>
      <w:marTop w:val="0"/>
      <w:marBottom w:val="0"/>
      <w:divBdr>
        <w:top w:val="none" w:sz="0" w:space="0" w:color="auto"/>
        <w:left w:val="none" w:sz="0" w:space="0" w:color="auto"/>
        <w:bottom w:val="none" w:sz="0" w:space="0" w:color="auto"/>
        <w:right w:val="none" w:sz="0" w:space="0" w:color="auto"/>
      </w:divBdr>
    </w:div>
    <w:div w:id="1530098487">
      <w:bodyDiv w:val="1"/>
      <w:marLeft w:val="0"/>
      <w:marRight w:val="0"/>
      <w:marTop w:val="0"/>
      <w:marBottom w:val="0"/>
      <w:divBdr>
        <w:top w:val="none" w:sz="0" w:space="0" w:color="auto"/>
        <w:left w:val="none" w:sz="0" w:space="0" w:color="auto"/>
        <w:bottom w:val="none" w:sz="0" w:space="0" w:color="auto"/>
        <w:right w:val="none" w:sz="0" w:space="0" w:color="auto"/>
      </w:divBdr>
    </w:div>
    <w:div w:id="1833640235">
      <w:bodyDiv w:val="1"/>
      <w:marLeft w:val="0"/>
      <w:marRight w:val="0"/>
      <w:marTop w:val="0"/>
      <w:marBottom w:val="0"/>
      <w:divBdr>
        <w:top w:val="none" w:sz="0" w:space="0" w:color="auto"/>
        <w:left w:val="none" w:sz="0" w:space="0" w:color="auto"/>
        <w:bottom w:val="none" w:sz="0" w:space="0" w:color="auto"/>
        <w:right w:val="none" w:sz="0" w:space="0" w:color="auto"/>
      </w:divBdr>
    </w:div>
    <w:div w:id="1867252265">
      <w:bodyDiv w:val="1"/>
      <w:marLeft w:val="0"/>
      <w:marRight w:val="0"/>
      <w:marTop w:val="0"/>
      <w:marBottom w:val="0"/>
      <w:divBdr>
        <w:top w:val="none" w:sz="0" w:space="0" w:color="auto"/>
        <w:left w:val="none" w:sz="0" w:space="0" w:color="auto"/>
        <w:bottom w:val="none" w:sz="0" w:space="0" w:color="auto"/>
        <w:right w:val="none" w:sz="0" w:space="0" w:color="auto"/>
      </w:divBdr>
    </w:div>
    <w:div w:id="1937589991">
      <w:bodyDiv w:val="1"/>
      <w:marLeft w:val="0"/>
      <w:marRight w:val="0"/>
      <w:marTop w:val="0"/>
      <w:marBottom w:val="0"/>
      <w:divBdr>
        <w:top w:val="none" w:sz="0" w:space="0" w:color="auto"/>
        <w:left w:val="none" w:sz="0" w:space="0" w:color="auto"/>
        <w:bottom w:val="none" w:sz="0" w:space="0" w:color="auto"/>
        <w:right w:val="none" w:sz="0" w:space="0" w:color="auto"/>
      </w:divBdr>
      <w:divsChild>
        <w:div w:id="347946636">
          <w:marLeft w:val="0"/>
          <w:marRight w:val="0"/>
          <w:marTop w:val="0"/>
          <w:marBottom w:val="0"/>
          <w:divBdr>
            <w:top w:val="none" w:sz="0" w:space="0" w:color="auto"/>
            <w:left w:val="none" w:sz="0" w:space="0" w:color="auto"/>
            <w:bottom w:val="none" w:sz="0" w:space="0" w:color="auto"/>
            <w:right w:val="none" w:sz="0" w:space="0" w:color="auto"/>
          </w:divBdr>
          <w:divsChild>
            <w:div w:id="1930192970">
              <w:marLeft w:val="0"/>
              <w:marRight w:val="0"/>
              <w:marTop w:val="0"/>
              <w:marBottom w:val="0"/>
              <w:divBdr>
                <w:top w:val="none" w:sz="0" w:space="0" w:color="auto"/>
                <w:left w:val="none" w:sz="0" w:space="0" w:color="auto"/>
                <w:bottom w:val="none" w:sz="0" w:space="0" w:color="auto"/>
                <w:right w:val="none" w:sz="0" w:space="0" w:color="auto"/>
              </w:divBdr>
              <w:divsChild>
                <w:div w:id="177740595">
                  <w:marLeft w:val="0"/>
                  <w:marRight w:val="0"/>
                  <w:marTop w:val="0"/>
                  <w:marBottom w:val="0"/>
                  <w:divBdr>
                    <w:top w:val="none" w:sz="0" w:space="0" w:color="auto"/>
                    <w:left w:val="none" w:sz="0" w:space="0" w:color="auto"/>
                    <w:bottom w:val="none" w:sz="0" w:space="0" w:color="auto"/>
                    <w:right w:val="none" w:sz="0" w:space="0" w:color="auto"/>
                  </w:divBdr>
                  <w:divsChild>
                    <w:div w:id="326832500">
                      <w:marLeft w:val="0"/>
                      <w:marRight w:val="0"/>
                      <w:marTop w:val="0"/>
                      <w:marBottom w:val="0"/>
                      <w:divBdr>
                        <w:top w:val="none" w:sz="0" w:space="0" w:color="auto"/>
                        <w:left w:val="none" w:sz="0" w:space="0" w:color="auto"/>
                        <w:bottom w:val="none" w:sz="0" w:space="0" w:color="auto"/>
                        <w:right w:val="none" w:sz="0" w:space="0" w:color="auto"/>
                      </w:divBdr>
                      <w:divsChild>
                        <w:div w:id="76049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5335212">
      <w:bodyDiv w:val="1"/>
      <w:marLeft w:val="0"/>
      <w:marRight w:val="0"/>
      <w:marTop w:val="0"/>
      <w:marBottom w:val="0"/>
      <w:divBdr>
        <w:top w:val="none" w:sz="0" w:space="0" w:color="auto"/>
        <w:left w:val="none" w:sz="0" w:space="0" w:color="auto"/>
        <w:bottom w:val="none" w:sz="0" w:space="0" w:color="auto"/>
        <w:right w:val="none" w:sz="0" w:space="0" w:color="auto"/>
      </w:divBdr>
    </w:div>
    <w:div w:id="2072339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21" Type="http://schemas.microsoft.com/office/2018/08/relationships/commentsExtensible" Target="commentsExtensi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wmf"/><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207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D82BA7-441E-4E56-AEC3-D5809F0A1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48</Pages>
  <Words>15614</Words>
  <Characters>89002</Characters>
  <Application>Microsoft Office Word</Application>
  <DocSecurity>0</DocSecurity>
  <Lines>741</Lines>
  <Paragraphs>208</Paragraphs>
  <ScaleCrop>false</ScaleCrop>
  <Company/>
  <LinksUpToDate>false</LinksUpToDate>
  <CharactersWithSpaces>104408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埃克替尼对比吉西他滨/顺铂新辅助治疗IIIA-N2期</dc:title>
  <dc:creator>微软用户</dc:creator>
  <cp:lastModifiedBy>Nick</cp:lastModifiedBy>
  <cp:revision>311</cp:revision>
  <cp:lastPrinted>2024-07-03T12:24:00Z</cp:lastPrinted>
  <dcterms:created xsi:type="dcterms:W3CDTF">2024-06-27T08:17:00Z</dcterms:created>
  <dcterms:modified xsi:type="dcterms:W3CDTF">2024-07-04T02:08:00Z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9C9AB145947B41FB8AFFDFE80A29DBED_13</vt:lpwstr>
  </property>
</Properties>
</file>