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D3894D" w14:textId="77777777" w:rsidR="00BE0099" w:rsidRPr="00F84520" w:rsidRDefault="00BE0099" w:rsidP="00BE0099">
      <w:pPr>
        <w:jc w:val="center"/>
        <w:rPr>
          <w:sz w:val="36"/>
          <w:szCs w:val="36"/>
        </w:rPr>
      </w:pPr>
      <w:r w:rsidRPr="00F84520">
        <w:rPr>
          <w:sz w:val="36"/>
          <w:szCs w:val="36"/>
        </w:rPr>
        <w:t>Supplementary Materials for</w:t>
      </w:r>
    </w:p>
    <w:p w14:paraId="4D471208" w14:textId="77777777" w:rsidR="00BE0099" w:rsidRPr="00F84520" w:rsidRDefault="00BE0099" w:rsidP="00BE0099"/>
    <w:p w14:paraId="738A0EFB" w14:textId="77777777" w:rsidR="00D1293F" w:rsidRDefault="00D1293F" w:rsidP="00D1293F">
      <w:pPr>
        <w:pStyle w:val="Head"/>
      </w:pPr>
      <w:bookmarkStart w:id="0" w:name="_Hlk63291692"/>
      <w:r>
        <w:t>Charging Dynamic of Graphene Oxide-Water Interface Dominated by Sulfate Groups</w:t>
      </w:r>
    </w:p>
    <w:p w14:paraId="1B67696D" w14:textId="77777777" w:rsidR="00BE0099" w:rsidRPr="00F05E49" w:rsidRDefault="00BE0099" w:rsidP="00BE0099">
      <w:pPr>
        <w:pStyle w:val="Head"/>
      </w:pPr>
    </w:p>
    <w:p w14:paraId="69444A05" w14:textId="77777777" w:rsidR="00BE0099" w:rsidRPr="007250A8" w:rsidRDefault="00BE0099" w:rsidP="00BE0099">
      <w:pPr>
        <w:spacing w:line="360" w:lineRule="auto"/>
        <w:jc w:val="center"/>
      </w:pPr>
      <w:bookmarkStart w:id="1" w:name="_Hlk63651208"/>
      <w:bookmarkStart w:id="2" w:name="_Hlk63651187"/>
      <w:r w:rsidRPr="007250A8">
        <w:t xml:space="preserve">Mohsen Moazzami Gudarzi </w:t>
      </w:r>
      <w:r w:rsidRPr="007250A8">
        <w:rPr>
          <w:vertAlign w:val="superscript"/>
        </w:rPr>
        <w:t>1,2†*</w:t>
      </w:r>
      <w:r w:rsidRPr="007250A8">
        <w:t xml:space="preserve">, Mohamad Ali Sanjari Shahrezaei </w:t>
      </w:r>
      <w:r w:rsidRPr="007250A8">
        <w:rPr>
          <w:vertAlign w:val="superscript"/>
        </w:rPr>
        <w:t>3†</w:t>
      </w:r>
      <w:r w:rsidRPr="007250A8">
        <w:t>, Mohammad Hosseini</w:t>
      </w:r>
      <w:r w:rsidRPr="007250A8">
        <w:rPr>
          <w:vertAlign w:val="superscript"/>
        </w:rPr>
        <w:t xml:space="preserve"> 3 </w:t>
      </w:r>
      <w:r w:rsidRPr="007250A8">
        <w:t xml:space="preserve">, Seyed Hamed Aboutalebi </w:t>
      </w:r>
      <w:r w:rsidRPr="007250A8">
        <w:rPr>
          <w:vertAlign w:val="superscript"/>
        </w:rPr>
        <w:t>3,4*</w:t>
      </w:r>
    </w:p>
    <w:p w14:paraId="7BD89055" w14:textId="77777777" w:rsidR="00BE0099" w:rsidRPr="00F05E49" w:rsidRDefault="00BE0099" w:rsidP="00BE0099">
      <w:pPr>
        <w:jc w:val="both"/>
      </w:pPr>
      <w:bookmarkStart w:id="3" w:name="_Hlk63651307"/>
      <w:bookmarkEnd w:id="1"/>
      <w:r w:rsidRPr="00F05E49">
        <w:rPr>
          <w:vertAlign w:val="superscript"/>
        </w:rPr>
        <w:t xml:space="preserve">1 </w:t>
      </w:r>
      <w:r w:rsidRPr="006E32A2">
        <w:t>National Graphene Institute, University of Manchester, Manchester, M13 9PL UK</w:t>
      </w:r>
    </w:p>
    <w:p w14:paraId="3E260A02" w14:textId="77777777" w:rsidR="00BE0099" w:rsidRPr="00F05E49" w:rsidRDefault="00BE0099" w:rsidP="00BE0099">
      <w:pPr>
        <w:pStyle w:val="Paragraph"/>
        <w:ind w:firstLine="0"/>
        <w:rPr>
          <w:sz w:val="22"/>
          <w:szCs w:val="22"/>
        </w:rPr>
      </w:pPr>
      <w:r w:rsidRPr="00F05E49">
        <w:rPr>
          <w:sz w:val="22"/>
          <w:szCs w:val="22"/>
          <w:vertAlign w:val="superscript"/>
        </w:rPr>
        <w:t>2</w:t>
      </w:r>
      <w:r w:rsidRPr="00F05E49">
        <w:rPr>
          <w:sz w:val="22"/>
          <w:szCs w:val="22"/>
        </w:rPr>
        <w:t xml:space="preserve"> </w:t>
      </w:r>
      <w:r w:rsidRPr="006E32A2">
        <w:rPr>
          <w:sz w:val="22"/>
          <w:szCs w:val="22"/>
        </w:rPr>
        <w:t>Department of Physics and Astronomy, School of Natural Sciences, The University of Manchester, Manchester, M13 9PL UK</w:t>
      </w:r>
      <w:bookmarkStart w:id="4" w:name="_GoBack"/>
      <w:bookmarkEnd w:id="4"/>
    </w:p>
    <w:p w14:paraId="545AD5C1" w14:textId="77777777" w:rsidR="00BE0099" w:rsidRPr="00F05E49" w:rsidRDefault="00BE0099" w:rsidP="00BE0099">
      <w:pPr>
        <w:pStyle w:val="Paragraph"/>
        <w:ind w:firstLine="0"/>
        <w:rPr>
          <w:sz w:val="22"/>
          <w:szCs w:val="22"/>
        </w:rPr>
      </w:pPr>
      <w:r w:rsidRPr="00F05E49">
        <w:rPr>
          <w:sz w:val="22"/>
          <w:szCs w:val="22"/>
          <w:vertAlign w:val="superscript"/>
        </w:rPr>
        <w:t>3</w:t>
      </w:r>
      <w:r w:rsidRPr="00F05E49">
        <w:rPr>
          <w:sz w:val="22"/>
          <w:szCs w:val="22"/>
        </w:rPr>
        <w:t xml:space="preserve"> Condensed Matter National Laboratory, Institute for Research in Fundamental Sciences</w:t>
      </w:r>
      <w:r>
        <w:rPr>
          <w:sz w:val="22"/>
          <w:szCs w:val="22"/>
        </w:rPr>
        <w:t xml:space="preserve"> (IPM)</w:t>
      </w:r>
      <w:r w:rsidRPr="00F05E49">
        <w:rPr>
          <w:sz w:val="22"/>
          <w:szCs w:val="22"/>
        </w:rPr>
        <w:t>, Tehran, 19395-5531, Iran</w:t>
      </w:r>
    </w:p>
    <w:p w14:paraId="3BC71D96" w14:textId="77777777" w:rsidR="00BE0099" w:rsidRPr="00F05E49" w:rsidRDefault="00BE0099" w:rsidP="00BE0099">
      <w:pPr>
        <w:pStyle w:val="Paragraph"/>
        <w:ind w:firstLine="0"/>
        <w:rPr>
          <w:sz w:val="22"/>
          <w:szCs w:val="22"/>
        </w:rPr>
      </w:pPr>
      <w:r w:rsidRPr="00F05E49">
        <w:rPr>
          <w:sz w:val="22"/>
          <w:szCs w:val="22"/>
          <w:vertAlign w:val="superscript"/>
        </w:rPr>
        <w:t xml:space="preserve">4 </w:t>
      </w:r>
      <w:r w:rsidRPr="00B241E8">
        <w:rPr>
          <w:sz w:val="22"/>
          <w:szCs w:val="22"/>
        </w:rPr>
        <w:t>Institute for Superconducting and Electronic Materials, AIIM Facility, Innovation Campus, University of Wollongong, North Wollongong, NSW</w:t>
      </w:r>
      <w:r>
        <w:rPr>
          <w:sz w:val="22"/>
          <w:szCs w:val="22"/>
        </w:rPr>
        <w:t>,</w:t>
      </w:r>
      <w:r w:rsidRPr="00B241E8">
        <w:rPr>
          <w:sz w:val="22"/>
          <w:szCs w:val="22"/>
        </w:rPr>
        <w:t xml:space="preserve"> 2522, Australia</w:t>
      </w:r>
    </w:p>
    <w:bookmarkEnd w:id="0"/>
    <w:p w14:paraId="60C6E07A" w14:textId="77777777" w:rsidR="00BE0099" w:rsidRDefault="00BE0099" w:rsidP="00BE0099">
      <w:pPr>
        <w:pStyle w:val="Paragraph"/>
        <w:ind w:firstLine="0"/>
      </w:pPr>
      <w:r>
        <w:t xml:space="preserve">*Correspondence to: </w:t>
      </w:r>
      <w:r w:rsidRPr="00320CC9">
        <w:t>mohsen.moazzamigudarzi@manchester.ac.uk, sha942@uowmail.edu.au</w:t>
      </w:r>
    </w:p>
    <w:bookmarkEnd w:id="2"/>
    <w:bookmarkEnd w:id="3"/>
    <w:p w14:paraId="489E921E" w14:textId="77777777" w:rsidR="00BE0099" w:rsidRPr="00F84520" w:rsidRDefault="00BE0099" w:rsidP="00BE0099">
      <w:pPr>
        <w:rPr>
          <w:b/>
        </w:rPr>
      </w:pPr>
    </w:p>
    <w:p w14:paraId="06587506" w14:textId="77777777" w:rsidR="00BE0099" w:rsidRPr="00BF66C6" w:rsidRDefault="00BE0099" w:rsidP="00BE0099">
      <w:pPr>
        <w:rPr>
          <w:b/>
        </w:rPr>
      </w:pPr>
      <w:r w:rsidRPr="00F84520">
        <w:rPr>
          <w:b/>
        </w:rPr>
        <w:t>This PDF file includes:</w:t>
      </w:r>
    </w:p>
    <w:p w14:paraId="0A8E1EC8" w14:textId="77777777" w:rsidR="00BE0099" w:rsidRPr="0026473D" w:rsidRDefault="00BE0099" w:rsidP="00BE0099">
      <w:pPr>
        <w:ind w:left="720"/>
        <w:rPr>
          <w:rFonts w:asciiTheme="majorBidi" w:hAnsiTheme="majorBidi" w:cstheme="majorBidi"/>
          <w:szCs w:val="24"/>
        </w:rPr>
      </w:pPr>
      <w:r w:rsidRPr="0026473D">
        <w:rPr>
          <w:rFonts w:asciiTheme="majorBidi" w:hAnsiTheme="majorBidi" w:cstheme="majorBidi"/>
          <w:szCs w:val="24"/>
        </w:rPr>
        <w:t>Supplementary Text</w:t>
      </w:r>
    </w:p>
    <w:p w14:paraId="093F8998" w14:textId="77777777" w:rsidR="00BE0099" w:rsidRPr="0026473D" w:rsidRDefault="00BE0099" w:rsidP="00BE0099">
      <w:pPr>
        <w:ind w:left="720"/>
        <w:rPr>
          <w:rFonts w:asciiTheme="majorBidi" w:hAnsiTheme="majorBidi" w:cstheme="majorBidi"/>
          <w:szCs w:val="24"/>
        </w:rPr>
      </w:pPr>
      <w:r w:rsidRPr="0026473D">
        <w:rPr>
          <w:rFonts w:asciiTheme="majorBidi" w:hAnsiTheme="majorBidi" w:cstheme="majorBidi"/>
          <w:szCs w:val="24"/>
        </w:rPr>
        <w:t>Figs. S1 to S6</w:t>
      </w:r>
    </w:p>
    <w:p w14:paraId="658E42C4" w14:textId="77777777" w:rsidR="00BE0099" w:rsidRPr="0026473D" w:rsidRDefault="00BE0099" w:rsidP="00BE0099">
      <w:pPr>
        <w:ind w:left="720"/>
        <w:rPr>
          <w:rFonts w:asciiTheme="majorBidi" w:hAnsiTheme="majorBidi" w:cstheme="majorBidi"/>
          <w:szCs w:val="24"/>
        </w:rPr>
      </w:pPr>
      <w:r w:rsidRPr="0026473D">
        <w:rPr>
          <w:rFonts w:asciiTheme="majorBidi" w:hAnsiTheme="majorBidi" w:cstheme="majorBidi"/>
          <w:szCs w:val="24"/>
        </w:rPr>
        <w:t>Tables S1 to S2</w:t>
      </w:r>
    </w:p>
    <w:p w14:paraId="1DA43C09" w14:textId="77777777" w:rsidR="00BE0099" w:rsidRPr="0026473D" w:rsidRDefault="00BE0099" w:rsidP="00BE0099">
      <w:pPr>
        <w:ind w:left="720"/>
        <w:rPr>
          <w:rFonts w:asciiTheme="majorBidi" w:hAnsiTheme="majorBidi" w:cstheme="majorBidi"/>
          <w:szCs w:val="24"/>
        </w:rPr>
      </w:pPr>
      <w:r w:rsidRPr="0026473D">
        <w:rPr>
          <w:rFonts w:asciiTheme="majorBidi" w:hAnsiTheme="majorBidi" w:cstheme="majorBidi"/>
          <w:szCs w:val="24"/>
        </w:rPr>
        <w:t>References (1 to 54)</w:t>
      </w:r>
    </w:p>
    <w:p w14:paraId="4B448789" w14:textId="77777777" w:rsidR="002C030F" w:rsidRPr="009C4C93" w:rsidRDefault="002C030F">
      <w:pPr>
        <w:rPr>
          <w:rFonts w:asciiTheme="majorBidi" w:hAnsiTheme="majorBidi" w:cstheme="majorBidi"/>
          <w:szCs w:val="24"/>
          <w:highlight w:val="yellow"/>
        </w:rPr>
      </w:pPr>
    </w:p>
    <w:p w14:paraId="7F6E0C41" w14:textId="0F8B2446" w:rsidR="00355362" w:rsidRPr="009C4C93" w:rsidRDefault="00355362" w:rsidP="009A7C5F">
      <w:pPr>
        <w:pStyle w:val="SMHeading"/>
        <w:rPr>
          <w:rFonts w:asciiTheme="majorBidi" w:hAnsiTheme="majorBidi" w:cstheme="majorBidi"/>
        </w:rPr>
      </w:pPr>
      <w:bookmarkStart w:id="5" w:name="Tables"/>
      <w:bookmarkStart w:id="6" w:name="MaterialsMethods"/>
      <w:bookmarkEnd w:id="5"/>
      <w:bookmarkEnd w:id="6"/>
    </w:p>
    <w:p w14:paraId="56F29DC2" w14:textId="77777777" w:rsidR="008218C4" w:rsidRPr="009C4C93" w:rsidRDefault="008218C4" w:rsidP="009A5287">
      <w:pPr>
        <w:pStyle w:val="SMText"/>
        <w:ind w:firstLine="0"/>
        <w:rPr>
          <w:rFonts w:asciiTheme="majorBidi" w:hAnsiTheme="majorBidi" w:cstheme="majorBidi"/>
          <w:szCs w:val="24"/>
        </w:rPr>
      </w:pPr>
    </w:p>
    <w:p w14:paraId="12923ABF" w14:textId="77777777" w:rsidR="00015F74" w:rsidRPr="009C4C93" w:rsidRDefault="00BB2D2A" w:rsidP="00B9440A">
      <w:pPr>
        <w:pStyle w:val="SMHeading"/>
        <w:rPr>
          <w:rFonts w:asciiTheme="majorBidi" w:hAnsiTheme="majorBidi" w:cstheme="majorBidi"/>
        </w:rPr>
      </w:pPr>
      <w:r w:rsidRPr="009C4C93">
        <w:rPr>
          <w:rFonts w:asciiTheme="majorBidi" w:hAnsiTheme="majorBidi" w:cstheme="majorBidi"/>
        </w:rPr>
        <w:lastRenderedPageBreak/>
        <w:t>Supplementary</w:t>
      </w:r>
      <w:r w:rsidR="00015F74" w:rsidRPr="009C4C93">
        <w:rPr>
          <w:rFonts w:asciiTheme="majorBidi" w:hAnsiTheme="majorBidi" w:cstheme="majorBidi"/>
        </w:rPr>
        <w:t xml:space="preserve"> Text</w:t>
      </w:r>
    </w:p>
    <w:p w14:paraId="46BCA886" w14:textId="77777777" w:rsidR="009C4C93" w:rsidRPr="009C4C93" w:rsidRDefault="009C4C93" w:rsidP="00B9440A">
      <w:pPr>
        <w:pStyle w:val="SMHeading"/>
        <w:rPr>
          <w:rFonts w:asciiTheme="majorBidi" w:hAnsiTheme="majorBidi" w:cstheme="majorBidi"/>
        </w:rPr>
      </w:pPr>
    </w:p>
    <w:p w14:paraId="29D453A1" w14:textId="3D199FD9" w:rsidR="009A5287" w:rsidRPr="009C4C93" w:rsidRDefault="009C4C93" w:rsidP="00B9440A">
      <w:pPr>
        <w:pStyle w:val="SMText"/>
        <w:rPr>
          <w:rFonts w:asciiTheme="majorBidi" w:hAnsiTheme="majorBidi" w:cstheme="majorBidi"/>
          <w:szCs w:val="24"/>
        </w:rPr>
      </w:pPr>
      <w:r w:rsidRPr="009C4C93">
        <w:rPr>
          <w:rFonts w:asciiTheme="majorBidi" w:hAnsiTheme="majorBidi" w:cstheme="majorBidi"/>
          <w:b/>
          <w:bCs/>
          <w:noProof/>
          <w:color w:val="000000"/>
          <w:szCs w:val="24"/>
          <w:lang w:val="en-GB" w:eastAsia="en-GB"/>
        </w:rPr>
        <w:drawing>
          <wp:inline distT="0" distB="0" distL="0" distR="0" wp14:anchorId="1B16178F" wp14:editId="3992869E">
            <wp:extent cx="5040000" cy="3374082"/>
            <wp:effectExtent l="0" t="0" r="0" b="0"/>
            <wp:docPr id="1" name="Picture 1" descr="C:\Users\lab\The University of Manchester Dropbox\mohsen moazzami gudarzi\Mohsen's data\Papers\Ali's paper 2nd\figures\Figure S1.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The University of Manchester Dropbox\mohsen moazzami gudarzi\Mohsen's data\Papers\Ali's paper 2nd\figures\Figure S1.e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40000" cy="3374082"/>
                    </a:xfrm>
                    <a:prstGeom prst="rect">
                      <a:avLst/>
                    </a:prstGeom>
                    <a:noFill/>
                    <a:ln>
                      <a:noFill/>
                    </a:ln>
                  </pic:spPr>
                </pic:pic>
              </a:graphicData>
            </a:graphic>
          </wp:inline>
        </w:drawing>
      </w:r>
    </w:p>
    <w:p w14:paraId="2D1C908B" w14:textId="35137D99" w:rsidR="009C4C93" w:rsidRPr="009C4C93" w:rsidRDefault="001C7B12" w:rsidP="009C4C93">
      <w:pPr>
        <w:jc w:val="both"/>
        <w:rPr>
          <w:rFonts w:asciiTheme="majorBidi" w:hAnsiTheme="majorBidi" w:cstheme="majorBidi"/>
          <w:szCs w:val="24"/>
        </w:rPr>
      </w:pPr>
      <w:r>
        <w:rPr>
          <w:rFonts w:asciiTheme="majorBidi" w:hAnsiTheme="majorBidi" w:cstheme="majorBidi"/>
          <w:b/>
          <w:bCs/>
          <w:szCs w:val="24"/>
        </w:rPr>
        <w:t>Figure</w:t>
      </w:r>
      <w:r w:rsidR="009C4C93" w:rsidRPr="009C4C93">
        <w:rPr>
          <w:rFonts w:asciiTheme="majorBidi" w:hAnsiTheme="majorBidi" w:cstheme="majorBidi"/>
          <w:b/>
          <w:bCs/>
          <w:szCs w:val="24"/>
        </w:rPr>
        <w:t xml:space="preserve"> S1. Characterization and size distribution of graphene Oxide (GO) Sheets.</w:t>
      </w:r>
      <w:r w:rsidR="009C4C93" w:rsidRPr="009C4C93">
        <w:rPr>
          <w:rFonts w:asciiTheme="majorBidi" w:hAnsiTheme="majorBidi" w:cstheme="majorBidi"/>
          <w:szCs w:val="24"/>
        </w:rPr>
        <w:t xml:space="preserve"> We investigated the size distribution of graphene oxide (GO) nanosheets using atomic force microscopy (AFM), optical microscopy (OM), and field emission scanning electron microscopy (FESEM). In all characterization methods, we deposited GO sheets onto silicon wafers following the procedure outlined in the materials and methods section. AFM images in Panels (A) and (B) reveal exfoliation down to a monolayer. The consistent contrast between GO nanosheets and the silicon substrate is evident in both the optical micrograph (Panel C) and FESEM images (Panels D and E), confirming the prevalence of monolayer GO. Additionally, Panel (F) displays the size distribution of GO obtained by combining all three techniques.</w:t>
      </w:r>
    </w:p>
    <w:p w14:paraId="2AD205DD" w14:textId="77777777" w:rsidR="009A5287" w:rsidRPr="009C4C93" w:rsidRDefault="009A5287" w:rsidP="00B9440A">
      <w:pPr>
        <w:pStyle w:val="SMcaption"/>
        <w:rPr>
          <w:rFonts w:asciiTheme="majorBidi" w:hAnsiTheme="majorBidi" w:cstheme="majorBidi"/>
          <w:szCs w:val="24"/>
        </w:rPr>
      </w:pPr>
    </w:p>
    <w:p w14:paraId="4C4D9780" w14:textId="77777777" w:rsidR="009C4C93" w:rsidRPr="009C4C93" w:rsidRDefault="009C4C93" w:rsidP="00B9440A">
      <w:pPr>
        <w:pStyle w:val="SMcaption"/>
        <w:rPr>
          <w:rFonts w:asciiTheme="majorBidi" w:hAnsiTheme="majorBidi" w:cstheme="majorBidi"/>
          <w:szCs w:val="24"/>
        </w:rPr>
      </w:pPr>
    </w:p>
    <w:p w14:paraId="140DD2DB" w14:textId="77777777" w:rsidR="009C4C93" w:rsidRPr="009C4C93" w:rsidRDefault="009C4C93" w:rsidP="00B9440A">
      <w:pPr>
        <w:pStyle w:val="SMcaption"/>
        <w:rPr>
          <w:rFonts w:asciiTheme="majorBidi" w:hAnsiTheme="majorBidi" w:cstheme="majorBidi"/>
          <w:szCs w:val="24"/>
        </w:rPr>
      </w:pPr>
    </w:p>
    <w:p w14:paraId="5C8FC592" w14:textId="77777777" w:rsidR="009C4C93" w:rsidRPr="009C4C93" w:rsidRDefault="009C4C93" w:rsidP="00B9440A">
      <w:pPr>
        <w:pStyle w:val="SMcaption"/>
        <w:rPr>
          <w:rFonts w:asciiTheme="majorBidi" w:hAnsiTheme="majorBidi" w:cstheme="majorBidi"/>
          <w:szCs w:val="24"/>
        </w:rPr>
      </w:pPr>
    </w:p>
    <w:p w14:paraId="6C9DB2AE" w14:textId="482DA259" w:rsidR="009C4C93" w:rsidRPr="009C4C93" w:rsidRDefault="009C4C93" w:rsidP="009C4C93">
      <w:pPr>
        <w:pStyle w:val="SMcaption"/>
        <w:jc w:val="center"/>
        <w:rPr>
          <w:rFonts w:asciiTheme="majorBidi" w:hAnsiTheme="majorBidi" w:cstheme="majorBidi"/>
          <w:szCs w:val="24"/>
        </w:rPr>
      </w:pPr>
      <w:r w:rsidRPr="009C4C93">
        <w:rPr>
          <w:rFonts w:asciiTheme="majorBidi" w:hAnsiTheme="majorBidi" w:cstheme="majorBidi"/>
          <w:b/>
          <w:bCs/>
          <w:noProof/>
          <w:color w:val="000000"/>
          <w:szCs w:val="24"/>
          <w:lang w:val="en-GB" w:eastAsia="en-GB"/>
        </w:rPr>
        <w:lastRenderedPageBreak/>
        <w:drawing>
          <wp:inline distT="0" distB="0" distL="0" distR="0" wp14:anchorId="19BA1543" wp14:editId="12CE7885">
            <wp:extent cx="2507065" cy="2160000"/>
            <wp:effectExtent l="0" t="0" r="7620" b="0"/>
            <wp:docPr id="5" name="Picture 5" descr="C:\Users\lab\The University of Manchester Dropbox\mohsen moazzami gudarzi\Mohsen's data\Papers\Ali's paper 2nd\figures\purification contr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The University of Manchester Dropbox\mohsen moazzami gudarzi\Mohsen's data\Papers\Ali's paper 2nd\figures\purification control.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07065" cy="2160000"/>
                    </a:xfrm>
                    <a:prstGeom prst="rect">
                      <a:avLst/>
                    </a:prstGeom>
                    <a:noFill/>
                    <a:ln>
                      <a:noFill/>
                    </a:ln>
                  </pic:spPr>
                </pic:pic>
              </a:graphicData>
            </a:graphic>
          </wp:inline>
        </w:drawing>
      </w:r>
    </w:p>
    <w:p w14:paraId="20B412E9" w14:textId="70430924" w:rsidR="009C4C93" w:rsidRPr="009C4C93" w:rsidRDefault="00112C5B" w:rsidP="009C4C93">
      <w:pPr>
        <w:pStyle w:val="SMHeading"/>
        <w:rPr>
          <w:rFonts w:asciiTheme="majorBidi" w:hAnsiTheme="majorBidi" w:cstheme="majorBidi"/>
          <w:b w:val="0"/>
          <w:bCs w:val="0"/>
        </w:rPr>
      </w:pPr>
      <w:r w:rsidRPr="009C4C93">
        <w:rPr>
          <w:rFonts w:asciiTheme="majorBidi" w:hAnsiTheme="majorBidi" w:cstheme="majorBidi"/>
        </w:rPr>
        <w:t>Fig</w:t>
      </w:r>
      <w:r w:rsidR="001C7B12">
        <w:rPr>
          <w:rFonts w:asciiTheme="majorBidi" w:hAnsiTheme="majorBidi" w:cstheme="majorBidi"/>
        </w:rPr>
        <w:t>ure</w:t>
      </w:r>
      <w:r w:rsidRPr="009C4C93">
        <w:rPr>
          <w:rFonts w:asciiTheme="majorBidi" w:hAnsiTheme="majorBidi" w:cstheme="majorBidi"/>
        </w:rPr>
        <w:t xml:space="preserve"> S2</w:t>
      </w:r>
      <w:r w:rsidR="008218C4" w:rsidRPr="009C4C93">
        <w:rPr>
          <w:rFonts w:asciiTheme="majorBidi" w:hAnsiTheme="majorBidi" w:cstheme="majorBidi"/>
        </w:rPr>
        <w:t>.</w:t>
      </w:r>
      <w:r w:rsidR="009C4C93" w:rsidRPr="009C4C93">
        <w:rPr>
          <w:rFonts w:asciiTheme="majorBidi" w:hAnsiTheme="majorBidi" w:cstheme="majorBidi"/>
        </w:rPr>
        <w:t xml:space="preserve"> GO supernatant pH and Ionic resistance evolution.</w:t>
      </w:r>
      <w:r w:rsidR="009C4C93" w:rsidRPr="009C4C93">
        <w:rPr>
          <w:rFonts w:asciiTheme="majorBidi" w:hAnsiTheme="majorBidi" w:cstheme="majorBidi"/>
          <w:b w:val="0"/>
          <w:bCs w:val="0"/>
        </w:rPr>
        <w:t xml:space="preserve"> The pH (represented by green squares) and ionic resistance (indicated by red circles) in the supernatant of graphene oxide (GO) change during the centrifugation and subsequent re-dispersion process in pure water. After each washing cycle, both pH and ionic resistance increase until they reach a semi-plateau. Note that the reference point for zero washing cycles has been arbitrarily set at zero for both pH and ionic resistance.</w:t>
      </w:r>
    </w:p>
    <w:p w14:paraId="37463037" w14:textId="77777777" w:rsidR="009C4C93" w:rsidRPr="009C4C93" w:rsidRDefault="009C4C93" w:rsidP="009C4C93">
      <w:pPr>
        <w:jc w:val="center"/>
        <w:rPr>
          <w:rFonts w:asciiTheme="majorBidi" w:hAnsiTheme="majorBidi" w:cstheme="majorBidi"/>
          <w:b/>
          <w:bCs/>
          <w:color w:val="000000"/>
          <w:szCs w:val="24"/>
          <w:lang w:eastAsia="en-GB"/>
        </w:rPr>
      </w:pPr>
    </w:p>
    <w:p w14:paraId="16362CF5" w14:textId="77777777" w:rsidR="009C4C93" w:rsidRPr="009C4C93" w:rsidRDefault="009C4C93" w:rsidP="009C4C93">
      <w:pPr>
        <w:jc w:val="both"/>
        <w:rPr>
          <w:rFonts w:asciiTheme="majorBidi" w:hAnsiTheme="majorBidi" w:cstheme="majorBidi"/>
          <w:b/>
          <w:szCs w:val="24"/>
        </w:rPr>
      </w:pPr>
      <w:r w:rsidRPr="009C4C93">
        <w:rPr>
          <w:rFonts w:asciiTheme="majorBidi" w:hAnsiTheme="majorBidi" w:cstheme="majorBidi"/>
          <w:b/>
          <w:szCs w:val="24"/>
        </w:rPr>
        <w:t>S1. Modeling pH and osmotic pressure data:</w:t>
      </w:r>
    </w:p>
    <w:p w14:paraId="376775FE" w14:textId="77777777" w:rsidR="009C4C93" w:rsidRPr="009C4C93" w:rsidRDefault="009C4C93" w:rsidP="009C4C93">
      <w:pPr>
        <w:jc w:val="both"/>
        <w:rPr>
          <w:rFonts w:asciiTheme="majorBidi" w:hAnsiTheme="majorBidi" w:cstheme="majorBidi"/>
          <w:szCs w:val="24"/>
        </w:rPr>
      </w:pPr>
      <w:r w:rsidRPr="009C4C93">
        <w:rPr>
          <w:rFonts w:asciiTheme="majorBidi" w:hAnsiTheme="majorBidi" w:cstheme="majorBidi"/>
          <w:szCs w:val="24"/>
        </w:rPr>
        <w:t>In Figures 1B and 1C, we present the pH and osmotic pressure of graphene oxide (GO) dispersions obtained using the same oxidation and purification method. We propose that the observed large osmotic pressure (Π) in GO dispersions results from a high concentration of protons, which essentially serve as GO sheets’ counterions. Consequently, this phenomenon also leads to the observation of low pH values in relatively dilute GO dispersions (as shown in Figure 1B).</w:t>
      </w:r>
    </w:p>
    <w:p w14:paraId="17265396"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hAnsiTheme="majorBidi" w:cstheme="majorBidi"/>
          <w:szCs w:val="24"/>
        </w:rPr>
        <w:t xml:space="preserve">We modelled </w:t>
      </w:r>
      <w:r w:rsidRPr="009C4C93">
        <w:rPr>
          <w:rFonts w:asciiTheme="majorBidi" w:eastAsiaTheme="minorEastAsia" w:hAnsiTheme="majorBidi" w:cstheme="majorBidi"/>
          <w:szCs w:val="24"/>
        </w:rPr>
        <w:t>Π using eqs. (1) and (2). We made the assumption that any background salt in the dispersion originates either from background ionic impurities or from ionic impurities released by GO. Consequently, we estimated the total salt concentration as follows:</w:t>
      </w:r>
    </w:p>
    <w:p w14:paraId="346171D1" w14:textId="5DE9E29F" w:rsidR="009C4C93" w:rsidRPr="009C4C93" w:rsidRDefault="009C4C93" w:rsidP="009C4C93">
      <w:pPr>
        <w:rPr>
          <w:rFonts w:asciiTheme="majorBidi" w:eastAsiaTheme="minorEastAsia" w:hAnsiTheme="majorBidi" w:cstheme="majorBidi"/>
          <w:szCs w:val="24"/>
        </w:rPr>
      </w:pPr>
      <w:r w:rsidRPr="009C4C93">
        <w:rPr>
          <w:rFonts w:asciiTheme="majorBidi" w:eastAsiaTheme="minorEastAsia" w:hAnsiTheme="majorBidi" w:cstheme="majorBidi"/>
          <w:szCs w:val="24"/>
        </w:rPr>
        <w:t>​</w:t>
      </w:r>
      <m:oMath>
        <m:sSub>
          <m:sSubPr>
            <m:ctrlPr>
              <w:rPr>
                <w:rFonts w:ascii="Cambria Math" w:hAnsi="Cambria Math" w:cstheme="majorBidi"/>
                <w:szCs w:val="24"/>
              </w:rPr>
            </m:ctrlPr>
          </m:sSubPr>
          <m:e>
            <m:r>
              <m:rPr>
                <m:sty m:val="p"/>
              </m:rPr>
              <w:rPr>
                <w:rFonts w:ascii="Cambria Math" w:hAnsi="Cambria Math" w:cstheme="majorBidi"/>
                <w:szCs w:val="24"/>
              </w:rPr>
              <m:t>c</m:t>
            </m:r>
          </m:e>
          <m:sub>
            <m:r>
              <m:rPr>
                <m:sty m:val="p"/>
              </m:rPr>
              <w:rPr>
                <w:rFonts w:ascii="Cambria Math" w:hAnsi="Cambria Math" w:cstheme="majorBidi"/>
                <w:szCs w:val="24"/>
              </w:rPr>
              <m:t>s</m:t>
            </m:r>
          </m:sub>
        </m:sSub>
        <m:r>
          <m:rPr>
            <m:sty m:val="p"/>
          </m:rPr>
          <w:rPr>
            <w:rFonts w:ascii="Cambria Math" w:eastAsiaTheme="minorEastAsia"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c</m:t>
            </m:r>
          </m:e>
          <m:sub>
            <m:sSub>
              <m:sSubPr>
                <m:ctrlPr>
                  <w:rPr>
                    <w:rFonts w:ascii="Cambria Math" w:hAnsi="Cambria Math" w:cstheme="majorBidi"/>
                    <w:szCs w:val="24"/>
                  </w:rPr>
                </m:ctrlPr>
              </m:sSubPr>
              <m:e>
                <m:r>
                  <m:rPr>
                    <m:sty m:val="p"/>
                  </m:rPr>
                  <w:rPr>
                    <w:rFonts w:ascii="Cambria Math" w:hAnsi="Cambria Math" w:cstheme="majorBidi"/>
                    <w:szCs w:val="24"/>
                  </w:rPr>
                  <m:t>s</m:t>
                </m:r>
              </m:e>
              <m:sub>
                <m:r>
                  <m:rPr>
                    <m:sty m:val="p"/>
                  </m:rPr>
                  <w:rPr>
                    <w:rFonts w:ascii="Cambria Math" w:hAnsi="Cambria Math" w:cstheme="majorBidi"/>
                    <w:szCs w:val="24"/>
                  </w:rPr>
                  <m:t>0</m:t>
                </m:r>
              </m:sub>
            </m:sSub>
          </m:sub>
        </m:sSub>
        <m:r>
          <m:rPr>
            <m:sty m:val="p"/>
          </m:rPr>
          <w:rPr>
            <w:rFonts w:ascii="Cambria Math" w:hAnsi="Cambria Math" w:cstheme="majorBidi"/>
            <w:szCs w:val="24"/>
          </w:rPr>
          <m:t>+α∙Z∙</m:t>
        </m:r>
        <m:sSub>
          <m:sSubPr>
            <m:ctrlPr>
              <w:rPr>
                <w:rFonts w:ascii="Cambria Math" w:hAnsi="Cambria Math" w:cstheme="majorBidi"/>
                <w:szCs w:val="24"/>
              </w:rPr>
            </m:ctrlPr>
          </m:sSubPr>
          <m:e>
            <m:r>
              <m:rPr>
                <m:sty m:val="p"/>
              </m:rPr>
              <w:rPr>
                <w:rFonts w:ascii="Cambria Math" w:hAnsi="Cambria Math" w:cstheme="majorBidi"/>
                <w:szCs w:val="24"/>
              </w:rPr>
              <m:t>c</m:t>
            </m:r>
          </m:e>
          <m:sub>
            <m:r>
              <m:rPr>
                <m:sty m:val="p"/>
              </m:rPr>
              <w:rPr>
                <w:rFonts w:ascii="Cambria Math" w:hAnsi="Cambria Math" w:cstheme="majorBidi"/>
                <w:szCs w:val="24"/>
              </w:rPr>
              <m:t>GO</m:t>
            </m:r>
          </m:sub>
        </m:sSub>
        <m:r>
          <m:rPr>
            <m:sty m:val="p"/>
          </m:rPr>
          <w:rPr>
            <w:rFonts w:ascii="Cambria Math" w:eastAsiaTheme="minorEastAsia" w:hAnsi="Cambria Math" w:cstheme="majorBidi"/>
            <w:szCs w:val="24"/>
          </w:rPr>
          <m:t xml:space="preserve">  </m:t>
        </m:r>
      </m:oMath>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(S1)</w:t>
      </w:r>
    </w:p>
    <w:p w14:paraId="19582DFA"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Here:</w:t>
      </w:r>
    </w:p>
    <w:p w14:paraId="66E89B7F" w14:textId="4EB1EDA1" w:rsidR="009C4C93" w:rsidRPr="009C4C93" w:rsidRDefault="009C4C93" w:rsidP="009C4C93">
      <w:pPr>
        <w:jc w:val="both"/>
        <w:rPr>
          <w:rFonts w:asciiTheme="majorBidi" w:eastAsiaTheme="minorEastAsia" w:hAnsiTheme="majorBidi" w:cstheme="majorBidi"/>
          <w:szCs w:val="24"/>
        </w:rPr>
      </w:pPr>
      <m:oMath>
        <m:r>
          <m:rPr>
            <m:sty m:val="p"/>
          </m:rPr>
          <w:rPr>
            <w:rFonts w:ascii="Cambria Math" w:eastAsiaTheme="minorEastAsia"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c</m:t>
            </m:r>
          </m:e>
          <m:sub>
            <m:sSub>
              <m:sSubPr>
                <m:ctrlPr>
                  <w:rPr>
                    <w:rFonts w:ascii="Cambria Math" w:hAnsi="Cambria Math" w:cstheme="majorBidi"/>
                    <w:szCs w:val="24"/>
                  </w:rPr>
                </m:ctrlPr>
              </m:sSubPr>
              <m:e>
                <m:r>
                  <m:rPr>
                    <m:sty m:val="p"/>
                  </m:rPr>
                  <w:rPr>
                    <w:rFonts w:ascii="Cambria Math" w:hAnsi="Cambria Math" w:cstheme="majorBidi"/>
                    <w:szCs w:val="24"/>
                  </w:rPr>
                  <m:t>s</m:t>
                </m:r>
              </m:e>
              <m:sub>
                <m:r>
                  <m:rPr>
                    <m:sty m:val="p"/>
                  </m:rPr>
                  <w:rPr>
                    <w:rFonts w:ascii="Cambria Math" w:hAnsi="Cambria Math" w:cstheme="majorBidi"/>
                    <w:szCs w:val="24"/>
                  </w:rPr>
                  <m:t>0</m:t>
                </m:r>
              </m:sub>
            </m:sSub>
          </m:sub>
        </m:sSub>
      </m:oMath>
      <w:r w:rsidRPr="009C4C93">
        <w:rPr>
          <w:rFonts w:asciiTheme="majorBidi" w:hAnsiTheme="majorBidi" w:cstheme="majorBidi"/>
          <w:szCs w:val="24"/>
        </w:rPr>
        <w:t xml:space="preserve"> </w:t>
      </w:r>
      <w:r w:rsidRPr="009C4C93">
        <w:rPr>
          <w:rFonts w:asciiTheme="majorBidi" w:eastAsiaTheme="minorEastAsia" w:hAnsiTheme="majorBidi" w:cstheme="majorBidi"/>
          <w:szCs w:val="24"/>
        </w:rPr>
        <w:t xml:space="preserve">represents the concentration of background ionic impurities. </w:t>
      </w:r>
    </w:p>
    <w:p w14:paraId="04A24283" w14:textId="6FA63449"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The coefficient </w:t>
      </w:r>
      <m:oMath>
        <m:r>
          <m:rPr>
            <m:sty m:val="p"/>
          </m:rPr>
          <w:rPr>
            <w:rFonts w:ascii="Cambria Math" w:hAnsi="Cambria Math" w:cstheme="majorBidi"/>
            <w:szCs w:val="24"/>
          </w:rPr>
          <m:t>α</m:t>
        </m:r>
      </m:oMath>
      <w:r w:rsidRPr="009C4C93">
        <w:rPr>
          <w:rFonts w:asciiTheme="majorBidi" w:eastAsiaTheme="minorEastAsia" w:hAnsiTheme="majorBidi" w:cstheme="majorBidi"/>
          <w:szCs w:val="24"/>
        </w:rPr>
        <w:t xml:space="preserve"> reflects the fraction of ionic impurities released into the dispersion from GO due to the hydrolysis of organosulfate.</w:t>
      </w:r>
    </w:p>
    <w:p w14:paraId="5FDE5A3A" w14:textId="2852667E"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 </w:t>
      </w:r>
      <m:oMath>
        <m:r>
          <m:rPr>
            <m:sty m:val="p"/>
          </m:rPr>
          <w:rPr>
            <w:rFonts w:ascii="Cambria Math" w:hAnsi="Cambria Math" w:cstheme="majorBidi"/>
            <w:szCs w:val="24"/>
          </w:rPr>
          <m:t>Z</m:t>
        </m:r>
      </m:oMath>
      <w:r w:rsidRPr="009C4C93">
        <w:rPr>
          <w:rFonts w:asciiTheme="majorBidi" w:eastAsiaTheme="minorEastAsia" w:hAnsiTheme="majorBidi" w:cstheme="majorBidi"/>
          <w:szCs w:val="24"/>
        </w:rPr>
        <w:t xml:space="preserve"> represents the number of electrons.</w:t>
      </w:r>
    </w:p>
    <w:p w14:paraId="70385D93" w14:textId="4928834E" w:rsidR="009C4C93" w:rsidRPr="009C4C93" w:rsidRDefault="009C4C93" w:rsidP="009C4C93">
      <w:pPr>
        <w:jc w:val="both"/>
        <w:rPr>
          <w:rFonts w:asciiTheme="majorBidi" w:hAnsiTheme="majorBidi" w:cstheme="majorBidi"/>
          <w:szCs w:val="24"/>
        </w:rPr>
      </w:pPr>
      <w:r w:rsidRPr="009C4C93">
        <w:rPr>
          <w:rFonts w:asciiTheme="majorBidi" w:eastAsiaTheme="minorEastAsia" w:hAnsiTheme="majorBidi" w:cstheme="majorBidi"/>
          <w:szCs w:val="24"/>
        </w:rPr>
        <w:t>We then calculated the pH from the total concentration of proton (</w:t>
      </w:r>
      <w:r w:rsidRPr="001C7B12">
        <w:rPr>
          <w:rFonts w:asciiTheme="majorBidi" w:eastAsiaTheme="minorEastAsia" w:hAnsiTheme="majorBidi" w:cstheme="majorBidi"/>
          <w:i/>
          <w:szCs w:val="24"/>
        </w:rPr>
        <w:t>i.e.</w:t>
      </w:r>
      <w:r w:rsidRPr="009C4C93">
        <w:rPr>
          <w:rFonts w:asciiTheme="majorBidi" w:eastAsiaTheme="minorEastAsia" w:hAnsiTheme="majorBidi" w:cstheme="majorBidi"/>
          <w:szCs w:val="24"/>
        </w:rPr>
        <w:t xml:space="preserve"> </w:t>
      </w:r>
      <m:oMath>
        <m:sSub>
          <m:sSubPr>
            <m:ctrlPr>
              <w:rPr>
                <w:rFonts w:ascii="Cambria Math" w:hAnsi="Cambria Math" w:cstheme="majorBidi"/>
                <w:szCs w:val="24"/>
              </w:rPr>
            </m:ctrlPr>
          </m:sSubPr>
          <m:e>
            <m:r>
              <m:rPr>
                <m:sty m:val="p"/>
              </m:rPr>
              <w:rPr>
                <w:rFonts w:ascii="Cambria Math" w:hAnsi="Cambria Math" w:cstheme="majorBidi"/>
                <w:szCs w:val="24"/>
              </w:rPr>
              <m:t>c</m:t>
            </m:r>
          </m:e>
          <m:sub>
            <m:r>
              <m:rPr>
                <m:sty m:val="p"/>
              </m:rPr>
              <w:rPr>
                <w:rFonts w:ascii="Cambria Math" w:hAnsi="Cambria Math" w:cstheme="majorBidi"/>
                <w:szCs w:val="24"/>
              </w:rPr>
              <m:t>s</m:t>
            </m:r>
          </m:sub>
        </m:sSub>
        <m:r>
          <m:rPr>
            <m:sty m:val="p"/>
          </m:rPr>
          <w:rPr>
            <w:rFonts w:ascii="Cambria Math" w:hAnsi="Cambria Math" w:cstheme="majorBidi"/>
            <w:szCs w:val="24"/>
          </w:rPr>
          <m:t>+Z∙</m:t>
        </m:r>
        <m:sSub>
          <m:sSubPr>
            <m:ctrlPr>
              <w:rPr>
                <w:rFonts w:ascii="Cambria Math" w:hAnsi="Cambria Math" w:cstheme="majorBidi"/>
                <w:szCs w:val="24"/>
              </w:rPr>
            </m:ctrlPr>
          </m:sSubPr>
          <m:e>
            <m:r>
              <m:rPr>
                <m:sty m:val="p"/>
              </m:rPr>
              <w:rPr>
                <w:rFonts w:ascii="Cambria Math" w:hAnsi="Cambria Math" w:cstheme="majorBidi"/>
                <w:szCs w:val="24"/>
              </w:rPr>
              <m:t>c</m:t>
            </m:r>
          </m:e>
          <m:sub>
            <m:r>
              <m:rPr>
                <m:sty m:val="p"/>
              </m:rPr>
              <w:rPr>
                <w:rFonts w:ascii="Cambria Math" w:hAnsi="Cambria Math" w:cstheme="majorBidi"/>
                <w:szCs w:val="24"/>
              </w:rPr>
              <m:t>GO</m:t>
            </m:r>
          </m:sub>
        </m:sSub>
        <m:r>
          <m:rPr>
            <m:sty m:val="p"/>
          </m:rPr>
          <w:rPr>
            <w:rFonts w:ascii="Cambria Math" w:eastAsiaTheme="minorEastAsia" w:hAnsi="Cambria Math" w:cstheme="majorBidi"/>
            <w:szCs w:val="24"/>
          </w:rPr>
          <m:t xml:space="preserve">  </m:t>
        </m:r>
      </m:oMath>
      <w:r w:rsidRPr="009C4C93">
        <w:rPr>
          <w:rFonts w:asciiTheme="majorBidi" w:eastAsiaTheme="minorEastAsia" w:hAnsiTheme="majorBidi" w:cstheme="majorBidi"/>
          <w:szCs w:val="24"/>
        </w:rPr>
        <w:t>)</w:t>
      </w:r>
      <w:r w:rsidRPr="009C4C93">
        <w:rPr>
          <w:rFonts w:asciiTheme="majorBidi" w:hAnsiTheme="majorBidi" w:cstheme="majorBidi"/>
          <w:szCs w:val="24"/>
        </w:rPr>
        <w:t>.</w:t>
      </w:r>
    </w:p>
    <w:p w14:paraId="3D6ACFEE" w14:textId="2940C758" w:rsidR="009C4C93" w:rsidRPr="009C4C93" w:rsidRDefault="009C4C93" w:rsidP="009C4C93">
      <w:pPr>
        <w:jc w:val="both"/>
        <w:rPr>
          <w:rFonts w:asciiTheme="majorBidi" w:hAnsiTheme="majorBidi" w:cstheme="majorBidi"/>
          <w:szCs w:val="24"/>
        </w:rPr>
      </w:pPr>
      <w:r w:rsidRPr="009C4C93">
        <w:rPr>
          <w:rFonts w:asciiTheme="majorBidi" w:hAnsiTheme="majorBidi" w:cstheme="majorBidi"/>
          <w:szCs w:val="24"/>
        </w:rPr>
        <w:t xml:space="preserve">We set </w:t>
      </w:r>
      <m:oMath>
        <m:sSub>
          <m:sSubPr>
            <m:ctrlPr>
              <w:rPr>
                <w:rFonts w:ascii="Cambria Math" w:hAnsi="Cambria Math" w:cstheme="majorBidi"/>
                <w:szCs w:val="24"/>
              </w:rPr>
            </m:ctrlPr>
          </m:sSubPr>
          <m:e>
            <m:r>
              <m:rPr>
                <m:sty m:val="p"/>
              </m:rPr>
              <w:rPr>
                <w:rFonts w:ascii="Cambria Math" w:hAnsi="Cambria Math" w:cstheme="majorBidi"/>
                <w:szCs w:val="24"/>
              </w:rPr>
              <m:t>c</m:t>
            </m:r>
          </m:e>
          <m:sub>
            <m:sSub>
              <m:sSubPr>
                <m:ctrlPr>
                  <w:rPr>
                    <w:rFonts w:ascii="Cambria Math" w:hAnsi="Cambria Math" w:cstheme="majorBidi"/>
                    <w:szCs w:val="24"/>
                  </w:rPr>
                </m:ctrlPr>
              </m:sSubPr>
              <m:e>
                <m:r>
                  <m:rPr>
                    <m:sty m:val="p"/>
                  </m:rPr>
                  <w:rPr>
                    <w:rFonts w:ascii="Cambria Math" w:hAnsi="Cambria Math" w:cstheme="majorBidi"/>
                    <w:szCs w:val="24"/>
                  </w:rPr>
                  <m:t>s</m:t>
                </m:r>
              </m:e>
              <m:sub>
                <m:r>
                  <m:rPr>
                    <m:sty m:val="p"/>
                  </m:rPr>
                  <w:rPr>
                    <w:rFonts w:ascii="Cambria Math" w:hAnsi="Cambria Math" w:cstheme="majorBidi"/>
                    <w:szCs w:val="24"/>
                  </w:rPr>
                  <m:t>0</m:t>
                </m:r>
              </m:sub>
            </m:sSub>
          </m:sub>
        </m:sSub>
      </m:oMath>
      <w:r w:rsidRPr="009C4C93">
        <w:rPr>
          <w:rFonts w:asciiTheme="majorBidi" w:eastAsiaTheme="minorEastAsia" w:hAnsiTheme="majorBidi" w:cstheme="majorBidi"/>
          <w:szCs w:val="24"/>
        </w:rPr>
        <w:t>= 1.3×10</w:t>
      </w:r>
      <w:r w:rsidRPr="009C4C93">
        <w:rPr>
          <w:rFonts w:asciiTheme="majorBidi" w:eastAsiaTheme="minorEastAsia" w:hAnsiTheme="majorBidi" w:cstheme="majorBidi"/>
          <w:szCs w:val="24"/>
          <w:vertAlign w:val="superscript"/>
        </w:rPr>
        <w:t>-6</w:t>
      </w:r>
      <w:r w:rsidRPr="009C4C93">
        <w:rPr>
          <w:rFonts w:asciiTheme="majorBidi" w:eastAsiaTheme="minorEastAsia" w:hAnsiTheme="majorBidi" w:cstheme="majorBidi"/>
          <w:szCs w:val="24"/>
        </w:rPr>
        <w:t xml:space="preserve"> M which is computed from the saturating pH of very dilute GO (</w:t>
      </w:r>
      <w:r w:rsidRPr="001C7B12">
        <w:rPr>
          <w:rFonts w:asciiTheme="majorBidi" w:eastAsiaTheme="minorEastAsia" w:hAnsiTheme="majorBidi" w:cstheme="majorBidi"/>
          <w:i/>
          <w:szCs w:val="24"/>
        </w:rPr>
        <w:t>i.e.</w:t>
      </w:r>
      <w:r w:rsidRPr="009C4C93">
        <w:rPr>
          <w:rFonts w:asciiTheme="majorBidi" w:eastAsiaTheme="minorEastAsia" w:hAnsiTheme="majorBidi" w:cstheme="majorBidi"/>
          <w:szCs w:val="24"/>
        </w:rPr>
        <w:t xml:space="preserve"> pH=5.9, see Figure 1B). This likely results from carbonic acid impurity. To compute </w:t>
      </w:r>
      <m:oMath>
        <m:r>
          <m:rPr>
            <m:sty m:val="p"/>
          </m:rPr>
          <w:rPr>
            <w:rFonts w:ascii="Cambria Math" w:hAnsi="Cambria Math" w:cstheme="majorBidi"/>
            <w:szCs w:val="24"/>
          </w:rPr>
          <m:t>α</m:t>
        </m:r>
      </m:oMath>
      <w:r w:rsidRPr="009C4C93">
        <w:rPr>
          <w:rFonts w:asciiTheme="majorBidi" w:eastAsiaTheme="minorEastAsia" w:hAnsiTheme="majorBidi" w:cstheme="majorBidi"/>
          <w:szCs w:val="24"/>
        </w:rPr>
        <w:t xml:space="preserve">, we monitored pH of 0.027 L of GO dispersion (4.7 g/L) in contact with 1.02 L of water through a semipermeable membrane. The pH of the GO dispersion increased from 2.36 to 2.42 (after 24 hours), corresponding to a loss of 15.2 μM of proton. We approximated </w:t>
      </w:r>
      <m:oMath>
        <m:r>
          <m:rPr>
            <m:sty m:val="p"/>
          </m:rPr>
          <w:rPr>
            <w:rFonts w:ascii="Cambria Math" w:hAnsi="Cambria Math" w:cstheme="majorBidi"/>
            <w:szCs w:val="24"/>
          </w:rPr>
          <m:t>α≈1-</m:t>
        </m:r>
        <m:sSup>
          <m:sSupPr>
            <m:ctrlPr>
              <w:rPr>
                <w:rFonts w:ascii="Cambria Math" w:hAnsi="Cambria Math" w:cstheme="majorBidi"/>
                <w:szCs w:val="24"/>
              </w:rPr>
            </m:ctrlPr>
          </m:sSupPr>
          <m:e>
            <m:r>
              <m:rPr>
                <m:sty m:val="p"/>
              </m:rPr>
              <w:rPr>
                <w:rFonts w:ascii="Cambria Math" w:hAnsi="Cambria Math" w:cstheme="majorBidi"/>
                <w:szCs w:val="24"/>
              </w:rPr>
              <m:t>10</m:t>
            </m:r>
          </m:e>
          <m:sup>
            <m:r>
              <m:rPr>
                <m:sty m:val="p"/>
              </m:rPr>
              <w:rPr>
                <w:rFonts w:ascii="Cambria Math" w:hAnsi="Cambria Math" w:cstheme="majorBidi"/>
                <w:szCs w:val="24"/>
              </w:rPr>
              <m:t>2.42-2.36</m:t>
            </m:r>
          </m:sup>
        </m:sSup>
        <m:r>
          <m:rPr>
            <m:sty m:val="p"/>
          </m:rPr>
          <w:rPr>
            <w:rFonts w:ascii="Cambria Math" w:hAnsi="Cambria Math" w:cstheme="majorBidi"/>
            <w:szCs w:val="24"/>
          </w:rPr>
          <m:t>≈0.13</m:t>
        </m:r>
      </m:oMath>
      <w:r w:rsidRPr="009C4C93">
        <w:rPr>
          <w:rFonts w:asciiTheme="majorBidi" w:eastAsiaTheme="minorEastAsia" w:hAnsiTheme="majorBidi" w:cstheme="majorBidi"/>
          <w:szCs w:val="24"/>
        </w:rPr>
        <w:t xml:space="preserve">, consistent with recent findings of Halbig </w:t>
      </w:r>
      <w:r w:rsidRPr="001C7B12">
        <w:rPr>
          <w:rFonts w:asciiTheme="majorBidi" w:eastAsiaTheme="minorEastAsia" w:hAnsiTheme="majorBidi" w:cstheme="majorBidi"/>
          <w:i/>
          <w:szCs w:val="24"/>
        </w:rPr>
        <w:t>et al</w:t>
      </w:r>
      <w:r w:rsidRPr="009C4C93">
        <w:rPr>
          <w:rFonts w:asciiTheme="majorBidi" w:eastAsiaTheme="minorEastAsia" w:hAnsiTheme="majorBidi" w:cstheme="majorBidi"/>
          <w:szCs w:val="24"/>
        </w:rPr>
        <w:t>.</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&lt;EndNote&gt;&lt;Cite&gt;&lt;Author&gt;Halbig&lt;/Author&gt;&lt;Year&gt;2024&lt;/Year&gt;&lt;RecNum&gt;908&lt;/RecNum&gt;&lt;DisplayText&gt;(&lt;style face="italic"&gt;1&lt;/style&gt;)&lt;/DisplayText&gt;&lt;record&gt;&lt;rec-number&gt;908&lt;/rec-number&gt;&lt;foreign-keys&gt;&lt;key app="EN" db-id="29etr9td3sza0set0w75z0299f5zv29xrxw5" timestamp="1712012789"&gt;908&lt;/key&gt;&lt;/foreign-keys&gt;&lt;ref-type name="Journal Article"&gt;17&lt;/ref-type&gt;&lt;contributors&gt;&lt;authors&gt;&lt;author&gt;Halbig, Christian E&lt;/author&gt;&lt;author&gt;Mukherjee, Bristy&lt;/author&gt;&lt;author&gt;Eigler, Siegfried&lt;/author&gt;&lt;author&gt;Garaj, Slaven&lt;/author&gt;&lt;/authors&gt;&lt;/contributors&gt;&lt;titles&gt;&lt;title&gt;Origin of Oxygen in Graphene Oxide Revealed by 17O and 18O Isotopic Labeling&lt;/title&gt;&lt;secondary-title&gt;Journal of the American Chemical Society&lt;/secondary-title&gt;&lt;/titles&gt;&lt;periodical&gt;&lt;full-title&gt;Journal of the American Chemical Society&lt;/full-title&gt;&lt;/periodical&gt;&lt;dates&gt;&lt;year&gt;2024&lt;/year&gt;&lt;/dates&gt;&lt;isbn&gt;0002-7863&lt;/isbn&gt;&lt;urls&gt;&lt;/urls&gt;&lt;/record&gt;&lt;/Cite&gt;&lt;/EndNote&gt;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We note that the surface charge density of GO can change upon hydrolysis and may not be exactly the same for two batches of samples. Since we used the same batch of GO for both pH and osmotic pressure measurements, we fit both sets of data using equations (1) and (2) with the specified parameters. The only fitting parameter is the surface charge density (</w:t>
      </w:r>
      <m:oMath>
        <m:r>
          <m:rPr>
            <m:sty m:val="p"/>
          </m:rPr>
          <w:rPr>
            <w:rFonts w:ascii="Cambria Math" w:eastAsiaTheme="minorEastAsia" w:hAnsi="Cambria Math" w:cstheme="majorBidi"/>
            <w:szCs w:val="24"/>
          </w:rPr>
          <m:t>σ</m:t>
        </m:r>
      </m:oMath>
      <w:r w:rsidRPr="009C4C93">
        <w:rPr>
          <w:rFonts w:asciiTheme="majorBidi" w:eastAsiaTheme="minorEastAsia" w:hAnsiTheme="majorBidi" w:cstheme="majorBidi"/>
          <w:szCs w:val="24"/>
        </w:rPr>
        <w:t xml:space="preserve">). We employed diffuse layer model accounting for multisite proton </w:t>
      </w:r>
      <w:r w:rsidRPr="009C4C93">
        <w:rPr>
          <w:rFonts w:asciiTheme="majorBidi" w:eastAsiaTheme="minorEastAsia" w:hAnsiTheme="majorBidi" w:cstheme="majorBidi"/>
          <w:szCs w:val="24"/>
        </w:rPr>
        <w:lastRenderedPageBreak/>
        <w:t xml:space="preserve">adsorption to compute </w:t>
      </w:r>
      <m:oMath>
        <m:r>
          <m:rPr>
            <m:sty m:val="p"/>
          </m:rPr>
          <w:rPr>
            <w:rFonts w:ascii="Cambria Math" w:eastAsiaTheme="minorEastAsia" w:hAnsi="Cambria Math" w:cstheme="majorBidi"/>
            <w:szCs w:val="24"/>
          </w:rPr>
          <m:t>σ</m:t>
        </m:r>
      </m:oMath>
      <w:r w:rsidRPr="009C4C93">
        <w:rPr>
          <w:rFonts w:asciiTheme="majorBidi" w:eastAsiaTheme="minorEastAsia" w:hAnsiTheme="majorBidi" w:cstheme="majorBidi"/>
          <w:szCs w:val="24"/>
        </w:rPr>
        <w:t xml:space="preserve"> as a function of pH and </w:t>
      </w:r>
      <m:oMath>
        <m:sSub>
          <m:sSubPr>
            <m:ctrlPr>
              <w:rPr>
                <w:rFonts w:ascii="Cambria Math" w:hAnsi="Cambria Math" w:cstheme="majorBidi"/>
                <w:szCs w:val="24"/>
              </w:rPr>
            </m:ctrlPr>
          </m:sSubPr>
          <m:e>
            <m:r>
              <m:rPr>
                <m:sty m:val="p"/>
              </m:rPr>
              <w:rPr>
                <w:rFonts w:ascii="Cambria Math" w:hAnsi="Cambria Math" w:cstheme="majorBidi"/>
                <w:szCs w:val="24"/>
              </w:rPr>
              <m:t>c</m:t>
            </m:r>
          </m:e>
          <m:sub>
            <m:sSub>
              <m:sSubPr>
                <m:ctrlPr>
                  <w:rPr>
                    <w:rFonts w:ascii="Cambria Math" w:hAnsi="Cambria Math" w:cstheme="majorBidi"/>
                    <w:szCs w:val="24"/>
                  </w:rPr>
                </m:ctrlPr>
              </m:sSubPr>
              <m:e>
                <m:r>
                  <m:rPr>
                    <m:sty m:val="p"/>
                  </m:rPr>
                  <w:rPr>
                    <w:rFonts w:ascii="Cambria Math" w:hAnsi="Cambria Math" w:cstheme="majorBidi"/>
                    <w:szCs w:val="24"/>
                  </w:rPr>
                  <m:t>s</m:t>
                </m:r>
              </m:e>
              <m:sub>
                <m:r>
                  <m:rPr>
                    <m:sty m:val="p"/>
                  </m:rPr>
                  <w:rPr>
                    <w:rFonts w:ascii="Cambria Math" w:hAnsi="Cambria Math" w:cstheme="majorBidi"/>
                    <w:szCs w:val="24"/>
                  </w:rPr>
                  <m:t>0</m:t>
                </m:r>
              </m:sub>
            </m:sSub>
          </m:sub>
        </m:sSub>
      </m:oMath>
      <w:r w:rsidRPr="009C4C93">
        <w:rPr>
          <w:rFonts w:asciiTheme="majorBidi" w:eastAsiaTheme="minorEastAsia" w:hAnsiTheme="majorBidi" w:cstheme="majorBidi"/>
          <w:szCs w:val="24"/>
        </w:rPr>
        <w:t xml:space="preserve">. Further details are provided in the next section. Using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of organosulfate groups as the only fitting parameter, we fitted both pH and Π versus GO concentration. </w:t>
      </w:r>
    </w:p>
    <w:p w14:paraId="45B7BD4B" w14:textId="77777777" w:rsidR="009C4C93" w:rsidRPr="009C4C93" w:rsidRDefault="009C4C93" w:rsidP="009C4C93">
      <w:pPr>
        <w:jc w:val="both"/>
        <w:rPr>
          <w:rFonts w:asciiTheme="majorBidi" w:hAnsiTheme="majorBidi" w:cstheme="majorBidi"/>
          <w:szCs w:val="24"/>
        </w:rPr>
      </w:pPr>
    </w:p>
    <w:p w14:paraId="34E5CC4D" w14:textId="77777777" w:rsidR="009C4C93" w:rsidRPr="009C4C93" w:rsidRDefault="009C4C93" w:rsidP="009C4C93">
      <w:pPr>
        <w:jc w:val="both"/>
        <w:rPr>
          <w:rFonts w:asciiTheme="majorBidi" w:hAnsiTheme="majorBidi" w:cstheme="majorBidi"/>
          <w:b/>
          <w:szCs w:val="24"/>
        </w:rPr>
      </w:pPr>
      <w:r w:rsidRPr="009C4C93">
        <w:rPr>
          <w:rFonts w:asciiTheme="majorBidi" w:hAnsiTheme="majorBidi" w:cstheme="majorBidi"/>
          <w:b/>
          <w:szCs w:val="24"/>
        </w:rPr>
        <w:t>S2. Modeling the surface charge density of GO:</w:t>
      </w:r>
    </w:p>
    <w:p w14:paraId="6EDB6895" w14:textId="700183CD" w:rsidR="009C4C93" w:rsidRPr="009C4C93" w:rsidRDefault="009C4C93" w:rsidP="009C4C93">
      <w:pPr>
        <w:jc w:val="both"/>
        <w:rPr>
          <w:rFonts w:asciiTheme="majorBidi" w:hAnsiTheme="majorBidi" w:cstheme="majorBidi"/>
          <w:szCs w:val="24"/>
        </w:rPr>
      </w:pPr>
      <w:r w:rsidRPr="009C4C93">
        <w:rPr>
          <w:rFonts w:asciiTheme="majorBidi" w:hAnsiTheme="majorBidi" w:cstheme="majorBidi"/>
          <w:szCs w:val="24"/>
        </w:rPr>
        <w:t>Surface charge density (</w:t>
      </w:r>
      <m:oMath>
        <m:r>
          <m:rPr>
            <m:sty m:val="p"/>
          </m:rPr>
          <w:rPr>
            <w:rFonts w:ascii="Cambria Math" w:hAnsi="Cambria Math" w:cstheme="majorBidi"/>
            <w:szCs w:val="24"/>
          </w:rPr>
          <m:t>σ</m:t>
        </m:r>
      </m:oMath>
      <w:r w:rsidRPr="009C4C93">
        <w:rPr>
          <w:rFonts w:asciiTheme="majorBidi" w:eastAsiaTheme="minorEastAsia" w:hAnsiTheme="majorBidi" w:cstheme="majorBidi"/>
          <w:szCs w:val="24"/>
        </w:rPr>
        <w:t>)</w:t>
      </w:r>
      <w:r w:rsidRPr="009C4C93">
        <w:rPr>
          <w:rFonts w:asciiTheme="majorBidi" w:hAnsiTheme="majorBidi" w:cstheme="majorBidi"/>
          <w:szCs w:val="24"/>
        </w:rPr>
        <w:t xml:space="preserve"> of GO is governed by the protonation equilibrium of different active sites within its structure. Regardless of the origin of such sites, the law of mass action relates the corresponding surface density (</w:t>
      </w:r>
      <m:oMath>
        <m:sSubSup>
          <m:sSubSupPr>
            <m:ctrlPr>
              <w:rPr>
                <w:rFonts w:ascii="Cambria Math" w:hAnsi="Cambria Math" w:cstheme="majorBidi"/>
                <w:szCs w:val="24"/>
              </w:rPr>
            </m:ctrlPr>
          </m:sSubSupPr>
          <m:e>
            <m:r>
              <m:rPr>
                <m:sty m:val="p"/>
              </m:rPr>
              <w:rPr>
                <w:rFonts w:ascii="Cambria Math" w:hAnsi="Cambria Math" w:cstheme="majorBidi"/>
                <w:szCs w:val="24"/>
              </w:rPr>
              <m:t>Γ</m:t>
            </m:r>
          </m:e>
          <m:sub>
            <m:r>
              <m:rPr>
                <m:sty m:val="p"/>
              </m:rPr>
              <w:rPr>
                <w:rFonts w:ascii="Cambria Math" w:hAnsi="Cambria Math" w:cstheme="majorBidi"/>
                <w:szCs w:val="24"/>
              </w:rPr>
              <m:t>i</m:t>
            </m:r>
          </m:sub>
          <m:sup>
            <m:r>
              <m:rPr>
                <m:sty m:val="p"/>
              </m:rPr>
              <w:rPr>
                <w:rFonts w:ascii="Cambria Math" w:hAnsi="Cambria Math" w:cstheme="majorBidi"/>
                <w:szCs w:val="24"/>
              </w:rPr>
              <m:t>0</m:t>
            </m:r>
          </m:sup>
        </m:sSubSup>
      </m:oMath>
      <w:r w:rsidRPr="009C4C93">
        <w:rPr>
          <w:rFonts w:asciiTheme="majorBidi" w:eastAsiaTheme="minorEastAsia" w:hAnsiTheme="majorBidi" w:cstheme="majorBidi"/>
          <w:szCs w:val="24"/>
        </w:rPr>
        <w:t>)</w:t>
      </w:r>
      <w:r w:rsidRPr="009C4C93">
        <w:rPr>
          <w:rFonts w:asciiTheme="majorBidi" w:hAnsiTheme="majorBidi" w:cstheme="majorBidi"/>
          <w:szCs w:val="24"/>
        </w:rPr>
        <w:t xml:space="preserve"> of these sites to the deprotonated density through an equilibrium constant (</w:t>
      </w:r>
      <m:oMath>
        <m:sSub>
          <m:sSubPr>
            <m:ctrlPr>
              <w:rPr>
                <w:rFonts w:ascii="Cambria Math" w:hAnsi="Cambria Math" w:cstheme="majorBidi"/>
                <w:szCs w:val="24"/>
              </w:rPr>
            </m:ctrlPr>
          </m:sSubPr>
          <m:e>
            <m:r>
              <m:rPr>
                <m:sty m:val="p"/>
              </m:rPr>
              <w:rPr>
                <w:rFonts w:ascii="Cambria Math" w:hAnsi="Cambria Math" w:cstheme="majorBidi"/>
                <w:szCs w:val="24"/>
              </w:rPr>
              <m:t>pK</m:t>
            </m:r>
          </m:e>
          <m:sub>
            <m:sSub>
              <m:sSubPr>
                <m:ctrlPr>
                  <w:rPr>
                    <w:rFonts w:ascii="Cambria Math" w:hAnsi="Cambria Math" w:cstheme="majorBidi"/>
                    <w:szCs w:val="24"/>
                  </w:rPr>
                </m:ctrlPr>
              </m:sSubPr>
              <m:e>
                <m:r>
                  <m:rPr>
                    <m:sty m:val="p"/>
                  </m:rPr>
                  <w:rPr>
                    <w:rFonts w:ascii="Cambria Math" w:hAnsi="Cambria Math" w:cstheme="majorBidi"/>
                    <w:szCs w:val="24"/>
                  </w:rPr>
                  <m:t>a</m:t>
                </m:r>
              </m:e>
              <m:sub>
                <m:r>
                  <m:rPr>
                    <m:sty m:val="p"/>
                  </m:rPr>
                  <w:rPr>
                    <w:rFonts w:ascii="Cambria Math" w:hAnsi="Cambria Math" w:cstheme="majorBidi"/>
                    <w:szCs w:val="24"/>
                  </w:rPr>
                  <m:t>i</m:t>
                </m:r>
              </m:sub>
            </m:sSub>
          </m:sub>
        </m:sSub>
      </m:oMath>
      <w:r w:rsidRPr="009C4C93">
        <w:rPr>
          <w:rFonts w:asciiTheme="majorBidi" w:eastAsiaTheme="minorEastAsia" w:hAnsiTheme="majorBidi" w:cstheme="majorBidi"/>
          <w:szCs w:val="24"/>
        </w:rPr>
        <w:t>).</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&lt;EndNote&gt;&lt;Cite&gt;&lt;Author&gt;Trefalt&lt;/Author&gt;&lt;Year&gt;2016&lt;/Year&gt;&lt;RecNum&gt;715&lt;/RecNum&gt;&lt;DisplayText&gt;(&lt;style face="italic"&gt;2&lt;/style&gt;)&lt;/DisplayText&gt;&lt;record&gt;&lt;rec-number&gt;715&lt;/rec-number&gt;&lt;foreign-keys&gt;&lt;key app="EN" db-id="29etr9td3sza0set0w75z0299f5zv29xrxw5" timestamp="1672326558"&gt;715&lt;/key&gt;&lt;/foreign-keys&gt;&lt;ref-type name="Journal Article"&gt;17&lt;/ref-type&gt;&lt;contributors&gt;&lt;authors&gt;&lt;author&gt;Trefalt, Gregor&lt;/author&gt;&lt;author&gt;Behrens, Sven Holger&lt;/author&gt;&lt;author&gt;Borkovec, Michal&lt;/author&gt;&lt;/authors&gt;&lt;/contributors&gt;&lt;titles&gt;&lt;title&gt;Charge Regulation in the Electrical Double Layer: Ion Adsorption and Surface Interactions&lt;/title&gt;&lt;secondary-title&gt;Langmuir&lt;/secondary-title&gt;&lt;/titles&gt;&lt;periodical&gt;&lt;full-title&gt;Langmuir&lt;/full-title&gt;&lt;/periodical&gt;&lt;pages&gt;380-400&lt;/pages&gt;&lt;volume&gt;32&lt;/volume&gt;&lt;number&gt;2&lt;/number&gt;&lt;dates&gt;&lt;year&gt;2016&lt;/year&gt;&lt;pub-dates&gt;&lt;date&gt;2016/01/19&lt;/date&gt;&lt;/pub-dates&gt;&lt;/dates&gt;&lt;publisher&gt;American Chemical Society&lt;/publisher&gt;&lt;isbn&gt;0743-7463&lt;/isbn&gt;&lt;urls&gt;&lt;related-urls&gt;&lt;url&gt;https://doi.org/10.1021/acs.langmuir.5b03611&lt;/url&gt;&lt;/related-urls&gt;&lt;/urls&gt;&lt;electronic-resource-num&gt;10.1021/acs.langmuir.5b03611&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In the presence of multiple types of ionizable sites, the general expression for the surface charge density is as follows </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&lt;EndNote&gt;&lt;Cite&gt;&lt;Author&gt;Trefalt&lt;/Author&gt;&lt;Year&gt;2016&lt;/Year&gt;&lt;RecNum&gt;715&lt;/RecNum&gt;&lt;DisplayText&gt;(&lt;style face="italic"&gt;2&lt;/style&gt;)&lt;/DisplayText&gt;&lt;record&gt;&lt;rec-number&gt;715&lt;/rec-number&gt;&lt;foreign-keys&gt;&lt;key app="EN" db-id="29etr9td3sza0set0w75z0299f5zv29xrxw5" timestamp="1672326558"&gt;715&lt;/key&gt;&lt;/foreign-keys&gt;&lt;ref-type name="Journal Article"&gt;17&lt;/ref-type&gt;&lt;contributors&gt;&lt;authors&gt;&lt;author&gt;Trefalt, Gregor&lt;/author&gt;&lt;author&gt;Behrens, Sven Holger&lt;/author&gt;&lt;author&gt;Borkovec, Michal&lt;/author&gt;&lt;/authors&gt;&lt;/contributors&gt;&lt;titles&gt;&lt;title&gt;Charge Regulation in the Electrical Double Layer: Ion Adsorption and Surface Interactions&lt;/title&gt;&lt;secondary-title&gt;Langmuir&lt;/secondary-title&gt;&lt;/titles&gt;&lt;periodical&gt;&lt;full-title&gt;Langmuir&lt;/full-title&gt;&lt;/periodical&gt;&lt;pages&gt;380-400&lt;/pages&gt;&lt;volume&gt;32&lt;/volume&gt;&lt;number&gt;2&lt;/number&gt;&lt;dates&gt;&lt;year&gt;2016&lt;/year&gt;&lt;pub-dates&gt;&lt;date&gt;2016/01/19&lt;/date&gt;&lt;/pub-dates&gt;&lt;/dates&gt;&lt;publisher&gt;American Chemical Society&lt;/publisher&gt;&lt;isbn&gt;0743-7463&lt;/isbn&gt;&lt;urls&gt;&lt;related-urls&gt;&lt;url&gt;https://doi.org/10.1021/acs.langmuir.5b03611&lt;/url&gt;&lt;/related-urls&gt;&lt;/urls&gt;&lt;electronic-resource-num&gt;10.1021/acs.langmuir.5b03611&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w:t>
      </w:r>
    </w:p>
    <w:p w14:paraId="72480853" w14:textId="70D06BB5" w:rsidR="009C4C93" w:rsidRPr="009C4C93" w:rsidRDefault="009C4C93" w:rsidP="009C4C93">
      <w:pPr>
        <w:rPr>
          <w:rFonts w:asciiTheme="majorBidi" w:eastAsiaTheme="minorEastAsia" w:hAnsiTheme="majorBidi" w:cstheme="majorBidi"/>
          <w:szCs w:val="24"/>
        </w:rPr>
      </w:pPr>
      <m:oMath>
        <m:r>
          <m:rPr>
            <m:sty m:val="p"/>
          </m:rPr>
          <w:rPr>
            <w:rFonts w:ascii="Cambria Math" w:hAnsi="Cambria Math" w:cstheme="majorBidi"/>
            <w:szCs w:val="24"/>
          </w:rPr>
          <m:t>σ=e</m:t>
        </m:r>
        <m:nary>
          <m:naryPr>
            <m:chr m:val="∑"/>
            <m:limLoc m:val="undOvr"/>
            <m:supHide m:val="1"/>
            <m:ctrlPr>
              <w:rPr>
                <w:rFonts w:ascii="Cambria Math" w:hAnsi="Cambria Math" w:cstheme="majorBidi"/>
                <w:szCs w:val="24"/>
              </w:rPr>
            </m:ctrlPr>
          </m:naryPr>
          <m:sub>
            <m:r>
              <m:rPr>
                <m:sty m:val="p"/>
              </m:rPr>
              <w:rPr>
                <w:rFonts w:ascii="Cambria Math" w:hAnsi="Cambria Math" w:cstheme="majorBidi"/>
                <w:szCs w:val="24"/>
              </w:rPr>
              <m:t>i</m:t>
            </m:r>
          </m:sub>
          <m:sup/>
          <m:e>
            <m:sSubSup>
              <m:sSubSupPr>
                <m:ctrlPr>
                  <w:rPr>
                    <w:rFonts w:ascii="Cambria Math" w:hAnsi="Cambria Math" w:cstheme="majorBidi"/>
                    <w:szCs w:val="24"/>
                  </w:rPr>
                </m:ctrlPr>
              </m:sSubSupPr>
              <m:e>
                <m:r>
                  <m:rPr>
                    <m:sty m:val="p"/>
                  </m:rPr>
                  <w:rPr>
                    <w:rFonts w:ascii="Cambria Math" w:hAnsi="Cambria Math" w:cstheme="majorBidi"/>
                    <w:szCs w:val="24"/>
                  </w:rPr>
                  <m:t>Γ</m:t>
                </m:r>
              </m:e>
              <m:sub>
                <m:r>
                  <m:rPr>
                    <m:sty m:val="p"/>
                  </m:rPr>
                  <w:rPr>
                    <w:rFonts w:ascii="Cambria Math" w:hAnsi="Cambria Math" w:cstheme="majorBidi"/>
                    <w:szCs w:val="24"/>
                  </w:rPr>
                  <m:t>i</m:t>
                </m:r>
              </m:sub>
              <m:sup>
                <m:r>
                  <m:rPr>
                    <m:sty m:val="p"/>
                  </m:rPr>
                  <w:rPr>
                    <w:rFonts w:ascii="Cambria Math" w:hAnsi="Cambria Math" w:cstheme="majorBidi"/>
                    <w:szCs w:val="24"/>
                  </w:rPr>
                  <m:t>0</m:t>
                </m:r>
              </m:sup>
            </m:sSubSup>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1</m:t>
                </m:r>
              </m:num>
              <m:den>
                <m:r>
                  <m:rPr>
                    <m:sty m:val="p"/>
                  </m:rPr>
                  <w:rPr>
                    <w:rFonts w:ascii="Cambria Math" w:hAnsi="Cambria Math" w:cstheme="majorBidi"/>
                    <w:szCs w:val="24"/>
                  </w:rPr>
                  <m:t>1+</m:t>
                </m:r>
                <m:sSup>
                  <m:sSupPr>
                    <m:ctrlPr>
                      <w:rPr>
                        <w:rFonts w:ascii="Cambria Math" w:hAnsi="Cambria Math" w:cstheme="majorBidi"/>
                        <w:szCs w:val="24"/>
                      </w:rPr>
                    </m:ctrlPr>
                  </m:sSupPr>
                  <m:e>
                    <m:r>
                      <m:rPr>
                        <m:sty m:val="p"/>
                      </m:rPr>
                      <w:rPr>
                        <w:rFonts w:ascii="Cambria Math" w:hAnsi="Cambria Math" w:cstheme="majorBidi"/>
                        <w:szCs w:val="24"/>
                      </w:rPr>
                      <m:t>10</m:t>
                    </m:r>
                  </m:e>
                  <m:sup>
                    <m:r>
                      <m:rPr>
                        <m:sty m:val="p"/>
                      </m:rPr>
                      <w:rPr>
                        <w:rFonts w:ascii="Cambria Math" w:hAnsi="Cambria Math" w:cstheme="majorBidi"/>
                        <w:szCs w:val="24"/>
                      </w:rPr>
                      <m:t>(pH-</m:t>
                    </m:r>
                    <m:sSub>
                      <m:sSubPr>
                        <m:ctrlPr>
                          <w:rPr>
                            <w:rFonts w:ascii="Cambria Math" w:hAnsi="Cambria Math" w:cstheme="majorBidi"/>
                            <w:szCs w:val="24"/>
                          </w:rPr>
                        </m:ctrlPr>
                      </m:sSubPr>
                      <m:e>
                        <m:r>
                          <m:rPr>
                            <m:sty m:val="p"/>
                          </m:rPr>
                          <w:rPr>
                            <w:rFonts w:ascii="Cambria Math" w:hAnsi="Cambria Math" w:cstheme="majorBidi"/>
                            <w:szCs w:val="24"/>
                          </w:rPr>
                          <m:t>pK</m:t>
                        </m:r>
                      </m:e>
                      <m:sub>
                        <m:sSub>
                          <m:sSubPr>
                            <m:ctrlPr>
                              <w:rPr>
                                <w:rFonts w:ascii="Cambria Math" w:hAnsi="Cambria Math" w:cstheme="majorBidi"/>
                                <w:szCs w:val="24"/>
                              </w:rPr>
                            </m:ctrlPr>
                          </m:sSubPr>
                          <m:e>
                            <m:r>
                              <m:rPr>
                                <m:sty m:val="p"/>
                              </m:rPr>
                              <w:rPr>
                                <w:rFonts w:ascii="Cambria Math" w:hAnsi="Cambria Math" w:cstheme="majorBidi"/>
                                <w:szCs w:val="24"/>
                              </w:rPr>
                              <m:t>a</m:t>
                            </m:r>
                          </m:e>
                          <m:sub>
                            <m:r>
                              <m:rPr>
                                <m:sty m:val="p"/>
                              </m:rPr>
                              <w:rPr>
                                <w:rFonts w:ascii="Cambria Math" w:hAnsi="Cambria Math" w:cstheme="majorBidi"/>
                                <w:szCs w:val="24"/>
                              </w:rPr>
                              <m:t>i</m:t>
                            </m:r>
                          </m:sub>
                        </m:sSub>
                      </m:sub>
                    </m:sSub>
                    <m:r>
                      <m:rPr>
                        <m:sty m:val="p"/>
                      </m:rPr>
                      <w:rPr>
                        <w:rFonts w:ascii="Cambria Math" w:hAnsi="Cambria Math" w:cstheme="majorBidi"/>
                        <w:szCs w:val="24"/>
                      </w:rPr>
                      <m:t>)</m:t>
                    </m:r>
                  </m:sup>
                </m:sSup>
                <m:sSup>
                  <m:sSupPr>
                    <m:ctrlPr>
                      <w:rPr>
                        <w:rFonts w:ascii="Cambria Math" w:hAnsi="Cambria Math" w:cstheme="majorBidi"/>
                        <w:szCs w:val="24"/>
                      </w:rPr>
                    </m:ctrlPr>
                  </m:sSupPr>
                  <m:e>
                    <m:r>
                      <m:rPr>
                        <m:sty m:val="p"/>
                      </m:rPr>
                      <w:rPr>
                        <w:rFonts w:ascii="Cambria Math" w:hAnsi="Cambria Math" w:cstheme="majorBidi"/>
                        <w:szCs w:val="24"/>
                      </w:rPr>
                      <m:t>e</m:t>
                    </m:r>
                  </m:e>
                  <m:sup>
                    <m:r>
                      <m:rPr>
                        <m:sty m:val="p"/>
                      </m:rPr>
                      <w:rPr>
                        <w:rFonts w:ascii="Cambria Math" w:hAnsi="Cambria Math" w:cstheme="majorBidi"/>
                        <w:szCs w:val="24"/>
                      </w:rPr>
                      <m:t>(</m:t>
                    </m:r>
                    <m:f>
                      <m:fPr>
                        <m:ctrlPr>
                          <w:rPr>
                            <w:rFonts w:ascii="Cambria Math" w:hAnsi="Cambria Math" w:cstheme="majorBidi"/>
                            <w:szCs w:val="24"/>
                          </w:rPr>
                        </m:ctrlPr>
                      </m:fPr>
                      <m:num>
                        <m:sSub>
                          <m:sSubPr>
                            <m:ctrlPr>
                              <w:rPr>
                                <w:rFonts w:ascii="Cambria Math" w:hAnsi="Cambria Math" w:cstheme="majorBidi"/>
                                <w:szCs w:val="24"/>
                              </w:rPr>
                            </m:ctrlPr>
                          </m:sSubPr>
                          <m:e>
                            <m:r>
                              <m:rPr>
                                <m:sty m:val="p"/>
                              </m:rPr>
                              <w:rPr>
                                <w:rFonts w:ascii="Cambria Math" w:hAnsi="Cambria Math" w:cstheme="majorBidi"/>
                                <w:szCs w:val="24"/>
                              </w:rPr>
                              <m:t>ψ</m:t>
                            </m:r>
                          </m:e>
                          <m:sub>
                            <m:r>
                              <m:rPr>
                                <m:sty m:val="p"/>
                              </m:rPr>
                              <w:rPr>
                                <w:rFonts w:ascii="Cambria Math" w:hAnsi="Cambria Math" w:cstheme="majorBidi"/>
                                <w:szCs w:val="24"/>
                              </w:rPr>
                              <m:t>0</m:t>
                            </m:r>
                          </m:sub>
                        </m:sSub>
                      </m:num>
                      <m:den>
                        <m:r>
                          <m:rPr>
                            <m:sty m:val="p"/>
                          </m:rPr>
                          <w:rPr>
                            <w:rFonts w:ascii="Cambria Math" w:hAnsi="Cambria Math" w:cstheme="majorBidi"/>
                            <w:szCs w:val="24"/>
                          </w:rPr>
                          <m:t>β</m:t>
                        </m:r>
                      </m:den>
                    </m:f>
                    <m:r>
                      <m:rPr>
                        <m:sty m:val="p"/>
                      </m:rPr>
                      <w:rPr>
                        <w:rFonts w:ascii="Cambria Math" w:hAnsi="Cambria Math" w:cstheme="majorBidi"/>
                        <w:szCs w:val="24"/>
                      </w:rPr>
                      <m:t>)</m:t>
                    </m:r>
                  </m:sup>
                </m:sSup>
              </m:den>
            </m:f>
            <m:r>
              <m:rPr>
                <m:sty m:val="p"/>
              </m:rPr>
              <w:rPr>
                <w:rFonts w:ascii="Cambria Math" w:hAnsi="Cambria Math" w:cstheme="majorBidi"/>
                <w:szCs w:val="24"/>
              </w:rPr>
              <m:t>)</m:t>
            </m:r>
          </m:e>
        </m:nary>
      </m:oMath>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(S2)</w:t>
      </w:r>
    </w:p>
    <w:p w14:paraId="50743D15" w14:textId="4348DF39"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sSub>
          <m:sSubPr>
            <m:ctrlPr>
              <w:rPr>
                <w:rFonts w:ascii="Cambria Math" w:hAnsi="Cambria Math" w:cstheme="majorBidi"/>
                <w:szCs w:val="24"/>
              </w:rPr>
            </m:ctrlPr>
          </m:sSubPr>
          <m:e>
            <m:r>
              <m:rPr>
                <m:sty m:val="p"/>
              </m:rPr>
              <w:rPr>
                <w:rFonts w:ascii="Cambria Math" w:hAnsi="Cambria Math" w:cstheme="majorBidi"/>
                <w:szCs w:val="24"/>
              </w:rPr>
              <m:t>ψ</m:t>
            </m:r>
          </m:e>
          <m:sub>
            <m:r>
              <m:rPr>
                <m:sty m:val="p"/>
              </m:rPr>
              <w:rPr>
                <w:rFonts w:ascii="Cambria Math" w:hAnsi="Cambria Math" w:cstheme="majorBidi"/>
                <w:szCs w:val="24"/>
              </w:rPr>
              <m:t>0</m:t>
            </m:r>
          </m:sub>
        </m:sSub>
      </m:oMath>
      <w:r w:rsidRPr="009C4C93">
        <w:rPr>
          <w:rFonts w:asciiTheme="majorBidi" w:eastAsiaTheme="minorEastAsia" w:hAnsiTheme="majorBidi" w:cstheme="majorBidi"/>
          <w:szCs w:val="24"/>
        </w:rPr>
        <w:t xml:space="preserve"> and </w:t>
      </w:r>
      <m:oMath>
        <m:r>
          <m:rPr>
            <m:sty m:val="p"/>
          </m:rPr>
          <w:rPr>
            <w:rFonts w:ascii="Cambria Math" w:hAnsi="Cambria Math" w:cstheme="majorBidi"/>
            <w:szCs w:val="24"/>
          </w:rPr>
          <m:t>e</m:t>
        </m:r>
      </m:oMath>
      <w:r w:rsidRPr="009C4C93">
        <w:rPr>
          <w:rFonts w:asciiTheme="majorBidi" w:eastAsiaTheme="minorEastAsia" w:hAnsiTheme="majorBidi" w:cstheme="majorBidi"/>
          <w:szCs w:val="24"/>
        </w:rPr>
        <w:t xml:space="preserve"> represent surface potential and elementary charge, respectively and </w:t>
      </w:r>
      <m:oMath>
        <m:r>
          <m:rPr>
            <m:sty m:val="p"/>
          </m:rPr>
          <w:rPr>
            <w:rFonts w:ascii="Cambria Math" w:hAnsi="Cambria Math" w:cstheme="majorBidi"/>
            <w:szCs w:val="24"/>
          </w:rPr>
          <m:t>β</m:t>
        </m:r>
      </m:oMath>
      <w:r w:rsidRPr="009C4C93">
        <w:rPr>
          <w:rFonts w:asciiTheme="majorBidi" w:eastAsiaTheme="minorEastAsia" w:hAnsiTheme="majorBidi" w:cstheme="majorBidi"/>
          <w:szCs w:val="24"/>
        </w:rPr>
        <w:t xml:space="preserve"> denotes the thermal voltage (</w:t>
      </w:r>
      <m:oMath>
        <m:f>
          <m:fPr>
            <m:ctrlPr>
              <w:rPr>
                <w:rFonts w:ascii="Cambria Math" w:hAnsi="Cambria Math" w:cstheme="majorBidi"/>
                <w:szCs w:val="24"/>
              </w:rPr>
            </m:ctrlPr>
          </m:fPr>
          <m:num>
            <m:sSub>
              <m:sSubPr>
                <m:ctrlPr>
                  <w:rPr>
                    <w:rFonts w:ascii="Cambria Math" w:hAnsi="Cambria Math" w:cstheme="majorBidi"/>
                    <w:szCs w:val="24"/>
                  </w:rPr>
                </m:ctrlPr>
              </m:sSubPr>
              <m:e>
                <m:r>
                  <m:rPr>
                    <m:sty m:val="p"/>
                  </m:rPr>
                  <w:rPr>
                    <w:rFonts w:ascii="Cambria Math" w:hAnsi="Cambria Math" w:cstheme="majorBidi"/>
                    <w:szCs w:val="24"/>
                  </w:rPr>
                  <m:t>k</m:t>
                </m:r>
              </m:e>
              <m:sub>
                <m:r>
                  <m:rPr>
                    <m:sty m:val="p"/>
                  </m:rPr>
                  <w:rPr>
                    <w:rFonts w:ascii="Cambria Math" w:hAnsi="Cambria Math" w:cstheme="majorBidi"/>
                    <w:szCs w:val="24"/>
                  </w:rPr>
                  <m:t>B</m:t>
                </m:r>
              </m:sub>
            </m:sSub>
            <m:r>
              <m:rPr>
                <m:sty m:val="p"/>
              </m:rPr>
              <w:rPr>
                <w:rFonts w:ascii="Cambria Math" w:hAnsi="Cambria Math" w:cstheme="majorBidi"/>
                <w:szCs w:val="24"/>
              </w:rPr>
              <m:t>T</m:t>
            </m:r>
          </m:num>
          <m:den>
            <m:r>
              <m:rPr>
                <m:sty m:val="p"/>
              </m:rPr>
              <w:rPr>
                <w:rFonts w:ascii="Cambria Math" w:hAnsi="Cambria Math" w:cstheme="majorBidi"/>
                <w:szCs w:val="24"/>
              </w:rPr>
              <m:t>e</m:t>
            </m:r>
          </m:den>
        </m:f>
      </m:oMath>
      <w:r w:rsidRPr="009C4C93">
        <w:rPr>
          <w:rFonts w:asciiTheme="majorBidi" w:eastAsiaTheme="minorEastAsia" w:hAnsiTheme="majorBidi" w:cstheme="majorBidi"/>
          <w:szCs w:val="24"/>
        </w:rPr>
        <w:t xml:space="preserve">). The analytical expression derived from the Poisson-Boltzmann (PB) equation that relates </w:t>
      </w:r>
      <m:oMath>
        <m:r>
          <m:rPr>
            <m:sty m:val="p"/>
          </m:rPr>
          <w:rPr>
            <w:rFonts w:ascii="Cambria Math" w:hAnsi="Cambria Math" w:cstheme="majorBidi"/>
            <w:szCs w:val="24"/>
          </w:rPr>
          <m:t>σ</m:t>
        </m:r>
      </m:oMath>
      <w:r w:rsidRPr="009C4C93">
        <w:rPr>
          <w:rFonts w:asciiTheme="majorBidi" w:eastAsiaTheme="minorEastAsia" w:hAnsiTheme="majorBidi" w:cstheme="majorBidi"/>
          <w:szCs w:val="24"/>
        </w:rPr>
        <w:t xml:space="preserve"> to </w:t>
      </w:r>
      <m:oMath>
        <m:sSub>
          <m:sSubPr>
            <m:ctrlPr>
              <w:rPr>
                <w:rFonts w:ascii="Cambria Math" w:hAnsi="Cambria Math" w:cstheme="majorBidi"/>
                <w:szCs w:val="24"/>
              </w:rPr>
            </m:ctrlPr>
          </m:sSubPr>
          <m:e>
            <m:r>
              <m:rPr>
                <m:sty m:val="p"/>
              </m:rPr>
              <w:rPr>
                <w:rFonts w:ascii="Cambria Math" w:hAnsi="Cambria Math" w:cstheme="majorBidi"/>
                <w:szCs w:val="24"/>
              </w:rPr>
              <m:t>ψ</m:t>
            </m:r>
          </m:e>
          <m:sub>
            <m:r>
              <m:rPr>
                <m:sty m:val="p"/>
              </m:rPr>
              <w:rPr>
                <w:rFonts w:ascii="Cambria Math" w:hAnsi="Cambria Math" w:cstheme="majorBidi"/>
                <w:szCs w:val="24"/>
              </w:rPr>
              <m:t>0</m:t>
            </m:r>
          </m:sub>
        </m:sSub>
      </m:oMath>
      <w:r w:rsidRPr="009C4C93">
        <w:rPr>
          <w:rFonts w:asciiTheme="majorBidi" w:eastAsiaTheme="minorEastAsia" w:hAnsiTheme="majorBidi" w:cstheme="majorBidi"/>
          <w:szCs w:val="24"/>
        </w:rPr>
        <w:t xml:space="preserve"> in the presence of symmetric electrolytes is:</w:t>
      </w:r>
    </w:p>
    <w:p w14:paraId="16581BE2" w14:textId="1055EA61" w:rsidR="009C4C93" w:rsidRPr="009C4C93" w:rsidRDefault="009C4C93" w:rsidP="009C4C93">
      <w:pPr>
        <w:jc w:val="both"/>
        <w:rPr>
          <w:rFonts w:asciiTheme="majorBidi" w:eastAsiaTheme="minorEastAsia" w:hAnsiTheme="majorBidi" w:cstheme="majorBidi"/>
          <w:szCs w:val="24"/>
        </w:rPr>
      </w:pPr>
      <m:oMath>
        <m:r>
          <m:rPr>
            <m:sty m:val="p"/>
          </m:rPr>
          <w:rPr>
            <w:rFonts w:ascii="Cambria Math" w:eastAsiaTheme="minorEastAsia" w:hAnsi="Cambria Math" w:cstheme="majorBidi"/>
            <w:szCs w:val="24"/>
          </w:rPr>
          <m:t>σ=2ε</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0</m:t>
            </m:r>
          </m:sub>
        </m:sSub>
        <m:r>
          <m:rPr>
            <m:sty m:val="p"/>
          </m:rPr>
          <w:rPr>
            <w:rFonts w:ascii="Cambria Math" w:hAnsi="Cambria Math" w:cstheme="majorBidi"/>
            <w:szCs w:val="24"/>
          </w:rPr>
          <m:t>κβ</m:t>
        </m:r>
        <m:r>
          <m:rPr>
            <m:sty m:val="p"/>
          </m:rPr>
          <w:rPr>
            <w:rFonts w:ascii="Cambria Math" w:eastAsiaTheme="minorEastAsia" w:hAnsi="Cambria Math" w:cstheme="majorBidi"/>
            <w:szCs w:val="24"/>
          </w:rPr>
          <m:t>sinh⁡(</m:t>
        </m:r>
        <m:f>
          <m:fPr>
            <m:ctrlPr>
              <w:rPr>
                <w:rFonts w:ascii="Cambria Math" w:eastAsiaTheme="minorEastAsia" w:hAnsi="Cambria Math" w:cstheme="majorBidi"/>
                <w:szCs w:val="24"/>
              </w:rPr>
            </m:ctrlPr>
          </m:fPr>
          <m:num>
            <m:sSub>
              <m:sSubPr>
                <m:ctrlPr>
                  <w:rPr>
                    <w:rFonts w:ascii="Cambria Math" w:hAnsi="Cambria Math" w:cstheme="majorBidi"/>
                    <w:szCs w:val="24"/>
                  </w:rPr>
                </m:ctrlPr>
              </m:sSubPr>
              <m:e>
                <m:r>
                  <m:rPr>
                    <m:sty m:val="p"/>
                  </m:rPr>
                  <w:rPr>
                    <w:rFonts w:ascii="Cambria Math" w:hAnsi="Cambria Math" w:cstheme="majorBidi"/>
                    <w:szCs w:val="24"/>
                  </w:rPr>
                  <m:t>ψ</m:t>
                </m:r>
              </m:e>
              <m:sub>
                <m:r>
                  <m:rPr>
                    <m:sty m:val="p"/>
                  </m:rPr>
                  <w:rPr>
                    <w:rFonts w:ascii="Cambria Math" w:hAnsi="Cambria Math" w:cstheme="majorBidi"/>
                    <w:szCs w:val="24"/>
                  </w:rPr>
                  <m:t>0</m:t>
                </m:r>
              </m:sub>
            </m:sSub>
          </m:num>
          <m:den>
            <m:r>
              <m:rPr>
                <m:sty m:val="p"/>
              </m:rPr>
              <w:rPr>
                <w:rFonts w:ascii="Cambria Math" w:eastAsiaTheme="minorEastAsia" w:hAnsi="Cambria Math" w:cstheme="majorBidi"/>
                <w:szCs w:val="24"/>
              </w:rPr>
              <m:t>2</m:t>
            </m:r>
            <m:r>
              <m:rPr>
                <m:sty m:val="p"/>
              </m:rPr>
              <w:rPr>
                <w:rFonts w:ascii="Cambria Math" w:hAnsi="Cambria Math" w:cstheme="majorBidi"/>
                <w:szCs w:val="24"/>
              </w:rPr>
              <m:t>β</m:t>
            </m:r>
          </m:den>
        </m:f>
        <m:r>
          <m:rPr>
            <m:sty m:val="p"/>
          </m:rPr>
          <w:rPr>
            <w:rFonts w:ascii="Cambria Math" w:eastAsiaTheme="minorEastAsia" w:hAnsi="Cambria Math" w:cstheme="majorBidi"/>
            <w:szCs w:val="24"/>
          </w:rPr>
          <m:t>)</m:t>
        </m:r>
      </m:oMath>
      <w:r w:rsidRPr="009C4C93">
        <w:rPr>
          <w:rFonts w:asciiTheme="majorBidi" w:eastAsiaTheme="minorEastAsia" w:hAnsiTheme="majorBidi" w:cstheme="majorBidi"/>
          <w:szCs w:val="24"/>
        </w:rPr>
        <w:t>,</w:t>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(S3)</w:t>
      </w:r>
    </w:p>
    <w:p w14:paraId="4D326AFE" w14:textId="4BB1742B"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0</m:t>
            </m:r>
          </m:sub>
        </m:sSub>
      </m:oMath>
      <w:r w:rsidRPr="009C4C93">
        <w:rPr>
          <w:rFonts w:asciiTheme="majorBidi" w:eastAsiaTheme="minorEastAsia" w:hAnsiTheme="majorBidi" w:cstheme="majorBidi"/>
          <w:szCs w:val="24"/>
        </w:rPr>
        <w:t xml:space="preserve"> represents the vacuum permittivity, </w:t>
      </w:r>
      <m:oMath>
        <m:r>
          <m:rPr>
            <m:sty m:val="p"/>
          </m:rPr>
          <w:rPr>
            <w:rFonts w:ascii="Cambria Math" w:eastAsiaTheme="minorEastAsia" w:hAnsi="Cambria Math" w:cstheme="majorBidi"/>
            <w:szCs w:val="24"/>
          </w:rPr>
          <m:t>ε</m:t>
        </m:r>
      </m:oMath>
      <w:r w:rsidRPr="009C4C93">
        <w:rPr>
          <w:rFonts w:asciiTheme="majorBidi" w:eastAsiaTheme="minorEastAsia" w:hAnsiTheme="majorBidi" w:cstheme="majorBidi"/>
          <w:szCs w:val="24"/>
        </w:rPr>
        <w:t xml:space="preserve"> is dielectric constant and </w:t>
      </w:r>
      <m:oMath>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κ</m:t>
            </m:r>
          </m:e>
          <m:sup>
            <m:r>
              <m:rPr>
                <m:sty m:val="p"/>
              </m:rPr>
              <w:rPr>
                <w:rFonts w:ascii="Cambria Math" w:eastAsiaTheme="minorEastAsia" w:hAnsi="Cambria Math" w:cstheme="majorBidi"/>
                <w:szCs w:val="24"/>
              </w:rPr>
              <m:t>-1</m:t>
            </m:r>
          </m:sup>
        </m:sSup>
      </m:oMath>
      <w:r w:rsidRPr="009C4C93">
        <w:rPr>
          <w:rFonts w:asciiTheme="majorBidi" w:eastAsiaTheme="minorEastAsia" w:hAnsiTheme="majorBidi" w:cstheme="majorBidi"/>
          <w:szCs w:val="24"/>
        </w:rPr>
        <w:t xml:space="preserve"> is the Debye length, defined as:</w:t>
      </w:r>
    </w:p>
    <w:p w14:paraId="223F6D77" w14:textId="20ACFF5C" w:rsidR="009C4C93" w:rsidRPr="009C4C93" w:rsidRDefault="009C4C93" w:rsidP="009C4C93">
      <w:pPr>
        <w:jc w:val="both"/>
        <w:rPr>
          <w:rFonts w:asciiTheme="majorBidi" w:eastAsiaTheme="minorEastAsia" w:hAnsiTheme="majorBidi" w:cstheme="majorBidi"/>
          <w:szCs w:val="24"/>
        </w:rPr>
      </w:pPr>
      <m:oMath>
        <m:r>
          <m:rPr>
            <m:sty m:val="p"/>
          </m:rPr>
          <w:rPr>
            <w:rFonts w:ascii="Cambria Math" w:eastAsiaTheme="minorEastAsia" w:hAnsi="Cambria Math" w:cstheme="majorBidi"/>
            <w:szCs w:val="24"/>
          </w:rPr>
          <m:t>κ=</m:t>
        </m:r>
        <m:rad>
          <m:radPr>
            <m:degHide m:val="1"/>
            <m:ctrlPr>
              <w:rPr>
                <w:rFonts w:ascii="Cambria Math" w:eastAsiaTheme="minorEastAsia" w:hAnsi="Cambria Math" w:cstheme="majorBidi"/>
                <w:szCs w:val="24"/>
              </w:rPr>
            </m:ctrlPr>
          </m:radPr>
          <m:deg/>
          <m:e>
            <m:f>
              <m:fPr>
                <m:ctrlPr>
                  <w:rPr>
                    <w:rFonts w:ascii="Cambria Math" w:eastAsiaTheme="minorEastAsia" w:hAnsi="Cambria Math" w:cstheme="majorBidi"/>
                    <w:szCs w:val="24"/>
                  </w:rPr>
                </m:ctrlPr>
              </m:fPr>
              <m:num>
                <m:r>
                  <m:rPr>
                    <m:sty m:val="p"/>
                  </m:rPr>
                  <w:rPr>
                    <w:rFonts w:ascii="Cambria Math" w:eastAsiaTheme="minorEastAsia" w:hAnsi="Cambria Math" w:cstheme="majorBidi"/>
                    <w:szCs w:val="24"/>
                  </w:rPr>
                  <m:t>2eI</m:t>
                </m:r>
              </m:num>
              <m:den>
                <m:r>
                  <m:rPr>
                    <m:sty m:val="p"/>
                  </m:rPr>
                  <w:rPr>
                    <w:rFonts w:ascii="Cambria Math" w:eastAsiaTheme="minorEastAsia" w:hAnsi="Cambria Math" w:cstheme="majorBidi"/>
                    <w:szCs w:val="24"/>
                  </w:rPr>
                  <m:t>ε</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0</m:t>
                    </m:r>
                  </m:sub>
                </m:sSub>
                <m:r>
                  <m:rPr>
                    <m:sty m:val="p"/>
                  </m:rPr>
                  <w:rPr>
                    <w:rFonts w:ascii="Cambria Math" w:hAnsi="Cambria Math" w:cstheme="majorBidi"/>
                    <w:szCs w:val="24"/>
                  </w:rPr>
                  <m:t>β</m:t>
                </m:r>
              </m:den>
            </m:f>
          </m:e>
        </m:rad>
      </m:oMath>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(S4)</w:t>
      </w:r>
    </w:p>
    <w:p w14:paraId="765723E0" w14:textId="089A4F30"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r>
          <m:rPr>
            <m:sty m:val="p"/>
          </m:rPr>
          <w:rPr>
            <w:rFonts w:ascii="Cambria Math" w:eastAsiaTheme="minorEastAsia" w:hAnsi="Cambria Math" w:cstheme="majorBidi"/>
            <w:szCs w:val="24"/>
          </w:rPr>
          <m:t>I</m:t>
        </m:r>
      </m:oMath>
      <w:r w:rsidRPr="009C4C93">
        <w:rPr>
          <w:rFonts w:asciiTheme="majorBidi" w:eastAsiaTheme="minorEastAsia" w:hAnsiTheme="majorBidi" w:cstheme="majorBidi"/>
          <w:szCs w:val="24"/>
        </w:rPr>
        <w:t xml:space="preserve"> represents the ionic strength of electrolyte. </w:t>
      </w:r>
    </w:p>
    <w:p w14:paraId="08084AAE" w14:textId="660BF257" w:rsid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We considered four types of active sites contributing to the surface charges at the GO-water interface. In addition to organosulfate groups, we included three other types: two accounting for carboxyl groups and one for hydroxyl groups in GO. It is commonly assumed that carboxyl groups in proximity to hydroxyl groups are more acidic and possess smaller</w:t>
      </w:r>
      <m:oMath>
        <m:r>
          <m:rPr>
            <m:sty m:val="p"/>
          </m:rPr>
          <w:rPr>
            <w:rFonts w:ascii="Cambria Math" w:eastAsiaTheme="minorEastAsia" w:hAnsi="Cambria Math" w:cstheme="majorBidi"/>
            <w:szCs w:val="24"/>
          </w:rPr>
          <m:t xml:space="preserve"> </m:t>
        </m:r>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values.</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&lt;EndNote&gt;&lt;Cite&gt;&lt;Author&gt;Konkena&lt;/Author&gt;&lt;Year&gt;2012&lt;/Year&gt;&lt;RecNum&gt;3&lt;/RecNum&gt;&lt;DisplayText&gt;(&lt;style face="italic"&gt;3&lt;/style&gt;)&lt;/DisplayText&gt;&lt;record&gt;&lt;rec-number&gt;3&lt;/rec-number&gt;&lt;foreign-keys&gt;&lt;key app="EN" db-id="xzsfatx5atrs04edaaxvsv2ztfwrrwer0aea" timestamp="1719148479"&gt;3&lt;/key&gt;&lt;/foreign-keys&gt;&lt;ref-type name="Journal Article"&gt;17&lt;/ref-type&gt;&lt;contributors&gt;&lt;authors&gt;&lt;author&gt;Konkena, Bharathi&lt;/author&gt;&lt;author&gt;Vasudevan, Sukumaran&lt;/author&gt;&lt;/authors&gt;&lt;/contributors&gt;&lt;titles&gt;&lt;title&gt;Understanding Aqueous Dispersibility of Graphene Oxide and Reduced Graphene Oxide through pKa Measurements&lt;/title&gt;&lt;secondary-title&gt;The Journal of Physical Chemistry Letters&lt;/secondary-title&gt;&lt;/titles&gt;&lt;periodical&gt;&lt;full-title&gt;The Journal of Physical Chemistry Letters&lt;/full-title&gt;&lt;/periodical&gt;&lt;pages&gt;867-872&lt;/pages&gt;&lt;volume&gt;3&lt;/volume&gt;&lt;number&gt;7&lt;/number&gt;&lt;dates&gt;&lt;year&gt;2012&lt;/year&gt;&lt;pub-dates&gt;&lt;date&gt;2012/04/05&lt;/date&gt;&lt;/pub-dates&gt;&lt;/dates&gt;&lt;publisher&gt;American Chemical Society&lt;/publisher&gt;&lt;urls&gt;&lt;related-urls&gt;&lt;url&gt;https://doi.org/10.1021/jz300236w&lt;/url&gt;&lt;/related-urls&gt;&lt;/urls&gt;&lt;electronic-resource-num&gt;10.1021/jz300236w&lt;/electronic-resource-num&gt;&lt;/record&gt;&lt;/Cite&gt;&lt;/EndNote&gt;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(3)</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We used average values for the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of these three oxygen groups reported in the literature (Table S1). </w:t>
      </w:r>
      <w:r w:rsidRPr="009C4C93">
        <w:rPr>
          <w:rFonts w:asciiTheme="majorBidi" w:eastAsiaTheme="minorEastAsia" w:hAnsiTheme="majorBidi" w:cstheme="majorBidi"/>
          <w:szCs w:val="24"/>
        </w:rPr>
        <w:fldChar w:fldCharType="begin">
          <w:fldData xml:space="preserve">PEVuZE5vdGU+PENpdGU+PEF1dGhvcj5PcnRoPC9BdXRob3I+PFllYXI+MjAxNjwvWWVhcj48UmVj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</w:fldData>
        </w:fldChar>
      </w:r>
      <w:r>
        <w:rPr>
          <w:rFonts w:asciiTheme="majorBidi" w:eastAsiaTheme="minorEastAsia" w:hAnsiTheme="majorBidi" w:cstheme="majorBidi"/>
          <w:szCs w:val="24"/>
        </w:rPr>
        <w:instrText xml:space="preserve"> ADDIN EN.CITE </w:instrText>
      </w:r>
      <w:r>
        <w:rPr>
          <w:rFonts w:asciiTheme="majorBidi" w:eastAsiaTheme="minorEastAsia" w:hAnsiTheme="majorBidi" w:cstheme="majorBidi"/>
          <w:szCs w:val="24"/>
        </w:rPr>
        <w:fldChar w:fldCharType="begin">
          <w:fldData xml:space="preserve">PEVuZE5vdGU+PENpdGU+PEF1dGhvcj5PcnRoPC9BdXRob3I+PFllYXI+MjAxNjwvWWVhcj48UmVj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</w:fldData>
        </w:fldChar>
      </w:r>
      <w:r>
        <w:rPr>
          <w:rFonts w:asciiTheme="majorBidi" w:eastAsiaTheme="minorEastAsia" w:hAnsiTheme="majorBidi" w:cstheme="majorBidi"/>
          <w:szCs w:val="24"/>
        </w:rPr>
        <w:instrText xml:space="preserve"> ADDIN EN.CITE.DATA </w:instrText>
      </w:r>
      <w:r>
        <w:rPr>
          <w:rFonts w:asciiTheme="majorBidi" w:eastAsiaTheme="minorEastAsia" w:hAnsiTheme="majorBidi" w:cstheme="majorBidi"/>
          <w:szCs w:val="24"/>
        </w:rPr>
      </w:r>
      <w:r>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(3-5)</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Their corresponding </w:t>
      </w:r>
      <m:oMath>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Γ</m:t>
            </m:r>
          </m:e>
          <m:sup>
            <m:r>
              <m:rPr>
                <m:sty m:val="p"/>
              </m:rPr>
              <w:rPr>
                <w:rFonts w:ascii="Cambria Math" w:eastAsiaTheme="minorEastAsia" w:hAnsi="Cambria Math" w:cstheme="majorBidi"/>
                <w:szCs w:val="24"/>
              </w:rPr>
              <m:t>0</m:t>
            </m:r>
          </m:sup>
        </m:sSup>
      </m:oMath>
      <w:r w:rsidRPr="009C4C93">
        <w:rPr>
          <w:rFonts w:asciiTheme="majorBidi" w:eastAsiaTheme="minorEastAsia" w:hAnsiTheme="majorBidi" w:cstheme="majorBidi"/>
          <w:szCs w:val="24"/>
        </w:rPr>
        <w:t xml:space="preserve"> are taken from ref.</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&lt;EndNote&gt;&lt;Cite&gt;&lt;Author&gt;Andreeva&lt;/Author&gt;&lt;Year&gt;2021&lt;/Year&gt;&lt;RecNum&gt;5&lt;/RecNum&gt;&lt;DisplayText&gt;(&lt;style face="italic"&gt;5&lt;/style&gt;)&lt;/DisplayText&gt;&lt;record&gt;&lt;rec-number&gt;5&lt;/rec-number&gt;&lt;foreign-keys&gt;&lt;key app="EN" db-id="xzsfatx5atrs04edaaxvsv2ztfwrrwer0aea" timestamp="1719148479"&gt;5&lt;/key&gt;&lt;/foreign-keys&gt;&lt;ref-type name="Journal Article"&gt;17&lt;/ref-type&gt;&lt;contributors&gt;&lt;authors&gt;&lt;author&gt;Andreeva, Daria V.&lt;/author&gt;&lt;author&gt;Trushin, Maxim&lt;/author&gt;&lt;author&gt;Nikitina, Anna&lt;/author&gt;&lt;author&gt;Costa, Mariana C. F.&lt;/author&gt;&lt;author&gt;Cherepanov, Pavel V.&lt;/author&gt;&lt;author&gt;Holwill, Matthew&lt;/author&gt;&lt;author&gt;Chen, Siyu&lt;/author&gt;&lt;author&gt;Yang, Kou&lt;/author&gt;&lt;author&gt;Chee, See Wee&lt;/author&gt;&lt;author&gt;Mirsaidov, Utkur&lt;/author&gt;&lt;author&gt;Castro Neto, Antonio H.&lt;/author&gt;&lt;author&gt;Novoselov, Kostya S.&lt;/author&gt;&lt;/authors&gt;&lt;/contributors&gt;&lt;titles&gt;&lt;title&gt;Two-dimensional adaptive membranes with programmable water and ionic channels&lt;/title&gt;&lt;secondary-title&gt;Nature Nanotechnology&lt;/secondary-title&gt;&lt;/titles&gt;&lt;periodical&gt;&lt;full-title&gt;Nature Nanotechnology&lt;/full-title&gt;&lt;/periodical&gt;&lt;pages&gt;174-180&lt;/pages&gt;&lt;volume&gt;16&lt;/volume&gt;&lt;number&gt;2&lt;/number&gt;&lt;dates&gt;&lt;year&gt;2021&lt;/year&gt;&lt;pub-dates&gt;&lt;date&gt;2021/02/01&lt;/date&gt;&lt;/pub-dates&gt;&lt;/dates&gt;&lt;isbn&gt;1748-3395&lt;/isbn&gt;&lt;urls&gt;&lt;related-urls&gt;&lt;url&gt;https://doi.org/10.1038/s41565-020-00795-y&lt;/url&gt;&lt;/related-urls&gt;&lt;/urls&gt;&lt;electronic-resource-num&gt;10.1038/s41565-020-00795-y&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(5)</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Variation in these parameters play a minor role in surface charge density of GO dispersions, as the pH is acidic. Both </w:t>
      </w:r>
      <m:oMath>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Γ</m:t>
            </m:r>
          </m:e>
          <m:sup>
            <m:r>
              <m:rPr>
                <m:sty m:val="p"/>
              </m:rPr>
              <w:rPr>
                <w:rFonts w:ascii="Cambria Math" w:eastAsiaTheme="minorEastAsia" w:hAnsi="Cambria Math" w:cstheme="majorBidi"/>
                <w:szCs w:val="24"/>
              </w:rPr>
              <m:t>0</m:t>
            </m:r>
          </m:sup>
        </m:sSup>
      </m:oMath>
      <w:r w:rsidRPr="009C4C93">
        <w:rPr>
          <w:rFonts w:asciiTheme="majorBidi" w:eastAsiaTheme="minorEastAsia" w:hAnsiTheme="majorBidi" w:cstheme="majorBidi"/>
          <w:szCs w:val="24"/>
        </w:rPr>
        <w:t xml:space="preserve"> and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of the organosulfate groups are unknown. The content of these groups changes overtime due to hydrolysis, generating additional hydroxyl groups.</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&lt;EndNote&gt;&lt;Cite&gt;&lt;Author&gt;Halbig&lt;/Author&gt;&lt;Year&gt;2024&lt;/Year&gt;&lt;RecNum&gt;908&lt;/RecNum&gt;&lt;DisplayText&gt;(&lt;style face="italic"&gt;1&lt;/style&gt;)&lt;/DisplayText&gt;&lt;record&gt;&lt;rec-number&gt;908&lt;/rec-number&gt;&lt;foreign-keys&gt;&lt;key app="EN" db-id="29etr9td3sza0set0w75z0299f5zv29xrxw5" timestamp="1712012789"&gt;908&lt;/key&gt;&lt;/foreign-keys&gt;&lt;ref-type name="Journal Article"&gt;17&lt;/ref-type&gt;&lt;contributors&gt;&lt;authors&gt;&lt;author&gt;Halbig, Christian E&lt;/author&gt;&lt;author&gt;Mukherjee, Bristy&lt;/author&gt;&lt;author&gt;Eigler, Siegfried&lt;/author&gt;&lt;author&gt;Garaj, Slaven&lt;/author&gt;&lt;/authors&gt;&lt;/contributors&gt;&lt;titles&gt;&lt;title&gt;Origin of Oxygen in Graphene Oxide Revealed by 17O and 18O Isotopic Labeling&lt;/title&gt;&lt;secondary-title&gt;Journal of the American Chemical Society&lt;/secondary-title&gt;&lt;/titles&gt;&lt;periodical&gt;&lt;full-title&gt;Journal of the American Chemical Society&lt;/full-title&gt;&lt;/periodical&gt;&lt;dates&gt;&lt;year&gt;2024&lt;/year&gt;&lt;/dates&gt;&lt;isbn&gt;0002-7863&lt;/isbn&gt;&lt;urls&gt;&lt;/urls&gt;&lt;/record&gt;&lt;/Cite&gt;&lt;/EndNote&gt;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Here, we calculated </w:t>
      </w:r>
      <m:oMath>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Γ</m:t>
            </m:r>
          </m:e>
          <m:sup>
            <m:r>
              <m:rPr>
                <m:sty m:val="p"/>
              </m:rPr>
              <w:rPr>
                <w:rFonts w:ascii="Cambria Math" w:eastAsiaTheme="minorEastAsia" w:hAnsi="Cambria Math" w:cstheme="majorBidi"/>
                <w:szCs w:val="24"/>
              </w:rPr>
              <m:t>0</m:t>
            </m:r>
          </m:sup>
        </m:sSup>
      </m:oMath>
      <w:r w:rsidRPr="009C4C93">
        <w:rPr>
          <w:rFonts w:asciiTheme="majorBidi" w:eastAsiaTheme="minorEastAsia" w:hAnsiTheme="majorBidi" w:cstheme="majorBidi"/>
          <w:szCs w:val="24"/>
        </w:rPr>
        <w:t xml:space="preserve"> using the elemental analysis data of the sample we used for pH and osmotic pressure measurements. We found 3.03 wt.% sulfur in the sample corresponding to 54 mC·m</w:t>
      </w:r>
      <w:r w:rsidRPr="009C4C93">
        <w:rPr>
          <w:rFonts w:asciiTheme="majorBidi" w:eastAsiaTheme="minorEastAsia" w:hAnsiTheme="majorBidi" w:cstheme="majorBidi"/>
          <w:szCs w:val="24"/>
          <w:vertAlign w:val="superscript"/>
        </w:rPr>
        <w:t>-2</w:t>
      </w:r>
      <w:r w:rsidRPr="009C4C93">
        <w:rPr>
          <w:rFonts w:asciiTheme="majorBidi" w:eastAsiaTheme="minorEastAsia" w:hAnsiTheme="majorBidi" w:cstheme="majorBidi"/>
          <w:szCs w:val="24"/>
        </w:rPr>
        <w:t xml:space="preserve">. The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of organosulfate groups is not precisely defined, although they exhibit strong acidity.</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&lt;EndNote&gt;&lt;Cite&gt;&lt;Author&gt;Zhang&lt;/Author&gt;&lt;Year&gt;2019&lt;/Year&gt;&lt;RecNum&gt;971&lt;/RecNum&gt;&lt;DisplayText&gt;(&lt;style face="italic"&gt;6&lt;/style&gt;)&lt;/DisplayText&gt;&lt;record&gt;&lt;rec-number&gt;971&lt;/rec-number&gt;&lt;foreign-keys&gt;&lt;key app="EN" db-id="29etr9td3sza0set0w75z0299f5zv29xrxw5" timestamp="1718550470"&gt;971&lt;/key&gt;&lt;/foreign-keys&gt;&lt;ref-type name="Journal Article"&gt;17&lt;/ref-type&gt;&lt;contributors&gt;&lt;authors&gt;&lt;author&gt;Zhang, Yue&lt;/author&gt;&lt;author&gt;Chen, Yuzhi&lt;/author&gt;&lt;author&gt;Lei, Ziying&lt;/author&gt;&lt;author&gt;Olson, Nicole E.&lt;/author&gt;&lt;author&gt;Riva, Matthieu&lt;/author&gt;&lt;author&gt;Koss, Abigail R.&lt;/author&gt;&lt;author&gt;Zhang, Zhenfa&lt;/author&gt;&lt;author&gt;Gold, Avram&lt;/author&gt;&lt;author&gt;Jayne, John T.&lt;/author&gt;&lt;author&gt;Worsnop, Douglas R.&lt;/author&gt;&lt;author&gt;Onasch, Timothy B.&lt;/author&gt;&lt;author&gt;Kroll, Jesse H.&lt;/author&gt;&lt;author&gt;Turpin, Barbara J.&lt;/author&gt;&lt;author&gt;Ault, Andrew P.&lt;/author&gt;&lt;author&gt;Surratt, Jason D.&lt;/author&gt;&lt;/authors&gt;&lt;/contributors&gt;&lt;titles&gt;&lt;title&gt;Joint Impacts of Acidity and Viscosity on the Formation of Secondary Organic Aerosol from Isoprene Epoxydiols (IEPOX) in Phase Separated Particles&lt;/title&gt;&lt;secondary-title&gt;ACS Earth and Space Chemistry&lt;/secondary-title&gt;&lt;/titles&gt;&lt;periodical&gt;&lt;full-title&gt;ACS Earth and Space Chemistry&lt;/full-title&gt;&lt;/periodical&gt;&lt;pages&gt;2646-2658&lt;/pages&gt;&lt;volume&gt;3&lt;/volume&gt;&lt;number&gt;12&lt;/number&gt;&lt;dates&gt;&lt;year&gt;2019&lt;/year&gt;&lt;pub-dates&gt;&lt;date&gt;2019/12/19&lt;/date&gt;&lt;/pub-dates&gt;&lt;/dates&gt;&lt;publisher&gt;American Chemical Society&lt;/publisher&gt;&lt;urls&gt;&lt;related-urls&gt;&lt;url&gt;https://doi.org/10.1021/acsearthspacechem.9b00209&lt;/url&gt;&lt;/related-urls&gt;&lt;/urls&gt;&lt;electronic-resource-num&gt;10.1021/acsearthspacechem.9b00209&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(6)</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Therefore, we treated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of these site as a fitting parameter to fit pH and osmotic pressure data. Our best fit yielded a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value of 1.2, consistent with the highly acidic nature of these sites. Table S1 summarizes the </w:t>
      </w:r>
      <m:oMath>
        <m:sSub>
          <m:sSubPr>
            <m:ctrlPr>
              <w:rPr>
                <w:rFonts w:ascii="Cambria Math" w:hAnsi="Cambria Math" w:cstheme="majorBidi"/>
                <w:szCs w:val="24"/>
              </w:rPr>
            </m:ctrlPr>
          </m:sSubPr>
          <m:e>
            <m:r>
              <m:rPr>
                <m:sty m:val="p"/>
              </m:rPr>
              <w:rPr>
                <w:rFonts w:ascii="Cambria Math" w:hAnsi="Cambria Math" w:cstheme="majorBidi"/>
                <w:szCs w:val="24"/>
              </w:rPr>
              <m:t>pK</m:t>
            </m:r>
          </m:e>
          <m:sub>
            <m:r>
              <m:rPr>
                <m:sty m:val="p"/>
              </m:rPr>
              <w:rPr>
                <w:rFonts w:ascii="Cambria Math" w:hAnsi="Cambria Math" w:cstheme="majorBidi"/>
                <w:szCs w:val="24"/>
              </w:rPr>
              <m:t>a</m:t>
            </m:r>
          </m:sub>
        </m:sSub>
      </m:oMath>
      <w:r w:rsidRPr="009C4C93">
        <w:rPr>
          <w:rFonts w:asciiTheme="majorBidi" w:eastAsiaTheme="minorEastAsia" w:hAnsiTheme="majorBidi" w:cstheme="majorBidi"/>
          <w:szCs w:val="24"/>
        </w:rPr>
        <w:t xml:space="preserve"> and  </w:t>
      </w:r>
      <m:oMath>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Γ</m:t>
            </m:r>
          </m:e>
          <m:sup>
            <m:r>
              <m:rPr>
                <m:sty m:val="p"/>
              </m:rPr>
              <w:rPr>
                <w:rFonts w:ascii="Cambria Math" w:eastAsiaTheme="minorEastAsia" w:hAnsi="Cambria Math" w:cstheme="majorBidi"/>
                <w:szCs w:val="24"/>
              </w:rPr>
              <m:t>0</m:t>
            </m:r>
          </m:sup>
        </m:sSup>
      </m:oMath>
      <w:r w:rsidRPr="009C4C93">
        <w:rPr>
          <w:rFonts w:asciiTheme="majorBidi" w:eastAsiaTheme="minorEastAsia" w:hAnsiTheme="majorBidi" w:cstheme="majorBidi"/>
          <w:szCs w:val="24"/>
        </w:rPr>
        <w:t xml:space="preserve"> values for all four sites used in our model.</w:t>
      </w:r>
      <w:r>
        <w:rPr>
          <w:rFonts w:asciiTheme="majorBidi" w:eastAsiaTheme="minorEastAsia" w:hAnsiTheme="majorBidi" w:cstheme="majorBidi"/>
          <w:szCs w:val="24"/>
        </w:rPr>
        <w:br w:type="page"/>
      </w:r>
    </w:p>
    <w:p w14:paraId="4125A3E4" w14:textId="77777777" w:rsidR="009C4C93" w:rsidRPr="009C4C93" w:rsidRDefault="009C4C93" w:rsidP="009C4C93">
      <w:pPr>
        <w:jc w:val="both"/>
        <w:rPr>
          <w:rFonts w:asciiTheme="majorBidi" w:eastAsiaTheme="minorEastAsia" w:hAnsiTheme="majorBidi" w:cstheme="majorBidi"/>
          <w:szCs w:val="24"/>
        </w:rPr>
      </w:pPr>
    </w:p>
    <w:p w14:paraId="5C0D41E3" w14:textId="77777777" w:rsidR="009C4C93" w:rsidRPr="009C4C93" w:rsidRDefault="009C4C93" w:rsidP="009C4C93">
      <w:pPr>
        <w:jc w:val="both"/>
        <w:rPr>
          <w:rFonts w:asciiTheme="majorBidi" w:eastAsiaTheme="minorEastAsia" w:hAnsiTheme="majorBidi" w:cstheme="majorBidi"/>
          <w:szCs w:val="24"/>
        </w:rPr>
      </w:pPr>
      <w:r w:rsidRPr="003E55F1">
        <w:rPr>
          <w:rFonts w:asciiTheme="majorBidi" w:eastAsiaTheme="minorEastAsia" w:hAnsiTheme="majorBidi" w:cstheme="majorBidi"/>
          <w:b/>
          <w:bCs/>
          <w:szCs w:val="24"/>
        </w:rPr>
        <w:t>Table S1. Parameters for the Diffuse Layer Model, eq.(S1).</w:t>
      </w:r>
      <w:r w:rsidRPr="009C4C93">
        <w:rPr>
          <w:rFonts w:asciiTheme="majorBidi" w:eastAsiaTheme="minorEastAsia" w:hAnsiTheme="majorBidi" w:cstheme="majorBidi"/>
          <w:szCs w:val="24"/>
        </w:rPr>
        <w:t xml:space="preserve"> See Figure 3A for more details.</w:t>
      </w:r>
    </w:p>
    <w:tbl>
      <w:tblPr>
        <w:tblStyle w:val="PlainTable3"/>
        <w:tblW w:w="0" w:type="auto"/>
        <w:tblLook w:val="04A0" w:firstRow="1" w:lastRow="0" w:firstColumn="1" w:lastColumn="0" w:noHBand="0" w:noVBand="1"/>
      </w:tblPr>
      <w:tblGrid>
        <w:gridCol w:w="3005"/>
        <w:gridCol w:w="3005"/>
        <w:gridCol w:w="3006"/>
      </w:tblGrid>
      <w:tr w:rsidR="009C4C93" w:rsidRPr="009C4C93" w14:paraId="1329A602" w14:textId="77777777" w:rsidTr="000F2AF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005" w:type="dxa"/>
          </w:tcPr>
          <w:p w14:paraId="03A57610" w14:textId="77777777" w:rsidR="009C4C93" w:rsidRPr="009C4C93" w:rsidRDefault="009C4C93" w:rsidP="000F2AFE">
            <w:pPr>
              <w:jc w:val="both"/>
              <w:rPr>
                <w:rFonts w:asciiTheme="majorBidi" w:eastAsiaTheme="minorEastAsia" w:hAnsiTheme="majorBidi" w:cstheme="majorBidi"/>
                <w:szCs w:val="24"/>
                <w:lang w:val="en-US"/>
              </w:rPr>
            </w:pPr>
          </w:p>
        </w:tc>
        <w:tc>
          <w:tcPr>
            <w:tcW w:w="3005" w:type="dxa"/>
          </w:tcPr>
          <w:p w14:paraId="7DAEFA0F" w14:textId="31E77B15" w:rsidR="009C4C93" w:rsidRPr="009C4C93" w:rsidRDefault="00092C50" w:rsidP="000F2AFE">
            <w:pPr>
              <w:jc w:val="both"/>
              <w:cnfStyle w:val="100000000000" w:firstRow="1" w:lastRow="0" w:firstColumn="0" w:lastColumn="0" w:oddVBand="0" w:evenVBand="0" w:oddHBand="0" w:evenHBand="0" w:firstRowFirstColumn="0" w:firstRowLastColumn="0" w:lastRowFirstColumn="0" w:lastRowLastColumn="0"/>
              <w:rPr>
                <w:rFonts w:asciiTheme="majorBidi" w:eastAsiaTheme="minorEastAsia" w:hAnsiTheme="majorBidi" w:cstheme="majorBidi"/>
                <w:szCs w:val="24"/>
                <w:lang w:val="en-US"/>
              </w:rPr>
            </w:pPr>
            <m:oMathPara>
              <m:oMath>
                <m:sSub>
                  <m:sSubPr>
                    <m:ctrlPr>
                      <w:rPr>
                        <w:rFonts w:ascii="Cambria Math" w:hAnsi="Cambria Math" w:cstheme="majorBidi"/>
                        <w:szCs w:val="24"/>
                        <w:lang w:val="en-US"/>
                      </w:rPr>
                    </m:ctrlPr>
                  </m:sSubPr>
                  <m:e>
                    <m:r>
                      <m:rPr>
                        <m:sty m:val="b"/>
                      </m:rPr>
                      <w:rPr>
                        <w:rFonts w:ascii="Cambria Math" w:hAnsi="Cambria Math" w:cstheme="majorBidi"/>
                        <w:szCs w:val="24"/>
                        <w:lang w:val="en-US"/>
                      </w:rPr>
                      <m:t>pK</m:t>
                    </m:r>
                  </m:e>
                  <m:sub>
                    <m:r>
                      <m:rPr>
                        <m:sty m:val="b"/>
                      </m:rPr>
                      <w:rPr>
                        <w:rFonts w:ascii="Cambria Math" w:hAnsi="Cambria Math" w:cstheme="majorBidi"/>
                        <w:szCs w:val="24"/>
                        <w:lang w:val="en-US"/>
                      </w:rPr>
                      <m:t>a</m:t>
                    </m:r>
                  </m:sub>
                </m:sSub>
              </m:oMath>
            </m:oMathPara>
          </w:p>
        </w:tc>
        <w:tc>
          <w:tcPr>
            <w:tcW w:w="3006" w:type="dxa"/>
          </w:tcPr>
          <w:p w14:paraId="3CBBFEC5" w14:textId="1F7239C5" w:rsidR="009C4C93" w:rsidRPr="009C4C93" w:rsidRDefault="00092C50" w:rsidP="000F2AFE">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szCs w:val="24"/>
                <w:lang w:val="en-US"/>
              </w:rPr>
            </w:pPr>
            <m:oMath>
              <m:sSup>
                <m:sSupPr>
                  <m:ctrlPr>
                    <w:rPr>
                      <w:rFonts w:ascii="Cambria Math" w:hAnsi="Cambria Math" w:cstheme="majorBidi"/>
                      <w:b w:val="0"/>
                      <w:bCs w:val="0"/>
                      <w:caps w:val="0"/>
                      <w:szCs w:val="24"/>
                      <w:lang w:val="en-US"/>
                    </w:rPr>
                  </m:ctrlPr>
                </m:sSupPr>
                <m:e>
                  <m:r>
                    <m:rPr>
                      <m:sty m:val="b"/>
                    </m:rPr>
                    <w:rPr>
                      <w:rFonts w:ascii="Cambria Math" w:hAnsi="Cambria Math" w:cstheme="majorBidi"/>
                      <w:caps w:val="0"/>
                      <w:szCs w:val="24"/>
                      <w:lang w:val="en-US"/>
                    </w:rPr>
                    <m:t>Γ</m:t>
                  </m:r>
                </m:e>
                <m:sup>
                  <m:r>
                    <m:rPr>
                      <m:sty m:val="b"/>
                    </m:rPr>
                    <w:rPr>
                      <w:rFonts w:ascii="Cambria Math" w:hAnsi="Cambria Math" w:cstheme="majorBidi"/>
                      <w:caps w:val="0"/>
                      <w:szCs w:val="24"/>
                      <w:lang w:val="en-US"/>
                    </w:rPr>
                    <m:t>0</m:t>
                  </m:r>
                </m:sup>
              </m:sSup>
            </m:oMath>
            <w:r w:rsidR="009C4C93" w:rsidRPr="009C4C93">
              <w:rPr>
                <w:rFonts w:asciiTheme="majorBidi" w:hAnsiTheme="majorBidi" w:cstheme="majorBidi"/>
                <w:b w:val="0"/>
                <w:caps w:val="0"/>
                <w:szCs w:val="24"/>
                <w:lang w:val="en-US"/>
              </w:rPr>
              <w:t xml:space="preserve"> (mC·m</w:t>
            </w:r>
            <w:r w:rsidR="009C4C93" w:rsidRPr="009C4C93">
              <w:rPr>
                <w:rFonts w:asciiTheme="majorBidi" w:hAnsiTheme="majorBidi" w:cstheme="majorBidi"/>
                <w:b w:val="0"/>
                <w:caps w:val="0"/>
                <w:szCs w:val="24"/>
                <w:vertAlign w:val="superscript"/>
                <w:lang w:val="en-US"/>
              </w:rPr>
              <w:t>-2</w:t>
            </w:r>
            <w:r w:rsidR="009C4C93" w:rsidRPr="009C4C93">
              <w:rPr>
                <w:rFonts w:asciiTheme="majorBidi" w:hAnsiTheme="majorBidi" w:cstheme="majorBidi"/>
                <w:b w:val="0"/>
                <w:caps w:val="0"/>
                <w:szCs w:val="24"/>
                <w:lang w:val="en-US"/>
              </w:rPr>
              <w:t>)</w:t>
            </w:r>
          </w:p>
        </w:tc>
      </w:tr>
      <w:tr w:rsidR="009C4C93" w:rsidRPr="009C4C93" w14:paraId="5CE7EB8E" w14:textId="77777777" w:rsidTr="000F2A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3FD2576B" w14:textId="77777777" w:rsidR="009C4C93" w:rsidRPr="009C4C93" w:rsidRDefault="009C4C93" w:rsidP="000F2AFE">
            <w:pPr>
              <w:jc w:val="both"/>
              <w:rPr>
                <w:rFonts w:asciiTheme="majorBidi" w:eastAsiaTheme="minorEastAsia" w:hAnsiTheme="majorBidi" w:cstheme="majorBidi"/>
                <w:b w:val="0"/>
                <w:szCs w:val="24"/>
                <w:lang w:val="en-US"/>
              </w:rPr>
            </w:pPr>
            <w:r w:rsidRPr="009C4C93">
              <w:rPr>
                <w:rFonts w:asciiTheme="majorBidi" w:eastAsiaTheme="minorEastAsia" w:hAnsiTheme="majorBidi" w:cstheme="majorBidi"/>
                <w:b w:val="0"/>
                <w:szCs w:val="24"/>
                <w:lang w:val="en-US"/>
              </w:rPr>
              <w:t>O</w:t>
            </w:r>
            <w:r w:rsidRPr="009C4C93">
              <w:rPr>
                <w:rFonts w:asciiTheme="majorBidi" w:eastAsiaTheme="minorEastAsia" w:hAnsiTheme="majorBidi" w:cstheme="majorBidi"/>
                <w:b w:val="0"/>
                <w:caps w:val="0"/>
                <w:szCs w:val="24"/>
                <w:lang w:val="en-US"/>
              </w:rPr>
              <w:t>rganosulfate groups</w:t>
            </w:r>
          </w:p>
        </w:tc>
        <w:tc>
          <w:tcPr>
            <w:tcW w:w="3005" w:type="dxa"/>
          </w:tcPr>
          <w:p w14:paraId="037082A9" w14:textId="77777777" w:rsidR="009C4C93" w:rsidRPr="009C4C93" w:rsidRDefault="009C4C93" w:rsidP="000F2AFE">
            <w:pPr>
              <w:jc w:val="center"/>
              <w:cnfStyle w:val="000000100000" w:firstRow="0" w:lastRow="0" w:firstColumn="0" w:lastColumn="0" w:oddVBand="0" w:evenVBand="0" w:oddHBand="1"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1.2</w:t>
            </w:r>
          </w:p>
        </w:tc>
        <w:tc>
          <w:tcPr>
            <w:tcW w:w="3006" w:type="dxa"/>
          </w:tcPr>
          <w:p w14:paraId="0E513842" w14:textId="77777777" w:rsidR="009C4C93" w:rsidRPr="009C4C93" w:rsidRDefault="009C4C93" w:rsidP="000F2AFE">
            <w:pPr>
              <w:jc w:val="center"/>
              <w:cnfStyle w:val="000000100000" w:firstRow="0" w:lastRow="0" w:firstColumn="0" w:lastColumn="0" w:oddVBand="0" w:evenVBand="0" w:oddHBand="1"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54</w:t>
            </w:r>
          </w:p>
        </w:tc>
      </w:tr>
      <w:tr w:rsidR="009C4C93" w:rsidRPr="009C4C93" w14:paraId="7ADAB936" w14:textId="77777777" w:rsidTr="000F2AFE">
        <w:tc>
          <w:tcPr>
            <w:cnfStyle w:val="001000000000" w:firstRow="0" w:lastRow="0" w:firstColumn="1" w:lastColumn="0" w:oddVBand="0" w:evenVBand="0" w:oddHBand="0" w:evenHBand="0" w:firstRowFirstColumn="0" w:firstRowLastColumn="0" w:lastRowFirstColumn="0" w:lastRowLastColumn="0"/>
            <w:tcW w:w="3005" w:type="dxa"/>
          </w:tcPr>
          <w:p w14:paraId="48448D8A" w14:textId="77777777" w:rsidR="009C4C93" w:rsidRPr="009C4C93" w:rsidRDefault="009C4C93" w:rsidP="000F2AFE">
            <w:pPr>
              <w:jc w:val="both"/>
              <w:rPr>
                <w:rFonts w:asciiTheme="majorBidi" w:eastAsiaTheme="minorEastAsia" w:hAnsiTheme="majorBidi" w:cstheme="majorBidi"/>
                <w:b w:val="0"/>
                <w:szCs w:val="24"/>
                <w:lang w:val="en-US"/>
              </w:rPr>
            </w:pPr>
            <w:r w:rsidRPr="009C4C93">
              <w:rPr>
                <w:rFonts w:asciiTheme="majorBidi" w:eastAsiaTheme="minorEastAsia" w:hAnsiTheme="majorBidi" w:cstheme="majorBidi"/>
                <w:b w:val="0"/>
                <w:szCs w:val="24"/>
                <w:lang w:val="en-US"/>
              </w:rPr>
              <w:t>C</w:t>
            </w:r>
            <w:r w:rsidRPr="009C4C93">
              <w:rPr>
                <w:rFonts w:asciiTheme="majorBidi" w:eastAsiaTheme="minorEastAsia" w:hAnsiTheme="majorBidi" w:cstheme="majorBidi"/>
                <w:b w:val="0"/>
                <w:caps w:val="0"/>
                <w:szCs w:val="24"/>
                <w:lang w:val="en-US"/>
              </w:rPr>
              <w:t>arboxyl type I</w:t>
            </w:r>
          </w:p>
        </w:tc>
        <w:tc>
          <w:tcPr>
            <w:tcW w:w="3005" w:type="dxa"/>
          </w:tcPr>
          <w:p w14:paraId="08F6B0A4" w14:textId="77777777" w:rsidR="009C4C93" w:rsidRPr="009C4C93" w:rsidRDefault="009C4C93" w:rsidP="000F2AFE">
            <w:pPr>
              <w:jc w:val="center"/>
              <w:cnfStyle w:val="000000000000" w:firstRow="0" w:lastRow="0" w:firstColumn="0" w:lastColumn="0" w:oddVBand="0" w:evenVBand="0" w:oddHBand="0"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4</w:t>
            </w:r>
          </w:p>
        </w:tc>
        <w:tc>
          <w:tcPr>
            <w:tcW w:w="3006" w:type="dxa"/>
          </w:tcPr>
          <w:p w14:paraId="7AE33E52" w14:textId="77777777" w:rsidR="009C4C93" w:rsidRPr="009C4C93" w:rsidRDefault="009C4C93" w:rsidP="000F2AFE">
            <w:pPr>
              <w:jc w:val="center"/>
              <w:cnfStyle w:val="000000000000" w:firstRow="0" w:lastRow="0" w:firstColumn="0" w:lastColumn="0" w:oddVBand="0" w:evenVBand="0" w:oddHBand="0"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40</w:t>
            </w:r>
          </w:p>
        </w:tc>
      </w:tr>
      <w:tr w:rsidR="009C4C93" w:rsidRPr="009C4C93" w14:paraId="57FA48FC" w14:textId="77777777" w:rsidTr="000F2A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34003C56" w14:textId="77777777" w:rsidR="009C4C93" w:rsidRPr="009C4C93" w:rsidRDefault="009C4C93" w:rsidP="000F2AFE">
            <w:pPr>
              <w:jc w:val="both"/>
              <w:rPr>
                <w:rFonts w:asciiTheme="majorBidi" w:eastAsiaTheme="minorEastAsia" w:hAnsiTheme="majorBidi" w:cstheme="majorBidi"/>
                <w:b w:val="0"/>
                <w:szCs w:val="24"/>
                <w:lang w:val="en-US"/>
              </w:rPr>
            </w:pPr>
            <w:r w:rsidRPr="009C4C93">
              <w:rPr>
                <w:rFonts w:asciiTheme="majorBidi" w:eastAsiaTheme="minorEastAsia" w:hAnsiTheme="majorBidi" w:cstheme="majorBidi"/>
                <w:b w:val="0"/>
                <w:szCs w:val="24"/>
                <w:lang w:val="en-US"/>
              </w:rPr>
              <w:t>C</w:t>
            </w:r>
            <w:r w:rsidRPr="009C4C93">
              <w:rPr>
                <w:rFonts w:asciiTheme="majorBidi" w:eastAsiaTheme="minorEastAsia" w:hAnsiTheme="majorBidi" w:cstheme="majorBidi"/>
                <w:b w:val="0"/>
                <w:caps w:val="0"/>
                <w:szCs w:val="24"/>
                <w:lang w:val="en-US"/>
              </w:rPr>
              <w:t>arboxyl type II</w:t>
            </w:r>
          </w:p>
        </w:tc>
        <w:tc>
          <w:tcPr>
            <w:tcW w:w="3005" w:type="dxa"/>
          </w:tcPr>
          <w:p w14:paraId="0817827E" w14:textId="77777777" w:rsidR="009C4C93" w:rsidRPr="009C4C93" w:rsidRDefault="009C4C93" w:rsidP="000F2AFE">
            <w:pPr>
              <w:jc w:val="center"/>
              <w:cnfStyle w:val="000000100000" w:firstRow="0" w:lastRow="0" w:firstColumn="0" w:lastColumn="0" w:oddVBand="0" w:evenVBand="0" w:oddHBand="1"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6.5</w:t>
            </w:r>
          </w:p>
        </w:tc>
        <w:tc>
          <w:tcPr>
            <w:tcW w:w="3006" w:type="dxa"/>
          </w:tcPr>
          <w:p w14:paraId="08F5C7AF" w14:textId="77777777" w:rsidR="009C4C93" w:rsidRPr="009C4C93" w:rsidRDefault="009C4C93" w:rsidP="000F2AFE">
            <w:pPr>
              <w:jc w:val="center"/>
              <w:cnfStyle w:val="000000100000" w:firstRow="0" w:lastRow="0" w:firstColumn="0" w:lastColumn="0" w:oddVBand="0" w:evenVBand="0" w:oddHBand="1"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70</w:t>
            </w:r>
          </w:p>
        </w:tc>
      </w:tr>
      <w:tr w:rsidR="009C4C93" w:rsidRPr="009C4C93" w14:paraId="3A476DB4" w14:textId="77777777" w:rsidTr="000F2AFE">
        <w:tc>
          <w:tcPr>
            <w:cnfStyle w:val="001000000000" w:firstRow="0" w:lastRow="0" w:firstColumn="1" w:lastColumn="0" w:oddVBand="0" w:evenVBand="0" w:oddHBand="0" w:evenHBand="0" w:firstRowFirstColumn="0" w:firstRowLastColumn="0" w:lastRowFirstColumn="0" w:lastRowLastColumn="0"/>
            <w:tcW w:w="3005" w:type="dxa"/>
          </w:tcPr>
          <w:p w14:paraId="37CEBF2B" w14:textId="77777777" w:rsidR="009C4C93" w:rsidRPr="009C4C93" w:rsidRDefault="009C4C93" w:rsidP="000F2AFE">
            <w:pPr>
              <w:jc w:val="both"/>
              <w:rPr>
                <w:rFonts w:asciiTheme="majorBidi" w:eastAsiaTheme="minorEastAsia" w:hAnsiTheme="majorBidi" w:cstheme="majorBidi"/>
                <w:b w:val="0"/>
                <w:szCs w:val="24"/>
                <w:lang w:val="en-US"/>
              </w:rPr>
            </w:pPr>
            <w:r w:rsidRPr="009C4C93">
              <w:rPr>
                <w:rFonts w:asciiTheme="majorBidi" w:eastAsiaTheme="minorEastAsia" w:hAnsiTheme="majorBidi" w:cstheme="majorBidi"/>
                <w:b w:val="0"/>
                <w:szCs w:val="24"/>
                <w:lang w:val="en-US"/>
              </w:rPr>
              <w:t>H</w:t>
            </w:r>
            <w:r w:rsidRPr="009C4C93">
              <w:rPr>
                <w:rFonts w:asciiTheme="majorBidi" w:eastAsiaTheme="minorEastAsia" w:hAnsiTheme="majorBidi" w:cstheme="majorBidi"/>
                <w:b w:val="0"/>
                <w:caps w:val="0"/>
                <w:szCs w:val="24"/>
                <w:lang w:val="en-US"/>
              </w:rPr>
              <w:t xml:space="preserve">ydroxyl </w:t>
            </w:r>
          </w:p>
        </w:tc>
        <w:tc>
          <w:tcPr>
            <w:tcW w:w="3005" w:type="dxa"/>
          </w:tcPr>
          <w:p w14:paraId="1188A360" w14:textId="77777777" w:rsidR="009C4C93" w:rsidRPr="009C4C93" w:rsidRDefault="009C4C93" w:rsidP="000F2AFE">
            <w:pPr>
              <w:jc w:val="center"/>
              <w:cnfStyle w:val="000000000000" w:firstRow="0" w:lastRow="0" w:firstColumn="0" w:lastColumn="0" w:oddVBand="0" w:evenVBand="0" w:oddHBand="0"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9.5</w:t>
            </w:r>
          </w:p>
        </w:tc>
        <w:tc>
          <w:tcPr>
            <w:tcW w:w="3006" w:type="dxa"/>
          </w:tcPr>
          <w:p w14:paraId="41F049AE" w14:textId="77777777" w:rsidR="009C4C93" w:rsidRPr="009C4C93" w:rsidRDefault="009C4C93" w:rsidP="000F2AFE">
            <w:pPr>
              <w:jc w:val="center"/>
              <w:cnfStyle w:val="000000000000" w:firstRow="0" w:lastRow="0" w:firstColumn="0" w:lastColumn="0" w:oddVBand="0" w:evenVBand="0" w:oddHBand="0" w:evenHBand="0" w:firstRowFirstColumn="0" w:firstRowLastColumn="0" w:lastRowFirstColumn="0" w:lastRowLastColumn="0"/>
              <w:rPr>
                <w:rFonts w:asciiTheme="majorBidi" w:eastAsiaTheme="minorEastAsia" w:hAnsiTheme="majorBidi" w:cstheme="majorBidi"/>
                <w:szCs w:val="24"/>
                <w:lang w:val="en-US"/>
              </w:rPr>
            </w:pPr>
            <w:r w:rsidRPr="009C4C93">
              <w:rPr>
                <w:rFonts w:asciiTheme="majorBidi" w:eastAsiaTheme="minorEastAsia" w:hAnsiTheme="majorBidi" w:cstheme="majorBidi"/>
                <w:szCs w:val="24"/>
                <w:lang w:val="en-US"/>
              </w:rPr>
              <w:t>125</w:t>
            </w:r>
          </w:p>
        </w:tc>
      </w:tr>
    </w:tbl>
    <w:p w14:paraId="614875E5" w14:textId="77777777" w:rsidR="009C4C93" w:rsidRPr="009C4C93" w:rsidRDefault="009C4C93" w:rsidP="009C4C93">
      <w:pPr>
        <w:jc w:val="both"/>
        <w:rPr>
          <w:rFonts w:asciiTheme="majorBidi" w:eastAsiaTheme="minorEastAsia" w:hAnsiTheme="majorBidi" w:cstheme="majorBidi"/>
          <w:szCs w:val="24"/>
        </w:rPr>
      </w:pPr>
    </w:p>
    <w:p w14:paraId="33DFB46C" w14:textId="77777777" w:rsidR="009C4C93" w:rsidRDefault="009C4C93" w:rsidP="009C4C93">
      <w:pPr>
        <w:jc w:val="both"/>
        <w:rPr>
          <w:rFonts w:asciiTheme="majorBidi" w:eastAsiaTheme="minorEastAsia" w:hAnsiTheme="majorBidi" w:cstheme="majorBidi"/>
          <w:szCs w:val="24"/>
        </w:rPr>
      </w:pPr>
    </w:p>
    <w:p w14:paraId="661E028B" w14:textId="77777777" w:rsidR="003E55F1" w:rsidRDefault="003E55F1" w:rsidP="009C4C93">
      <w:pPr>
        <w:jc w:val="both"/>
        <w:rPr>
          <w:rFonts w:asciiTheme="majorBidi" w:eastAsiaTheme="minorEastAsia" w:hAnsiTheme="majorBidi" w:cstheme="majorBidi"/>
          <w:szCs w:val="24"/>
        </w:rPr>
      </w:pPr>
    </w:p>
    <w:p w14:paraId="4D890AFE" w14:textId="77777777" w:rsidR="003E55F1" w:rsidRPr="009C4C93" w:rsidRDefault="003E55F1" w:rsidP="009C4C93">
      <w:pPr>
        <w:jc w:val="both"/>
        <w:rPr>
          <w:rFonts w:asciiTheme="majorBidi" w:eastAsiaTheme="minorEastAsia" w:hAnsiTheme="majorBidi" w:cstheme="majorBidi"/>
          <w:szCs w:val="24"/>
        </w:rPr>
      </w:pPr>
    </w:p>
    <w:p w14:paraId="28197218"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noProof/>
          <w:szCs w:val="24"/>
          <w:lang w:val="en-GB" w:eastAsia="en-GB"/>
        </w:rPr>
        <w:drawing>
          <wp:inline distT="0" distB="0" distL="0" distR="0" wp14:anchorId="2494E808" wp14:editId="0F223A1B">
            <wp:extent cx="5096412" cy="2160000"/>
            <wp:effectExtent l="0" t="0" r="0" b="0"/>
            <wp:docPr id="4" name="Picture 4" descr="C:\Users\lab\The University of Manchester Dropbox\mohsen moazzami gudarzi\Mohsen's data\Papers\Ali's paper 2nd\figures\PZC for 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b\The University of Manchester Dropbox\mohsen moazzami gudarzi\Mohsen's data\Papers\Ali's paper 2nd\figures\PZC for SI.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96412" cy="2160000"/>
                    </a:xfrm>
                    <a:prstGeom prst="rect">
                      <a:avLst/>
                    </a:prstGeom>
                    <a:noFill/>
                    <a:ln>
                      <a:noFill/>
                    </a:ln>
                  </pic:spPr>
                </pic:pic>
              </a:graphicData>
            </a:graphic>
          </wp:inline>
        </w:drawing>
      </w:r>
    </w:p>
    <w:p w14:paraId="733ADAE8" w14:textId="205F5121"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b/>
          <w:szCs w:val="24"/>
        </w:rPr>
        <w:t>Fig</w:t>
      </w:r>
      <w:r w:rsidR="001C7B12">
        <w:rPr>
          <w:rFonts w:asciiTheme="majorBidi" w:eastAsiaTheme="minorEastAsia" w:hAnsiTheme="majorBidi" w:cstheme="majorBidi"/>
          <w:b/>
          <w:szCs w:val="24"/>
        </w:rPr>
        <w:t>ure</w:t>
      </w:r>
      <w:r w:rsidRPr="009C4C93">
        <w:rPr>
          <w:rFonts w:asciiTheme="majorBidi" w:eastAsiaTheme="minorEastAsia" w:hAnsiTheme="majorBidi" w:cstheme="majorBidi"/>
          <w:b/>
          <w:szCs w:val="24"/>
        </w:rPr>
        <w:t xml:space="preserve"> S3.</w:t>
      </w:r>
      <w:r w:rsidRPr="009C4C93">
        <w:rPr>
          <w:rFonts w:asciiTheme="majorBidi" w:eastAsiaTheme="minorEastAsia" w:hAnsiTheme="majorBidi" w:cstheme="majorBidi"/>
          <w:szCs w:val="24"/>
        </w:rPr>
        <w:t xml:space="preserve"> </w:t>
      </w:r>
      <w:r w:rsidRPr="009C4C93">
        <w:rPr>
          <w:rFonts w:asciiTheme="majorBidi" w:hAnsiTheme="majorBidi" w:cstheme="majorBidi"/>
          <w:b/>
          <w:bCs/>
          <w:color w:val="000000"/>
          <w:szCs w:val="24"/>
          <w:lang w:eastAsia="en-GB"/>
        </w:rPr>
        <w:t xml:space="preserve">Analysis of surface charge density (σ) of GO in the absence of sulfate groups at low salt regime. </w:t>
      </w:r>
      <w:r w:rsidRPr="009C4C93">
        <w:rPr>
          <w:rFonts w:asciiTheme="majorBidi" w:eastAsiaTheme="minorEastAsia" w:hAnsiTheme="majorBidi" w:cstheme="majorBidi"/>
          <w:szCs w:val="24"/>
        </w:rPr>
        <w:t xml:space="preserve">Panel (A) illustrates four distinct types of active sites contributing to the surface charge of graphene oxide (GO) as considered in our model. Panel (B) displays the model outcomes for two scenarios: one where all four sites are considered (indicated by the purple line) and another where sulfates are ignored (depicted by the orange line), as shown in Panel (C). </w:t>
      </w:r>
    </w:p>
    <w:p w14:paraId="33ECEE78" w14:textId="77777777" w:rsidR="009C4C93" w:rsidRPr="009C4C93" w:rsidRDefault="009C4C93" w:rsidP="009C4C93">
      <w:pPr>
        <w:jc w:val="both"/>
        <w:rPr>
          <w:rFonts w:asciiTheme="majorBidi" w:eastAsiaTheme="minorEastAsia" w:hAnsiTheme="majorBidi" w:cstheme="majorBidi"/>
          <w:szCs w:val="24"/>
        </w:rPr>
      </w:pPr>
    </w:p>
    <w:p w14:paraId="2385328F" w14:textId="77777777" w:rsidR="009C4C93" w:rsidRPr="009C4C93" w:rsidRDefault="009C4C93" w:rsidP="009C4C93">
      <w:pPr>
        <w:jc w:val="both"/>
        <w:rPr>
          <w:rFonts w:asciiTheme="majorBidi" w:eastAsiaTheme="minorEastAsia" w:hAnsiTheme="majorBidi" w:cstheme="majorBidi"/>
          <w:b/>
          <w:szCs w:val="24"/>
        </w:rPr>
      </w:pPr>
      <w:r w:rsidRPr="009C4C93">
        <w:rPr>
          <w:rFonts w:asciiTheme="majorBidi" w:eastAsiaTheme="minorEastAsia" w:hAnsiTheme="majorBidi" w:cstheme="majorBidi"/>
          <w:b/>
          <w:szCs w:val="24"/>
        </w:rPr>
        <w:t>S3. Estimation of hydrolysis activation energy of organosulfate groups in GO:</w:t>
      </w:r>
    </w:p>
    <w:p w14:paraId="47F15DEF" w14:textId="14377B6A"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Organosulfate groups undergo hydrolysis upon exposure to water. This reaction leaves hydroxyl groups in GO structure and releases sulfuric acid into the aquatic medium. We estimated the activation energy for this reaction based on the data reported by Halbig </w:t>
      </w:r>
      <w:r w:rsidRPr="001C7B12">
        <w:rPr>
          <w:rFonts w:asciiTheme="majorBidi" w:eastAsiaTheme="minorEastAsia" w:hAnsiTheme="majorBidi" w:cstheme="majorBidi"/>
          <w:i/>
          <w:szCs w:val="24"/>
        </w:rPr>
        <w:t>et al</w:t>
      </w:r>
      <w:r w:rsidRPr="009C4C93">
        <w:rPr>
          <w:rFonts w:asciiTheme="majorBidi" w:eastAsiaTheme="minorEastAsia" w:hAnsiTheme="majorBidi" w:cstheme="majorBidi"/>
          <w:szCs w:val="24"/>
        </w:rPr>
        <w:t>.</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&lt;EndNote&gt;&lt;Cite&gt;&lt;Author&gt;Halbig&lt;/Author&gt;&lt;Year&gt;2024&lt;/Year&gt;&lt;RecNum&gt;908&lt;/RecNum&gt;&lt;DisplayText&gt;(&lt;style face="italic"&gt;1&lt;/style&gt;)&lt;/DisplayText&gt;&lt;record&gt;&lt;rec-number&gt;908&lt;/rec-number&gt;&lt;foreign-keys&gt;&lt;key app="EN" db-id="29etr9td3sza0set0w75z0299f5zv29xrxw5" timestamp="1712012789"&gt;908&lt;/key&gt;&lt;/foreign-keys&gt;&lt;ref-type name="Journal Article"&gt;17&lt;/ref-type&gt;&lt;contributors&gt;&lt;authors&gt;&lt;author&gt;Halbig, Christian E&lt;/author&gt;&lt;author&gt;Mukherjee, Bristy&lt;/author&gt;&lt;author&gt;Eigler, Siegfried&lt;/author&gt;&lt;author&gt;Garaj, Slaven&lt;/author&gt;&lt;/authors&gt;&lt;/contributors&gt;&lt;titles&gt;&lt;title&gt;Origin of Oxygen in Graphene Oxide Revealed by 17O and 18O Isotopic Labeling&lt;/title&gt;&lt;secondary-title&gt;Journal of the American Chemical Society&lt;/secondary-title&gt;&lt;/titles&gt;&lt;periodical&gt;&lt;full-title&gt;Journal of the American Chemical Society&lt;/full-title&gt;&lt;/periodical&gt;&lt;dates&gt;&lt;year&gt;2024&lt;/year&gt;&lt;/dates&gt;&lt;isbn&gt;0002-7863&lt;/isbn&gt;&lt;urls&gt;&lt;/urls&gt;&lt;/record&gt;&lt;/Cite&gt;&lt;/EndNote&gt;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They quantified the amount of sulfur released from GO into water over time at various temperatures (See Figure 4D and 4D in </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&lt;EndNote&gt;&lt;Cite&gt;&lt;Author&gt;Halbig&lt;/Author&gt;&lt;Year&gt;2024&lt;/Year&gt;&lt;RecNum&gt;908&lt;/RecNum&gt;&lt;DisplayText&gt;(&lt;style face="italic"&gt;1&lt;/style&gt;)&lt;/DisplayText&gt;&lt;record&gt;&lt;rec-number&gt;908&lt;/rec-number&gt;&lt;foreign-keys&gt;&lt;key app="EN" db-id="29etr9td3sza0set0w75z0299f5zv29xrxw5" timestamp="1712012789"&gt;908&lt;/key&gt;&lt;/foreign-keys&gt;&lt;ref-type name="Journal Article"&gt;17&lt;/ref-type&gt;&lt;contributors&gt;&lt;authors&gt;&lt;author&gt;Halbig, Christian E&lt;/author&gt;&lt;author&gt;Mukherjee, Bristy&lt;/author&gt;&lt;author&gt;Eigler, Siegfried&lt;/author&gt;&lt;author&gt;Garaj, Slaven&lt;/author&gt;&lt;/authors&gt;&lt;/contributors&gt;&lt;titles&gt;&lt;title&gt;Origin of Oxygen in Graphene Oxide Revealed by 17O and 18O Isotopic Labeling&lt;/title&gt;&lt;secondary-title&gt;Journal of the American Chemical Society&lt;/secondary-title&gt;&lt;/titles&gt;&lt;periodical&gt;&lt;full-title&gt;Journal of the American Chemical Society&lt;/full-title&gt;&lt;/periodical&gt;&lt;dates&gt;&lt;year&gt;2024&lt;/year&gt;&lt;/dates&gt;&lt;isbn&gt;0002-7863&lt;/isbn&gt;&lt;urls&gt;&lt;/urls&gt;&lt;/record&gt;&lt;/Cite&gt;&lt;/EndNote&gt;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Based on the sulfur content in GO (3.91 wt. %) and the concentration of the GO dispersion (0.6 mg/ml), we calculated the initial sulfur content of 0.733 mM. In Figure S4A, we plotted the organosulfate concentration versus time. The reaction rate constant was then determined for each temperature. From these data we extracted the activation energy using the Arrhenius equation (Figure S4B). We note that the hydrolysis of organosulfates can be catalyzed by acids.</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&lt;EndNote&gt;&lt;Cite&gt;&lt;Author&gt;Nakagaki&lt;/Author&gt;&lt;Year&gt;1985&lt;/Year&gt;&lt;RecNum&gt;7&lt;/RecNum&gt;&lt;DisplayText&gt;(&lt;style face="italic"&gt;7&lt;/style&gt;)&lt;/DisplayText&gt;&lt;record&gt;&lt;rec-number&gt;7&lt;/rec-number&gt;&lt;foreign-keys&gt;&lt;key app="EN" db-id="xzsfatx5atrs04edaaxvsv2ztfwrrwer0aea" timestamp="1719148479"&gt;7&lt;/key&gt;&lt;/foreign-keys&gt;&lt;ref-type name="Journal Article"&gt;17&lt;/ref-type&gt;&lt;contributors&gt;&lt;authors&gt;&lt;author&gt;Nakagaki, Masayuki&lt;/author&gt;&lt;author&gt;Yokoyama, Shoko&lt;/author&gt;&lt;/authors&gt;&lt;/contributors&gt;&lt;titles&gt;&lt;title&gt;Acid-catalyzed hydrolysis of sodium dodecyl sulfate&lt;/title&gt;&lt;secondary-title&gt;Journal of pharmaceutical sciences&lt;/secondary-title&gt;&lt;/titles&gt;&lt;periodical&gt;&lt;full-title&gt;Journal of pharmaceutical sciences&lt;/full-title&gt;&lt;/periodical&gt;&lt;pages&gt;1047-1052&lt;/pages&gt;&lt;volume&gt;74&lt;/volume&gt;&lt;number&gt;10&lt;/number&gt;&lt;dates&gt;&lt;year&gt;1985&lt;/year&gt;&lt;/dates&gt;&lt;isbn&gt;0022-3549&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(7)</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t>
      </w:r>
    </w:p>
    <w:p w14:paraId="11AD6654" w14:textId="77777777" w:rsidR="009C4C93" w:rsidRPr="009C4C93" w:rsidRDefault="009C4C93" w:rsidP="009C4C93">
      <w:pPr>
        <w:jc w:val="center"/>
        <w:rPr>
          <w:rFonts w:asciiTheme="majorBidi" w:eastAsiaTheme="minorEastAsia" w:hAnsiTheme="majorBidi" w:cstheme="majorBidi"/>
          <w:szCs w:val="24"/>
        </w:rPr>
      </w:pPr>
      <w:r w:rsidRPr="009C4C93">
        <w:rPr>
          <w:rFonts w:asciiTheme="majorBidi" w:eastAsiaTheme="minorEastAsia" w:hAnsiTheme="majorBidi" w:cstheme="majorBidi"/>
          <w:noProof/>
          <w:szCs w:val="24"/>
          <w:lang w:val="en-GB" w:eastAsia="en-GB"/>
        </w:rPr>
        <w:lastRenderedPageBreak/>
        <w:drawing>
          <wp:inline distT="0" distB="0" distL="0" distR="0" wp14:anchorId="4294B3B5" wp14:editId="5DBF11D3">
            <wp:extent cx="4320000" cy="2235952"/>
            <wp:effectExtent l="0" t="0" r="4445" b="0"/>
            <wp:docPr id="3" name="Picture 3" descr="C:\Users\lab\The University of Manchester Dropbox\mohsen moazzami gudarzi\Mohsen's data\Papers\Ali's paper 2nd\figures\hydrolysis activation energy calcul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ab\The University of Manchester Dropbox\mohsen moazzami gudarzi\Mohsen's data\Papers\Ali's paper 2nd\figures\hydrolysis activation energy calculation.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20000" cy="2235952"/>
                    </a:xfrm>
                    <a:prstGeom prst="rect">
                      <a:avLst/>
                    </a:prstGeom>
                    <a:noFill/>
                    <a:ln>
                      <a:noFill/>
                    </a:ln>
                  </pic:spPr>
                </pic:pic>
              </a:graphicData>
            </a:graphic>
          </wp:inline>
        </w:drawing>
      </w:r>
    </w:p>
    <w:p w14:paraId="443B6973" w14:textId="4D7E9155"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b/>
          <w:szCs w:val="24"/>
        </w:rPr>
        <w:t>Fig</w:t>
      </w:r>
      <w:r w:rsidR="001C7B12">
        <w:rPr>
          <w:rFonts w:asciiTheme="majorBidi" w:eastAsiaTheme="minorEastAsia" w:hAnsiTheme="majorBidi" w:cstheme="majorBidi"/>
          <w:b/>
          <w:szCs w:val="24"/>
        </w:rPr>
        <w:t>ure</w:t>
      </w:r>
      <w:r w:rsidRPr="009C4C93">
        <w:rPr>
          <w:rFonts w:asciiTheme="majorBidi" w:eastAsiaTheme="minorEastAsia" w:hAnsiTheme="majorBidi" w:cstheme="majorBidi"/>
          <w:b/>
          <w:szCs w:val="24"/>
        </w:rPr>
        <w:t xml:space="preserve"> S4.</w:t>
      </w:r>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b/>
          <w:bCs/>
          <w:szCs w:val="24"/>
        </w:rPr>
        <w:t>Determining the activation energy for organosulfate hydrolysis in GO</w:t>
      </w:r>
      <w:r w:rsidRPr="009C4C93">
        <w:rPr>
          <w:rFonts w:asciiTheme="majorBidi" w:eastAsiaTheme="minorEastAsia" w:hAnsiTheme="majorBidi" w:cstheme="majorBidi"/>
          <w:szCs w:val="24"/>
        </w:rPr>
        <w:t xml:space="preserve">. Panel (A) shows the data reported by Halbig </w:t>
      </w:r>
      <w:r w:rsidRPr="001C7B12">
        <w:rPr>
          <w:rFonts w:asciiTheme="majorBidi" w:eastAsiaTheme="minorEastAsia" w:hAnsiTheme="majorBidi" w:cstheme="majorBidi"/>
          <w:i/>
          <w:szCs w:val="24"/>
        </w:rPr>
        <w:t>et al</w:t>
      </w:r>
      <w:r w:rsidRPr="009C4C93">
        <w:rPr>
          <w:rFonts w:asciiTheme="majorBidi" w:eastAsiaTheme="minorEastAsia" w:hAnsiTheme="majorBidi" w:cstheme="majorBidi"/>
          <w:szCs w:val="24"/>
        </w:rPr>
        <w:t>. The original work reports sulfur concentration released from GO (product of reaction). We converted those data to sulfur concentration bound to GO using the GO concentration (0.6 mg/ml) and the sulfur content in GO (3.91 wt.%). We then fit these data to an exponential function (black lines) to obtain the reaction rate (</w:t>
      </w:r>
      <m:oMath>
        <m:r>
          <m:rPr>
            <m:sty m:val="p"/>
          </m:rPr>
          <w:rPr>
            <w:rFonts w:ascii="Cambria Math" w:eastAsiaTheme="minorEastAsia" w:hAnsi="Cambria Math" w:cstheme="majorBidi"/>
            <w:szCs w:val="24"/>
          </w:rPr>
          <m:t>k</m:t>
        </m:r>
      </m:oMath>
      <w:r w:rsidRPr="009C4C93">
        <w:rPr>
          <w:rFonts w:asciiTheme="majorBidi" w:eastAsiaTheme="minorEastAsia" w:hAnsiTheme="majorBidi" w:cstheme="majorBidi"/>
          <w:szCs w:val="24"/>
        </w:rPr>
        <w:t xml:space="preserve">) at different temperature. Panel (B) shows logarithms of </w:t>
      </w:r>
      <m:oMath>
        <m:r>
          <m:rPr>
            <m:sty m:val="p"/>
          </m:rPr>
          <w:rPr>
            <w:rFonts w:ascii="Cambria Math" w:eastAsiaTheme="minorEastAsia" w:hAnsi="Cambria Math" w:cstheme="majorBidi"/>
            <w:szCs w:val="24"/>
          </w:rPr>
          <m:t>k</m:t>
        </m:r>
      </m:oMath>
      <w:r w:rsidRPr="009C4C93">
        <w:rPr>
          <w:rFonts w:asciiTheme="majorBidi" w:eastAsiaTheme="minorEastAsia" w:hAnsiTheme="majorBidi" w:cstheme="majorBidi"/>
          <w:szCs w:val="24"/>
        </w:rPr>
        <w:t xml:space="preserve"> [s</w:t>
      </w:r>
      <w:r w:rsidRPr="009C4C93">
        <w:rPr>
          <w:rFonts w:asciiTheme="majorBidi" w:eastAsiaTheme="minorEastAsia" w:hAnsiTheme="majorBidi" w:cstheme="majorBidi"/>
          <w:szCs w:val="24"/>
          <w:vertAlign w:val="superscript"/>
        </w:rPr>
        <w:t>-1</w:t>
      </w:r>
      <w:r w:rsidRPr="009C4C93">
        <w:rPr>
          <w:rFonts w:asciiTheme="majorBidi" w:eastAsiaTheme="minorEastAsia" w:hAnsiTheme="majorBidi" w:cstheme="majorBidi"/>
          <w:szCs w:val="24"/>
        </w:rPr>
        <w:t xml:space="preserve">] as a function of the reciprocal temperature. From the linear fit (red line), an activation energy of 76 ± 11 kJ/mol is estimated. </w:t>
      </w:r>
    </w:p>
    <w:p w14:paraId="36493ED0" w14:textId="77777777" w:rsidR="009C4C93" w:rsidRPr="009C4C93" w:rsidRDefault="009C4C93" w:rsidP="009C4C93">
      <w:pPr>
        <w:jc w:val="both"/>
        <w:rPr>
          <w:rFonts w:asciiTheme="majorBidi" w:eastAsiaTheme="minorEastAsia" w:hAnsiTheme="majorBidi" w:cstheme="majorBidi"/>
          <w:szCs w:val="24"/>
        </w:rPr>
      </w:pPr>
    </w:p>
    <w:p w14:paraId="32FB89D4" w14:textId="77777777" w:rsidR="009C4C93" w:rsidRPr="009C4C93" w:rsidRDefault="009C4C93" w:rsidP="009C4C93">
      <w:pPr>
        <w:jc w:val="both"/>
        <w:rPr>
          <w:rFonts w:asciiTheme="majorBidi" w:hAnsiTheme="majorBidi" w:cstheme="majorBidi"/>
          <w:b/>
          <w:szCs w:val="24"/>
        </w:rPr>
      </w:pPr>
      <w:r w:rsidRPr="009C4C93">
        <w:rPr>
          <w:rFonts w:asciiTheme="majorBidi" w:hAnsiTheme="majorBidi" w:cstheme="majorBidi"/>
          <w:b/>
          <w:szCs w:val="24"/>
        </w:rPr>
        <w:t>S4. Modeling interactions between two GO sheets:</w:t>
      </w:r>
    </w:p>
    <w:p w14:paraId="76E362CD" w14:textId="6E495067" w:rsidR="009C4C93" w:rsidRPr="009C4C93" w:rsidRDefault="009C4C93" w:rsidP="009C4C93">
      <w:pPr>
        <w:jc w:val="both"/>
        <w:rPr>
          <w:rFonts w:asciiTheme="majorBidi" w:hAnsiTheme="majorBidi" w:cstheme="majorBidi"/>
          <w:szCs w:val="24"/>
        </w:rPr>
      </w:pPr>
      <w:r w:rsidRPr="009C4C93">
        <w:rPr>
          <w:rFonts w:asciiTheme="majorBidi" w:hAnsiTheme="majorBidi" w:cstheme="majorBidi"/>
          <w:szCs w:val="24"/>
        </w:rPr>
        <w:t>The total pressure (</w:t>
      </w:r>
      <m:oMath>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t</m:t>
            </m:r>
          </m:sub>
        </m:sSub>
      </m:oMath>
      <w:r w:rsidRPr="009C4C93">
        <w:rPr>
          <w:rFonts w:asciiTheme="majorBidi" w:eastAsiaTheme="minorEastAsia" w:hAnsiTheme="majorBidi" w:cstheme="majorBidi"/>
          <w:szCs w:val="24"/>
        </w:rPr>
        <w:t>)</w:t>
      </w:r>
      <w:r w:rsidRPr="009C4C93">
        <w:rPr>
          <w:rFonts w:asciiTheme="majorBidi" w:hAnsiTheme="majorBidi" w:cstheme="majorBidi"/>
          <w:szCs w:val="24"/>
        </w:rPr>
        <w:t xml:space="preserve"> between two adjacent GO sheets is assumed to be the sum of three main forces, namely electrical double layer (EDL), van der Waals (vdW) and undulation (U) forces:</w:t>
      </w:r>
    </w:p>
    <w:p w14:paraId="0C525C0B" w14:textId="1F744C49" w:rsidR="009C4C93" w:rsidRPr="009C4C93" w:rsidRDefault="00092C50" w:rsidP="009C4C93">
      <w:pPr>
        <w:jc w:val="both"/>
        <w:rPr>
          <w:rFonts w:asciiTheme="majorBidi" w:eastAsiaTheme="minorEastAsia" w:hAnsiTheme="majorBidi" w:cstheme="majorBidi"/>
          <w:szCs w:val="24"/>
        </w:rPr>
      </w:pPr>
      <m:oMath>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t</m:t>
            </m:r>
          </m:sub>
        </m:sSub>
        <m:r>
          <m:rPr>
            <m:sty m:val="p"/>
          </m:rPr>
          <w:rPr>
            <w:rFonts w:ascii="Cambria Math"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EDL</m:t>
            </m:r>
          </m:sub>
        </m:sSub>
        <m:r>
          <m:rPr>
            <m:sty m:val="p"/>
          </m:rPr>
          <w:rPr>
            <w:rFonts w:ascii="Cambria Math"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vdW</m:t>
            </m:r>
          </m:sub>
        </m:sSub>
        <m:r>
          <m:rPr>
            <m:sty m:val="p"/>
          </m:rPr>
          <w:rPr>
            <w:rFonts w:ascii="Cambria Math"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U</m:t>
            </m:r>
          </m:sub>
        </m:sSub>
      </m:oMath>
      <w:r w:rsidR="009C4C93" w:rsidRPr="009C4C93">
        <w:rPr>
          <w:rFonts w:asciiTheme="majorBidi" w:eastAsiaTheme="minorEastAsia" w:hAnsiTheme="majorBidi" w:cstheme="majorBidi"/>
          <w:szCs w:val="24"/>
        </w:rPr>
        <w:t xml:space="preserve">. </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(S5)</w:t>
      </w:r>
    </w:p>
    <w:p w14:paraId="4EA1D85A"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We ignored hydration forces which are only significant at very short distances. In dispersions containing only GO, the protons dissociated from GO are the only species screening the EDL. The PB equation, at large distance, can be analytically  approximated</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&lt;EndNote&gt;&lt;Cite&gt;&lt;Author&gt;Moazzami-Gudarzi&lt;/Author&gt;&lt;Year&gt;2016&lt;/Year&gt;&lt;RecNum&gt;765&lt;/RecNum&gt;&lt;DisplayText&gt;(&lt;style face="italic"&gt;8&lt;/style&gt;)&lt;/DisplayText&gt;&lt;record&gt;&lt;rec-number&gt;765&lt;/rec-number&gt;&lt;foreign-keys&gt;&lt;key app="EN" db-id="29etr9td3sza0set0w75z0299f5zv29xrxw5" timestamp="1672338229"&gt;765&lt;/key&gt;&lt;/foreign-keys&gt;&lt;ref-type name="Journal Article"&gt;17&lt;/ref-type&gt;&lt;contributors&gt;&lt;authors&gt;&lt;author&gt;Moazzami-Gudarzi, Mohsen&lt;/author&gt;&lt;author&gt;Kremer, Tomislav&lt;/author&gt;&lt;author&gt;Valmacco, Valentina&lt;/author&gt;&lt;author&gt;Maroni, Plinio&lt;/author&gt;&lt;author&gt;Borkovec, Michal&lt;/author&gt;&lt;author&gt;Trefalt, Gregor&lt;/author&gt;&lt;/authors&gt;&lt;/contributors&gt;&lt;titles&gt;&lt;title&gt;Interplay between depletion and double-layer forces acting between charged particles in solutions of like-charged polyelectrolytes&lt;/title&gt;&lt;secondary-title&gt;Physical review letters&lt;/secondary-title&gt;&lt;/titles&gt;&lt;periodical&gt;&lt;full-title&gt;Physical Review Letters&lt;/full-title&gt;&lt;/periodical&gt;&lt;pages&gt;088001&lt;/pages&gt;&lt;volume&gt;117&lt;/volume&gt;&lt;number&gt;8&lt;/number&gt;&lt;dates&gt;&lt;year&gt;2016&lt;/year&gt;&lt;/dates&gt;&lt;urls&gt;&lt;/urls&gt;&lt;/record&gt;&lt;/Cite&gt;&lt;/EndNote&gt;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(8)</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w:t>
      </w:r>
    </w:p>
    <w:p w14:paraId="31F5E40A" w14:textId="4B0718E4" w:rsidR="009C4C93" w:rsidRPr="009C4C93" w:rsidRDefault="00092C50" w:rsidP="009C4C93">
      <w:pPr>
        <w:jc w:val="both"/>
        <w:rPr>
          <w:rFonts w:asciiTheme="majorBidi" w:eastAsiaTheme="minorEastAsia" w:hAnsiTheme="majorBidi" w:cstheme="majorBidi"/>
          <w:szCs w:val="24"/>
        </w:rPr>
      </w:pP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Π</m:t>
            </m:r>
          </m:e>
          <m:sub>
            <m:r>
              <m:rPr>
                <m:sty m:val="p"/>
              </m:rPr>
              <w:rPr>
                <w:rFonts w:ascii="Cambria Math" w:eastAsiaTheme="minorEastAsia" w:hAnsi="Cambria Math" w:cstheme="majorBidi"/>
                <w:szCs w:val="24"/>
              </w:rPr>
              <m:t>EDL</m:t>
            </m:r>
          </m:sub>
        </m:sSub>
        <m:r>
          <m:rPr>
            <m:sty m:val="p"/>
          </m:rPr>
          <w:rPr>
            <w:rFonts w:ascii="Cambria Math" w:eastAsiaTheme="minorEastAsia" w:hAnsi="Cambria Math" w:cstheme="majorBidi"/>
            <w:szCs w:val="24"/>
          </w:rPr>
          <m:t>=</m:t>
        </m:r>
        <m:f>
          <m:fPr>
            <m:ctrlPr>
              <w:rPr>
                <w:rFonts w:ascii="Cambria Math" w:eastAsiaTheme="minorEastAsia" w:hAnsi="Cambria Math" w:cstheme="majorBidi"/>
                <w:szCs w:val="24"/>
              </w:rPr>
            </m:ctrlPr>
          </m:fPr>
          <m:num>
            <m:r>
              <m:rPr>
                <m:sty m:val="p"/>
              </m:rPr>
              <w:rPr>
                <w:rFonts w:ascii="Cambria Math" w:eastAsiaTheme="minorEastAsia" w:hAnsi="Cambria Math" w:cstheme="majorBidi"/>
                <w:szCs w:val="24"/>
              </w:rPr>
              <m:t>π</m:t>
            </m:r>
          </m:num>
          <m:den>
            <m:r>
              <m:rPr>
                <m:sty m:val="p"/>
              </m:rPr>
              <w:rPr>
                <w:rFonts w:ascii="Cambria Math" w:eastAsiaTheme="minorEastAsia" w:hAnsi="Cambria Math" w:cstheme="majorBidi"/>
                <w:szCs w:val="24"/>
              </w:rPr>
              <m:t>2</m:t>
            </m:r>
          </m:den>
        </m:f>
        <m:f>
          <m:fPr>
            <m:ctrlPr>
              <w:rPr>
                <w:rFonts w:ascii="Cambria Math" w:eastAsiaTheme="minorEastAsia" w:hAnsi="Cambria Math" w:cstheme="majorBidi"/>
                <w:szCs w:val="24"/>
              </w:rPr>
            </m:ctrlPr>
          </m:fPr>
          <m:num>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k</m:t>
                </m:r>
              </m:e>
              <m:sub>
                <m:r>
                  <m:rPr>
                    <m:sty m:val="p"/>
                  </m:rPr>
                  <w:rPr>
                    <w:rFonts w:ascii="Cambria Math" w:eastAsiaTheme="minorEastAsia" w:hAnsi="Cambria Math" w:cstheme="majorBidi"/>
                    <w:szCs w:val="24"/>
                  </w:rPr>
                  <m:t>B</m:t>
                </m:r>
              </m:sub>
            </m:sSub>
            <m:r>
              <m:rPr>
                <m:sty m:val="p"/>
              </m:rPr>
              <w:rPr>
                <w:rFonts w:ascii="Cambria Math" w:eastAsiaTheme="minorEastAsia" w:hAnsi="Cambria Math" w:cstheme="majorBidi"/>
                <w:szCs w:val="24"/>
              </w:rPr>
              <m:t>T</m:t>
            </m:r>
          </m:num>
          <m:den>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l</m:t>
                </m:r>
              </m:e>
              <m:sub>
                <m:r>
                  <m:rPr>
                    <m:sty m:val="p"/>
                  </m:rPr>
                  <w:rPr>
                    <w:rFonts w:ascii="Cambria Math" w:eastAsiaTheme="minorEastAsia" w:hAnsi="Cambria Math" w:cstheme="majorBidi"/>
                    <w:szCs w:val="24"/>
                  </w:rPr>
                  <m:t>B</m:t>
                </m:r>
              </m:sub>
            </m:sSub>
            <m:sSup>
              <m:sSupPr>
                <m:ctrlPr>
                  <w:rPr>
                    <w:rFonts w:ascii="Cambria Math" w:eastAsiaTheme="minorEastAsia" w:hAnsi="Cambria Math" w:cstheme="majorBidi"/>
                    <w:szCs w:val="24"/>
                  </w:rPr>
                </m:ctrlPr>
              </m:sSupPr>
              <m:e>
                <m:r>
                  <m:rPr>
                    <m:sty m:val="p"/>
                  </m:rPr>
                  <w:rPr>
                    <w:rFonts w:ascii="Cambria Math" w:eastAsiaTheme="minorEastAsia" w:hAnsi="Cambria Math" w:cstheme="majorBidi"/>
                    <w:szCs w:val="24"/>
                  </w:rPr>
                  <m:t>(d+2</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l</m:t>
                    </m:r>
                  </m:e>
                  <m:sub>
                    <m:r>
                      <m:rPr>
                        <m:sty m:val="p"/>
                      </m:rPr>
                      <w:rPr>
                        <w:rFonts w:ascii="Cambria Math" w:eastAsiaTheme="minorEastAsia" w:hAnsi="Cambria Math" w:cstheme="majorBidi"/>
                        <w:szCs w:val="24"/>
                      </w:rPr>
                      <m:t>GC</m:t>
                    </m:r>
                  </m:sub>
                </m:sSub>
                <m:r>
                  <m:rPr>
                    <m:sty m:val="p"/>
                  </m:rPr>
                  <w:rPr>
                    <w:rFonts w:ascii="Cambria Math" w:eastAsiaTheme="minorEastAsia" w:hAnsi="Cambria Math" w:cstheme="majorBidi"/>
                    <w:szCs w:val="24"/>
                  </w:rPr>
                  <m:t>)</m:t>
                </m:r>
              </m:e>
              <m:sup>
                <m:r>
                  <m:rPr>
                    <m:sty m:val="p"/>
                  </m:rPr>
                  <w:rPr>
                    <w:rFonts w:ascii="Cambria Math" w:eastAsiaTheme="minorEastAsia" w:hAnsi="Cambria Math" w:cstheme="majorBidi"/>
                    <w:szCs w:val="24"/>
                  </w:rPr>
                  <m:t>2</m:t>
                </m:r>
              </m:sup>
            </m:sSup>
          </m:den>
        </m:f>
        <m:r>
          <m:rPr>
            <m:sty m:val="p"/>
          </m:rPr>
          <w:rPr>
            <w:rFonts w:ascii="Cambria Math" w:eastAsiaTheme="minorEastAsia" w:hAnsi="Cambria Math" w:cstheme="majorBidi"/>
            <w:szCs w:val="24"/>
          </w:rPr>
          <m:t>-</m:t>
        </m:r>
        <m:r>
          <m:rPr>
            <m:sty m:val="p"/>
          </m:rPr>
          <w:rPr>
            <w:rFonts w:ascii="Cambria Math" w:hAnsi="Cambria Math" w:cstheme="majorBidi"/>
            <w:szCs w:val="24"/>
          </w:rPr>
          <m:t xml:space="preserve"> </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k</m:t>
            </m:r>
          </m:e>
          <m:sub>
            <m:r>
              <m:rPr>
                <m:sty m:val="p"/>
              </m:rPr>
              <w:rPr>
                <w:rFonts w:ascii="Cambria Math" w:eastAsiaTheme="minorEastAsia" w:hAnsi="Cambria Math" w:cstheme="majorBidi"/>
                <w:szCs w:val="24"/>
              </w:rPr>
              <m:t>B</m:t>
            </m:r>
          </m:sub>
        </m:sSub>
        <m:r>
          <m:rPr>
            <m:sty m:val="p"/>
          </m:rPr>
          <w:rPr>
            <w:rFonts w:ascii="Cambria Math" w:eastAsiaTheme="minorEastAsia" w:hAnsi="Cambria Math" w:cstheme="majorBidi"/>
            <w:szCs w:val="24"/>
          </w:rPr>
          <m:t>T(1+</m:t>
        </m:r>
        <m:r>
          <m:rPr>
            <m:sty m:val="p"/>
          </m:rPr>
          <w:rPr>
            <w:rFonts w:ascii="Cambria Math" w:hAnsi="Cambria Math" w:cstheme="majorBidi"/>
            <w:szCs w:val="24"/>
          </w:rPr>
          <m:t>Z</m:t>
        </m:r>
        <m:sSub>
          <m:sSubPr>
            <m:ctrlPr>
              <w:rPr>
                <w:rFonts w:ascii="Cambria Math" w:hAnsi="Cambria Math" w:cstheme="majorBidi"/>
                <w:szCs w:val="24"/>
              </w:rPr>
            </m:ctrlPr>
          </m:sSubPr>
          <m:e>
            <m:r>
              <m:rPr>
                <m:sty m:val="p"/>
              </m:rPr>
              <w:rPr>
                <w:rFonts w:ascii="Cambria Math" w:hAnsi="Cambria Math" w:cstheme="majorBidi"/>
                <w:szCs w:val="24"/>
              </w:rPr>
              <m:t>)c</m:t>
            </m:r>
          </m:e>
          <m:sub>
            <m:r>
              <m:rPr>
                <m:sty m:val="p"/>
              </m:rPr>
              <w:rPr>
                <w:rFonts w:ascii="Cambria Math" w:hAnsi="Cambria Math" w:cstheme="majorBidi"/>
                <w:szCs w:val="24"/>
              </w:rPr>
              <m:t>GO</m:t>
            </m:r>
          </m:sub>
        </m:sSub>
      </m:oMath>
      <w:r w:rsidR="009C4C93" w:rsidRPr="009C4C93">
        <w:rPr>
          <w:rFonts w:asciiTheme="majorBidi" w:eastAsiaTheme="minorEastAsia" w:hAnsiTheme="majorBidi" w:cstheme="majorBidi"/>
          <w:szCs w:val="24"/>
        </w:rPr>
        <w:t xml:space="preserve">. </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(S6)</w:t>
      </w:r>
    </w:p>
    <w:p w14:paraId="413A2A53" w14:textId="3373A943"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We approximated vdW forces between two GO sheets using the expression for two plates of thickness of </w:t>
      </w:r>
      <m:oMath>
        <m:r>
          <m:rPr>
            <m:sty m:val="p"/>
          </m:rPr>
          <w:rPr>
            <w:rFonts w:ascii="Cambria Math" w:hAnsi="Cambria Math" w:cstheme="majorBidi"/>
            <w:szCs w:val="24"/>
          </w:rPr>
          <m:t>t</m:t>
        </m:r>
      </m:oMath>
      <w:r w:rsidRPr="009C4C93">
        <w:rPr>
          <w:rFonts w:asciiTheme="majorBidi" w:eastAsiaTheme="minorEastAsia" w:hAnsiTheme="majorBidi" w:cstheme="majorBidi"/>
          <w:szCs w:val="24"/>
        </w:rPr>
        <w:t xml:space="preserve"> interacting at separation distance of </w:t>
      </w:r>
      <m:oMath>
        <m:r>
          <m:rPr>
            <m:sty m:val="p"/>
          </m:rPr>
          <w:rPr>
            <w:rFonts w:ascii="Cambria Math" w:hAnsi="Cambria Math" w:cstheme="majorBidi"/>
            <w:szCs w:val="24"/>
          </w:rPr>
          <m:t>d</m:t>
        </m:r>
      </m:oMath>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&lt;EndNote&gt;&lt;Cite&gt;&lt;Author&gt;Parsegian&lt;/Author&gt;&lt;Year&gt;2005&lt;/Year&gt;&lt;RecNum&gt;9&lt;/RecNum&gt;&lt;DisplayText&gt;(&lt;style face="italic"&gt;9&lt;/style&gt;)&lt;/DisplayText&gt;&lt;record&gt;&lt;rec-number&gt;9&lt;/rec-number&gt;&lt;foreign-keys&gt;&lt;key app="EN" db-id="xzsfatx5atrs04edaaxvsv2ztfwrrwer0aea" timestamp="1719148479"&gt;9&lt;/key&gt;&lt;/foreign-keys&gt;&lt;ref-type name="Book"&gt;6&lt;/ref-type&gt;&lt;contributors&gt;&lt;authors&gt;&lt;author&gt;Parsegian, V Adrian&lt;/author&gt;&lt;/authors&gt;&lt;/contributors&gt;&lt;titles&gt;&lt;title&gt;Van der Waals forces: a handbook for biologists, chemists, engineers, and physicists&lt;/title&gt;&lt;/titles&gt;&lt;dates&gt;&lt;year&gt;2005&lt;/year&gt;&lt;/dates&gt;&lt;publisher&gt;Cambridge University Press&lt;/publisher&gt;&lt;isbn&gt;1139444166&lt;/isbn&gt;&lt;urls&gt;&lt;/urls&gt;&lt;/record&gt;&lt;/Cite&gt;&lt;/EndNote&gt;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(9)</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w:t>
      </w:r>
    </w:p>
    <w:p w14:paraId="6F76920F" w14:textId="099AB85E" w:rsidR="009C4C93" w:rsidRPr="009C4C93" w:rsidRDefault="00092C50" w:rsidP="009C4C93">
      <w:pPr>
        <w:jc w:val="both"/>
        <w:rPr>
          <w:rFonts w:asciiTheme="majorBidi" w:eastAsiaTheme="minorEastAsia" w:hAnsiTheme="majorBidi" w:cstheme="majorBidi"/>
          <w:szCs w:val="24"/>
        </w:rPr>
      </w:pPr>
      <m:oMath>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vdW</m:t>
            </m:r>
          </m:sub>
        </m:sSub>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H</m:t>
            </m:r>
          </m:num>
          <m:den>
            <m:r>
              <m:rPr>
                <m:sty m:val="p"/>
              </m:rPr>
              <w:rPr>
                <w:rFonts w:ascii="Cambria Math" w:hAnsi="Cambria Math" w:cstheme="majorBidi"/>
                <w:szCs w:val="24"/>
              </w:rPr>
              <m:t>6π</m:t>
            </m:r>
          </m:den>
        </m:f>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1</m:t>
            </m:r>
          </m:num>
          <m:den>
            <m:sSup>
              <m:sSupPr>
                <m:ctrlPr>
                  <w:rPr>
                    <w:rFonts w:ascii="Cambria Math" w:hAnsi="Cambria Math" w:cstheme="majorBidi"/>
                    <w:szCs w:val="24"/>
                  </w:rPr>
                </m:ctrlPr>
              </m:sSupPr>
              <m:e>
                <m:r>
                  <m:rPr>
                    <m:sty m:val="p"/>
                  </m:rPr>
                  <w:rPr>
                    <w:rFonts w:ascii="Cambria Math" w:hAnsi="Cambria Math" w:cstheme="majorBidi"/>
                    <w:szCs w:val="24"/>
                  </w:rPr>
                  <m:t>d</m:t>
                </m:r>
              </m:e>
              <m:sup>
                <m:r>
                  <m:rPr>
                    <m:sty m:val="p"/>
                  </m:rPr>
                  <w:rPr>
                    <w:rFonts w:ascii="Cambria Math" w:hAnsi="Cambria Math" w:cstheme="majorBidi"/>
                    <w:szCs w:val="24"/>
                  </w:rPr>
                  <m:t>3</m:t>
                </m:r>
              </m:sup>
            </m:sSup>
          </m:den>
        </m:f>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1</m:t>
            </m:r>
          </m:num>
          <m:den>
            <m:sSup>
              <m:sSupPr>
                <m:ctrlPr>
                  <w:rPr>
                    <w:rFonts w:ascii="Cambria Math" w:hAnsi="Cambria Math" w:cstheme="majorBidi"/>
                    <w:szCs w:val="24"/>
                  </w:rPr>
                </m:ctrlPr>
              </m:sSupPr>
              <m:e>
                <m:d>
                  <m:dPr>
                    <m:ctrlPr>
                      <w:rPr>
                        <w:rFonts w:ascii="Cambria Math" w:hAnsi="Cambria Math" w:cstheme="majorBidi"/>
                        <w:szCs w:val="24"/>
                      </w:rPr>
                    </m:ctrlPr>
                  </m:dPr>
                  <m:e>
                    <m:r>
                      <m:rPr>
                        <m:sty m:val="p"/>
                      </m:rPr>
                      <w:rPr>
                        <w:rFonts w:ascii="Cambria Math" w:hAnsi="Cambria Math" w:cstheme="majorBidi"/>
                        <w:szCs w:val="24"/>
                      </w:rPr>
                      <m:t>d+2t</m:t>
                    </m:r>
                  </m:e>
                </m:d>
              </m:e>
              <m:sup>
                <m:r>
                  <m:rPr>
                    <m:sty m:val="p"/>
                  </m:rPr>
                  <w:rPr>
                    <w:rFonts w:ascii="Cambria Math" w:hAnsi="Cambria Math" w:cstheme="majorBidi"/>
                    <w:szCs w:val="24"/>
                  </w:rPr>
                  <m:t>3</m:t>
                </m:r>
              </m:sup>
            </m:sSup>
          </m:den>
        </m:f>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2</m:t>
            </m:r>
          </m:num>
          <m:den>
            <m:sSup>
              <m:sSupPr>
                <m:ctrlPr>
                  <w:rPr>
                    <w:rFonts w:ascii="Cambria Math" w:hAnsi="Cambria Math" w:cstheme="majorBidi"/>
                    <w:szCs w:val="24"/>
                  </w:rPr>
                </m:ctrlPr>
              </m:sSupPr>
              <m:e>
                <m:d>
                  <m:dPr>
                    <m:ctrlPr>
                      <w:rPr>
                        <w:rFonts w:ascii="Cambria Math" w:hAnsi="Cambria Math" w:cstheme="majorBidi"/>
                        <w:szCs w:val="24"/>
                      </w:rPr>
                    </m:ctrlPr>
                  </m:dPr>
                  <m:e>
                    <m:r>
                      <m:rPr>
                        <m:sty m:val="p"/>
                      </m:rPr>
                      <w:rPr>
                        <w:rFonts w:ascii="Cambria Math" w:hAnsi="Cambria Math" w:cstheme="majorBidi"/>
                        <w:szCs w:val="24"/>
                      </w:rPr>
                      <m:t>d+t</m:t>
                    </m:r>
                  </m:e>
                </m:d>
              </m:e>
              <m:sup>
                <m:r>
                  <m:rPr>
                    <m:sty m:val="p"/>
                  </m:rPr>
                  <w:rPr>
                    <w:rFonts w:ascii="Cambria Math" w:hAnsi="Cambria Math" w:cstheme="majorBidi"/>
                    <w:szCs w:val="24"/>
                  </w:rPr>
                  <m:t>3</m:t>
                </m:r>
              </m:sup>
            </m:sSup>
          </m:den>
        </m:f>
        <m:r>
          <m:rPr>
            <m:sty m:val="p"/>
          </m:rPr>
          <w:rPr>
            <w:rFonts w:ascii="Cambria Math" w:hAnsi="Cambria Math" w:cstheme="majorBidi"/>
            <w:szCs w:val="24"/>
          </w:rPr>
          <m:t>)</m:t>
        </m:r>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(S7)</w:t>
      </w:r>
    </w:p>
    <w:p w14:paraId="32CE3679" w14:textId="6F0276E1"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r>
          <m:rPr>
            <m:sty m:val="p"/>
          </m:rPr>
          <w:rPr>
            <w:rFonts w:ascii="Cambria Math" w:hAnsi="Cambria Math" w:cstheme="majorBidi"/>
            <w:szCs w:val="24"/>
          </w:rPr>
          <m:t>H</m:t>
        </m:r>
      </m:oMath>
      <w:r w:rsidRPr="009C4C93">
        <w:rPr>
          <w:rFonts w:asciiTheme="majorBidi" w:eastAsiaTheme="minorEastAsia" w:hAnsiTheme="majorBidi" w:cstheme="majorBidi"/>
          <w:szCs w:val="24"/>
        </w:rPr>
        <w:t xml:space="preserve"> represents the Hamaker constant, estimated from the Lifshitz theory </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&lt;EndNote&gt;&lt;Cite&gt;&lt;Author&gt;Parsegian&lt;/Author&gt;&lt;Year&gt;2005&lt;/Year&gt;&lt;RecNum&gt;9&lt;/RecNum&gt;&lt;DisplayText&gt;(&lt;style face="italic"&gt;9&lt;/style&gt;)&lt;/DisplayText&gt;&lt;record&gt;&lt;rec-number&gt;9&lt;/rec-number&gt;&lt;foreign-keys&gt;&lt;key app="EN" db-id="xzsfatx5atrs04edaaxvsv2ztfwrrwer0aea" timestamp="1719148479"&gt;9&lt;/key&gt;&lt;/foreign-keys&gt;&lt;ref-type name="Book"&gt;6&lt;/ref-type&gt;&lt;contributors&gt;&lt;authors&gt;&lt;author&gt;Parsegian, V Adrian&lt;/author&gt;&lt;/authors&gt;&lt;/contributors&gt;&lt;titles&gt;&lt;title&gt;Van der Waals forces: a handbook for biologists, chemists, engineers, and physicists&lt;/title&gt;&lt;/titles&gt;&lt;dates&gt;&lt;year&gt;2005&lt;/year&gt;&lt;/dates&gt;&lt;publisher&gt;Cambridge University Press&lt;/publisher&gt;&lt;isbn&gt;1139444166&lt;/isbn&gt;&lt;urls&gt;&lt;/urls&gt;&lt;/record&gt;&lt;/Cite&gt;&lt;/EndNote&gt;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(9)</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w:t>
      </w:r>
    </w:p>
    <w:p w14:paraId="2C0C7E86" w14:textId="466501CA" w:rsidR="009C4C93" w:rsidRPr="009C4C93" w:rsidRDefault="001C7B12" w:rsidP="009C4C93">
      <w:pPr>
        <w:jc w:val="both"/>
        <w:rPr>
          <w:rFonts w:asciiTheme="majorBidi" w:eastAsiaTheme="minorEastAsia" w:hAnsiTheme="majorBidi" w:cstheme="majorBidi"/>
          <w:szCs w:val="24"/>
        </w:rPr>
      </w:pPr>
      <m:oMath>
        <m:r>
          <m:rPr>
            <m:sty m:val="p"/>
          </m:rPr>
          <w:rPr>
            <w:rFonts w:ascii="Cambria Math" w:hAnsi="Cambria Math" w:cstheme="majorBidi"/>
            <w:szCs w:val="24"/>
          </w:rPr>
          <m:t>H(d)=</m:t>
        </m:r>
        <m:f>
          <m:fPr>
            <m:ctrlPr>
              <w:rPr>
                <w:rFonts w:ascii="Cambria Math" w:hAnsi="Cambria Math" w:cstheme="majorBidi"/>
                <w:szCs w:val="24"/>
              </w:rPr>
            </m:ctrlPr>
          </m:fPr>
          <m:num>
            <m:r>
              <m:rPr>
                <m:sty m:val="p"/>
              </m:rPr>
              <w:rPr>
                <w:rFonts w:ascii="Cambria Math" w:hAnsi="Cambria Math" w:cstheme="majorBidi"/>
                <w:szCs w:val="24"/>
              </w:rPr>
              <m:t>3</m:t>
            </m:r>
            <m:sSub>
              <m:sSubPr>
                <m:ctrlPr>
                  <w:rPr>
                    <w:rFonts w:ascii="Cambria Math" w:hAnsi="Cambria Math" w:cstheme="majorBidi"/>
                    <w:szCs w:val="24"/>
                  </w:rPr>
                </m:ctrlPr>
              </m:sSubPr>
              <m:e>
                <m:r>
                  <m:rPr>
                    <m:sty m:val="p"/>
                  </m:rPr>
                  <w:rPr>
                    <w:rFonts w:ascii="Cambria Math" w:hAnsi="Cambria Math" w:cstheme="majorBidi"/>
                    <w:szCs w:val="24"/>
                  </w:rPr>
                  <m:t>k</m:t>
                </m:r>
              </m:e>
              <m:sub>
                <m:r>
                  <m:rPr>
                    <m:sty m:val="p"/>
                  </m:rPr>
                  <w:rPr>
                    <w:rFonts w:ascii="Cambria Math" w:hAnsi="Cambria Math" w:cstheme="majorBidi"/>
                    <w:szCs w:val="24"/>
                  </w:rPr>
                  <m:t>B</m:t>
                </m:r>
              </m:sub>
            </m:sSub>
            <m:r>
              <m:rPr>
                <m:sty m:val="p"/>
              </m:rPr>
              <w:rPr>
                <w:rFonts w:ascii="Cambria Math" w:hAnsi="Cambria Math" w:cstheme="majorBidi"/>
                <w:szCs w:val="24"/>
              </w:rPr>
              <m:t>T</m:t>
            </m:r>
          </m:num>
          <m:den>
            <m:r>
              <m:rPr>
                <m:sty m:val="p"/>
              </m:rPr>
              <w:rPr>
                <w:rFonts w:ascii="Cambria Math" w:hAnsi="Cambria Math" w:cstheme="majorBidi"/>
                <w:szCs w:val="24"/>
              </w:rPr>
              <m:t>2</m:t>
            </m:r>
          </m:den>
        </m:f>
        <m:nary>
          <m:naryPr>
            <m:chr m:val="∑"/>
            <m:limLoc m:val="undOvr"/>
            <m:ctrlPr>
              <w:rPr>
                <w:rFonts w:ascii="Cambria Math" w:hAnsi="Cambria Math" w:cstheme="majorBidi"/>
                <w:szCs w:val="24"/>
              </w:rPr>
            </m:ctrlPr>
          </m:naryPr>
          <m:sub>
            <m:r>
              <m:rPr>
                <m:sty m:val="p"/>
              </m:rPr>
              <w:rPr>
                <w:rFonts w:ascii="Cambria Math" w:hAnsi="Cambria Math" w:cstheme="majorBidi"/>
                <w:szCs w:val="24"/>
              </w:rPr>
              <m:t>n=1</m:t>
            </m:r>
          </m:sub>
          <m:sup>
            <m:r>
              <m:rPr>
                <m:sty m:val="p"/>
              </m:rPr>
              <w:rPr>
                <w:rFonts w:ascii="Cambria Math" w:hAnsi="Cambria Math" w:cstheme="majorBidi"/>
                <w:szCs w:val="24"/>
              </w:rPr>
              <m:t>∞</m:t>
            </m:r>
          </m:sup>
          <m:e>
            <m:sSub>
              <m:sSubPr>
                <m:ctrlPr>
                  <w:rPr>
                    <w:rFonts w:ascii="Cambria Math" w:hAnsi="Cambria Math" w:cstheme="majorBidi"/>
                    <w:szCs w:val="24"/>
                  </w:rPr>
                </m:ctrlPr>
              </m:sSubPr>
              <m:e>
                <m:r>
                  <m:rPr>
                    <m:sty m:val="p"/>
                  </m:rPr>
                  <w:rPr>
                    <w:rFonts w:ascii="Cambria Math" w:hAnsi="Cambria Math" w:cstheme="majorBidi"/>
                    <w:szCs w:val="24"/>
                  </w:rPr>
                  <m:t>R</m:t>
                </m:r>
              </m:e>
              <m:sub>
                <m:r>
                  <m:rPr>
                    <m:sty m:val="p"/>
                  </m:rPr>
                  <w:rPr>
                    <w:rFonts w:ascii="Cambria Math" w:hAnsi="Cambria Math" w:cstheme="majorBidi"/>
                    <w:szCs w:val="24"/>
                  </w:rPr>
                  <m:t>n</m:t>
                </m:r>
              </m:sub>
            </m:sSub>
            <m:r>
              <m:rPr>
                <m:sty m:val="p"/>
              </m:rPr>
              <w:rPr>
                <w:rFonts w:ascii="Cambria Math" w:hAnsi="Cambria Math" w:cstheme="majorBidi"/>
                <w:szCs w:val="24"/>
              </w:rPr>
              <m:t>(d)</m:t>
            </m:r>
            <m:nary>
              <m:naryPr>
                <m:chr m:val="∑"/>
                <m:limLoc m:val="undOvr"/>
                <m:ctrlPr>
                  <w:rPr>
                    <w:rFonts w:ascii="Cambria Math" w:hAnsi="Cambria Math" w:cstheme="majorBidi"/>
                    <w:szCs w:val="24"/>
                  </w:rPr>
                </m:ctrlPr>
              </m:naryPr>
              <m:sub>
                <m:r>
                  <m:rPr>
                    <m:sty m:val="p"/>
                  </m:rPr>
                  <w:rPr>
                    <w:rFonts w:ascii="Cambria Math" w:hAnsi="Cambria Math" w:cstheme="majorBidi"/>
                    <w:szCs w:val="24"/>
                  </w:rPr>
                  <m:t>s=1</m:t>
                </m:r>
              </m:sub>
              <m:sup>
                <m:r>
                  <m:rPr>
                    <m:sty m:val="p"/>
                  </m:rPr>
                  <w:rPr>
                    <w:rFonts w:ascii="Cambria Math" w:hAnsi="Cambria Math" w:cstheme="majorBidi"/>
                    <w:szCs w:val="24"/>
                  </w:rPr>
                  <m:t>∞</m:t>
                </m:r>
              </m:sup>
              <m:e>
                <m:f>
                  <m:fPr>
                    <m:ctrlPr>
                      <w:rPr>
                        <w:rFonts w:ascii="Cambria Math" w:hAnsi="Cambria Math" w:cstheme="majorBidi"/>
                        <w:szCs w:val="24"/>
                      </w:rPr>
                    </m:ctrlPr>
                  </m:fPr>
                  <m:num>
                    <m:sSup>
                      <m:sSupPr>
                        <m:ctrlPr>
                          <w:rPr>
                            <w:rFonts w:ascii="Cambria Math" w:hAnsi="Cambria Math" w:cstheme="majorBidi"/>
                            <w:szCs w:val="24"/>
                          </w:rPr>
                        </m:ctrlPr>
                      </m:sSupPr>
                      <m:e>
                        <m:r>
                          <m:rPr>
                            <m:sty m:val="p"/>
                          </m:rPr>
                          <w:rPr>
                            <w:rFonts w:ascii="Cambria Math" w:hAnsi="Cambria Math" w:cstheme="majorBidi"/>
                            <w:szCs w:val="24"/>
                          </w:rPr>
                          <m:t>∆</m:t>
                        </m:r>
                      </m:e>
                      <m:sup>
                        <m:r>
                          <m:rPr>
                            <m:sty m:val="p"/>
                          </m:rPr>
                          <w:rPr>
                            <w:rFonts w:ascii="Cambria Math" w:hAnsi="Cambria Math" w:cstheme="majorBidi"/>
                            <w:szCs w:val="24"/>
                          </w:rPr>
                          <m:t>2s</m:t>
                        </m:r>
                      </m:sup>
                    </m:sSup>
                  </m:num>
                  <m:den>
                    <m:sSup>
                      <m:sSupPr>
                        <m:ctrlPr>
                          <w:rPr>
                            <w:rFonts w:ascii="Cambria Math" w:hAnsi="Cambria Math" w:cstheme="majorBidi"/>
                            <w:szCs w:val="24"/>
                          </w:rPr>
                        </m:ctrlPr>
                      </m:sSupPr>
                      <m:e>
                        <m:r>
                          <m:rPr>
                            <m:sty m:val="p"/>
                          </m:rPr>
                          <w:rPr>
                            <w:rFonts w:ascii="Cambria Math" w:hAnsi="Cambria Math" w:cstheme="majorBidi"/>
                            <w:szCs w:val="24"/>
                          </w:rPr>
                          <m:t>s</m:t>
                        </m:r>
                      </m:e>
                      <m:sup>
                        <m:r>
                          <m:rPr>
                            <m:sty m:val="p"/>
                          </m:rPr>
                          <w:rPr>
                            <w:rFonts w:ascii="Cambria Math" w:hAnsi="Cambria Math" w:cstheme="majorBidi"/>
                            <w:szCs w:val="24"/>
                          </w:rPr>
                          <m:t>3</m:t>
                        </m:r>
                      </m:sup>
                    </m:sSup>
                  </m:den>
                </m:f>
              </m:e>
            </m:nary>
          </m:e>
        </m:nary>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(S8)</w:t>
      </w:r>
    </w:p>
    <w:p w14:paraId="765EA7DA" w14:textId="415DFB1F" w:rsidR="009C4C93" w:rsidRPr="009C4C93" w:rsidRDefault="009C4C93" w:rsidP="009C4C93">
      <w:pPr>
        <w:jc w:val="both"/>
        <w:rPr>
          <w:rFonts w:asciiTheme="majorBidi" w:eastAsiaTheme="minorEastAsia" w:hAnsiTheme="majorBidi" w:cstheme="majorBidi"/>
          <w:szCs w:val="24"/>
        </w:rPr>
      </w:pPr>
      <m:oMath>
        <m:r>
          <m:rPr>
            <m:sty m:val="p"/>
          </m:rPr>
          <w:rPr>
            <w:rFonts w:ascii="Cambria Math" w:eastAsiaTheme="minorEastAsia" w:hAnsi="Cambria Math" w:cstheme="majorBidi"/>
            <w:szCs w:val="24"/>
          </w:rPr>
          <m:t>∆=</m:t>
        </m:r>
        <m:f>
          <m:fPr>
            <m:ctrlPr>
              <w:rPr>
                <w:rFonts w:ascii="Cambria Math" w:eastAsiaTheme="minorEastAsia" w:hAnsi="Cambria Math" w:cstheme="majorBidi"/>
                <w:szCs w:val="24"/>
              </w:rPr>
            </m:ctrlPr>
          </m:fPr>
          <m:num>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GO</m:t>
                </m:r>
              </m:sub>
            </m:sSub>
            <m:d>
              <m:dPr>
                <m:ctrlPr>
                  <w:rPr>
                    <w:rFonts w:ascii="Cambria Math" w:eastAsiaTheme="minorEastAsia" w:hAnsi="Cambria Math" w:cstheme="majorBidi"/>
                    <w:szCs w:val="24"/>
                  </w:rPr>
                </m:ctrlPr>
              </m:dPr>
              <m:e>
                <m:r>
                  <m:rPr>
                    <m:sty m:val="p"/>
                  </m:rPr>
                  <w:rPr>
                    <w:rFonts w:ascii="Cambria Math" w:eastAsiaTheme="minorEastAsia" w:hAnsi="Cambria Math" w:cstheme="majorBidi"/>
                    <w:szCs w:val="24"/>
                  </w:rPr>
                  <m:t>i</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ξ</m:t>
                    </m:r>
                  </m:e>
                  <m:sub>
                    <m:r>
                      <m:rPr>
                        <m:sty m:val="p"/>
                      </m:rPr>
                      <w:rPr>
                        <w:rFonts w:ascii="Cambria Math" w:eastAsiaTheme="minorEastAsia" w:hAnsi="Cambria Math" w:cstheme="majorBidi"/>
                        <w:szCs w:val="24"/>
                      </w:rPr>
                      <m:t>n</m:t>
                    </m:r>
                  </m:sub>
                </m:sSub>
              </m:e>
            </m:d>
            <m:r>
              <m:rPr>
                <m:sty m:val="p"/>
              </m:rPr>
              <w:rPr>
                <w:rFonts w:ascii="Cambria Math" w:eastAsiaTheme="minorEastAsia" w:hAnsi="Cambria Math" w:cstheme="majorBidi"/>
                <w:szCs w:val="24"/>
              </w:rPr>
              <m:t>-</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water</m:t>
                </m:r>
              </m:sub>
            </m:sSub>
            <m:d>
              <m:dPr>
                <m:ctrlPr>
                  <w:rPr>
                    <w:rFonts w:ascii="Cambria Math" w:eastAsiaTheme="minorEastAsia" w:hAnsi="Cambria Math" w:cstheme="majorBidi"/>
                    <w:szCs w:val="24"/>
                  </w:rPr>
                </m:ctrlPr>
              </m:dPr>
              <m:e>
                <m:r>
                  <m:rPr>
                    <m:sty m:val="p"/>
                  </m:rPr>
                  <w:rPr>
                    <w:rFonts w:ascii="Cambria Math" w:eastAsiaTheme="minorEastAsia" w:hAnsi="Cambria Math" w:cstheme="majorBidi"/>
                    <w:szCs w:val="24"/>
                  </w:rPr>
                  <m:t>i</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ξ</m:t>
                    </m:r>
                  </m:e>
                  <m:sub>
                    <m:r>
                      <m:rPr>
                        <m:sty m:val="p"/>
                      </m:rPr>
                      <w:rPr>
                        <w:rFonts w:ascii="Cambria Math" w:eastAsiaTheme="minorEastAsia" w:hAnsi="Cambria Math" w:cstheme="majorBidi"/>
                        <w:szCs w:val="24"/>
                      </w:rPr>
                      <m:t>n</m:t>
                    </m:r>
                  </m:sub>
                </m:sSub>
              </m:e>
            </m:d>
          </m:num>
          <m:den>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GO</m:t>
                </m:r>
              </m:sub>
            </m:sSub>
            <m:d>
              <m:dPr>
                <m:ctrlPr>
                  <w:rPr>
                    <w:rFonts w:ascii="Cambria Math" w:eastAsiaTheme="minorEastAsia" w:hAnsi="Cambria Math" w:cstheme="majorBidi"/>
                    <w:szCs w:val="24"/>
                  </w:rPr>
                </m:ctrlPr>
              </m:dPr>
              <m:e>
                <m:r>
                  <m:rPr>
                    <m:sty m:val="p"/>
                  </m:rPr>
                  <w:rPr>
                    <w:rFonts w:ascii="Cambria Math" w:eastAsiaTheme="minorEastAsia" w:hAnsi="Cambria Math" w:cstheme="majorBidi"/>
                    <w:szCs w:val="24"/>
                  </w:rPr>
                  <m:t>i</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ξ</m:t>
                    </m:r>
                  </m:e>
                  <m:sub>
                    <m:r>
                      <m:rPr>
                        <m:sty m:val="p"/>
                      </m:rPr>
                      <w:rPr>
                        <w:rFonts w:ascii="Cambria Math" w:eastAsiaTheme="minorEastAsia" w:hAnsi="Cambria Math" w:cstheme="majorBidi"/>
                        <w:szCs w:val="24"/>
                      </w:rPr>
                      <m:t>n</m:t>
                    </m:r>
                  </m:sub>
                </m:sSub>
              </m:e>
            </m:d>
            <m:r>
              <m:rPr>
                <m:sty m:val="p"/>
              </m:rPr>
              <w:rPr>
                <w:rFonts w:ascii="Cambria Math" w:eastAsiaTheme="minorEastAsia" w:hAnsi="Cambria Math" w:cstheme="majorBidi"/>
                <w:szCs w:val="24"/>
              </w:rPr>
              <m:t>+</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water</m:t>
                </m:r>
              </m:sub>
            </m:sSub>
            <m:d>
              <m:dPr>
                <m:ctrlPr>
                  <w:rPr>
                    <w:rFonts w:ascii="Cambria Math" w:eastAsiaTheme="minorEastAsia" w:hAnsi="Cambria Math" w:cstheme="majorBidi"/>
                    <w:szCs w:val="24"/>
                  </w:rPr>
                </m:ctrlPr>
              </m:dPr>
              <m:e>
                <m:r>
                  <m:rPr>
                    <m:sty m:val="p"/>
                  </m:rPr>
                  <w:rPr>
                    <w:rFonts w:ascii="Cambria Math" w:eastAsiaTheme="minorEastAsia" w:hAnsi="Cambria Math" w:cstheme="majorBidi"/>
                    <w:szCs w:val="24"/>
                  </w:rPr>
                  <m:t>i</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ξ</m:t>
                    </m:r>
                  </m:e>
                  <m:sub>
                    <m:r>
                      <m:rPr>
                        <m:sty m:val="p"/>
                      </m:rPr>
                      <w:rPr>
                        <w:rFonts w:ascii="Cambria Math" w:eastAsiaTheme="minorEastAsia" w:hAnsi="Cambria Math" w:cstheme="majorBidi"/>
                        <w:szCs w:val="24"/>
                      </w:rPr>
                      <m:t>n</m:t>
                    </m:r>
                  </m:sub>
                </m:sSub>
              </m:e>
            </m:d>
          </m:den>
        </m:f>
      </m:oMath>
      <w:r w:rsidRPr="009C4C93">
        <w:rPr>
          <w:rFonts w:asciiTheme="majorBidi" w:eastAsiaTheme="minorEastAsia" w:hAnsiTheme="majorBidi" w:cstheme="majorBidi"/>
          <w:szCs w:val="24"/>
        </w:rPr>
        <w:t>,</w:t>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(S9)</w:t>
      </w:r>
    </w:p>
    <w:p w14:paraId="285A59D9" w14:textId="506B5689"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i</m:t>
            </m:r>
          </m:sub>
        </m:sSub>
      </m:oMath>
      <w:r w:rsidRPr="009C4C93">
        <w:rPr>
          <w:rFonts w:asciiTheme="majorBidi" w:eastAsiaTheme="minorEastAsia" w:hAnsiTheme="majorBidi" w:cstheme="majorBidi"/>
          <w:szCs w:val="24"/>
        </w:rPr>
        <w:t xml:space="preserve"> represents the dielectric function at imaginary frequencies (Figure S5A) and </w:t>
      </w:r>
    </w:p>
    <w:p w14:paraId="2D3592DB" w14:textId="08B4A7BC" w:rsidR="009C4C93" w:rsidRPr="009C4C93" w:rsidRDefault="00092C50" w:rsidP="009C4C93">
      <w:pPr>
        <w:jc w:val="both"/>
        <w:rPr>
          <w:rFonts w:asciiTheme="majorBidi" w:eastAsiaTheme="minorEastAsia" w:hAnsiTheme="majorBidi" w:cstheme="majorBidi"/>
          <w:szCs w:val="24"/>
        </w:rPr>
      </w:pP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ξ</m:t>
            </m:r>
          </m:e>
          <m:sub>
            <m:r>
              <m:rPr>
                <m:sty m:val="p"/>
              </m:rPr>
              <w:rPr>
                <w:rFonts w:ascii="Cambria Math" w:eastAsiaTheme="minorEastAsia" w:hAnsi="Cambria Math" w:cstheme="majorBidi"/>
                <w:szCs w:val="24"/>
              </w:rPr>
              <m:t>n</m:t>
            </m:r>
          </m:sub>
        </m:sSub>
        <m:r>
          <m:rPr>
            <m:sty m:val="p"/>
          </m:rPr>
          <w:rPr>
            <w:rFonts w:ascii="Cambria Math" w:eastAsiaTheme="minorEastAsia" w:hAnsi="Cambria Math" w:cstheme="majorBidi"/>
            <w:szCs w:val="24"/>
          </w:rPr>
          <m:t>=</m:t>
        </m:r>
        <m:f>
          <m:fPr>
            <m:ctrlPr>
              <w:rPr>
                <w:rFonts w:ascii="Cambria Math" w:eastAsiaTheme="minorEastAsia" w:hAnsi="Cambria Math" w:cstheme="majorBidi"/>
                <w:szCs w:val="24"/>
              </w:rPr>
            </m:ctrlPr>
          </m:fPr>
          <m:num>
            <m:r>
              <m:rPr>
                <m:sty m:val="p"/>
              </m:rPr>
              <w:rPr>
                <w:rFonts w:ascii="Cambria Math" w:eastAsiaTheme="minorEastAsia" w:hAnsi="Cambria Math" w:cstheme="majorBidi"/>
                <w:szCs w:val="24"/>
              </w:rPr>
              <m:t>2πn</m:t>
            </m:r>
            <m:sSub>
              <m:sSubPr>
                <m:ctrlPr>
                  <w:rPr>
                    <w:rFonts w:ascii="Cambria Math" w:hAnsi="Cambria Math" w:cstheme="majorBidi"/>
                    <w:szCs w:val="24"/>
                  </w:rPr>
                </m:ctrlPr>
              </m:sSubPr>
              <m:e>
                <m:r>
                  <m:rPr>
                    <m:sty m:val="p"/>
                  </m:rPr>
                  <w:rPr>
                    <w:rFonts w:ascii="Cambria Math" w:hAnsi="Cambria Math" w:cstheme="majorBidi"/>
                    <w:szCs w:val="24"/>
                  </w:rPr>
                  <m:t>k</m:t>
                </m:r>
              </m:e>
              <m:sub>
                <m:r>
                  <m:rPr>
                    <m:sty m:val="p"/>
                  </m:rPr>
                  <w:rPr>
                    <w:rFonts w:ascii="Cambria Math" w:hAnsi="Cambria Math" w:cstheme="majorBidi"/>
                    <w:szCs w:val="24"/>
                  </w:rPr>
                  <m:t>B</m:t>
                </m:r>
              </m:sub>
            </m:sSub>
            <m:r>
              <m:rPr>
                <m:sty m:val="p"/>
              </m:rPr>
              <w:rPr>
                <w:rFonts w:ascii="Cambria Math" w:hAnsi="Cambria Math" w:cstheme="majorBidi"/>
                <w:szCs w:val="24"/>
              </w:rPr>
              <m:t>T</m:t>
            </m:r>
          </m:num>
          <m:den>
            <m:r>
              <m:rPr>
                <m:sty m:val="p"/>
              </m:rPr>
              <w:rPr>
                <w:rFonts w:ascii="Cambria Math" w:eastAsiaTheme="minorEastAsia" w:hAnsi="Cambria Math" w:cstheme="majorBidi"/>
                <w:szCs w:val="24"/>
              </w:rPr>
              <m:t>ℏ</m:t>
            </m:r>
          </m:den>
        </m:f>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(S10)</w:t>
      </w:r>
    </w:p>
    <w:p w14:paraId="7B4F97CC" w14:textId="5B4CDD35" w:rsidR="009C4C93" w:rsidRPr="009C4C93" w:rsidRDefault="00092C50" w:rsidP="009C4C93">
      <w:pPr>
        <w:jc w:val="both"/>
        <w:rPr>
          <w:rFonts w:asciiTheme="majorBidi" w:eastAsiaTheme="minorEastAsia" w:hAnsiTheme="majorBidi" w:cstheme="majorBidi"/>
          <w:szCs w:val="24"/>
        </w:rPr>
      </w:pPr>
      <m:oMath>
        <m:sSub>
          <m:sSubPr>
            <m:ctrlPr>
              <w:rPr>
                <w:rFonts w:ascii="Cambria Math" w:hAnsi="Cambria Math" w:cstheme="majorBidi"/>
                <w:szCs w:val="24"/>
              </w:rPr>
            </m:ctrlPr>
          </m:sSubPr>
          <m:e>
            <m:r>
              <m:rPr>
                <m:sty m:val="p"/>
              </m:rPr>
              <w:rPr>
                <w:rFonts w:ascii="Cambria Math" w:hAnsi="Cambria Math" w:cstheme="majorBidi"/>
                <w:szCs w:val="24"/>
              </w:rPr>
              <m:t>R</m:t>
            </m:r>
          </m:e>
          <m:sub>
            <m:r>
              <m:rPr>
                <m:sty m:val="p"/>
              </m:rPr>
              <w:rPr>
                <w:rFonts w:ascii="Cambria Math" w:hAnsi="Cambria Math" w:cstheme="majorBidi"/>
                <w:szCs w:val="24"/>
              </w:rPr>
              <m:t>n</m:t>
            </m:r>
          </m:sub>
        </m:sSub>
        <m:d>
          <m:dPr>
            <m:ctrlPr>
              <w:rPr>
                <w:rFonts w:ascii="Cambria Math" w:hAnsi="Cambria Math" w:cstheme="majorBidi"/>
                <w:szCs w:val="24"/>
              </w:rPr>
            </m:ctrlPr>
          </m:dPr>
          <m:e>
            <m:r>
              <m:rPr>
                <m:sty m:val="p"/>
              </m:rPr>
              <w:rPr>
                <w:rFonts w:ascii="Cambria Math" w:hAnsi="Cambria Math" w:cstheme="majorBidi"/>
                <w:szCs w:val="24"/>
              </w:rPr>
              <m:t>d</m:t>
            </m:r>
          </m:e>
        </m:d>
        <m:r>
          <m:rPr>
            <m:sty m:val="p"/>
          </m:rPr>
          <w:rPr>
            <w:rFonts w:ascii="Cambria Math" w:hAnsi="Cambria Math" w:cstheme="majorBidi"/>
            <w:szCs w:val="24"/>
          </w:rPr>
          <m:t>=(1+</m:t>
        </m:r>
        <m:f>
          <m:fPr>
            <m:ctrlPr>
              <w:rPr>
                <w:rFonts w:ascii="Cambria Math" w:hAnsi="Cambria Math" w:cstheme="majorBidi"/>
                <w:szCs w:val="24"/>
              </w:rPr>
            </m:ctrlPr>
          </m:fPr>
          <m:num>
            <m:r>
              <m:rPr>
                <m:sty m:val="p"/>
              </m:rPr>
              <w:rPr>
                <w:rFonts w:ascii="Cambria Math" w:hAnsi="Cambria Math" w:cstheme="majorBidi"/>
                <w:szCs w:val="24"/>
              </w:rPr>
              <m:t>2d</m:t>
            </m:r>
            <m:sSub>
              <m:sSubPr>
                <m:ctrlPr>
                  <w:rPr>
                    <w:rFonts w:ascii="Cambria Math" w:hAnsi="Cambria Math" w:cstheme="majorBidi"/>
                    <w:szCs w:val="24"/>
                  </w:rPr>
                </m:ctrlPr>
              </m:sSubPr>
              <m:e>
                <m:r>
                  <m:rPr>
                    <m:sty m:val="p"/>
                  </m:rPr>
                  <w:rPr>
                    <w:rFonts w:ascii="Cambria Math" w:hAnsi="Cambria Math" w:cstheme="majorBidi"/>
                    <w:szCs w:val="24"/>
                  </w:rPr>
                  <m:t>ξ</m:t>
                </m:r>
              </m:e>
              <m:sub>
                <m:r>
                  <m:rPr>
                    <m:sty m:val="p"/>
                  </m:rPr>
                  <w:rPr>
                    <w:rFonts w:ascii="Cambria Math" w:hAnsi="Cambria Math" w:cstheme="majorBidi"/>
                    <w:szCs w:val="24"/>
                  </w:rPr>
                  <m:t>n</m:t>
                </m:r>
              </m:sub>
            </m:sSub>
            <m:rad>
              <m:radPr>
                <m:degHide m:val="1"/>
                <m:ctrlPr>
                  <w:rPr>
                    <w:rFonts w:ascii="Cambria Math" w:hAnsi="Cambria Math" w:cstheme="majorBidi"/>
                    <w:szCs w:val="24"/>
                  </w:rPr>
                </m:ctrlPr>
              </m:radPr>
              <m:deg/>
              <m:e>
                <m:sSub>
                  <m:sSubPr>
                    <m:ctrlPr>
                      <w:rPr>
                        <w:rFonts w:ascii="Cambria Math" w:hAnsi="Cambria Math" w:cstheme="majorBidi"/>
                        <w:szCs w:val="24"/>
                      </w:rPr>
                    </m:ctrlPr>
                  </m:sSubPr>
                  <m:e>
                    <m:r>
                      <m:rPr>
                        <m:sty m:val="p"/>
                      </m:rPr>
                      <w:rPr>
                        <w:rFonts w:ascii="Cambria Math" w:hAnsi="Cambria Math" w:cstheme="majorBidi"/>
                        <w:szCs w:val="24"/>
                      </w:rPr>
                      <m:t>ε</m:t>
                    </m:r>
                  </m:e>
                  <m:sub>
                    <m:r>
                      <m:rPr>
                        <m:sty m:val="p"/>
                      </m:rPr>
                      <w:rPr>
                        <w:rFonts w:ascii="Cambria Math" w:hAnsi="Cambria Math" w:cstheme="majorBidi"/>
                        <w:szCs w:val="24"/>
                      </w:rPr>
                      <m:t>water</m:t>
                    </m:r>
                  </m:sub>
                </m:sSub>
                <m:r>
                  <m:rPr>
                    <m:sty m:val="p"/>
                  </m:rPr>
                  <w:rPr>
                    <w:rFonts w:ascii="Cambria Math" w:hAnsi="Cambria Math" w:cstheme="majorBidi"/>
                    <w:szCs w:val="24"/>
                  </w:rPr>
                  <m:t>(i</m:t>
                </m:r>
                <m:sSub>
                  <m:sSubPr>
                    <m:ctrlPr>
                      <w:rPr>
                        <w:rFonts w:ascii="Cambria Math" w:hAnsi="Cambria Math" w:cstheme="majorBidi"/>
                        <w:szCs w:val="24"/>
                      </w:rPr>
                    </m:ctrlPr>
                  </m:sSubPr>
                  <m:e>
                    <m:r>
                      <m:rPr>
                        <m:sty m:val="p"/>
                      </m:rPr>
                      <w:rPr>
                        <w:rFonts w:ascii="Cambria Math" w:hAnsi="Cambria Math" w:cstheme="majorBidi"/>
                        <w:szCs w:val="24"/>
                      </w:rPr>
                      <m:t>ξ</m:t>
                    </m:r>
                  </m:e>
                  <m:sub>
                    <m:r>
                      <m:rPr>
                        <m:sty m:val="p"/>
                      </m:rPr>
                      <w:rPr>
                        <w:rFonts w:ascii="Cambria Math" w:hAnsi="Cambria Math" w:cstheme="majorBidi"/>
                        <w:szCs w:val="24"/>
                      </w:rPr>
                      <m:t>n</m:t>
                    </m:r>
                  </m:sub>
                </m:sSub>
                <m:r>
                  <m:rPr>
                    <m:sty m:val="p"/>
                  </m:rPr>
                  <w:rPr>
                    <w:rFonts w:ascii="Cambria Math" w:hAnsi="Cambria Math" w:cstheme="majorBidi"/>
                    <w:szCs w:val="24"/>
                  </w:rPr>
                  <m:t>)</m:t>
                </m:r>
              </m:e>
            </m:rad>
          </m:num>
          <m:den>
            <m:r>
              <m:rPr>
                <m:sty m:val="p"/>
              </m:rPr>
              <w:rPr>
                <w:rFonts w:ascii="Cambria Math" w:hAnsi="Cambria Math" w:cstheme="majorBidi"/>
                <w:szCs w:val="24"/>
              </w:rPr>
              <m:t>c</m:t>
            </m:r>
          </m:den>
        </m:f>
        <m:r>
          <m:rPr>
            <m:sty m:val="p"/>
          </m:rPr>
          <w:rPr>
            <w:rFonts w:ascii="Cambria Math" w:hAnsi="Cambria Math" w:cstheme="majorBidi"/>
            <w:szCs w:val="24"/>
          </w:rPr>
          <m:t>)</m:t>
        </m:r>
        <m:sSup>
          <m:sSupPr>
            <m:ctrlPr>
              <w:rPr>
                <w:rFonts w:ascii="Cambria Math" w:hAnsi="Cambria Math" w:cstheme="majorBidi"/>
                <w:szCs w:val="24"/>
              </w:rPr>
            </m:ctrlPr>
          </m:sSupPr>
          <m:e>
            <m:r>
              <m:rPr>
                <m:sty m:val="p"/>
              </m:rPr>
              <w:rPr>
                <w:rFonts w:ascii="Cambria Math" w:hAnsi="Cambria Math" w:cstheme="majorBidi"/>
                <w:szCs w:val="24"/>
              </w:rPr>
              <m:t>e</m:t>
            </m:r>
          </m:e>
          <m:sup>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2d</m:t>
                </m:r>
                <m:sSub>
                  <m:sSubPr>
                    <m:ctrlPr>
                      <w:rPr>
                        <w:rFonts w:ascii="Cambria Math" w:hAnsi="Cambria Math" w:cstheme="majorBidi"/>
                        <w:szCs w:val="24"/>
                      </w:rPr>
                    </m:ctrlPr>
                  </m:sSubPr>
                  <m:e>
                    <m:r>
                      <m:rPr>
                        <m:sty m:val="p"/>
                      </m:rPr>
                      <w:rPr>
                        <w:rFonts w:ascii="Cambria Math" w:hAnsi="Cambria Math" w:cstheme="majorBidi"/>
                        <w:szCs w:val="24"/>
                      </w:rPr>
                      <m:t>ξ</m:t>
                    </m:r>
                  </m:e>
                  <m:sub>
                    <m:r>
                      <m:rPr>
                        <m:sty m:val="p"/>
                      </m:rPr>
                      <w:rPr>
                        <w:rFonts w:ascii="Cambria Math" w:hAnsi="Cambria Math" w:cstheme="majorBidi"/>
                        <w:szCs w:val="24"/>
                      </w:rPr>
                      <m:t>n</m:t>
                    </m:r>
                  </m:sub>
                </m:sSub>
                <m:rad>
                  <m:radPr>
                    <m:degHide m:val="1"/>
                    <m:ctrlPr>
                      <w:rPr>
                        <w:rFonts w:ascii="Cambria Math" w:hAnsi="Cambria Math" w:cstheme="majorBidi"/>
                        <w:szCs w:val="24"/>
                      </w:rPr>
                    </m:ctrlPr>
                  </m:radPr>
                  <m:deg/>
                  <m:e>
                    <m:sSub>
                      <m:sSubPr>
                        <m:ctrlPr>
                          <w:rPr>
                            <w:rFonts w:ascii="Cambria Math" w:hAnsi="Cambria Math" w:cstheme="majorBidi"/>
                            <w:szCs w:val="24"/>
                          </w:rPr>
                        </m:ctrlPr>
                      </m:sSubPr>
                      <m:e>
                        <m:r>
                          <m:rPr>
                            <m:sty m:val="p"/>
                          </m:rPr>
                          <w:rPr>
                            <w:rFonts w:ascii="Cambria Math" w:hAnsi="Cambria Math" w:cstheme="majorBidi"/>
                            <w:szCs w:val="24"/>
                          </w:rPr>
                          <m:t>ε</m:t>
                        </m:r>
                      </m:e>
                      <m:sub>
                        <m:r>
                          <m:rPr>
                            <m:sty m:val="p"/>
                          </m:rPr>
                          <w:rPr>
                            <w:rFonts w:ascii="Cambria Math" w:hAnsi="Cambria Math" w:cstheme="majorBidi"/>
                            <w:szCs w:val="24"/>
                          </w:rPr>
                          <m:t>water</m:t>
                        </m:r>
                      </m:sub>
                    </m:sSub>
                    <m:r>
                      <m:rPr>
                        <m:sty m:val="p"/>
                      </m:rPr>
                      <w:rPr>
                        <w:rFonts w:ascii="Cambria Math" w:hAnsi="Cambria Math" w:cstheme="majorBidi"/>
                        <w:szCs w:val="24"/>
                      </w:rPr>
                      <m:t>(i</m:t>
                    </m:r>
                    <m:sSub>
                      <m:sSubPr>
                        <m:ctrlPr>
                          <w:rPr>
                            <w:rFonts w:ascii="Cambria Math" w:hAnsi="Cambria Math" w:cstheme="majorBidi"/>
                            <w:szCs w:val="24"/>
                          </w:rPr>
                        </m:ctrlPr>
                      </m:sSubPr>
                      <m:e>
                        <m:r>
                          <m:rPr>
                            <m:sty m:val="p"/>
                          </m:rPr>
                          <w:rPr>
                            <w:rFonts w:ascii="Cambria Math" w:hAnsi="Cambria Math" w:cstheme="majorBidi"/>
                            <w:szCs w:val="24"/>
                          </w:rPr>
                          <m:t>ξ</m:t>
                        </m:r>
                      </m:e>
                      <m:sub>
                        <m:r>
                          <m:rPr>
                            <m:sty m:val="p"/>
                          </m:rPr>
                          <w:rPr>
                            <w:rFonts w:ascii="Cambria Math" w:hAnsi="Cambria Math" w:cstheme="majorBidi"/>
                            <w:szCs w:val="24"/>
                          </w:rPr>
                          <m:t>n</m:t>
                        </m:r>
                      </m:sub>
                    </m:sSub>
                    <m:r>
                      <m:rPr>
                        <m:sty m:val="p"/>
                      </m:rPr>
                      <w:rPr>
                        <w:rFonts w:ascii="Cambria Math" w:hAnsi="Cambria Math" w:cstheme="majorBidi"/>
                        <w:szCs w:val="24"/>
                      </w:rPr>
                      <m:t>)</m:t>
                    </m:r>
                  </m:e>
                </m:rad>
              </m:num>
              <m:den>
                <m:r>
                  <m:rPr>
                    <m:sty m:val="p"/>
                  </m:rPr>
                  <w:rPr>
                    <w:rFonts w:ascii="Cambria Math" w:hAnsi="Cambria Math" w:cstheme="majorBidi"/>
                    <w:szCs w:val="24"/>
                  </w:rPr>
                  <m:t>c</m:t>
                </m:r>
              </m:den>
            </m:f>
          </m:sup>
        </m:sSup>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(S11)</w:t>
      </w:r>
    </w:p>
    <w:p w14:paraId="377F6ED0" w14:textId="4C4E96FC"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r>
          <m:rPr>
            <m:sty m:val="p"/>
          </m:rPr>
          <w:rPr>
            <w:rFonts w:ascii="Cambria Math" w:hAnsi="Cambria Math" w:cstheme="majorBidi"/>
            <w:szCs w:val="24"/>
          </w:rPr>
          <m:t>c</m:t>
        </m:r>
      </m:oMath>
      <w:r w:rsidRPr="009C4C93">
        <w:rPr>
          <w:rFonts w:asciiTheme="majorBidi" w:eastAsiaTheme="minorEastAsia" w:hAnsiTheme="majorBidi" w:cstheme="majorBidi"/>
          <w:szCs w:val="24"/>
        </w:rPr>
        <w:t xml:space="preserve"> is speed of light. Note that we ignored the zero-term frequency in our calculations as this term is small and is mostly screened in the presence of salts</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&lt;EndNote&gt;&lt;Cite&gt;&lt;Author&gt;Parsegian&lt;/Author&gt;&lt;Year&gt;2005&lt;/Year&gt;&lt;RecNum&gt;9&lt;/RecNum&gt;&lt;DisplayText&gt;(&lt;style face="italic"&gt;9&lt;/style&gt;)&lt;/DisplayText&gt;&lt;record&gt;&lt;rec-number&gt;9&lt;/rec-number&gt;&lt;foreign-keys&gt;&lt;key app="EN" db-id="xzsfatx5atrs04edaaxvsv2ztfwrrwer0aea" timestamp="1719148479"&gt;9&lt;/key&gt;&lt;/foreign-keys&gt;&lt;ref-type name="Book"&gt;6&lt;/ref-type&gt;&lt;contributors&gt;&lt;authors&gt;&lt;author&gt;Parsegian, V Adrian&lt;/author&gt;&lt;/authors&gt;&lt;/contributors&gt;&lt;titles&gt;&lt;title&gt;Van der Waals forces: a handbook for biologists, chemists, engineers, and physicists&lt;/title&gt;&lt;/titles&gt;&lt;dates&gt;&lt;year&gt;2005&lt;/year&gt;&lt;/dates&gt;&lt;publisher&gt;Cambridge University Press&lt;/publisher&gt;&lt;isbn&gt;1139444166&lt;/isbn&gt;&lt;urls&gt;&lt;/urls&gt;&lt;/record&gt;&lt;/Cite&gt;&lt;/EndNote&gt;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(9)</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We used the experimental optical constants of water compiled in our previous work to compute </w:t>
      </w: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ε</m:t>
            </m:r>
          </m:e>
          <m:sub>
            <m:r>
              <m:rPr>
                <m:sty m:val="p"/>
              </m:rPr>
              <w:rPr>
                <w:rFonts w:ascii="Cambria Math" w:eastAsiaTheme="minorEastAsia" w:hAnsi="Cambria Math" w:cstheme="majorBidi"/>
                <w:szCs w:val="24"/>
              </w:rPr>
              <m:t>water</m:t>
            </m:r>
          </m:sub>
        </m:sSub>
      </m:oMath>
      <w:r w:rsidRPr="009C4C93">
        <w:rPr>
          <w:rFonts w:asciiTheme="majorBidi" w:eastAsiaTheme="minorEastAsia" w:hAnsiTheme="majorBidi" w:cstheme="majorBidi"/>
          <w:szCs w:val="24"/>
        </w:rPr>
        <w:t xml:space="preserve"> (Figure S5A).</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&lt;EndNote&gt;&lt;Cite&gt;&lt;Author&gt;Moazzami Gudarzi&lt;/Author&gt;&lt;Year&gt;2021&lt;/Year&gt;&lt;RecNum&gt;1&lt;/RecNum&gt;&lt;DisplayText&gt;(&lt;style face="italic"&gt;10&lt;/style&gt;)&lt;/DisplayText&gt;&lt;record&gt;&lt;rec-number&gt;1&lt;/rec-number&gt;&lt;foreign-keys&gt;&lt;key app="EN" db-id="29etr9td3sza0set0w75z0299f5zv29xrxw5" timestamp="1646229548"&gt;1&lt;/key&gt;&lt;/foreign-keys&gt;&lt;ref-type name="Journal Article"&gt;17&lt;/ref-type&gt;&lt;contributors&gt;&lt;authors&gt;&lt;author&gt;Moazzami Gudarzi, Mohsen&lt;/author&gt;&lt;author&gt;Aboutalebi, Seyed Hamed&lt;/author&gt;&lt;/authors&gt;&lt;/contributors&gt;&lt;titles&gt;&lt;title&gt;Self-consistent dielectric functions of materials: Toward accurate computation of Casimir–van der Waals forces&lt;/title&gt;&lt;secondary-title&gt;Science Advances&lt;/secondary-title&gt;&lt;/titles&gt;&lt;periodical&gt;&lt;full-title&gt;Science Advances&lt;/full-title&gt;&lt;/periodical&gt;&lt;pages&gt;eabg2272&lt;/pages&gt;&lt;volume&gt;7&lt;/volume&gt;&lt;number&gt;22&lt;/number&gt;&lt;dates&gt;&lt;year&gt;2021&lt;/year&gt;&lt;/dates&gt;&lt;urls&gt;&lt;related-urls&gt;&lt;url&gt;https://advances.sciencemag.org/content/advances/7/22/eabg2272.full.pdf&lt;/url&gt;&lt;/related-urls&gt;&lt;/urls&gt;&lt;electronic-resource-num&gt;10.1126/sciadv.abg2272&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(10)</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For GO, we used the modified harmonic oscillator model introduced in our previous work.</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&lt;EndNote&gt;&lt;Cite&gt;&lt;Author&gt;Moazzami Gudarzi&lt;/Author&gt;&lt;Year&gt;2021&lt;/Year&gt;&lt;RecNum&gt;1&lt;/RecNum&gt;&lt;DisplayText&gt;(&lt;style face="italic"&gt;10&lt;/style&gt;)&lt;/DisplayText&gt;&lt;record&gt;&lt;rec-number&gt;1&lt;/rec-number&gt;&lt;foreign-keys&gt;&lt;key app="EN" db-id="29etr9td3sza0set0w75z0299f5zv29xrxw5" timestamp="1646229548"&gt;1&lt;/key&gt;&lt;/foreign-keys&gt;&lt;ref-type name="Journal Article"&gt;17&lt;/ref-type&gt;&lt;contributors&gt;&lt;authors&gt;&lt;author&gt;Moazzami Gudarzi, Mohsen&lt;/author&gt;&lt;author&gt;Aboutalebi, Seyed Hamed&lt;/author&gt;&lt;/authors&gt;&lt;/contributors&gt;&lt;titles&gt;&lt;title&gt;Self-consistent dielectric functions of materials: Toward accurate computation of Casimir–van der Waals forces&lt;/title&gt;&lt;secondary-title&gt;Science Advances&lt;/secondary-title&gt;&lt;/titles&gt;&lt;periodical&gt;&lt;full-title&gt;Science Advances&lt;/full-title&gt;&lt;/periodical&gt;&lt;pages&gt;eabg2272&lt;/pages&gt;&lt;volume&gt;7&lt;/volume&gt;&lt;number&gt;22&lt;/number&gt;&lt;dates&gt;&lt;year&gt;2021&lt;/year&gt;&lt;/dates&gt;&lt;urls&gt;&lt;related-urls&gt;&lt;url&gt;https://advances.sciencemag.org/content/advances/7/22/eabg2272.full.pdf&lt;/url&gt;&lt;/related-urls&gt;&lt;/urls&gt;&lt;electronic-resource-num&gt;10.1126/sciadv.abg2272&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(10)</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We ignored optical anisotropy and bands in infrared regions. The electronic dielectric constant and optical band </w:t>
      </w:r>
      <w:r w:rsidRPr="009C4C93">
        <w:rPr>
          <w:rFonts w:asciiTheme="majorBidi" w:eastAsiaTheme="minorEastAsia" w:hAnsiTheme="majorBidi" w:cstheme="majorBidi"/>
          <w:szCs w:val="24"/>
        </w:rPr>
        <w:lastRenderedPageBreak/>
        <w:t>gap of GO is approximated from Schwenzer et al. to be 3.5, 3.7 eV, respectively.</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&lt;EndNote&gt;&lt;Cite&gt;&lt;Author&gt;Schwenzer&lt;/Author&gt;&lt;Year&gt;2016&lt;/Year&gt;&lt;RecNum&gt;11&lt;/RecNum&gt;&lt;DisplayText&gt;(&lt;style face="italic"&gt;11&lt;/style&gt;)&lt;/DisplayText&gt;&lt;record&gt;&lt;rec-number&gt;11&lt;/rec-number&gt;&lt;foreign-keys&gt;&lt;key app="EN" db-id="xzsfatx5atrs04edaaxvsv2ztfwrrwer0aea" timestamp="1719148479"&gt;11&lt;/key&gt;&lt;/foreign-keys&gt;&lt;ref-type name="Journal Article"&gt;17&lt;/ref-type&gt;&lt;contributors&gt;&lt;authors&gt;&lt;author&gt;Schwenzer, Birgit&lt;/author&gt;&lt;author&gt;Kaspar, Tiffany C.&lt;/author&gt;&lt;author&gt;Shin, Yongsoon&lt;/author&gt;&lt;author&gt;Gotthold, David W.&lt;/author&gt;&lt;/authors&gt;&lt;/contributors&gt;&lt;titles&gt;&lt;title&gt;Spectroscopic Study of Graphene Oxide Membranes Exposed to Ultraviolet Light&lt;/title&gt;&lt;secondary-title&gt;The Journal of Physical Chemistry C&lt;/secondary-title&gt;&lt;/titles&gt;&lt;periodical&gt;&lt;full-title&gt;The Journal of Physical Chemistry C&lt;/full-title&gt;&lt;/periodical&gt;&lt;pages&gt;12559-12567&lt;/pages&gt;&lt;volume&gt;120&lt;/volume&gt;&lt;number&gt;23&lt;/number&gt;&lt;dates&gt;&lt;year&gt;2016&lt;/year&gt;&lt;pub-dates&gt;&lt;date&gt;2016/06/16&lt;/date&gt;&lt;/pub-dates&gt;&lt;/dates&gt;&lt;publisher&gt;American Chemical Society&lt;/publisher&gt;&lt;isbn&gt;1932-7447&lt;/isbn&gt;&lt;urls&gt;&lt;related-urls&gt;&lt;url&gt;https://doi.org/10.1021/acs.jpcc.6b03033&lt;/url&gt;&lt;/related-urls&gt;&lt;/urls&gt;&lt;electronic-resource-num&gt;10.1021/acs.jpcc.6b03033&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The density and the chemical formula of GO is estimated as C</w:t>
      </w:r>
      <w:r w:rsidRPr="009C4C93">
        <w:rPr>
          <w:rFonts w:asciiTheme="majorBidi" w:eastAsiaTheme="minorEastAsia" w:hAnsiTheme="majorBidi" w:cstheme="majorBidi"/>
          <w:szCs w:val="24"/>
          <w:vertAlign w:val="subscript"/>
        </w:rPr>
        <w:t>5</w:t>
      </w:r>
      <w:r w:rsidRPr="009C4C93">
        <w:rPr>
          <w:rFonts w:asciiTheme="majorBidi" w:eastAsiaTheme="minorEastAsia" w:hAnsiTheme="majorBidi" w:cstheme="majorBidi"/>
          <w:szCs w:val="24"/>
        </w:rPr>
        <w:t>O</w:t>
      </w:r>
      <w:r w:rsidRPr="009C4C93">
        <w:rPr>
          <w:rFonts w:asciiTheme="majorBidi" w:eastAsiaTheme="minorEastAsia" w:hAnsiTheme="majorBidi" w:cstheme="majorBidi"/>
          <w:szCs w:val="24"/>
          <w:vertAlign w:val="subscript"/>
        </w:rPr>
        <w:t xml:space="preserve">2 </w:t>
      </w:r>
      <w:r w:rsidRPr="009C4C93">
        <w:rPr>
          <w:rFonts w:asciiTheme="majorBidi" w:eastAsiaTheme="minorEastAsia" w:hAnsiTheme="majorBidi" w:cstheme="majorBidi"/>
          <w:szCs w:val="24"/>
        </w:rPr>
        <w:t>and 1.8 g·cm</w:t>
      </w:r>
      <w:r w:rsidRPr="009C4C93">
        <w:rPr>
          <w:rFonts w:asciiTheme="majorBidi" w:eastAsiaTheme="minorEastAsia" w:hAnsiTheme="majorBidi" w:cstheme="majorBidi"/>
          <w:szCs w:val="24"/>
          <w:vertAlign w:val="superscript"/>
        </w:rPr>
        <w:t>-3</w:t>
      </w:r>
      <w:r w:rsidRPr="009C4C93">
        <w:rPr>
          <w:rFonts w:asciiTheme="majorBidi" w:eastAsiaTheme="minorEastAsia" w:hAnsiTheme="majorBidi" w:cstheme="majorBidi"/>
          <w:szCs w:val="24"/>
        </w:rPr>
        <w:t>, respectively, as discussed in section S5.</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&lt;EndNote&gt;&lt;Cite&gt;&lt;Author&gt;Gudarzi&lt;/Author&gt;&lt;Year&gt;2016&lt;/Year&gt;&lt;RecNum&gt;973&lt;/RecNum&gt;&lt;DisplayText&gt;(&lt;style face="italic"&gt;12&lt;/style&gt;)&lt;/DisplayText&gt;&lt;record&gt;&lt;rec-number&gt;973&lt;/rec-number&gt;&lt;foreign-keys&gt;&lt;key app="EN" db-id="29etr9td3sza0set0w75z0299f5zv29xrxw5" timestamp="1718582803"&gt;973&lt;/key&gt;&lt;/foreign-keys&gt;&lt;ref-type name="Journal Article"&gt;17&lt;/ref-type&gt;&lt;contributors&gt;&lt;authors&gt;&lt;author&gt;Gudarzi, Mohsen Moazzami&lt;/author&gt;&lt;/authors&gt;&lt;/contributors&gt;&lt;titles&gt;&lt;title&gt;Colloidal Stability of Graphene Oxide: Aggregation in Two Dimensions&lt;/title&gt;&lt;secondary-title&gt;Langmuir&lt;/secondary-title&gt;&lt;/titles&gt;&lt;periodical&gt;&lt;full-title&gt;Langmuir&lt;/full-title&gt;&lt;/periodical&gt;&lt;pages&gt;5058-5068&lt;/pages&gt;&lt;volume&gt;32&lt;/volume&gt;&lt;number&gt;20&lt;/number&gt;&lt;dates&gt;&lt;year&gt;2016&lt;/year&gt;&lt;pub-dates&gt;&lt;date&gt;2016/05/24&lt;/date&gt;&lt;/pub-dates&gt;&lt;/dates&gt;&lt;publisher&gt;American Chemical Society&lt;/publisher&gt;&lt;isbn&gt;0743-7463&lt;/isbn&gt;&lt;urls&gt;&lt;related-urls&gt;&lt;url&gt;https://doi.org/10.1021/acs.langmuir.6b01012&lt;/url&gt;&lt;/related-urls&gt;&lt;/urls&gt;&lt;electronic-resource-num&gt;10.1021/acs.langmuir.6b01012&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(12)</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We found non-retarded Hamaker constant of </w:t>
      </w:r>
      <m:oMath>
        <m:r>
          <m:rPr>
            <m:sty m:val="p"/>
          </m:rPr>
          <w:rPr>
            <w:rFonts w:ascii="Cambria Math" w:hAnsi="Cambria Math" w:cstheme="majorBidi"/>
            <w:szCs w:val="24"/>
          </w:rPr>
          <m:t>≅</m:t>
        </m:r>
      </m:oMath>
      <w:r w:rsidRPr="009C4C93">
        <w:rPr>
          <w:rFonts w:asciiTheme="majorBidi" w:eastAsiaTheme="minorEastAsia" w:hAnsiTheme="majorBidi" w:cstheme="majorBidi"/>
          <w:szCs w:val="24"/>
        </w:rPr>
        <w:t xml:space="preserve"> 27×10</w:t>
      </w:r>
      <w:r w:rsidRPr="009C4C93">
        <w:rPr>
          <w:rFonts w:asciiTheme="majorBidi" w:eastAsiaTheme="minorEastAsia" w:hAnsiTheme="majorBidi" w:cstheme="majorBidi"/>
          <w:szCs w:val="24"/>
          <w:vertAlign w:val="superscript"/>
        </w:rPr>
        <w:t>-21</w:t>
      </w:r>
      <w:r w:rsidRPr="009C4C93">
        <w:rPr>
          <w:rFonts w:asciiTheme="majorBidi" w:eastAsiaTheme="minorEastAsia" w:hAnsiTheme="majorBidi" w:cstheme="majorBidi"/>
          <w:szCs w:val="24"/>
        </w:rPr>
        <w:t xml:space="preserve"> J (Figure S5B). </w:t>
      </w:r>
    </w:p>
    <w:p w14:paraId="2ECAE539" w14:textId="77777777" w:rsidR="009C4C93" w:rsidRPr="009C4C93" w:rsidRDefault="009C4C93" w:rsidP="009C4C93">
      <w:pPr>
        <w:jc w:val="both"/>
        <w:rPr>
          <w:rFonts w:asciiTheme="majorBidi" w:eastAsiaTheme="minorEastAsia" w:hAnsiTheme="majorBidi" w:cstheme="majorBidi"/>
          <w:szCs w:val="24"/>
        </w:rPr>
      </w:pPr>
    </w:p>
    <w:p w14:paraId="38C8965F"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noProof/>
          <w:szCs w:val="24"/>
          <w:lang w:val="en-GB" w:eastAsia="en-GB"/>
        </w:rPr>
        <w:drawing>
          <wp:inline distT="0" distB="0" distL="0" distR="0" wp14:anchorId="061BBB26" wp14:editId="70E75F11">
            <wp:extent cx="5040000" cy="2522838"/>
            <wp:effectExtent l="0" t="0" r="0" b="0"/>
            <wp:docPr id="8" name="Picture 8" descr="C:\Users\lab\The University of Manchester Dropbox\mohsen moazzami gudarzi\Mohsen's data\Papers\Ali's paper 2nd\figures\GO water GO Hamaker constant for 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ab\The University of Manchester Dropbox\mohsen moazzami gudarzi\Mohsen's data\Papers\Ali's paper 2nd\figures\GO water GO Hamaker constant for S.I..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40000" cy="2522838"/>
                    </a:xfrm>
                    <a:prstGeom prst="rect">
                      <a:avLst/>
                    </a:prstGeom>
                    <a:noFill/>
                    <a:ln>
                      <a:noFill/>
                    </a:ln>
                  </pic:spPr>
                </pic:pic>
              </a:graphicData>
            </a:graphic>
          </wp:inline>
        </w:drawing>
      </w:r>
    </w:p>
    <w:p w14:paraId="023D8C1D" w14:textId="2878E089"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b/>
          <w:szCs w:val="24"/>
        </w:rPr>
        <w:t>Fig</w:t>
      </w:r>
      <w:r w:rsidR="001C7B12">
        <w:rPr>
          <w:rFonts w:asciiTheme="majorBidi" w:eastAsiaTheme="minorEastAsia" w:hAnsiTheme="majorBidi" w:cstheme="majorBidi"/>
          <w:b/>
          <w:szCs w:val="24"/>
        </w:rPr>
        <w:t>ure</w:t>
      </w:r>
      <w:r w:rsidR="00BF0ABC">
        <w:rPr>
          <w:rFonts w:asciiTheme="majorBidi" w:eastAsiaTheme="minorEastAsia" w:hAnsiTheme="majorBidi" w:cstheme="majorBidi"/>
          <w:b/>
          <w:szCs w:val="24"/>
        </w:rPr>
        <w:t xml:space="preserve"> </w:t>
      </w:r>
      <w:r w:rsidRPr="009C4C93">
        <w:rPr>
          <w:rFonts w:asciiTheme="majorBidi" w:eastAsiaTheme="minorEastAsia" w:hAnsiTheme="majorBidi" w:cstheme="majorBidi"/>
          <w:b/>
          <w:szCs w:val="24"/>
        </w:rPr>
        <w:t>S5. Calculation of van der Waals interaction between GO nanosheets through water.</w:t>
      </w:r>
      <w:r w:rsidRPr="009C4C93">
        <w:rPr>
          <w:rFonts w:asciiTheme="majorBidi" w:eastAsiaTheme="minorEastAsia" w:hAnsiTheme="majorBidi" w:cstheme="majorBidi"/>
          <w:szCs w:val="24"/>
        </w:rPr>
        <w:t xml:space="preserve"> Panel (A) displays the dielectric function of water and graphene oxide (GO) in imaginary frequencies as a function of photon energy. The water data are obtained from numerical calculations based on the experimental imaginary part of the dielectric function of water (shown in the inset). Further details are provided in our previous work </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&lt;EndNote&gt;&lt;Cite&gt;&lt;Author&gt;Moazzami Gudarzi&lt;/Author&gt;&lt;Year&gt;2021&lt;/Year&gt;&lt;RecNum&gt;1&lt;/RecNum&gt;&lt;DisplayText&gt;(&lt;style face="italic"&gt;10&lt;/style&gt;)&lt;/DisplayText&gt;&lt;record&gt;&lt;rec-number&gt;1&lt;/rec-number&gt;&lt;foreign-keys&gt;&lt;key app="EN" db-id="29etr9td3sza0set0w75z0299f5zv29xrxw5" timestamp="1646229548"&gt;1&lt;/key&gt;&lt;/foreign-keys&gt;&lt;ref-type name="Journal Article"&gt;17&lt;/ref-type&gt;&lt;contributors&gt;&lt;authors&gt;&lt;author&gt;Moazzami Gudarzi, Mohsen&lt;/author&gt;&lt;author&gt;Aboutalebi, Seyed Hamed&lt;/author&gt;&lt;/authors&gt;&lt;/contributors&gt;&lt;titles&gt;&lt;title&gt;Self-consistent dielectric functions of materials: Toward accurate computation of Casimir–van der Waals forces&lt;/title&gt;&lt;secondary-title&gt;Science Advances&lt;/secondary-title&gt;&lt;/titles&gt;&lt;periodical&gt;&lt;full-title&gt;Science Advances&lt;/full-title&gt;&lt;/periodical&gt;&lt;pages&gt;eabg2272&lt;/pages&gt;&lt;volume&gt;7&lt;/volume&gt;&lt;number&gt;22&lt;/number&gt;&lt;dates&gt;&lt;year&gt;2021&lt;/year&gt;&lt;/dates&gt;&lt;urls&gt;&lt;related-urls&gt;&lt;url&gt;https://advances.sciencemag.org/content/advances/7/22/eabg2272.full.pdf&lt;/url&gt;&lt;/related-urls&gt;&lt;/urls&gt;&lt;electronic-resource-num&gt;10.1126/sciadv.abg2272&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(10)</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The GO data are computed using the modified harmonic oscillator model, as discussed in the text. Additionally, Panel (B) illustrates the calculated Hamaker constant as a function of the separation distance between GO nanosheets.</w:t>
      </w:r>
    </w:p>
    <w:p w14:paraId="0E34E099" w14:textId="77777777" w:rsidR="009C4C93" w:rsidRPr="009C4C93" w:rsidRDefault="009C4C93" w:rsidP="009C4C93">
      <w:pPr>
        <w:jc w:val="both"/>
        <w:rPr>
          <w:rFonts w:asciiTheme="majorBidi" w:eastAsiaTheme="minorEastAsia" w:hAnsiTheme="majorBidi" w:cstheme="majorBidi"/>
          <w:szCs w:val="24"/>
        </w:rPr>
      </w:pPr>
    </w:p>
    <w:p w14:paraId="1D98F992" w14:textId="33D043E3"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The undulation pressure is approximated using the expression derived by Helfrich </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&lt;EndNote&gt;&lt;Cite&gt;&lt;Author&gt;Helfrich&lt;/Author&gt;&lt;Year&gt;1978&lt;/Year&gt;&lt;RecNum&gt;13&lt;/RecNum&gt;&lt;DisplayText&gt;(&lt;style face="italic"&gt;13&lt;/style&gt;)&lt;/DisplayText&gt;&lt;record&gt;&lt;rec-number&gt;13&lt;/rec-number&gt;&lt;foreign-keys&gt;&lt;key app="EN" db-id="xzsfatx5atrs04edaaxvsv2ztfwrrwer0aea" timestamp="1719148479"&gt;13&lt;/key&gt;&lt;/foreign-keys&gt;&lt;ref-type name="Journal Article"&gt;17&lt;/ref-type&gt;&lt;contributors&gt;&lt;authors&gt;&lt;author&gt;Helfrich, Wolfgang&lt;/author&gt;&lt;/authors&gt;&lt;/contributors&gt;&lt;titles&gt;&lt;title&gt;Steric interaction of fluid membranes in multilayer systems&lt;/title&gt;&lt;secondary-title&gt;Zeitschrift für Naturforschung A&lt;/secondary-title&gt;&lt;/titles&gt;&lt;periodical&gt;&lt;full-title&gt;Zeitschrift für Naturforschung A&lt;/full-title&gt;&lt;/periodical&gt;&lt;pages&gt;305-315&lt;/pages&gt;&lt;volume&gt;33&lt;/volume&gt;&lt;number&gt;3&lt;/number&gt;&lt;dates&gt;&lt;year&gt;1978&lt;/year&gt;&lt;/dates&gt;&lt;isbn&gt;1865-7109&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(13)</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w:t>
      </w:r>
    </w:p>
    <w:p w14:paraId="10AB120F" w14:textId="7652D33D" w:rsidR="009C4C93" w:rsidRPr="009C4C93" w:rsidRDefault="00092C50" w:rsidP="009C4C93">
      <w:pPr>
        <w:jc w:val="both"/>
        <w:rPr>
          <w:rFonts w:asciiTheme="majorBidi" w:eastAsiaTheme="minorEastAsia" w:hAnsiTheme="majorBidi" w:cstheme="majorBidi"/>
          <w:szCs w:val="24"/>
        </w:rPr>
      </w:pPr>
      <m:oMath>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U</m:t>
            </m:r>
          </m:sub>
        </m:sSub>
        <m:r>
          <m:rPr>
            <m:sty m:val="p"/>
          </m:rPr>
          <w:rPr>
            <w:rFonts w:ascii="Cambria Math" w:hAnsi="Cambria Math" w:cstheme="majorBidi"/>
            <w:szCs w:val="24"/>
          </w:rPr>
          <m:t>=</m:t>
        </m:r>
        <m:f>
          <m:fPr>
            <m:ctrlPr>
              <w:rPr>
                <w:rFonts w:ascii="Cambria Math" w:hAnsi="Cambria Math" w:cstheme="majorBidi"/>
                <w:szCs w:val="24"/>
              </w:rPr>
            </m:ctrlPr>
          </m:fPr>
          <m:num>
            <m:r>
              <m:rPr>
                <m:sty m:val="p"/>
              </m:rPr>
              <w:rPr>
                <w:rFonts w:ascii="Cambria Math" w:hAnsi="Cambria Math" w:cstheme="majorBidi"/>
                <w:szCs w:val="24"/>
              </w:rPr>
              <m:t>3</m:t>
            </m:r>
            <m:sSup>
              <m:sSupPr>
                <m:ctrlPr>
                  <w:rPr>
                    <w:rFonts w:ascii="Cambria Math" w:hAnsi="Cambria Math" w:cstheme="majorBidi"/>
                    <w:szCs w:val="24"/>
                  </w:rPr>
                </m:ctrlPr>
              </m:sSupPr>
              <m:e>
                <m:r>
                  <m:rPr>
                    <m:sty m:val="p"/>
                  </m:rPr>
                  <w:rPr>
                    <w:rFonts w:ascii="Cambria Math" w:hAnsi="Cambria Math" w:cstheme="majorBidi"/>
                    <w:szCs w:val="24"/>
                  </w:rPr>
                  <m:t>π</m:t>
                </m:r>
              </m:e>
              <m:sup>
                <m:r>
                  <m:rPr>
                    <m:sty m:val="p"/>
                  </m:rPr>
                  <w:rPr>
                    <w:rFonts w:ascii="Cambria Math" w:hAnsi="Cambria Math" w:cstheme="majorBidi"/>
                    <w:szCs w:val="24"/>
                  </w:rPr>
                  <m:t>2</m:t>
                </m:r>
              </m:sup>
            </m:sSup>
            <m:sSup>
              <m:sSupPr>
                <m:ctrlPr>
                  <w:rPr>
                    <w:rFonts w:ascii="Cambria Math" w:hAnsi="Cambria Math" w:cstheme="majorBidi"/>
                    <w:szCs w:val="24"/>
                  </w:rPr>
                </m:ctrlPr>
              </m:sSupPr>
              <m:e>
                <m:r>
                  <m:rPr>
                    <m:sty m:val="p"/>
                  </m:rPr>
                  <w:rPr>
                    <w:rFonts w:ascii="Cambria Math" w:hAnsi="Cambria Math" w:cstheme="majorBidi"/>
                    <w:szCs w:val="24"/>
                  </w:rPr>
                  <m:t>(</m:t>
                </m:r>
                <m:sSub>
                  <m:sSubPr>
                    <m:ctrlPr>
                      <w:rPr>
                        <w:rFonts w:ascii="Cambria Math" w:hAnsi="Cambria Math" w:cstheme="majorBidi"/>
                        <w:szCs w:val="24"/>
                      </w:rPr>
                    </m:ctrlPr>
                  </m:sSubPr>
                  <m:e>
                    <m:r>
                      <m:rPr>
                        <m:sty m:val="p"/>
                      </m:rPr>
                      <w:rPr>
                        <w:rFonts w:ascii="Cambria Math" w:hAnsi="Cambria Math" w:cstheme="majorBidi"/>
                        <w:szCs w:val="24"/>
                      </w:rPr>
                      <m:t>k</m:t>
                    </m:r>
                  </m:e>
                  <m:sub>
                    <m:r>
                      <m:rPr>
                        <m:sty m:val="p"/>
                      </m:rPr>
                      <w:rPr>
                        <w:rFonts w:ascii="Cambria Math" w:hAnsi="Cambria Math" w:cstheme="majorBidi"/>
                        <w:szCs w:val="24"/>
                      </w:rPr>
                      <m:t>B</m:t>
                    </m:r>
                  </m:sub>
                </m:sSub>
                <m:r>
                  <m:rPr>
                    <m:sty m:val="p"/>
                  </m:rPr>
                  <w:rPr>
                    <w:rFonts w:ascii="Cambria Math" w:hAnsi="Cambria Math" w:cstheme="majorBidi"/>
                    <w:szCs w:val="24"/>
                  </w:rPr>
                  <m:t>T)</m:t>
                </m:r>
              </m:e>
              <m:sup>
                <m:r>
                  <m:rPr>
                    <m:sty m:val="p"/>
                  </m:rPr>
                  <w:rPr>
                    <w:rFonts w:ascii="Cambria Math" w:hAnsi="Cambria Math" w:cstheme="majorBidi"/>
                    <w:szCs w:val="24"/>
                  </w:rPr>
                  <m:t>2</m:t>
                </m:r>
              </m:sup>
            </m:sSup>
          </m:num>
          <m:den>
            <m:r>
              <m:rPr>
                <m:sty m:val="p"/>
              </m:rPr>
              <w:rPr>
                <w:rFonts w:ascii="Cambria Math" w:hAnsi="Cambria Math" w:cstheme="majorBidi"/>
                <w:szCs w:val="24"/>
              </w:rPr>
              <m:t>64</m:t>
            </m:r>
            <m:sSub>
              <m:sSubPr>
                <m:ctrlPr>
                  <w:rPr>
                    <w:rFonts w:ascii="Cambria Math" w:hAnsi="Cambria Math" w:cstheme="majorBidi"/>
                    <w:szCs w:val="24"/>
                  </w:rPr>
                </m:ctrlPr>
              </m:sSubPr>
              <m:e>
                <m:r>
                  <m:rPr>
                    <m:sty m:val="p"/>
                  </m:rPr>
                  <w:rPr>
                    <w:rFonts w:ascii="Cambria Math" w:hAnsi="Cambria Math" w:cstheme="majorBidi"/>
                    <w:szCs w:val="24"/>
                  </w:rPr>
                  <m:t>κ</m:t>
                </m:r>
              </m:e>
              <m:sub>
                <m:r>
                  <m:rPr>
                    <m:sty m:val="p"/>
                  </m:rPr>
                  <w:rPr>
                    <w:rFonts w:ascii="Cambria Math" w:hAnsi="Cambria Math" w:cstheme="majorBidi"/>
                    <w:szCs w:val="24"/>
                  </w:rPr>
                  <m:t>b</m:t>
                </m:r>
              </m:sub>
            </m:sSub>
            <m:sSup>
              <m:sSupPr>
                <m:ctrlPr>
                  <w:rPr>
                    <w:rFonts w:ascii="Cambria Math" w:hAnsi="Cambria Math" w:cstheme="majorBidi"/>
                    <w:szCs w:val="24"/>
                  </w:rPr>
                </m:ctrlPr>
              </m:sSupPr>
              <m:e>
                <m:r>
                  <m:rPr>
                    <m:sty m:val="p"/>
                  </m:rPr>
                  <w:rPr>
                    <w:rFonts w:ascii="Cambria Math" w:hAnsi="Cambria Math" w:cstheme="majorBidi"/>
                    <w:szCs w:val="24"/>
                  </w:rPr>
                  <m:t>d</m:t>
                </m:r>
              </m:e>
              <m:sup>
                <m:r>
                  <m:rPr>
                    <m:sty m:val="p"/>
                  </m:rPr>
                  <w:rPr>
                    <w:rFonts w:ascii="Cambria Math" w:hAnsi="Cambria Math" w:cstheme="majorBidi"/>
                    <w:szCs w:val="24"/>
                  </w:rPr>
                  <m:t>3</m:t>
                </m:r>
              </m:sup>
            </m:sSup>
          </m:den>
        </m:f>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(S12)</w:t>
      </w:r>
    </w:p>
    <w:p w14:paraId="0DE08FE3" w14:textId="250E3791"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Where </w:t>
      </w:r>
      <m:oMath>
        <m:sSub>
          <m:sSubPr>
            <m:ctrlPr>
              <w:rPr>
                <w:rFonts w:ascii="Cambria Math" w:hAnsi="Cambria Math" w:cstheme="majorBidi"/>
                <w:szCs w:val="24"/>
              </w:rPr>
            </m:ctrlPr>
          </m:sSubPr>
          <m:e>
            <m:r>
              <m:rPr>
                <m:sty m:val="p"/>
              </m:rPr>
              <w:rPr>
                <w:rFonts w:ascii="Cambria Math" w:hAnsi="Cambria Math" w:cstheme="majorBidi"/>
                <w:szCs w:val="24"/>
              </w:rPr>
              <m:t>κ</m:t>
            </m:r>
          </m:e>
          <m:sub>
            <m:r>
              <m:rPr>
                <m:sty m:val="p"/>
              </m:rPr>
              <w:rPr>
                <w:rFonts w:ascii="Cambria Math" w:hAnsi="Cambria Math" w:cstheme="majorBidi"/>
                <w:szCs w:val="24"/>
              </w:rPr>
              <m:t>b</m:t>
            </m:r>
          </m:sub>
        </m:sSub>
      </m:oMath>
      <w:r w:rsidRPr="009C4C93">
        <w:rPr>
          <w:rFonts w:asciiTheme="majorBidi" w:eastAsiaTheme="minorEastAsia" w:hAnsiTheme="majorBidi" w:cstheme="majorBidi"/>
          <w:szCs w:val="24"/>
        </w:rPr>
        <w:t xml:space="preserve"> represents the bending modulus of GO approximately equal to </w:t>
      </w:r>
      <m:oMath>
        <m:sSub>
          <m:sSubPr>
            <m:ctrlPr>
              <w:rPr>
                <w:rFonts w:ascii="Cambria Math" w:hAnsi="Cambria Math" w:cstheme="majorBidi"/>
                <w:szCs w:val="24"/>
              </w:rPr>
            </m:ctrlPr>
          </m:sSubPr>
          <m:e>
            <m:r>
              <m:rPr>
                <m:sty m:val="p"/>
              </m:rPr>
              <w:rPr>
                <w:rFonts w:ascii="Cambria Math" w:hAnsi="Cambria Math" w:cstheme="majorBidi"/>
                <w:szCs w:val="24"/>
              </w:rPr>
              <m:t>k</m:t>
            </m:r>
          </m:e>
          <m:sub>
            <m:r>
              <m:rPr>
                <m:sty m:val="p"/>
              </m:rPr>
              <w:rPr>
                <w:rFonts w:ascii="Cambria Math" w:hAnsi="Cambria Math" w:cstheme="majorBidi"/>
                <w:szCs w:val="24"/>
              </w:rPr>
              <m:t>B</m:t>
            </m:r>
          </m:sub>
        </m:sSub>
        <m:r>
          <m:rPr>
            <m:sty m:val="p"/>
          </m:rPr>
          <w:rPr>
            <w:rFonts w:ascii="Cambria Math" w:hAnsi="Cambria Math" w:cstheme="majorBidi"/>
            <w:szCs w:val="24"/>
          </w:rPr>
          <m:t>T</m:t>
        </m:r>
      </m:oMath>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&lt;EndNote&gt;&lt;Cite&gt;&lt;Author&gt;Poulin&lt;/Author&gt;&lt;Year&gt;2016&lt;/Year&gt;&lt;RecNum&gt;921&lt;/RecNum&gt;&lt;DisplayText&gt;(&lt;style face="italic"&gt;14&lt;/style&gt;)&lt;/DisplayText&gt;&lt;record&gt;&lt;rec-number&gt;921&lt;/rec-number&gt;&lt;foreign-keys&gt;&lt;key app="EN" db-id="29etr9td3sza0set0w75z0299f5zv29xrxw5" timestamp="1712016480"&gt;921&lt;/key&gt;&lt;/foreign-keys&gt;&lt;ref-type name="Journal Article"&gt;17&lt;/ref-type&gt;&lt;contributors&gt;&lt;authors&gt;&lt;author&gt;Poulin, Philippe&lt;/author&gt;&lt;author&gt;Jalili, Rouhollah&lt;/author&gt;&lt;author&gt;Neri, Wilfrid&lt;/author&gt;&lt;author&gt;Nallet, Frédéric&lt;/author&gt;&lt;author&gt;Divoux, Thibaut&lt;/author&gt;&lt;author&gt;Colin, Annie&lt;/author&gt;&lt;author&gt;Aboutalebi, Seyed Hamed&lt;/author&gt;&lt;author&gt;Wallace, Gordon&lt;/author&gt;&lt;author&gt;Zakri, Cécile&lt;/author&gt;&lt;/authors&gt;&lt;/contributors&gt;&lt;titles&gt;&lt;title&gt;Superflexibility of graphene oxide&lt;/title&gt;&lt;secondary-title&gt;Proceedings of the National Academy of Sciences&lt;/secondary-title&gt;&lt;/titles&gt;&lt;periodical&gt;&lt;full-title&gt;Proceedings of the National Academy of Sciences&lt;/full-title&gt;&lt;/periodical&gt;&lt;pages&gt;11088-11093&lt;/pages&gt;&lt;volume&gt;113&lt;/volume&gt;&lt;number&gt;40&lt;/number&gt;&lt;dates&gt;&lt;year&gt;2016&lt;/year&gt;&lt;/dates&gt;&lt;isbn&gt;0027-8424&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(14)</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t>
      </w:r>
    </w:p>
    <w:p w14:paraId="7AFCA10C"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We approximated the thickness of the double layer around GO for a given concentration using the following equation:</w:t>
      </w:r>
    </w:p>
    <w:p w14:paraId="48BB424B" w14:textId="14511671" w:rsidR="009C4C93" w:rsidRPr="009C4C93" w:rsidRDefault="00092C50" w:rsidP="009C4C93">
      <w:pPr>
        <w:jc w:val="both"/>
        <w:rPr>
          <w:rFonts w:asciiTheme="majorBidi" w:eastAsiaTheme="minorEastAsia" w:hAnsiTheme="majorBidi" w:cstheme="majorBidi"/>
          <w:szCs w:val="24"/>
        </w:rPr>
      </w:pPr>
      <m:oMath>
        <m:sSub>
          <m:sSubPr>
            <m:ctrlPr>
              <w:rPr>
                <w:rFonts w:ascii="Cambria Math" w:hAnsi="Cambria Math" w:cstheme="majorBidi"/>
                <w:szCs w:val="24"/>
              </w:rPr>
            </m:ctrlPr>
          </m:sSubPr>
          <m:e>
            <m:r>
              <m:rPr>
                <m:sty m:val="p"/>
              </m:rPr>
              <w:rPr>
                <w:rFonts w:ascii="Cambria Math" w:hAnsi="Cambria Math" w:cstheme="majorBidi"/>
                <w:szCs w:val="24"/>
              </w:rPr>
              <m:t>Π</m:t>
            </m:r>
          </m:e>
          <m:sub>
            <m:r>
              <m:rPr>
                <m:sty m:val="p"/>
              </m:rPr>
              <w:rPr>
                <w:rFonts w:ascii="Cambria Math" w:hAnsi="Cambria Math" w:cstheme="majorBidi"/>
                <w:szCs w:val="24"/>
              </w:rPr>
              <m:t>t</m:t>
            </m:r>
          </m:sub>
        </m:sSub>
        <m:d>
          <m:dPr>
            <m:ctrlPr>
              <w:rPr>
                <w:rFonts w:ascii="Cambria Math" w:hAnsi="Cambria Math" w:cstheme="majorBidi"/>
                <w:szCs w:val="24"/>
              </w:rPr>
            </m:ctrlPr>
          </m:dPr>
          <m:e>
            <m:sSub>
              <m:sSubPr>
                <m:ctrlPr>
                  <w:rPr>
                    <w:rFonts w:ascii="Cambria Math" w:hAnsi="Cambria Math" w:cstheme="majorBidi"/>
                    <w:szCs w:val="24"/>
                  </w:rPr>
                </m:ctrlPr>
              </m:sSubPr>
              <m:e>
                <m:r>
                  <m:rPr>
                    <m:sty m:val="p"/>
                  </m:rPr>
                  <w:rPr>
                    <w:rFonts w:ascii="Cambria Math" w:hAnsi="Cambria Math" w:cstheme="majorBidi"/>
                    <w:szCs w:val="24"/>
                  </w:rPr>
                  <m:t>d</m:t>
                </m:r>
              </m:e>
              <m:sub>
                <m:r>
                  <m:rPr>
                    <m:sty m:val="p"/>
                  </m:rPr>
                  <w:rPr>
                    <w:rFonts w:ascii="Cambria Math" w:hAnsi="Cambria Math" w:cstheme="majorBidi"/>
                    <w:szCs w:val="24"/>
                  </w:rPr>
                  <m:t>EDL</m:t>
                </m:r>
              </m:sub>
            </m:sSub>
          </m:e>
        </m:d>
        <m:r>
          <m:rPr>
            <m:sty m:val="p"/>
          </m:rPr>
          <w:rPr>
            <w:rFonts w:ascii="Cambria Math" w:hAnsi="Cambria Math" w:cstheme="majorBidi"/>
            <w:szCs w:val="24"/>
          </w:rPr>
          <m:t>=0</m:t>
        </m:r>
      </m:oMath>
      <w:r w:rsidR="009C4C93" w:rsidRPr="009C4C93">
        <w:rPr>
          <w:rFonts w:asciiTheme="majorBidi" w:eastAsiaTheme="minorEastAsia" w:hAnsiTheme="majorBidi" w:cstheme="majorBidi"/>
          <w:szCs w:val="24"/>
        </w:rPr>
        <w:t>.</w:t>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r>
      <w:r w:rsidR="009C4C93" w:rsidRPr="009C4C93">
        <w:rPr>
          <w:rFonts w:asciiTheme="majorBidi" w:eastAsiaTheme="minorEastAsia" w:hAnsiTheme="majorBidi" w:cstheme="majorBidi"/>
          <w:szCs w:val="24"/>
        </w:rPr>
        <w:tab/>
        <w:t>(S13)</w:t>
      </w:r>
    </w:p>
    <w:p w14:paraId="52EB17AE" w14:textId="30B6A96E"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We then compared the </w:t>
      </w:r>
      <m:oMath>
        <m:sSub>
          <m:sSubPr>
            <m:ctrlPr>
              <w:rPr>
                <w:rFonts w:ascii="Cambria Math" w:hAnsi="Cambria Math" w:cstheme="majorBidi"/>
                <w:szCs w:val="24"/>
              </w:rPr>
            </m:ctrlPr>
          </m:sSubPr>
          <m:e>
            <m:r>
              <m:rPr>
                <m:sty m:val="p"/>
              </m:rPr>
              <w:rPr>
                <w:rFonts w:ascii="Cambria Math" w:hAnsi="Cambria Math" w:cstheme="majorBidi"/>
                <w:szCs w:val="24"/>
              </w:rPr>
              <m:t>d</m:t>
            </m:r>
          </m:e>
          <m:sub>
            <m:r>
              <m:rPr>
                <m:sty m:val="p"/>
              </m:rPr>
              <w:rPr>
                <w:rFonts w:ascii="Cambria Math" w:hAnsi="Cambria Math" w:cstheme="majorBidi"/>
                <w:szCs w:val="24"/>
              </w:rPr>
              <m:t>EDL</m:t>
            </m:r>
          </m:sub>
        </m:sSub>
      </m:oMath>
      <w:r w:rsidRPr="009C4C93">
        <w:rPr>
          <w:rFonts w:asciiTheme="majorBidi" w:eastAsiaTheme="minorEastAsia" w:hAnsiTheme="majorBidi" w:cstheme="majorBidi"/>
          <w:szCs w:val="24"/>
        </w:rPr>
        <w:t xml:space="preserve"> obtained from above model with the interlayer layer spacing of GO sheets at different volume fraction (Figure 4D,E). Note that the interlayer spacing depends on the effective packing factor, </w:t>
      </w:r>
      <m:oMath>
        <m:r>
          <m:rPr>
            <m:sty m:val="p"/>
          </m:rPr>
          <w:rPr>
            <w:rFonts w:ascii="Cambria Math" w:eastAsiaTheme="minorEastAsia" w:hAnsi="Cambria Math" w:cstheme="majorBidi"/>
            <w:szCs w:val="24"/>
          </w:rPr>
          <m:t>θ</m:t>
        </m:r>
      </m:oMath>
      <w:r w:rsidRPr="009C4C93">
        <w:rPr>
          <w:rFonts w:asciiTheme="majorBidi" w:eastAsiaTheme="minorEastAsia" w:hAnsiTheme="majorBidi" w:cstheme="majorBidi"/>
          <w:szCs w:val="24"/>
        </w:rPr>
        <w:t>, which can be estimated from the experimental data (Figures 4A and S6).</w:t>
      </w:r>
    </w:p>
    <w:p w14:paraId="1FF83F49" w14:textId="77777777" w:rsidR="009C4C93" w:rsidRPr="009C4C93" w:rsidRDefault="009C4C93" w:rsidP="009C4C93">
      <w:pPr>
        <w:jc w:val="center"/>
        <w:rPr>
          <w:rFonts w:asciiTheme="majorBidi" w:eastAsiaTheme="minorEastAsia" w:hAnsiTheme="majorBidi" w:cstheme="majorBidi"/>
          <w:szCs w:val="24"/>
        </w:rPr>
      </w:pPr>
      <w:r w:rsidRPr="009C4C93">
        <w:rPr>
          <w:rFonts w:asciiTheme="majorBidi" w:eastAsiaTheme="minorEastAsia" w:hAnsiTheme="majorBidi" w:cstheme="majorBidi"/>
          <w:noProof/>
          <w:szCs w:val="24"/>
          <w:lang w:val="en-GB" w:eastAsia="en-GB"/>
        </w:rPr>
        <w:lastRenderedPageBreak/>
        <w:drawing>
          <wp:inline distT="0" distB="0" distL="0" distR="0" wp14:anchorId="77370D34" wp14:editId="160271D0">
            <wp:extent cx="3302204" cy="2520000"/>
            <wp:effectExtent l="0" t="0" r="0" b="0"/>
            <wp:docPr id="6" name="Picture 6" descr="C:\Users\lab\The University of Manchester Dropbox\mohsen moazzami gudarzi\Mohsen's data\Papers\Ali's paper 2nd\figures\Figure 4A for 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b\The University of Manchester Dropbox\mohsen moazzami gudarzi\Mohsen's data\Papers\Ali's paper 2nd\figures\Figure 4A for S.I..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02204" cy="2520000"/>
                    </a:xfrm>
                    <a:prstGeom prst="rect">
                      <a:avLst/>
                    </a:prstGeom>
                    <a:noFill/>
                    <a:ln>
                      <a:noFill/>
                    </a:ln>
                  </pic:spPr>
                </pic:pic>
              </a:graphicData>
            </a:graphic>
          </wp:inline>
        </w:drawing>
      </w:r>
    </w:p>
    <w:p w14:paraId="11A09B87" w14:textId="79DC275F"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b/>
          <w:szCs w:val="24"/>
        </w:rPr>
        <w:t>Fig</w:t>
      </w:r>
      <w:r w:rsidR="001C7B12">
        <w:rPr>
          <w:rFonts w:asciiTheme="majorBidi" w:eastAsiaTheme="minorEastAsia" w:hAnsiTheme="majorBidi" w:cstheme="majorBidi"/>
          <w:b/>
          <w:szCs w:val="24"/>
        </w:rPr>
        <w:t>ure</w:t>
      </w:r>
      <w:r w:rsidRPr="009C4C93">
        <w:rPr>
          <w:rFonts w:asciiTheme="majorBidi" w:eastAsiaTheme="minorEastAsia" w:hAnsiTheme="majorBidi" w:cstheme="majorBidi"/>
          <w:b/>
          <w:szCs w:val="24"/>
        </w:rPr>
        <w:t xml:space="preserve"> S6</w:t>
      </w:r>
      <w:r w:rsidR="00BF0ABC" w:rsidRPr="00BF0ABC">
        <w:rPr>
          <w:rFonts w:asciiTheme="majorBidi" w:eastAsiaTheme="minorEastAsia" w:hAnsiTheme="majorBidi" w:cstheme="majorBidi"/>
          <w:b/>
          <w:bCs/>
          <w:szCs w:val="24"/>
        </w:rPr>
        <w:t>.</w:t>
      </w:r>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b/>
          <w:bCs/>
          <w:szCs w:val="24"/>
        </w:rPr>
        <w:t>Reported average interlayer spacing between GO sheets as a function of reciprocal of volume fraction (</w:t>
      </w:r>
      <m:oMath>
        <m:sSup>
          <m:sSupPr>
            <m:ctrlPr>
              <w:rPr>
                <w:rFonts w:ascii="Cambria Math" w:eastAsiaTheme="minorEastAsia" w:hAnsi="Cambria Math" w:cstheme="majorBidi"/>
                <w:b/>
                <w:bCs/>
                <w:szCs w:val="24"/>
              </w:rPr>
            </m:ctrlPr>
          </m:sSupPr>
          <m:e>
            <m:r>
              <m:rPr>
                <m:sty m:val="b"/>
              </m:rPr>
              <w:rPr>
                <w:rFonts w:ascii="Cambria Math" w:eastAsiaTheme="minorEastAsia" w:hAnsi="Cambria Math" w:cstheme="majorBidi"/>
                <w:szCs w:val="24"/>
              </w:rPr>
              <m:t>Φ</m:t>
            </m:r>
          </m:e>
          <m:sup>
            <m:r>
              <m:rPr>
                <m:sty m:val="b"/>
              </m:rPr>
              <w:rPr>
                <w:rFonts w:ascii="Cambria Math" w:eastAsiaTheme="minorEastAsia" w:hAnsi="Cambria Math" w:cstheme="majorBidi"/>
                <w:szCs w:val="24"/>
              </w:rPr>
              <m:t>-1</m:t>
            </m:r>
          </m:sup>
        </m:sSup>
      </m:oMath>
      <w:r w:rsidRPr="009C4C93">
        <w:rPr>
          <w:rFonts w:asciiTheme="majorBidi" w:eastAsiaTheme="minorEastAsia" w:hAnsiTheme="majorBidi" w:cstheme="majorBidi"/>
          <w:b/>
          <w:bCs/>
          <w:szCs w:val="24"/>
        </w:rPr>
        <w:t>), as shown in Figure 4A of the main text.</w:t>
      </w:r>
      <w:r w:rsidRPr="009C4C93">
        <w:rPr>
          <w:rFonts w:asciiTheme="majorBidi" w:eastAsiaTheme="minorEastAsia" w:hAnsiTheme="majorBidi" w:cstheme="majorBidi"/>
          <w:szCs w:val="24"/>
        </w:rPr>
        <w:t xml:space="preserve"> Data collected from nine different reports exhibit reasonable agreement with each other. The sources of the data are Shim 2023</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&lt;EndNote&gt;&lt;Cite&gt;&lt;Author&gt;Shim&lt;/Author&gt;&lt;Year&gt;2023&lt;/Year&gt;&lt;RecNum&gt;924&lt;/RecNum&gt;&lt;DisplayText&gt;(&lt;style face="italic"&gt;15&lt;/style&gt;)&lt;/DisplayText&gt;&lt;record&gt;&lt;rec-number&gt;924&lt;/rec-number&gt;&lt;foreign-keys&gt;&lt;key app="EN" db-id="29etr9td3sza0set0w75z0299f5zv29xrxw5" timestamp="1712017406"&gt;924&lt;/key&gt;&lt;/foreign-keys&gt;&lt;ref-type name="Journal Article"&gt;17&lt;/ref-type&gt;&lt;contributors&gt;&lt;authors&gt;&lt;author&gt;Shim, Yul Hui&lt;/author&gt;&lt;author&gt;Cho, Eun Ho&lt;/author&gt;&lt;author&gt;Kim, So Youn&lt;/author&gt;&lt;/authors&gt;&lt;/contributors&gt;&lt;titles&gt;&lt;title&gt;Unifying dispersion properties of graphene oxide suspensions via interlayer spacing control: Insights for universal 2D colloid behavior&lt;/title&gt;&lt;secondary-title&gt;Carbon&lt;/secondary-title&gt;&lt;/titles&gt;&lt;periodical&gt;&lt;full-title&gt;Carbon&lt;/full-title&gt;&lt;/periodical&gt;&lt;pages&gt;118473&lt;/pages&gt;&lt;volume&gt;215&lt;/volume&gt;&lt;keywords&gt;&lt;keyword&gt;2D material&lt;/keyword&gt;&lt;keyword&gt;Graphene oxide&lt;/keyword&gt;&lt;keyword&gt;Liquid crystal&lt;/keyword&gt;&lt;keyword&gt;Lateral size&lt;/keyword&gt;&lt;keyword&gt;Rheology&lt;/keyword&gt;&lt;keyword&gt;Microstructure&lt;/keyword&gt;&lt;/keywords&gt;&lt;dates&gt;&lt;year&gt;2023&lt;/year&gt;&lt;pub-dates&gt;&lt;date&gt;2023/11/01/&lt;/date&gt;&lt;/pub-dates&gt;&lt;/dates&gt;&lt;isbn&gt;0008-6223&lt;/isbn&gt;&lt;urls&gt;&lt;related-urls&gt;&lt;url&gt;https://www.sciencedirect.com/science/article/pii/S0008622323007182&lt;/url&gt;&lt;/related-urls&gt;&lt;/urls&gt;&lt;electronic-resource-num&gt;https://doi.org/10.1016/j.carbon.2023.118473&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(15)</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Jalili 2021</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&lt;EndNote&gt;&lt;Cite&gt;&lt;Author&gt;Jalili&lt;/Author&gt;&lt;Year&gt;2021&lt;/Year&gt;&lt;RecNum&gt;16&lt;/RecNum&gt;&lt;DisplayText&gt;(&lt;style face="italic"&gt;16&lt;/style&gt;)&lt;/DisplayText&gt;&lt;record&gt;&lt;rec-number&gt;16&lt;/rec-number&gt;&lt;foreign-keys&gt;&lt;key app="EN" db-id="xzsfatx5atrs04edaaxvsv2ztfwrrwer0aea" timestamp="1719148479"&gt;16&lt;/key&gt;&lt;/foreign-keys&gt;&lt;ref-type name="Journal Article"&gt;17&lt;/ref-type&gt;&lt;contributors&gt;&lt;authors&gt;&lt;author&gt;Jalili, Ali Rouhollah&lt;/author&gt;&lt;author&gt;Satalov, Alexandra&lt;/author&gt;&lt;author&gt;Nazari, Sahar&lt;/author&gt;&lt;author&gt;Rahmat Suryanto, Bryan Harry&lt;/author&gt;&lt;author&gt;Sun, Jing&lt;/author&gt;&lt;author&gt;Ghasemian, Mohammad Bagher&lt;/author&gt;&lt;author&gt;Mayyas, Mohannad&lt;/author&gt;&lt;author&gt;Kandjani, Ahmad E.&lt;/author&gt;&lt;author&gt;Sabri, Ylias M.&lt;/author&gt;&lt;author&gt;Mayes, Edwin&lt;/author&gt;&lt;author&gt;Bhargava, Suresh K.&lt;/author&gt;&lt;author&gt;Araki, Jun&lt;/author&gt;&lt;author&gt;Zakri, Cécile&lt;/author&gt;&lt;author&gt;Poulin, Philippe&lt;/author&gt;&lt;author&gt;Esrafilzadeh, Dorna&lt;/author&gt;&lt;author&gt;Amal, Rose&lt;/author&gt;&lt;/authors&gt;&lt;/contributors&gt;&lt;titles&gt;&lt;title&gt;Liquid Crystal-Mediated 3D Printing Process to Fabricate Nano-Ordered Layered Structures&lt;/title&gt;&lt;secondary-title&gt;ACS Applied Materials &amp;amp; Interfaces&lt;/secondary-title&gt;&lt;/titles&gt;&lt;periodical&gt;&lt;full-title&gt;ACS Applied Materials &amp;amp; Interfaces&lt;/full-title&gt;&lt;/periodical&gt;&lt;pages&gt;28627-28638&lt;/pages&gt;&lt;volume&gt;13&lt;/volume&gt;&lt;number&gt;24&lt;/number&gt;&lt;dates&gt;&lt;year&gt;2021&lt;/year&gt;&lt;pub-dates&gt;&lt;date&gt;2021/06/23&lt;/date&gt;&lt;/pub-dates&gt;&lt;/dates&gt;&lt;publisher&gt;American Chemical Society&lt;/publisher&gt;&lt;isbn&gt;1944-8244&lt;/isbn&gt;&lt;urls&gt;&lt;related-urls&gt;&lt;url&gt;https://doi.org/10.1021/acsami.1c05025&lt;/url&gt;&lt;/related-urls&gt;&lt;/urls&gt;&lt;electronic-resource-num&gt;10.1021/acsami.1c05025&lt;/electronic-resource-num&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(16)</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Poulin 2016</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&lt;EndNote&gt;&lt;Cite&gt;&lt;Author&gt;Poulin&lt;/Author&gt;&lt;Year&gt;2016&lt;/Year&gt;&lt;RecNum&gt;921&lt;/RecNum&gt;&lt;DisplayText&gt;(&lt;style face="italic"&gt;14&lt;/style&gt;)&lt;/DisplayText&gt;&lt;record&gt;&lt;rec-number&gt;921&lt;/rec-number&gt;&lt;foreign-keys&gt;&lt;key app="EN" db-id="29etr9td3sza0set0w75z0299f5zv29xrxw5" timestamp="1712016480"&gt;921&lt;/key&gt;&lt;/foreign-keys&gt;&lt;ref-type name="Journal Article"&gt;17&lt;/ref-type&gt;&lt;contributors&gt;&lt;authors&gt;&lt;author&gt;Poulin, Philippe&lt;/author&gt;&lt;author&gt;Jalili, Rouhollah&lt;/author&gt;&lt;author&gt;Neri, Wilfrid&lt;/author&gt;&lt;author&gt;Nallet, Frédéric&lt;/author&gt;&lt;author&gt;Divoux, Thibaut&lt;/author&gt;&lt;author&gt;Colin, Annie&lt;/author&gt;&lt;author&gt;Aboutalebi, Seyed Hamed&lt;/author&gt;&lt;author&gt;Wallace, Gordon&lt;/author&gt;&lt;author&gt;Zakri, Cécile&lt;/author&gt;&lt;/authors&gt;&lt;/contributors&gt;&lt;titles&gt;&lt;title&gt;Superflexibility of graphene oxide&lt;/title&gt;&lt;secondary-title&gt;Proceedings of the National Academy of Sciences&lt;/secondary-title&gt;&lt;/titles&gt;&lt;periodical&gt;&lt;full-title&gt;Proceedings of the National Academy of Sciences&lt;/full-title&gt;&lt;/periodical&gt;&lt;pages&gt;11088-11093&lt;/pages&gt;&lt;volume&gt;113&lt;/volume&gt;&lt;number&gt;40&lt;/number&gt;&lt;dates&gt;&lt;year&gt;2016&lt;/year&gt;&lt;/dates&gt;&lt;isbn&gt;0027-8424&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(14)</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Shim 2021</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&lt;EndNote&gt;&lt;Cite&gt;&lt;Author&gt;Shim&lt;/Author&gt;&lt;Year&gt;2021&lt;/Year&gt;&lt;RecNum&gt;17&lt;/RecNum&gt;&lt;DisplayText&gt;(&lt;style face="italic"&gt;17&lt;/style&gt;)&lt;/DisplayText&gt;&lt;record&gt;&lt;rec-number&gt;17&lt;/rec-number&gt;&lt;foreign-keys&gt;&lt;key app="EN" db-id="xzsfatx5atrs04edaaxvsv2ztfwrrwer0aea" timestamp="1719148479"&gt;17&lt;/key&gt;&lt;/foreign-keys&gt;&lt;ref-type name="Journal Article"&gt;17&lt;/ref-type&gt;&lt;contributors&gt;&lt;authors&gt;&lt;author&gt;Shim, Yul Hui&lt;/author&gt;&lt;author&gt;Ahn, Hyungju&lt;/author&gt;&lt;author&gt;Lee, Sangsul&lt;/author&gt;&lt;author&gt;Kim, Sang Ouk&lt;/author&gt;&lt;author&gt;Kim, So Youn&lt;/author&gt;&lt;/authors&gt;&lt;/contributors&gt;&lt;titles&gt;&lt;title&gt;Universal alignment of graphene oxide in suspensions and fibers&lt;/title&gt;&lt;secondary-title&gt;ACS nano&lt;/secondary-title&gt;&lt;/titles&gt;&lt;periodical&gt;&lt;full-title&gt;ACS nano&lt;/full-title&gt;&lt;/periodical&gt;&lt;pages&gt;13453-13462&lt;/pages&gt;&lt;volume&gt;15&lt;/volume&gt;&lt;number&gt;8&lt;/number&gt;&lt;dates&gt;&lt;year&gt;2021&lt;/year&gt;&lt;/dates&gt;&lt;isbn&gt;1936-0851&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(17)</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Xu 2011</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&lt;EndNote&gt;&lt;Cite&gt;&lt;Author&gt;Xu&lt;/Author&gt;&lt;Year&gt;2011&lt;/Year&gt;&lt;RecNum&gt;18&lt;/RecNum&gt;&lt;DisplayText&gt;(&lt;style face="italic"&gt;18&lt;/style&gt;)&lt;/DisplayText&gt;&lt;record&gt;&lt;rec-number&gt;18&lt;/rec-number&gt;&lt;foreign-keys&gt;&lt;key app="EN" db-id="xzsfatx5atrs04edaaxvsv2ztfwrrwer0aea" timestamp="1719148479"&gt;18&lt;/key&gt;&lt;/foreign-keys&gt;&lt;ref-type name="Journal Article"&gt;17&lt;/ref-type&gt;&lt;contributors&gt;&lt;authors&gt;&lt;author&gt;Xu, Zhen&lt;/author&gt;&lt;author&gt;Gao, Chao&lt;/author&gt;&lt;/authors&gt;&lt;/contributors&gt;&lt;titles&gt;&lt;title&gt;Graphene chiral liquid crystals and macroscopic assembled fibres&lt;/title&gt;&lt;secondary-title&gt;Nature communications&lt;/secondary-title&gt;&lt;/titles&gt;&lt;periodical&gt;&lt;full-title&gt;Nature communications&lt;/full-title&gt;&lt;/periodical&gt;&lt;pages&gt;571&lt;/pages&gt;&lt;volume&gt;2&lt;/volume&gt;&lt;number&gt;1&lt;/number&gt;&lt;dates&gt;&lt;year&gt;2011&lt;/year&gt;&lt;/dates&gt;&lt;isbn&gt;2041-1723&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(18)</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Shim 2017</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&lt;EndNote&gt;&lt;Cite&gt;&lt;Author&gt;Shim&lt;/Author&gt;&lt;Year&gt;2017&lt;/Year&gt;&lt;RecNum&gt;19&lt;/RecNum&gt;&lt;DisplayText&gt;(&lt;style face="italic"&gt;19&lt;/style&gt;)&lt;/DisplayText&gt;&lt;record&gt;&lt;rec-number&gt;19&lt;/rec-number&gt;&lt;foreign-keys&gt;&lt;key app="EN" db-id="xzsfatx5atrs04edaaxvsv2ztfwrrwer0aea" timestamp="1719148479"&gt;19&lt;/key&gt;&lt;/foreign-keys&gt;&lt;ref-type name="Journal Article"&gt;17&lt;/ref-type&gt;&lt;contributors&gt;&lt;authors&gt;&lt;author&gt;Shim, Yul Hui&lt;/author&gt;&lt;author&gt;Lee, Kyung Eun&lt;/author&gt;&lt;author&gt;Shin, Tae Joo&lt;/author&gt;&lt;author&gt;Kim, Sang Ouk&lt;/author&gt;&lt;author&gt;Kim, So Youn&lt;/author&gt;&lt;/authors&gt;&lt;/contributors&gt;&lt;titles&gt;&lt;title&gt;Wide concentration liquid crystallinity of graphene oxide aqueous suspensions with interacting polymers&lt;/title&gt;&lt;secondary-title&gt;Materials Horizons&lt;/secondary-title&gt;&lt;/titles&gt;&lt;periodical&gt;&lt;full-title&gt;Materials Horizons&lt;/full-title&gt;&lt;/periodical&gt;&lt;pages&gt;1157-1164&lt;/pages&gt;&lt;volume&gt;4&lt;/volume&gt;&lt;number&gt;6&lt;/number&gt;&lt;dates&gt;&lt;year&gt;2017&lt;/year&gt;&lt;/dates&gt;&lt;urls&gt;&lt;/urls&gt;&lt;/record&gt;&lt;/Cite&gt;&lt;/EndNote&gt;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(19)</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Zakri 2013</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&lt;EndNote&gt;&lt;Cite&gt;&lt;Author&gt;Zakri&lt;/Author&gt;&lt;Year&gt;2013&lt;/Year&gt;&lt;RecNum&gt;20&lt;/RecNum&gt;&lt;DisplayText&gt;(&lt;style face="italic"&gt;20&lt;/style&gt;)&lt;/DisplayText&gt;&lt;record&gt;&lt;rec-number&gt;20&lt;/rec-number&gt;&lt;foreign-keys&gt;&lt;key app="EN" db-id="xzsfatx5atrs04edaaxvsv2ztfwrrwer0aea" timestamp="1719148479"&gt;20&lt;/key&gt;&lt;/foreign-keys&gt;&lt;ref-type name="Journal Article"&gt;17&lt;/ref-type&gt;&lt;contributors&gt;&lt;authors&gt;&lt;author&gt;Zakri, Cécile&lt;/author&gt;&lt;author&gt;Blanc, Christophe&lt;/author&gt;&lt;author&gt;Grelet, Eric&lt;/author&gt;&lt;author&gt;Zamora-Ledezma, Camilo&lt;/author&gt;&lt;author&gt;Puech, Nicolas&lt;/author&gt;&lt;author&gt;Anglaret, Eric&lt;/author&gt;&lt;author&gt;Poulin, Philippe&lt;/author&gt;&lt;/authors&gt;&lt;/contributors&gt;&lt;titles&gt;&lt;title&gt;Liquid crystals of carbon nanotubes and graphene&lt;/title&gt;&lt;secondary-title&gt;Philosophical Transactions of the Royal Society A: Mathematical, Physical and Engineering Sciences&lt;/secondary-title&gt;&lt;/titles&gt;&lt;periodical&gt;&lt;full-title&gt;Philosophical Transactions of the Royal Society A: Mathematical, Physical and Engineering Sciences&lt;/full-title&gt;&lt;/periodical&gt;&lt;pages&gt;20120499&lt;/pages&gt;&lt;volume&gt;371&lt;/volume&gt;&lt;number&gt;1988&lt;/number&gt;&lt;dates&gt;&lt;year&gt;2013&lt;/year&gt;&lt;/dates&gt;&lt;isbn&gt;1364-503X&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(20)</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Leite Rubim 2018</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&lt;EndNote&gt;&lt;Cite&gt;&lt;Author&gt;Leite Rubim&lt;/Author&gt;&lt;Year&gt;2018&lt;/Year&gt;&lt;RecNum&gt;981&lt;/RecNum&gt;&lt;DisplayText&gt;(&lt;style face="italic"&gt;21&lt;/style&gt;)&lt;/DisplayText&gt;&lt;record&gt;&lt;rec-number&gt;981&lt;/rec-number&gt;&lt;foreign-keys&gt;&lt;key app="EN" db-id="29etr9td3sza0set0w75z0299f5zv29xrxw5" timestamp="1719004620"&gt;981&lt;/key&gt;&lt;/foreign-keys&gt;&lt;ref-type name="Journal Article"&gt;17&lt;/ref-type&gt;&lt;contributors&gt;&lt;authors&gt;&lt;author&gt;Leite Rubim, Rafael&lt;/author&gt;&lt;author&gt;Abrantes Barros, Margarida&lt;/author&gt;&lt;author&gt;Missegue, Thomas&lt;/author&gt;&lt;author&gt;Bougis, Kévin&lt;/author&gt;&lt;author&gt;Navailles, Laurence&lt;/author&gt;&lt;author&gt;Nallet, Frédéric&lt;/author&gt;&lt;/authors&gt;&lt;/contributors&gt;&lt;titles&gt;&lt;title&gt;Highly confined stacks of graphene oxide sheets in water&lt;/title&gt;&lt;secondary-title&gt;The European Physical Journal E&lt;/secondary-title&gt;&lt;/titles&gt;&lt;periodical&gt;&lt;full-title&gt;The European Physical Journal E&lt;/full-title&gt;&lt;/periodical&gt;&lt;pages&gt;1-10&lt;/pages&gt;&lt;volume&gt;41&lt;/volume&gt;&lt;dates&gt;&lt;year&gt;2018&lt;/year&gt;&lt;/dates&gt;&lt;isbn&gt;1292-8941&lt;/isbn&gt;&lt;urls&gt;&lt;/urls&gt;&lt;/record&gt;&lt;/Cite&gt;&lt;/EndNote&gt;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(21)</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Li 2014</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&lt;EndNote&gt;&lt;Cite&gt;&lt;Author&gt;Li&lt;/Author&gt;&lt;Year&gt;2014&lt;/Year&gt;&lt;RecNum&gt;917&lt;/RecNum&gt;&lt;DisplayText&gt;(&lt;style face="italic"&gt;22&lt;/style&gt;)&lt;/DisplayText&gt;&lt;record&gt;&lt;rec-number&gt;917&lt;/rec-number&gt;&lt;foreign-keys&gt;&lt;key app="EN" db-id="29etr9td3sza0set0w75z0299f5zv29xrxw5" timestamp="1712016068"&gt;917&lt;/key&gt;&lt;/foreign-keys&gt;&lt;ref-type name="Journal Article"&gt;17&lt;/ref-type&gt;&lt;contributors&gt;&lt;authors&gt;&lt;author&gt;Li, Peng&lt;/author&gt;&lt;author&gt;Wong, Minhao&lt;/author&gt;&lt;author&gt;Zhang, Xi&lt;/author&gt;&lt;author&gt;Yao, Haiqing&lt;/author&gt;&lt;author&gt;Ishige, Ryohei&lt;/author&gt;&lt;author&gt;Takahara, Atsushi&lt;/author&gt;&lt;author&gt;Miyamoto, Masahiro&lt;/author&gt;&lt;author&gt;Nishimura, Riichi&lt;/author&gt;&lt;author&gt;Sue, Hung-Jue&lt;/author&gt;&lt;/authors&gt;&lt;/contributors&gt;&lt;titles&gt;&lt;title&gt;Tunable lyotropic photonic liquid crystal based on graphene oxide&lt;/title&gt;&lt;secondary-title&gt;ACS photonics&lt;/secondary-title&gt;&lt;/titles&gt;&lt;periodical&gt;&lt;full-title&gt;ACS photonics&lt;/full-title&gt;&lt;/periodical&gt;&lt;pages&gt;79-86&lt;/pages&gt;&lt;volume&gt;1&lt;/volume&gt;&lt;number&gt;1&lt;/number&gt;&lt;dates&gt;&lt;year&gt;2014&lt;/year&gt;&lt;/dates&gt;&lt;isbn&gt;2330-4022&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(22)</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w:t>
      </w:r>
    </w:p>
    <w:p w14:paraId="597B52DF" w14:textId="77777777" w:rsidR="009C4C93" w:rsidRPr="009C4C93" w:rsidRDefault="009C4C93" w:rsidP="009C4C93">
      <w:pPr>
        <w:jc w:val="both"/>
        <w:rPr>
          <w:rFonts w:asciiTheme="majorBidi" w:eastAsiaTheme="minorEastAsia" w:hAnsiTheme="majorBidi" w:cstheme="majorBidi"/>
          <w:szCs w:val="24"/>
        </w:rPr>
      </w:pPr>
    </w:p>
    <w:p w14:paraId="6B272421" w14:textId="77777777" w:rsidR="009C4C93" w:rsidRPr="009C4C93" w:rsidRDefault="009C4C93" w:rsidP="009C4C93">
      <w:pPr>
        <w:jc w:val="both"/>
        <w:rPr>
          <w:rFonts w:asciiTheme="majorBidi" w:eastAsiaTheme="minorEastAsia" w:hAnsiTheme="majorBidi" w:cstheme="majorBidi"/>
          <w:b/>
          <w:bCs/>
          <w:szCs w:val="24"/>
        </w:rPr>
      </w:pPr>
      <w:r w:rsidRPr="009C4C93">
        <w:rPr>
          <w:rFonts w:asciiTheme="majorBidi" w:eastAsiaTheme="minorEastAsia" w:hAnsiTheme="majorBidi" w:cstheme="majorBidi"/>
          <w:b/>
          <w:bCs/>
          <w:szCs w:val="24"/>
        </w:rPr>
        <w:t>S5. Approximation of specific surface area of GO:</w:t>
      </w:r>
    </w:p>
    <w:p w14:paraId="57A1EE23" w14:textId="77777777"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The specific surface area of graphene oxide (GO) is influenced by its chemical composition and density. However, due to the amorphous and dynamic nature of GO, neither of these factors is precisely defined. For the purpose of our analysis, we assume that the empirical formula for GO is C₅O₂ (ignoring hydrogen and sulfur). Additionally, we adopt a dehydrated GO thickness of 6.5Å.</w:t>
      </w:r>
      <w:r w:rsidRPr="009C4C93">
        <w:rPr>
          <w:rFonts w:asciiTheme="majorBidi" w:eastAsiaTheme="minorEastAsia" w:hAnsiTheme="majorBidi" w:cstheme="majorBidi"/>
          <w:szCs w:val="24"/>
        </w:rPr>
        <w:fldChar w:fldCharType="begin"/>
      </w:r>
      <w:r w:rsidRPr="009C4C93">
        <w:rPr>
          <w:rFonts w:asciiTheme="majorBidi" w:eastAsiaTheme="minorEastAsia" w:hAnsiTheme="majorBidi" w:cstheme="majorBidi"/>
          <w:szCs w:val="24"/>
        </w:rPr>
        <w:instrText xml:space="preserve"> ADDIN EN.CITE &lt;EndNote&gt;&lt;Cite&gt;&lt;Author&gt;Iakunkov&lt;/Author&gt;&lt;Year&gt;2020&lt;/Year&gt;&lt;RecNum&gt;911&lt;/RecNum&gt;&lt;DisplayText&gt;(&lt;style face="italic"&gt;23&lt;/style&gt;)&lt;/DisplayText&gt;&lt;record&gt;&lt;rec-number&gt;911&lt;/rec-number&gt;&lt;foreign-keys&gt;&lt;key app="EN" db-id="29etr9td3sza0set0w75z0299f5zv29xrxw5" timestamp="1712013800"&gt;911&lt;/key&gt;&lt;/foreign-keys&gt;&lt;ref-type name="Journal Article"&gt;17&lt;/ref-type&gt;&lt;contributors&gt;&lt;authors&gt;&lt;author&gt;Iakunkov, Artem&lt;/author&gt;&lt;author&gt;Talyzin, Alexandr V&lt;/author&gt;&lt;/authors&gt;&lt;/contributors&gt;&lt;titles&gt;&lt;title&gt;Swelling properties of graphite oxides and graphene oxide multilayered materials&lt;/title&gt;&lt;secondary-title&gt;Nanoscale&lt;/secondary-title&gt;&lt;/titles&gt;&lt;periodical&gt;&lt;full-title&gt;Nanoscale&lt;/full-title&gt;&lt;/periodical&gt;&lt;pages&gt;21060-21093&lt;/pages&gt;&lt;volume&gt;12&lt;/volume&gt;&lt;number&gt;41&lt;/number&gt;&lt;dates&gt;&lt;year&gt;2020&lt;/year&gt;&lt;/dates&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(23)</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If we consider graphite oxide as a ‘swollen’ form of graphite primarily in the C-direction, then the density of graphite oxide can be estimated:</w:t>
      </w:r>
    </w:p>
    <w:p w14:paraId="7A39A122" w14:textId="4AA0CDDD"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 xml:space="preserve"> </w:t>
      </w: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ρ</m:t>
            </m:r>
          </m:e>
          <m:sub>
            <m:r>
              <m:rPr>
                <m:sty m:val="p"/>
              </m:rPr>
              <w:rPr>
                <w:rFonts w:ascii="Cambria Math" w:eastAsiaTheme="minorEastAsia" w:hAnsi="Cambria Math" w:cstheme="majorBidi"/>
                <w:szCs w:val="24"/>
              </w:rPr>
              <m:t>GO</m:t>
            </m:r>
          </m:sub>
        </m:sSub>
        <m:r>
          <m:rPr>
            <m:sty m:val="p"/>
          </m:rPr>
          <w:rPr>
            <w:rFonts w:ascii="Cambria Math" w:eastAsiaTheme="minorEastAsia" w:hAnsi="Cambria Math" w:cstheme="majorBidi"/>
            <w:szCs w:val="24"/>
          </w:rPr>
          <m:t>=</m:t>
        </m:r>
        <m:f>
          <m:fPr>
            <m:ctrlPr>
              <w:rPr>
                <w:rFonts w:ascii="Cambria Math" w:eastAsiaTheme="minorEastAsia" w:hAnsi="Cambria Math" w:cstheme="majorBidi"/>
                <w:szCs w:val="24"/>
              </w:rPr>
            </m:ctrlPr>
          </m:fPr>
          <m:num>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m</m:t>
                </m:r>
              </m:e>
              <m:sub>
                <m:r>
                  <m:rPr>
                    <m:sty m:val="p"/>
                  </m:rPr>
                  <w:rPr>
                    <w:rFonts w:ascii="Cambria Math" w:eastAsiaTheme="minorEastAsia" w:hAnsi="Cambria Math" w:cstheme="majorBidi"/>
                    <w:szCs w:val="24"/>
                  </w:rPr>
                  <m:t>GO</m:t>
                </m:r>
              </m:sub>
            </m:sSub>
          </m:num>
          <m:den>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m</m:t>
                </m:r>
              </m:e>
              <m:sub>
                <m:r>
                  <m:rPr>
                    <m:sty m:val="p"/>
                  </m:rPr>
                  <w:rPr>
                    <w:rFonts w:ascii="Cambria Math" w:eastAsiaTheme="minorEastAsia" w:hAnsi="Cambria Math" w:cstheme="majorBidi"/>
                    <w:szCs w:val="24"/>
                  </w:rPr>
                  <m:t>graphite</m:t>
                </m:r>
              </m:sub>
            </m:sSub>
          </m:den>
        </m:f>
        <m:f>
          <m:fPr>
            <m:ctrlPr>
              <w:rPr>
                <w:rFonts w:ascii="Cambria Math" w:eastAsiaTheme="minorEastAsia" w:hAnsi="Cambria Math" w:cstheme="majorBidi"/>
                <w:szCs w:val="24"/>
              </w:rPr>
            </m:ctrlPr>
          </m:fPr>
          <m:num>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d</m:t>
                </m:r>
              </m:e>
              <m:sub>
                <m:r>
                  <m:rPr>
                    <m:sty m:val="p"/>
                  </m:rPr>
                  <w:rPr>
                    <w:rFonts w:ascii="Cambria Math" w:eastAsiaTheme="minorEastAsia" w:hAnsi="Cambria Math" w:cstheme="majorBidi"/>
                    <w:szCs w:val="24"/>
                  </w:rPr>
                  <m:t>graphite</m:t>
                </m:r>
              </m:sub>
            </m:sSub>
          </m:num>
          <m:den>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d</m:t>
                </m:r>
              </m:e>
              <m:sub>
                <m:r>
                  <m:rPr>
                    <m:sty m:val="p"/>
                  </m:rPr>
                  <w:rPr>
                    <w:rFonts w:ascii="Cambria Math" w:eastAsiaTheme="minorEastAsia" w:hAnsi="Cambria Math" w:cstheme="majorBidi"/>
                    <w:szCs w:val="24"/>
                  </w:rPr>
                  <m:t>GO</m:t>
                </m:r>
              </m:sub>
            </m:sSub>
          </m:den>
        </m:f>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ρ</m:t>
            </m:r>
          </m:e>
          <m:sub>
            <m:r>
              <m:rPr>
                <m:sty m:val="p"/>
              </m:rPr>
              <w:rPr>
                <w:rFonts w:ascii="Cambria Math" w:eastAsiaTheme="minorEastAsia" w:hAnsi="Cambria Math" w:cstheme="majorBidi"/>
                <w:szCs w:val="24"/>
              </w:rPr>
              <m:t>graphite</m:t>
            </m:r>
          </m:sub>
        </m:sSub>
      </m:oMath>
      <w:r w:rsidRPr="009C4C93">
        <w:rPr>
          <w:rFonts w:asciiTheme="majorBidi" w:eastAsiaTheme="minorEastAsia" w:hAnsiTheme="majorBidi" w:cstheme="majorBidi"/>
          <w:szCs w:val="24"/>
        </w:rPr>
        <w:t xml:space="preserve"> </w:t>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r>
      <w:r w:rsidRPr="009C4C93">
        <w:rPr>
          <w:rFonts w:asciiTheme="majorBidi" w:eastAsiaTheme="minorEastAsia" w:hAnsiTheme="majorBidi" w:cstheme="majorBidi"/>
          <w:szCs w:val="24"/>
        </w:rPr>
        <w:tab/>
        <w:t>(S14)</w:t>
      </w:r>
    </w:p>
    <w:p w14:paraId="0FE78F30" w14:textId="53B1391C" w:rsidR="009C4C93" w:rsidRPr="009C4C93" w:rsidRDefault="009C4C93" w:rsidP="009C4C93">
      <w:pPr>
        <w:jc w:val="both"/>
        <w:rPr>
          <w:rFonts w:asciiTheme="majorBidi" w:eastAsiaTheme="minorEastAsia" w:hAnsiTheme="majorBidi" w:cstheme="majorBidi"/>
          <w:szCs w:val="24"/>
        </w:rPr>
      </w:pPr>
      <w:r w:rsidRPr="009C4C93">
        <w:rPr>
          <w:rFonts w:asciiTheme="majorBidi" w:eastAsiaTheme="minorEastAsia" w:hAnsiTheme="majorBidi" w:cstheme="majorBidi"/>
          <w:szCs w:val="24"/>
        </w:rPr>
        <w:t>The density of graphite is 2.26 g·cm</w:t>
      </w:r>
      <w:r w:rsidRPr="009C4C93">
        <w:rPr>
          <w:rFonts w:asciiTheme="majorBidi" w:eastAsiaTheme="minorEastAsia" w:hAnsiTheme="majorBidi" w:cstheme="majorBidi"/>
          <w:szCs w:val="24"/>
          <w:vertAlign w:val="superscript"/>
        </w:rPr>
        <w:t>-3</w:t>
      </w:r>
      <w:r w:rsidRPr="009C4C93">
        <w:rPr>
          <w:rFonts w:asciiTheme="majorBidi" w:eastAsiaTheme="minorEastAsia" w:hAnsiTheme="majorBidi" w:cstheme="majorBidi"/>
          <w:szCs w:val="24"/>
        </w:rPr>
        <w:t xml:space="preserve"> and its d-spacing is 3.36 Å, respectively.</w:t>
      </w:r>
      <w:r w:rsidRPr="009C4C93">
        <w:rPr>
          <w:rFonts w:asciiTheme="majorBidi" w:eastAsiaTheme="minorEastAsia" w:hAnsiTheme="majorBidi" w:cstheme="majorBidi"/>
          <w:szCs w:val="24"/>
        </w:rPr>
        <w:fldChar w:fldCharType="begin"/>
      </w:r>
      <w:r>
        <w:rPr>
          <w:rFonts w:asciiTheme="majorBidi" w:eastAsiaTheme="minorEastAsia" w:hAnsiTheme="majorBidi" w:cstheme="majorBidi"/>
          <w:szCs w:val="24"/>
        </w:rPr>
        <w:instrText xml:space="preserve"> ADDIN EN.CITE &lt;EndNote&gt;&lt;Cite&gt;&lt;Author&gt;Moazzami Gudarzi&lt;/Author&gt;&lt;Year&gt;2022&lt;/Year&gt;&lt;RecNum&gt;24&lt;/RecNum&gt;&lt;DisplayText&gt;(&lt;style face="italic"&gt;24&lt;/style&gt;)&lt;/DisplayText&gt;&lt;record&gt;&lt;rec-number&gt;24&lt;/rec-number&gt;&lt;foreign-keys&gt;&lt;key app="EN" db-id="xzsfatx5atrs04edaaxvsv2ztfwrrwer0aea" timestamp="1719148479"&gt;24&lt;/key&gt;&lt;/foreign-keys&gt;&lt;ref-type name="Journal Article"&gt;17&lt;/ref-type&gt;&lt;contributors&gt;&lt;authors&gt;&lt;author&gt;Moazzami Gudarzi, Mohsen&lt;/author&gt;&lt;author&gt;Aboutalebi, Seyed Hamed&lt;/author&gt;&lt;/authors&gt;&lt;/contributors&gt;&lt;titles&gt;&lt;title&gt;Mapping the Binding Energy of Layered Crystals to Macroscopic Observables&lt;/title&gt;&lt;secondary-title&gt;Advanced Science&lt;/secondary-title&gt;&lt;/titles&gt;&lt;periodical&gt;&lt;full-title&gt;Advanced Science&lt;/full-title&gt;&lt;/periodical&gt;&lt;pages&gt;2204001&lt;/pages&gt;&lt;volume&gt;9&lt;/volume&gt;&lt;number&gt;33&lt;/number&gt;&lt;dates&gt;&lt;year&gt;2022&lt;/year&gt;&lt;/dates&gt;&lt;isbn&gt;2198-3844&lt;/isbn&gt;&lt;urls&gt;&lt;/urls&gt;&lt;/record&gt;&lt;/Cite&gt;&lt;/EndNote&gt;</w:instrText>
      </w:r>
      <w:r w:rsidRPr="009C4C93">
        <w:rPr>
          <w:rFonts w:asciiTheme="majorBidi" w:eastAsiaTheme="minorEastAsia" w:hAnsiTheme="majorBidi" w:cstheme="majorBidi"/>
          <w:szCs w:val="24"/>
        </w:rPr>
        <w:fldChar w:fldCharType="separate"/>
      </w:r>
      <w:r w:rsidRPr="009C4C93">
        <w:rPr>
          <w:rFonts w:asciiTheme="majorBidi" w:eastAsiaTheme="minorEastAsia" w:hAnsiTheme="majorBidi" w:cstheme="majorBidi"/>
          <w:noProof/>
          <w:szCs w:val="24"/>
        </w:rPr>
        <w:t>(24)</w:t>
      </w:r>
      <w:r w:rsidRPr="009C4C93">
        <w:rPr>
          <w:rFonts w:asciiTheme="majorBidi" w:eastAsiaTheme="minorEastAsia" w:hAnsiTheme="majorBidi" w:cstheme="majorBidi"/>
          <w:szCs w:val="24"/>
        </w:rPr>
        <w:fldChar w:fldCharType="end"/>
      </w:r>
      <w:r w:rsidRPr="009C4C93">
        <w:rPr>
          <w:rFonts w:asciiTheme="majorBidi" w:eastAsiaTheme="minorEastAsia" w:hAnsiTheme="majorBidi" w:cstheme="majorBidi"/>
          <w:szCs w:val="24"/>
        </w:rPr>
        <w:t xml:space="preserve"> Therefore, </w:t>
      </w:r>
      <m:oMath>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ρ</m:t>
            </m:r>
          </m:e>
          <m:sub>
            <m:r>
              <m:rPr>
                <m:sty m:val="p"/>
              </m:rPr>
              <w:rPr>
                <w:rFonts w:ascii="Cambria Math" w:eastAsiaTheme="minorEastAsia" w:hAnsi="Cambria Math" w:cstheme="majorBidi"/>
                <w:szCs w:val="24"/>
              </w:rPr>
              <m:t>GO</m:t>
            </m:r>
          </m:sub>
        </m:sSub>
      </m:oMath>
      <w:r w:rsidRPr="009C4C93">
        <w:rPr>
          <w:rFonts w:asciiTheme="majorBidi" w:eastAsiaTheme="minorEastAsia" w:hAnsiTheme="majorBidi" w:cstheme="majorBidi"/>
          <w:szCs w:val="24"/>
        </w:rPr>
        <w:t xml:space="preserve"> can be calculated to be approximately around 1.8 g·cm</w:t>
      </w:r>
      <w:r w:rsidRPr="009C4C93">
        <w:rPr>
          <w:rFonts w:asciiTheme="majorBidi" w:eastAsiaTheme="minorEastAsia" w:hAnsiTheme="majorBidi" w:cstheme="majorBidi"/>
          <w:szCs w:val="24"/>
          <w:vertAlign w:val="superscript"/>
        </w:rPr>
        <w:t>-3</w:t>
      </w:r>
      <w:r w:rsidRPr="009C4C93">
        <w:rPr>
          <w:rFonts w:asciiTheme="majorBidi" w:eastAsiaTheme="minorEastAsia" w:hAnsiTheme="majorBidi" w:cstheme="majorBidi"/>
          <w:szCs w:val="24"/>
        </w:rPr>
        <w:t xml:space="preserve">. Therefore, the specific surface area of GO is </w:t>
      </w:r>
      <m:oMath>
        <m:f>
          <m:fPr>
            <m:ctrlPr>
              <w:rPr>
                <w:rFonts w:ascii="Cambria Math" w:eastAsiaTheme="minorEastAsia" w:hAnsi="Cambria Math" w:cstheme="majorBidi"/>
                <w:szCs w:val="24"/>
              </w:rPr>
            </m:ctrlPr>
          </m:fPr>
          <m:num>
            <m:r>
              <m:rPr>
                <m:sty m:val="p"/>
              </m:rPr>
              <w:rPr>
                <w:rFonts w:ascii="Cambria Math" w:eastAsiaTheme="minorEastAsia" w:hAnsi="Cambria Math" w:cstheme="majorBidi"/>
                <w:szCs w:val="24"/>
              </w:rPr>
              <m:t>2</m:t>
            </m:r>
          </m:num>
          <m:den>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d</m:t>
                </m:r>
              </m:e>
              <m:sub>
                <m:r>
                  <m:rPr>
                    <m:sty m:val="p"/>
                  </m:rPr>
                  <w:rPr>
                    <w:rFonts w:ascii="Cambria Math" w:eastAsiaTheme="minorEastAsia" w:hAnsi="Cambria Math" w:cstheme="majorBidi"/>
                    <w:szCs w:val="24"/>
                  </w:rPr>
                  <m:t>GO</m:t>
                </m:r>
              </m:sub>
            </m:sSub>
            <m:r>
              <m:rPr>
                <m:sty m:val="p"/>
              </m:rPr>
              <w:rPr>
                <w:rFonts w:ascii="Cambria Math" w:eastAsiaTheme="minorEastAsia" w:hAnsi="Cambria Math" w:cstheme="majorBidi"/>
                <w:szCs w:val="24"/>
              </w:rPr>
              <m:t>∙</m:t>
            </m:r>
            <m:sSub>
              <m:sSubPr>
                <m:ctrlPr>
                  <w:rPr>
                    <w:rFonts w:ascii="Cambria Math" w:eastAsiaTheme="minorEastAsia" w:hAnsi="Cambria Math" w:cstheme="majorBidi"/>
                    <w:szCs w:val="24"/>
                  </w:rPr>
                </m:ctrlPr>
              </m:sSubPr>
              <m:e>
                <m:r>
                  <m:rPr>
                    <m:sty m:val="p"/>
                  </m:rPr>
                  <w:rPr>
                    <w:rFonts w:ascii="Cambria Math" w:eastAsiaTheme="minorEastAsia" w:hAnsi="Cambria Math" w:cstheme="majorBidi"/>
                    <w:szCs w:val="24"/>
                  </w:rPr>
                  <m:t>ρ</m:t>
                </m:r>
              </m:e>
              <m:sub>
                <m:r>
                  <m:rPr>
                    <m:sty m:val="p"/>
                  </m:rPr>
                  <w:rPr>
                    <w:rFonts w:ascii="Cambria Math" w:eastAsiaTheme="minorEastAsia" w:hAnsi="Cambria Math" w:cstheme="majorBidi"/>
                    <w:szCs w:val="24"/>
                  </w:rPr>
                  <m:t>GO</m:t>
                </m:r>
              </m:sub>
            </m:sSub>
          </m:den>
        </m:f>
        <m:r>
          <m:rPr>
            <m:sty m:val="p"/>
          </m:rPr>
          <w:rPr>
            <w:rFonts w:ascii="Cambria Math" w:eastAsiaTheme="minorEastAsia" w:hAnsi="Cambria Math" w:cstheme="majorBidi"/>
            <w:szCs w:val="24"/>
          </w:rPr>
          <m:t>≈1700</m:t>
        </m:r>
      </m:oMath>
      <w:r w:rsidRPr="009C4C93">
        <w:rPr>
          <w:rFonts w:asciiTheme="majorBidi" w:eastAsiaTheme="minorEastAsia" w:hAnsiTheme="majorBidi" w:cstheme="majorBidi"/>
          <w:szCs w:val="24"/>
        </w:rPr>
        <w:t xml:space="preserve"> m</w:t>
      </w:r>
      <w:r w:rsidRPr="009C4C93">
        <w:rPr>
          <w:rFonts w:asciiTheme="majorBidi" w:eastAsiaTheme="minorEastAsia" w:hAnsiTheme="majorBidi" w:cstheme="majorBidi"/>
          <w:szCs w:val="24"/>
          <w:vertAlign w:val="superscript"/>
        </w:rPr>
        <w:t>2</w:t>
      </w:r>
      <w:r w:rsidRPr="009C4C93">
        <w:rPr>
          <w:rFonts w:asciiTheme="majorBidi" w:eastAsiaTheme="minorEastAsia" w:hAnsiTheme="majorBidi" w:cstheme="majorBidi"/>
          <w:szCs w:val="24"/>
        </w:rPr>
        <w:t>·g</w:t>
      </w:r>
      <w:r w:rsidRPr="009C4C93">
        <w:rPr>
          <w:rFonts w:asciiTheme="majorBidi" w:eastAsiaTheme="minorEastAsia" w:hAnsiTheme="majorBidi" w:cstheme="majorBidi"/>
          <w:szCs w:val="24"/>
          <w:vertAlign w:val="superscript"/>
        </w:rPr>
        <w:t>-1</w:t>
      </w:r>
      <w:r w:rsidRPr="009C4C93">
        <w:rPr>
          <w:rFonts w:asciiTheme="majorBidi" w:eastAsiaTheme="minorEastAsia" w:hAnsiTheme="majorBidi" w:cstheme="majorBidi"/>
          <w:szCs w:val="24"/>
        </w:rPr>
        <w:t xml:space="preserve">. </w:t>
      </w:r>
    </w:p>
    <w:p w14:paraId="416CE567" w14:textId="77777777" w:rsidR="009C4C93" w:rsidRPr="009C4C93" w:rsidRDefault="009C4C93" w:rsidP="009C4C93">
      <w:pPr>
        <w:jc w:val="both"/>
        <w:rPr>
          <w:rFonts w:asciiTheme="majorBidi" w:eastAsiaTheme="minorEastAsia" w:hAnsiTheme="majorBidi" w:cstheme="majorBidi"/>
          <w:szCs w:val="24"/>
        </w:rPr>
      </w:pPr>
    </w:p>
    <w:p w14:paraId="35BDC507" w14:textId="77777777" w:rsidR="009C4C93" w:rsidRDefault="009C4C93" w:rsidP="009C4C93">
      <w:pPr>
        <w:jc w:val="both"/>
        <w:rPr>
          <w:rFonts w:asciiTheme="majorBidi" w:hAnsiTheme="majorBidi" w:cstheme="majorBidi"/>
          <w:b/>
          <w:szCs w:val="24"/>
        </w:rPr>
      </w:pPr>
      <w:r>
        <w:rPr>
          <w:rFonts w:asciiTheme="majorBidi" w:hAnsiTheme="majorBidi" w:cstheme="majorBidi"/>
          <w:b/>
          <w:szCs w:val="24"/>
        </w:rPr>
        <w:br w:type="page"/>
      </w:r>
    </w:p>
    <w:p w14:paraId="09A96668" w14:textId="7C1466EE" w:rsidR="009C4C93" w:rsidRPr="009C4C93" w:rsidRDefault="009C4C93" w:rsidP="009C4C93">
      <w:pPr>
        <w:jc w:val="both"/>
        <w:rPr>
          <w:rFonts w:asciiTheme="majorBidi" w:hAnsiTheme="majorBidi" w:cstheme="majorBidi"/>
          <w:szCs w:val="24"/>
        </w:rPr>
      </w:pPr>
      <w:r w:rsidRPr="009C4C93">
        <w:rPr>
          <w:rFonts w:asciiTheme="majorBidi" w:hAnsiTheme="majorBidi" w:cstheme="majorBidi"/>
          <w:b/>
          <w:szCs w:val="24"/>
        </w:rPr>
        <w:lastRenderedPageBreak/>
        <w:t>Table S2.</w:t>
      </w:r>
      <w:r w:rsidRPr="003E55F1">
        <w:rPr>
          <w:rFonts w:asciiTheme="majorBidi" w:hAnsiTheme="majorBidi" w:cstheme="majorBidi"/>
          <w:b/>
          <w:bCs/>
          <w:szCs w:val="24"/>
        </w:rPr>
        <w:t xml:space="preserve"> List of papers where zeta potential data of GO are extracted from. </w:t>
      </w:r>
      <w:r w:rsidRPr="009C4C93">
        <w:rPr>
          <w:rFonts w:asciiTheme="majorBidi" w:hAnsiTheme="majorBidi" w:cstheme="majorBidi"/>
          <w:szCs w:val="24"/>
        </w:rPr>
        <w:t xml:space="preserve">Note that if electrophoretic mobility values were reported, we converted them to zeta potential using Smoluchowski equation. </w:t>
      </w:r>
    </w:p>
    <w:tbl>
      <w:tblPr>
        <w:tblStyle w:val="TableGrid"/>
        <w:tblW w:w="9067" w:type="dxa"/>
        <w:tblLook w:val="04A0" w:firstRow="1" w:lastRow="0" w:firstColumn="1" w:lastColumn="0" w:noHBand="0" w:noVBand="1"/>
      </w:tblPr>
      <w:tblGrid>
        <w:gridCol w:w="1271"/>
        <w:gridCol w:w="7796"/>
      </w:tblGrid>
      <w:tr w:rsidR="009C4C93" w:rsidRPr="009C4C93" w14:paraId="60672928" w14:textId="77777777" w:rsidTr="000F2AFE">
        <w:trPr>
          <w:trHeight w:val="510"/>
        </w:trPr>
        <w:tc>
          <w:tcPr>
            <w:tcW w:w="1271" w:type="dxa"/>
          </w:tcPr>
          <w:p w14:paraId="42CA49EB"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 xml:space="preserve">Ref. </w:t>
            </w:r>
          </w:p>
        </w:tc>
        <w:tc>
          <w:tcPr>
            <w:tcW w:w="7796" w:type="dxa"/>
          </w:tcPr>
          <w:p w14:paraId="6582A7AB" w14:textId="77777777" w:rsidR="009C4C93" w:rsidRPr="009C4C93" w:rsidRDefault="009C4C93" w:rsidP="000F2AFE">
            <w:pPr>
              <w:jc w:val="center"/>
              <w:rPr>
                <w:rFonts w:asciiTheme="majorBidi" w:eastAsia="Times New Roman" w:hAnsiTheme="majorBidi" w:cstheme="majorBidi"/>
                <w:bCs/>
                <w:color w:val="212121"/>
                <w:szCs w:val="24"/>
                <w:lang w:eastAsia="en-GB"/>
              </w:rPr>
            </w:pPr>
            <w:r w:rsidRPr="009C4C93">
              <w:rPr>
                <w:rFonts w:asciiTheme="majorBidi" w:eastAsia="Times New Roman" w:hAnsiTheme="majorBidi" w:cstheme="majorBidi"/>
                <w:bCs/>
                <w:color w:val="212121"/>
                <w:szCs w:val="24"/>
                <w:lang w:eastAsia="en-GB"/>
              </w:rPr>
              <w:t>Title</w:t>
            </w:r>
          </w:p>
        </w:tc>
      </w:tr>
      <w:tr w:rsidR="009C4C93" w:rsidRPr="009C4C93" w14:paraId="0484AFD7" w14:textId="77777777" w:rsidTr="000F2AFE">
        <w:trPr>
          <w:trHeight w:val="510"/>
        </w:trPr>
        <w:tc>
          <w:tcPr>
            <w:tcW w:w="1271" w:type="dxa"/>
          </w:tcPr>
          <w:p w14:paraId="70A2BBCB" w14:textId="7A246CDD"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fldData xml:space="preserve">PEVuZE5vdGU+PENpdGU+PEF1dGhvcj5TaGVuZzwvQXV0aG9yPjxZZWFyPjIwMTg8L1llYXI+PFJl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</w:fldData>
              </w:fldChar>
            </w:r>
            <w:r>
              <w:rPr>
                <w:rFonts w:asciiTheme="majorBidi" w:eastAsia="Times New Roman" w:hAnsiTheme="majorBidi" w:cstheme="majorBidi"/>
                <w:bCs/>
                <w:color w:val="000000"/>
                <w:szCs w:val="24"/>
                <w:lang w:eastAsia="en-GB"/>
              </w:rPr>
              <w:instrText xml:space="preserve"> ADDIN EN.CITE </w:instrText>
            </w:r>
            <w:r>
              <w:rPr>
                <w:rFonts w:asciiTheme="majorBidi" w:hAnsiTheme="majorBidi" w:cstheme="majorBidi"/>
                <w:bCs/>
                <w:color w:val="000000"/>
                <w:szCs w:val="24"/>
                <w:lang w:eastAsia="en-GB"/>
              </w:rPr>
              <w:fldChar w:fldCharType="begin">
                <w:fldData xml:space="preserve">PEVuZE5vdGU+PENpdGU+PEF1dGhvcj5TaGVuZzwvQXV0aG9yPjxZZWFyPjIwMTg8L1llYXI+PFJl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</w:fldData>
              </w:fldChar>
            </w:r>
            <w:r>
              <w:rPr>
                <w:rFonts w:asciiTheme="majorBidi" w:eastAsia="Times New Roman" w:hAnsiTheme="majorBidi" w:cstheme="majorBidi"/>
                <w:bCs/>
                <w:color w:val="000000"/>
                <w:szCs w:val="24"/>
                <w:lang w:eastAsia="en-GB"/>
              </w:rPr>
              <w:instrText xml:space="preserve"> ADDIN EN.CITE.DATA </w:instrText>
            </w:r>
            <w:r>
              <w:rPr>
                <w:rFonts w:asciiTheme="majorBidi" w:hAnsiTheme="majorBidi" w:cstheme="majorBidi"/>
                <w:bCs/>
                <w:color w:val="000000"/>
                <w:szCs w:val="24"/>
                <w:lang w:eastAsia="en-GB"/>
              </w:rPr>
            </w:r>
            <w:r>
              <w:rPr>
                <w:rFonts w:asciiTheme="majorBidi" w:hAnsiTheme="majorBidi" w:cstheme="majorBidi"/>
                <w:bCs/>
                <w:color w:val="000000"/>
                <w:szCs w:val="24"/>
                <w:lang w:eastAsia="en-GB"/>
              </w:rPr>
              <w:fldChar w:fldCharType="end"/>
            </w:r>
            <w:r w:rsidRPr="009C4C93">
              <w:rPr>
                <w:rFonts w:asciiTheme="majorBidi" w:hAnsiTheme="majorBidi" w:cstheme="majorBidi"/>
                <w:bCs/>
                <w:color w:val="000000"/>
                <w:szCs w:val="24"/>
                <w:lang w:eastAsia="en-GB"/>
              </w:rPr>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(25)</w:t>
            </w:r>
            <w:r w:rsidRPr="009C4C93">
              <w:rPr>
                <w:rFonts w:asciiTheme="majorBidi" w:hAnsiTheme="majorBidi" w:cstheme="majorBidi"/>
                <w:bCs/>
                <w:color w:val="000000"/>
                <w:szCs w:val="24"/>
                <w:lang w:eastAsia="en-GB"/>
              </w:rPr>
              <w:fldChar w:fldCharType="end"/>
            </w:r>
          </w:p>
        </w:tc>
        <w:tc>
          <w:tcPr>
            <w:tcW w:w="7796" w:type="dxa"/>
            <w:hideMark/>
          </w:tcPr>
          <w:p w14:paraId="2E0B59E7" w14:textId="77777777" w:rsidR="009C4C93" w:rsidRPr="009C4C93" w:rsidRDefault="009C4C93" w:rsidP="000F2AFE">
            <w:pPr>
              <w:jc w:val="center"/>
              <w:rPr>
                <w:rFonts w:asciiTheme="majorBidi" w:eastAsia="Times New Roman" w:hAnsiTheme="majorBidi" w:cstheme="majorBidi"/>
                <w:bCs/>
                <w:color w:val="212121"/>
                <w:szCs w:val="24"/>
                <w:lang w:eastAsia="en-GB"/>
              </w:rPr>
            </w:pPr>
            <w:r w:rsidRPr="009C4C93">
              <w:rPr>
                <w:rFonts w:asciiTheme="majorBidi" w:eastAsia="Times New Roman" w:hAnsiTheme="majorBidi" w:cstheme="majorBidi"/>
                <w:bCs/>
                <w:color w:val="212121"/>
                <w:szCs w:val="24"/>
                <w:lang w:eastAsia="en-GB"/>
              </w:rPr>
              <w:t>Adsorption and co-adsorption of graphene oxide and Ni(II) on iron oxides: A spectroscopic and microscopic investigation</w:t>
            </w:r>
          </w:p>
        </w:tc>
      </w:tr>
      <w:tr w:rsidR="009C4C93" w:rsidRPr="009C4C93" w14:paraId="0F91DD33" w14:textId="77777777" w:rsidTr="000F2AFE">
        <w:trPr>
          <w:trHeight w:val="510"/>
        </w:trPr>
        <w:tc>
          <w:tcPr>
            <w:tcW w:w="1271" w:type="dxa"/>
          </w:tcPr>
          <w:p w14:paraId="715A7211" w14:textId="786108DC"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&lt;EndNote&gt;&lt;Cite&gt;&lt;Author&gt;Wang&lt;/Author&gt;&lt;Year&gt;2013&lt;/Year&gt;&lt;RecNum&gt;26&lt;/RecNum&gt;&lt;DisplayText&gt;(&lt;style face="italic"&gt;26&lt;/style&gt;)&lt;/DisplayText&gt;&lt;record&gt;&lt;rec-number&gt;26&lt;/rec-number&gt;&lt;foreign-keys&gt;&lt;key app="EN" db-id="xzsfatx5atrs04edaaxvsv2ztfwrrwer0aea" timestamp="1719148479"&gt;26&lt;/key&gt;&lt;/foreign-keys&gt;&lt;ref-type name="Journal Article"&gt;17&lt;/ref-type&gt;&lt;contributors&gt;&lt;authors&gt;&lt;author&gt;Wang, Hou&lt;/author&gt;&lt;author&gt;Yuan, Xingzhong&lt;/author&gt;&lt;author&gt;Wu, Yan&lt;/author&gt;&lt;author&gt;Huang, Huajun&lt;/author&gt;&lt;author&gt;Zeng, Guangming&lt;/author&gt;&lt;author&gt;Liu, Yan&lt;/author&gt;&lt;author&gt;Wang, Xueli&lt;/author&gt;&lt;author&gt;Lin, Ningbo&lt;/author&gt;&lt;author&gt;Qi, Yu&lt;/author&gt;&lt;/authors&gt;&lt;/contributors&gt;&lt;titles&gt;&lt;title&gt;Adsorption characteristics and behaviors of graphene oxide for Zn(II) removal from aqueous solution&lt;/title&gt;&lt;secondary-title&gt;Applied Surface Science&lt;/secondary-title&gt;&lt;/titles&gt;&lt;periodical&gt;&lt;full-title&gt;Applied Surface Science&lt;/full-title&gt;&lt;/periodical&gt;&lt;pages&gt;432-440&lt;/pages&gt;&lt;volume&gt;279&lt;/volume&gt;&lt;keywords&gt;&lt;keyword&gt;Graphene oxide&lt;/keyword&gt;&lt;keyword&gt;Adsorption&lt;/keyword&gt;&lt;keyword&gt;Kinetics&lt;/keyword&gt;&lt;keyword&gt;Zinc&lt;/keyword&gt;&lt;/keywords&gt;&lt;dates&gt;&lt;year&gt;2013&lt;/year&gt;&lt;pub-dates&gt;&lt;date&gt;2013/08/15/&lt;/date&gt;&lt;/pub-dates&gt;&lt;/dates&gt;&lt;isbn&gt;0169-4332&lt;/isbn&gt;&lt;urls&gt;&lt;related-urls&gt;&lt;url&gt;https://www.sciencedirect.com/science/article/pii/S0169433213008532&lt;/url&gt;&lt;/related-urls&gt;&lt;/urls&gt;&lt;electronic-resource-num&gt;https://doi.org/10.1016/j.apsusc.2013.04.133&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(26)</w:t>
            </w:r>
            <w:r w:rsidRPr="009C4C93">
              <w:rPr>
                <w:rFonts w:asciiTheme="majorBidi" w:hAnsiTheme="majorBidi" w:cstheme="majorBidi"/>
                <w:bCs/>
                <w:color w:val="000000"/>
                <w:szCs w:val="24"/>
                <w:lang w:eastAsia="en-GB"/>
              </w:rPr>
              <w:fldChar w:fldCharType="end"/>
            </w:r>
          </w:p>
        </w:tc>
        <w:tc>
          <w:tcPr>
            <w:tcW w:w="7796" w:type="dxa"/>
            <w:hideMark/>
          </w:tcPr>
          <w:p w14:paraId="35D6E166" w14:textId="77777777" w:rsidR="009C4C93" w:rsidRPr="009C4C93" w:rsidRDefault="009C4C93" w:rsidP="000F2AFE">
            <w:pPr>
              <w:jc w:val="center"/>
              <w:rPr>
                <w:rFonts w:asciiTheme="majorBidi" w:eastAsia="Times New Roman" w:hAnsiTheme="majorBidi" w:cstheme="majorBidi"/>
                <w:bCs/>
                <w:color w:val="1F1F1F"/>
                <w:szCs w:val="24"/>
                <w:lang w:eastAsia="en-GB"/>
              </w:rPr>
            </w:pPr>
            <w:r w:rsidRPr="009C4C93">
              <w:rPr>
                <w:rFonts w:asciiTheme="majorBidi" w:eastAsia="Times New Roman" w:hAnsiTheme="majorBidi" w:cstheme="majorBidi"/>
                <w:bCs/>
                <w:color w:val="1F1F1F"/>
                <w:szCs w:val="24"/>
                <w:lang w:eastAsia="en-GB"/>
              </w:rPr>
              <w:t>Adsorption characteristics and behaviors of graphene oxide for Zn(II) removal from aqueous solution</w:t>
            </w:r>
          </w:p>
        </w:tc>
      </w:tr>
      <w:tr w:rsidR="009C4C93" w:rsidRPr="009C4C93" w14:paraId="69F53BC5" w14:textId="77777777" w:rsidTr="000F2AFE">
        <w:trPr>
          <w:trHeight w:val="300"/>
        </w:trPr>
        <w:tc>
          <w:tcPr>
            <w:tcW w:w="1271" w:type="dxa"/>
          </w:tcPr>
          <w:p w14:paraId="69DFAA84" w14:textId="7839C4D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fldData xml:space="preserve">PEVuZE5vdGU+PENpdGU+PEF1dGhvcj5UZXJyYWNjaWFubzwvQXV0aG9yPjxZZWFyPjIwMTc8L1ll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</w:fldData>
              </w:fldChar>
            </w:r>
            <w:r>
              <w:rPr>
                <w:rFonts w:asciiTheme="majorBidi" w:eastAsia="Times New Roman" w:hAnsiTheme="majorBidi" w:cstheme="majorBidi"/>
                <w:bCs/>
                <w:color w:val="000000"/>
                <w:szCs w:val="24"/>
                <w:lang w:eastAsia="en-GB"/>
              </w:rPr>
              <w:instrText xml:space="preserve"> ADDIN EN.CITE </w:instrText>
            </w:r>
            <w:r>
              <w:rPr>
                <w:rFonts w:asciiTheme="majorBidi" w:hAnsiTheme="majorBidi" w:cstheme="majorBidi"/>
                <w:bCs/>
                <w:color w:val="000000"/>
                <w:szCs w:val="24"/>
                <w:lang w:eastAsia="en-GB"/>
              </w:rPr>
              <w:fldChar w:fldCharType="begin">
                <w:fldData xml:space="preserve">PEVuZE5vdGU+PENpdGU+PEF1dGhvcj5UZXJyYWNjaWFubzwvQXV0aG9yPjxZZWFyPjIwMTc8L1ll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</w:fldData>
              </w:fldChar>
            </w:r>
            <w:r>
              <w:rPr>
                <w:rFonts w:asciiTheme="majorBidi" w:eastAsia="Times New Roman" w:hAnsiTheme="majorBidi" w:cstheme="majorBidi"/>
                <w:bCs/>
                <w:color w:val="000000"/>
                <w:szCs w:val="24"/>
                <w:lang w:eastAsia="en-GB"/>
              </w:rPr>
              <w:instrText xml:space="preserve"> ADDIN EN.CITE.DATA </w:instrText>
            </w:r>
            <w:r>
              <w:rPr>
                <w:rFonts w:asciiTheme="majorBidi" w:hAnsiTheme="majorBidi" w:cstheme="majorBidi"/>
                <w:bCs/>
                <w:color w:val="000000"/>
                <w:szCs w:val="24"/>
                <w:lang w:eastAsia="en-GB"/>
              </w:rPr>
            </w:r>
            <w:r>
              <w:rPr>
                <w:rFonts w:asciiTheme="majorBidi" w:hAnsiTheme="majorBidi" w:cstheme="majorBidi"/>
                <w:bCs/>
                <w:color w:val="000000"/>
                <w:szCs w:val="24"/>
                <w:lang w:eastAsia="en-GB"/>
              </w:rPr>
              <w:fldChar w:fldCharType="end"/>
            </w:r>
            <w:r w:rsidRPr="009C4C93">
              <w:rPr>
                <w:rFonts w:asciiTheme="majorBidi" w:hAnsiTheme="majorBidi" w:cstheme="majorBidi"/>
                <w:bCs/>
                <w:color w:val="000000"/>
                <w:szCs w:val="24"/>
                <w:lang w:eastAsia="en-GB"/>
              </w:rPr>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(27)</w:t>
            </w:r>
            <w:r w:rsidRPr="009C4C93">
              <w:rPr>
                <w:rFonts w:asciiTheme="majorBidi" w:hAnsiTheme="majorBidi" w:cstheme="majorBidi"/>
                <w:bCs/>
                <w:color w:val="000000"/>
                <w:szCs w:val="24"/>
                <w:lang w:eastAsia="en-GB"/>
              </w:rPr>
              <w:fldChar w:fldCharType="end"/>
            </w:r>
          </w:p>
        </w:tc>
        <w:tc>
          <w:tcPr>
            <w:tcW w:w="7796" w:type="dxa"/>
            <w:hideMark/>
          </w:tcPr>
          <w:p w14:paraId="449D849C" w14:textId="77777777" w:rsidR="009C4C93" w:rsidRPr="009C4C93" w:rsidRDefault="009C4C93" w:rsidP="000F2AFE">
            <w:pPr>
              <w:jc w:val="center"/>
              <w:rPr>
                <w:rFonts w:asciiTheme="majorBidi" w:eastAsia="Times New Roman" w:hAnsiTheme="majorBidi" w:cstheme="majorBidi"/>
                <w:bCs/>
                <w:color w:val="212121"/>
                <w:szCs w:val="24"/>
                <w:lang w:eastAsia="en-GB"/>
              </w:rPr>
            </w:pPr>
            <w:r w:rsidRPr="009C4C93">
              <w:rPr>
                <w:rFonts w:asciiTheme="majorBidi" w:eastAsia="Times New Roman" w:hAnsiTheme="majorBidi" w:cstheme="majorBidi"/>
                <w:bCs/>
                <w:color w:val="212121"/>
                <w:szCs w:val="24"/>
                <w:lang w:eastAsia="en-GB"/>
              </w:rPr>
              <w:t>Adsorption of Ca</w:t>
            </w:r>
            <w:r w:rsidRPr="009C4C93">
              <w:rPr>
                <w:rFonts w:asciiTheme="majorBidi" w:eastAsia="Times New Roman" w:hAnsiTheme="majorBidi" w:cstheme="majorBidi"/>
                <w:bCs/>
                <w:color w:val="212121"/>
                <w:szCs w:val="24"/>
                <w:vertAlign w:val="superscript"/>
                <w:lang w:eastAsia="en-GB"/>
              </w:rPr>
              <w:t>2+</w:t>
            </w:r>
            <w:r w:rsidRPr="009C4C93">
              <w:rPr>
                <w:rFonts w:asciiTheme="majorBidi" w:eastAsia="Times New Roman" w:hAnsiTheme="majorBidi" w:cstheme="majorBidi"/>
                <w:bCs/>
                <w:color w:val="212121"/>
                <w:szCs w:val="24"/>
                <w:lang w:eastAsia="en-GB"/>
              </w:rPr>
              <w:t> on single layer graphene oxide</w:t>
            </w:r>
          </w:p>
        </w:tc>
      </w:tr>
      <w:tr w:rsidR="009C4C93" w:rsidRPr="009C4C93" w14:paraId="3609F00D" w14:textId="77777777" w:rsidTr="000F2AFE">
        <w:trPr>
          <w:trHeight w:val="510"/>
        </w:trPr>
        <w:tc>
          <w:tcPr>
            <w:tcW w:w="1271" w:type="dxa"/>
            <w:noWrap/>
            <w:hideMark/>
          </w:tcPr>
          <w:p w14:paraId="0002F260" w14:textId="3D93A7E2" w:rsidR="009C4C93" w:rsidRPr="009C4C93" w:rsidRDefault="009C4C93" w:rsidP="000F2AFE">
            <w:pPr>
              <w:jc w:val="center"/>
              <w:rPr>
                <w:rFonts w:asciiTheme="majorBidi" w:eastAsia="Times New Roman" w:hAnsiTheme="majorBidi" w:cstheme="majorBidi"/>
                <w:bCs/>
                <w:color w:val="212121"/>
                <w:szCs w:val="24"/>
                <w:lang w:eastAsia="en-GB"/>
              </w:rPr>
            </w:pPr>
            <w:r w:rsidRPr="009C4C93">
              <w:rPr>
                <w:rFonts w:asciiTheme="majorBidi" w:hAnsiTheme="majorBidi" w:cstheme="majorBidi"/>
                <w:bCs/>
                <w:color w:val="212121"/>
                <w:szCs w:val="24"/>
                <w:lang w:eastAsia="en-GB"/>
              </w:rPr>
              <w:fldChar w:fldCharType="begin"/>
            </w:r>
            <w:r>
              <w:rPr>
                <w:rFonts w:asciiTheme="majorBidi" w:eastAsia="Times New Roman" w:hAnsiTheme="majorBidi" w:cstheme="majorBidi"/>
                <w:bCs/>
                <w:color w:val="212121"/>
                <w:szCs w:val="24"/>
                <w:lang w:eastAsia="en-GB"/>
              </w:rPr>
              <w:instrText xml:space="preserve"> ADDIN EN.CITE &lt;EndNote&gt;&lt;Cite&gt;&lt;Author&gt;Yang&lt;/Author&gt;&lt;Year&gt;2016&lt;/Year&gt;&lt;RecNum&gt;28&lt;/RecNum&gt;&lt;DisplayText&gt;(&lt;style face="italic"&gt;28&lt;/style&gt;)&lt;/DisplayText&gt;&lt;record&gt;&lt;rec-number&gt;28&lt;/rec-number&gt;&lt;foreign-keys&gt;&lt;key app="EN" db-id="xzsfatx5atrs04edaaxvsv2ztfwrrwer0aea" timestamp="1719148479"&gt;28&lt;/key&gt;&lt;/foreign-keys&gt;&lt;ref-type name="Journal Article"&gt;17&lt;/ref-type&gt;&lt;contributors&gt;&lt;authors&gt;&lt;author&gt;Yang, Kaijie&lt;/author&gt;&lt;author&gt;Chen, Baoliang&lt;/author&gt;&lt;author&gt;Zhu, Xiaoying&lt;/author&gt;&lt;author&gt;Xing, Baoshan&lt;/author&gt;&lt;/authors&gt;&lt;/contributors&gt;&lt;titles&gt;&lt;title&gt;Aggregation, Adsorption, and Morphological Transformation of Graphene Oxide in Aqueous Solutions Containing Different Metal Cations&lt;/title&gt;&lt;secondary-title&gt;Environmental Science &amp;amp; Technology&lt;/secondary-title&gt;&lt;/titles&gt;&lt;periodical&gt;&lt;full-title&gt;Environmental Science &amp;amp; Technology&lt;/full-title&gt;&lt;/periodical&gt;&lt;pages&gt;11066-11075&lt;/pages&gt;&lt;volume&gt;50&lt;/volume&gt;&lt;number&gt;20&lt;/number&gt;&lt;dates&gt;&lt;year&gt;2016&lt;/year&gt;&lt;pub-dates&gt;&lt;date&gt;2016/10/18&lt;/date&gt;&lt;/pub-dates&gt;&lt;/dates&gt;&lt;publisher&gt;American Chemical Society&lt;/publisher&gt;&lt;isbn&gt;0013-936X&lt;/isbn&gt;&lt;urls&gt;&lt;related-urls&gt;&lt;url&gt;https://doi.org/10.1021/acs.est.6b04235&lt;/url&gt;&lt;/related-urls&gt;&lt;/urls&gt;&lt;electronic-resource-num&gt;10.1021/acs.est.6b04235&lt;/electronic-resource-num&gt;&lt;/record&gt;&lt;/Cite&gt;&lt;/EndNote&gt;</w:instrText>
            </w:r>
            <w:r w:rsidRPr="009C4C93">
              <w:rPr>
                <w:rFonts w:asciiTheme="majorBidi" w:hAnsiTheme="majorBidi" w:cstheme="majorBidi"/>
                <w:bCs/>
                <w:color w:val="212121"/>
                <w:szCs w:val="24"/>
                <w:lang w:eastAsia="en-GB"/>
              </w:rPr>
              <w:fldChar w:fldCharType="separate"/>
            </w:r>
            <w:r w:rsidRPr="009C4C93">
              <w:rPr>
                <w:rFonts w:asciiTheme="majorBidi" w:eastAsia="Times New Roman" w:hAnsiTheme="majorBidi" w:cstheme="majorBidi"/>
                <w:bCs/>
                <w:noProof/>
                <w:color w:val="212121"/>
                <w:szCs w:val="24"/>
                <w:lang w:eastAsia="en-GB"/>
              </w:rPr>
              <w:t>(28)</w:t>
            </w:r>
            <w:r w:rsidRPr="009C4C93">
              <w:rPr>
                <w:rFonts w:asciiTheme="majorBidi" w:hAnsiTheme="majorBidi" w:cstheme="majorBidi"/>
                <w:bCs/>
                <w:color w:val="212121"/>
                <w:szCs w:val="24"/>
                <w:lang w:eastAsia="en-GB"/>
              </w:rPr>
              <w:fldChar w:fldCharType="end"/>
            </w:r>
          </w:p>
        </w:tc>
        <w:tc>
          <w:tcPr>
            <w:tcW w:w="7796" w:type="dxa"/>
            <w:hideMark/>
          </w:tcPr>
          <w:p w14:paraId="0C18FF61"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Aggregation, Adsorption, and Morphological Transformation of Graphene Oxide in Aqueous Solutions Containing Different Metal Cations</w:t>
            </w:r>
          </w:p>
        </w:tc>
      </w:tr>
      <w:tr w:rsidR="009C4C93" w:rsidRPr="009C4C93" w14:paraId="697EA075" w14:textId="77777777" w:rsidTr="000F2AFE">
        <w:trPr>
          <w:trHeight w:val="510"/>
        </w:trPr>
        <w:tc>
          <w:tcPr>
            <w:tcW w:w="1271" w:type="dxa"/>
            <w:noWrap/>
          </w:tcPr>
          <w:p w14:paraId="364AF2CB" w14:textId="60DF5900"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&lt;EndNote&gt;&lt;Cite&gt;&lt;Author&gt;Kashyap&lt;/Author&gt;&lt;Year&gt;2014&lt;/Year&gt;&lt;RecNum&gt;29&lt;/RecNum&gt;&lt;DisplayText&gt;(&lt;style face="italic"&gt;29&lt;/style&gt;)&lt;/DisplayText&gt;&lt;record&gt;&lt;rec-number&gt;29&lt;/rec-number&gt;&lt;foreign-keys&gt;&lt;key app="EN" db-id="xzsfatx5atrs04edaaxvsv2ztfwrrwer0aea" timestamp="1719148479"&gt;29&lt;/key&gt;&lt;/foreign-keys&gt;&lt;ref-type name="Journal Article"&gt;17&lt;/ref-type&gt;&lt;contributors&gt;&lt;authors&gt;&lt;author&gt;Kashyap, Swarnima&lt;/author&gt;&lt;author&gt;Mishra, Shashank&lt;/author&gt;&lt;author&gt;Behera, Shantanu K.&lt;/author&gt;&lt;/authors&gt;&lt;secondary-authors&gt;&lt;author&gt;Rangari, Vijaya&lt;/author&gt;&lt;/secondary-authors&gt;&lt;/contributors&gt;&lt;titles&gt;&lt;title&gt;Aqueous Colloidal Stability of Graphene Oxide and Chemically Converted Graphene&lt;/title&gt;&lt;secondary-title&gt;Journal of Nanoparticles&lt;/secondary-title&gt;&lt;/titles&gt;&lt;periodical&gt;&lt;full-title&gt;Journal of Nanoparticles&lt;/full-title&gt;&lt;/periodical&gt;&lt;pages&gt;640281&lt;/pages&gt;&lt;volume&gt;2014&lt;/volume&gt;&lt;dates&gt;&lt;year&gt;2014&lt;/year&gt;&lt;pub-dates&gt;&lt;date&gt;2014/11/13&lt;/date&gt;&lt;/pub-dates&gt;&lt;/dates&gt;&lt;publisher&gt;Hindawi Publishing Corporation&lt;/publisher&gt;&lt;isbn&gt;2314-484X&lt;/isbn&gt;&lt;urls&gt;&lt;related-urls&gt;&lt;url&gt;https://doi.org/10.1155/2014/640281&lt;/url&gt;&lt;/related-urls&gt;&lt;/urls&gt;&lt;electronic-resource-num&gt;10.1155/2014/640281&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(29)</w:t>
            </w:r>
            <w:r w:rsidRPr="009C4C93">
              <w:rPr>
                <w:rFonts w:asciiTheme="majorBidi" w:hAnsiTheme="majorBidi" w:cstheme="majorBidi"/>
                <w:bCs/>
                <w:color w:val="000000"/>
                <w:szCs w:val="24"/>
                <w:lang w:eastAsia="en-GB"/>
              </w:rPr>
              <w:fldChar w:fldCharType="end"/>
            </w:r>
          </w:p>
        </w:tc>
        <w:tc>
          <w:tcPr>
            <w:tcW w:w="7796" w:type="dxa"/>
            <w:hideMark/>
          </w:tcPr>
          <w:p w14:paraId="74512ED5"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Aqueous Colloidal Stability of Graphene Oxide and Chemically Converted Graphene</w:t>
            </w:r>
          </w:p>
        </w:tc>
      </w:tr>
      <w:tr w:rsidR="009C4C93" w:rsidRPr="009C4C93" w14:paraId="4C391878" w14:textId="77777777" w:rsidTr="000F2AFE">
        <w:trPr>
          <w:trHeight w:val="510"/>
        </w:trPr>
        <w:tc>
          <w:tcPr>
            <w:tcW w:w="1271" w:type="dxa"/>
            <w:noWrap/>
            <w:hideMark/>
          </w:tcPr>
          <w:p w14:paraId="39DE84BE" w14:textId="5378411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&lt;EndNote&gt;&lt;Cite&gt;&lt;Author&gt;Yu&lt;/Author&gt;&lt;Year&gt;2017&lt;/Year&gt;&lt;RecNum&gt;30&lt;/RecNum&gt;&lt;DisplayText&gt;(&lt;style face="italic"&gt;30&lt;/style&gt;)&lt;/DisplayText&gt;&lt;record&gt;&lt;rec-number&gt;30&lt;/rec-number&gt;&lt;foreign-keys&gt;&lt;key app="EN" db-id="xzsfatx5atrs04edaaxvsv2ztfwrrwer0aea" timestamp="1719148479"&gt;30&lt;/key&gt;&lt;/foreign-keys&gt;&lt;ref-type name="Journal Article"&gt;17&lt;/ref-type&gt;&lt;contributors&gt;&lt;authors&gt;&lt;author&gt;Yu, Shujun&lt;/author&gt;&lt;author&gt;Wang, Xiangxue&lt;/author&gt;&lt;author&gt;Zhang, Rui&lt;/author&gt;&lt;author&gt;Yang, Tongtong&lt;/author&gt;&lt;author&gt;Ai, Yuejie&lt;/author&gt;&lt;author&gt;Wen, Tao&lt;/author&gt;&lt;author&gt;Huang, Wei&lt;/author&gt;&lt;author&gt;Hayat, Tasawar&lt;/author&gt;&lt;author&gt;Alsaedi, Ahmed&lt;/author&gt;&lt;author&gt;Wang, Xiangke&lt;/author&gt;&lt;/authors&gt;&lt;/contributors&gt;&lt;titles&gt;&lt;title&gt;Complex Roles of Solution Chemistry on Graphene Oxide Coagulation onto Titanium Dioxide: Batch Experiments, Spectroscopy Analysis and Theoretical Calculation&lt;/title&gt;&lt;secondary-title&gt;Scientific Reports&lt;/secondary-title&gt;&lt;/titles&gt;&lt;periodical&gt;&lt;full-title&gt;Scientific Reports&lt;/full-title&gt;&lt;/periodical&gt;&lt;pages&gt;39625&lt;/pages&gt;&lt;volume&gt;7&lt;/volume&gt;&lt;number&gt;1&lt;/number&gt;&lt;dates&gt;&lt;year&gt;2017&lt;/year&gt;&lt;pub-dates&gt;&lt;date&gt;2017/01/03&lt;/date&gt;&lt;/pub-dates&gt;&lt;/dates&gt;&lt;isbn&gt;2045-2322&lt;/isbn&gt;&lt;urls&gt;&lt;related-urls&gt;&lt;url&gt;https://doi.org/10.1038/srep39625&lt;/url&gt;&lt;/related-urls&gt;&lt;/urls&gt;&lt;electronic-resource-num&gt;10.1038/srep39625&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(30)</w:t>
            </w:r>
            <w:r w:rsidRPr="009C4C93">
              <w:rPr>
                <w:rFonts w:asciiTheme="majorBidi" w:hAnsiTheme="majorBidi" w:cstheme="majorBidi"/>
                <w:bCs/>
                <w:color w:val="000000"/>
                <w:szCs w:val="24"/>
                <w:lang w:eastAsia="en-GB"/>
              </w:rPr>
              <w:fldChar w:fldCharType="end"/>
            </w:r>
          </w:p>
        </w:tc>
        <w:tc>
          <w:tcPr>
            <w:tcW w:w="7796" w:type="dxa"/>
            <w:hideMark/>
          </w:tcPr>
          <w:p w14:paraId="28973781"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Complex Roles of Solution Chemistry on Graphene Oxide Coagulation onto Titanium Dioxide: Batch Experiments, Spectroscopy Analysis and Theoretical Calculation</w:t>
            </w:r>
          </w:p>
        </w:tc>
      </w:tr>
      <w:tr w:rsidR="009C4C93" w:rsidRPr="009C4C93" w14:paraId="54AB9D7B" w14:textId="77777777" w:rsidTr="000F2AFE">
        <w:trPr>
          <w:trHeight w:val="765"/>
        </w:trPr>
        <w:tc>
          <w:tcPr>
            <w:tcW w:w="1271" w:type="dxa"/>
          </w:tcPr>
          <w:p w14:paraId="456C8DCF" w14:textId="570C15A4"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&lt;EndNote&gt;&lt;Cite&gt;&lt;Author&gt;Chen&lt;/Author&gt;&lt;Year&gt;2016&lt;/Year&gt;&lt;RecNum&gt;31&lt;/RecNum&gt;&lt;DisplayText&gt;(&lt;style face="italic"&gt;31&lt;/style&gt;)&lt;/DisplayText&gt;&lt;record&gt;&lt;rec-number&gt;31&lt;/rec-number&gt;&lt;foreign-keys&gt;&lt;key app="EN" db-id="xzsfatx5atrs04edaaxvsv2ztfwrrwer0aea" timestamp="1719148479"&gt;31&lt;/key&gt;&lt;/foreign-keys&gt;&lt;ref-type name="Journal Article"&gt;17&lt;/ref-type&gt;&lt;contributors&gt;&lt;authors&gt;&lt;author&gt;Chen, I. Cheng&lt;/author&gt;&lt;author&gt;Zhang, Ming&lt;/author&gt;&lt;author&gt;Min, Younjin&lt;/author&gt;&lt;author&gt;Akbulut, Mustafa&lt;/author&gt;&lt;/authors&gt;&lt;/contributors&gt;&lt;titles&gt;&lt;title&gt;Deposition Kinetics of Graphene Oxide on Charged Self-Assembled Monolayers&lt;/title&gt;&lt;secondary-title&gt;The Journal of Physical Chemistry C&lt;/secondary-title&gt;&lt;/titles&gt;&lt;periodical&gt;&lt;full-title&gt;The Journal of Physical Chemistry C&lt;/full-title&gt;&lt;/periodical&gt;&lt;pages&gt;8333-8342&lt;/pages&gt;&lt;volume&gt;120&lt;/volume&gt;&lt;number&gt;15&lt;/number&gt;&lt;dates&gt;&lt;year&gt;2016&lt;/year&gt;&lt;pub-dates&gt;&lt;date&gt;2016/04/21&lt;/date&gt;&lt;/pub-dates&gt;&lt;/dates&gt;&lt;publisher&gt;American Chemical Society&lt;/publisher&gt;&lt;isbn&gt;1932-7447&lt;/isbn&gt;&lt;urls&gt;&lt;related-urls&gt;&lt;url&gt;https://doi.org/10.1021/acs.jpcc.6b00884&lt;/url&gt;&lt;/related-urls&gt;&lt;/urls&gt;&lt;electronic-resource-num&gt;10.1021/acs.jpcc.6b00884&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(31)</w:t>
            </w:r>
            <w:r w:rsidRPr="009C4C93">
              <w:rPr>
                <w:rFonts w:asciiTheme="majorBidi" w:hAnsiTheme="majorBidi" w:cstheme="majorBidi"/>
                <w:bCs/>
                <w:color w:val="000000"/>
                <w:szCs w:val="24"/>
                <w:lang w:eastAsia="en-GB"/>
              </w:rPr>
              <w:fldChar w:fldCharType="end"/>
            </w:r>
          </w:p>
        </w:tc>
        <w:tc>
          <w:tcPr>
            <w:tcW w:w="7796" w:type="dxa"/>
            <w:hideMark/>
          </w:tcPr>
          <w:p w14:paraId="70890C59"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Deposition Kinetics of Graphene Oxide on Charged Self-Assembled Monolayers</w:t>
            </w:r>
          </w:p>
        </w:tc>
      </w:tr>
      <w:tr w:rsidR="009C4C93" w:rsidRPr="009C4C93" w14:paraId="71B68B14" w14:textId="77777777" w:rsidTr="000F2AFE">
        <w:trPr>
          <w:trHeight w:val="510"/>
        </w:trPr>
        <w:tc>
          <w:tcPr>
            <w:tcW w:w="1271" w:type="dxa"/>
          </w:tcPr>
          <w:p w14:paraId="56C547EE" w14:textId="140A91F2"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&lt;EndNote&gt;&lt;Cite&gt;&lt;Author&gt;Hu&lt;/Author&gt;&lt;Year&gt;2013&lt;/Year&gt;&lt;RecNum&gt;32&lt;/RecNum&gt;&lt;DisplayText&gt;(&lt;style face="italic"&gt;32&lt;/style&gt;)&lt;/DisplayText&gt;&lt;record&gt;&lt;rec-number&gt;32&lt;/rec-number&gt;&lt;foreign-keys&gt;&lt;key app="EN" db-id="xzsfatx5atrs04edaaxvsv2ztfwrrwer0aea" timestamp="1719148479"&gt;32&lt;/key&gt;&lt;/foreign-keys&gt;&lt;ref-type name="Journal Article"&gt;17&lt;/ref-type&gt;&lt;contributors&gt;&lt;authors&gt;&lt;author&gt;Hu, Meng&lt;/author&gt;&lt;author&gt;Mi, Baoxia&lt;/author&gt;&lt;/authors&gt;&lt;/contributors&gt;&lt;titles&gt;&lt;title&gt;Enabling Graphene Oxide Nanosheets as Water Separation Membranes&lt;/title&gt;&lt;secondary-title&gt;Environmental Science &amp;amp; Technology&lt;/secondary-title&gt;&lt;/titles&gt;&lt;periodical&gt;&lt;full-title&gt;Environmental Science &amp;amp; Technology&lt;/full-title&gt;&lt;/periodical&gt;&lt;pages&gt;3715-3723&lt;/pages&gt;&lt;volume&gt;47&lt;/volume&gt;&lt;number&gt;8&lt;/number&gt;&lt;dates&gt;&lt;year&gt;2013&lt;/year&gt;&lt;pub-dates&gt;&lt;date&gt;2013/04/16&lt;/date&gt;&lt;/pub-dates&gt;&lt;/dates&gt;&lt;publisher&gt;American Chemical Society&lt;/publisher&gt;&lt;isbn&gt;0013-936X&lt;/isbn&gt;&lt;urls&gt;&lt;related-urls&gt;&lt;url&gt;https://doi.org/10.1021/es400571g&lt;/url&gt;&lt;/related-urls&gt;&lt;/urls&gt;&lt;electronic-resource-num&gt;10.1021/es400571g&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(32)</w:t>
            </w:r>
            <w:r w:rsidRPr="009C4C93">
              <w:rPr>
                <w:rFonts w:asciiTheme="majorBidi" w:hAnsiTheme="majorBidi" w:cstheme="majorBidi"/>
                <w:bCs/>
                <w:color w:val="000000"/>
                <w:szCs w:val="24"/>
                <w:lang w:eastAsia="en-GB"/>
              </w:rPr>
              <w:fldChar w:fldCharType="end"/>
            </w:r>
          </w:p>
        </w:tc>
        <w:tc>
          <w:tcPr>
            <w:tcW w:w="7796" w:type="dxa"/>
            <w:hideMark/>
          </w:tcPr>
          <w:p w14:paraId="696563E7"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Enabling Graphene Oxide Nanosheets as Water Separation Membranes</w:t>
            </w:r>
          </w:p>
        </w:tc>
      </w:tr>
      <w:tr w:rsidR="009C4C93" w:rsidRPr="009C4C93" w14:paraId="55D96209" w14:textId="77777777" w:rsidTr="000F2AFE">
        <w:trPr>
          <w:trHeight w:val="510"/>
        </w:trPr>
        <w:tc>
          <w:tcPr>
            <w:tcW w:w="1271" w:type="dxa"/>
            <w:noWrap/>
          </w:tcPr>
          <w:p w14:paraId="03026944" w14:textId="40BC756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&lt;EndNote&gt;&lt;Cite&gt;&lt;Author&gt;Wang&lt;/Author&gt;&lt;Year&gt;2012&lt;/Year&gt;&lt;RecNum&gt;33&lt;/RecNum&gt;&lt;DisplayText&gt;(&lt;style face="italic"&gt;33&lt;/style&gt;)&lt;/DisplayText&gt;&lt;record&gt;&lt;rec-number&gt;33&lt;/rec-number&gt;&lt;foreign-keys&gt;&lt;key app="EN" db-id="xzsfatx5atrs04edaaxvsv2ztfwrrwer0aea" timestamp="1719148479"&gt;33&lt;/key&gt;&lt;/foreign-keys&gt;&lt;ref-type name="Journal Article"&gt;17&lt;/ref-type&gt;&lt;contributors&gt;&lt;authors&gt;&lt;author&gt;Wang, Wei-Ning&lt;/author&gt;&lt;author&gt;Jiang, Yi&lt;/author&gt;&lt;author&gt;Biswas, Pratim&lt;/author&gt;&lt;/authors&gt;&lt;/contributors&gt;&lt;titles&gt;&lt;title&gt;Evaporation-Induced Crumpling of Graphene Oxide Nanosheets in Aerosolized Droplets: Confinement Force Relationship&lt;/title&gt;&lt;secondary-title&gt;The Journal of Physical Chemistry Letters&lt;/secondary-title&gt;&lt;/titles&gt;&lt;periodical&gt;&lt;full-title&gt;The Journal of Physical Chemistry Letters&lt;/full-title&gt;&lt;/periodical&gt;&lt;pages&gt;3228-3233&lt;/pages&gt;&lt;volume&gt;3&lt;/volume&gt;&lt;number&gt;21&lt;/number&gt;&lt;dates&gt;&lt;year&gt;2012&lt;/year&gt;&lt;pub-dates&gt;&lt;date&gt;2012/11/01&lt;/date&gt;&lt;/pub-dates&gt;&lt;/dates&gt;&lt;publisher&gt;American Chemical Society&lt;/publisher&gt;&lt;urls&gt;&lt;related-urls&gt;&lt;url&gt;https://doi.org/10.1021/jz3015869&lt;/url&gt;&lt;/related-urls&gt;&lt;/urls&gt;&lt;electronic-resource-num&gt;10.1021/jz3015869&lt;/electronic-resource-num&gt;&lt;/record&gt;&lt;/Cite&gt;&lt;/EndNote&gt;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(33)</w:t>
            </w:r>
            <w:r w:rsidRPr="009C4C93">
              <w:rPr>
                <w:rFonts w:asciiTheme="majorBidi" w:hAnsiTheme="majorBidi" w:cstheme="majorBidi"/>
                <w:bCs/>
                <w:color w:val="000000"/>
                <w:szCs w:val="24"/>
                <w:lang w:eastAsia="en-GB"/>
              </w:rPr>
              <w:fldChar w:fldCharType="end"/>
            </w:r>
          </w:p>
        </w:tc>
        <w:tc>
          <w:tcPr>
            <w:tcW w:w="7796" w:type="dxa"/>
            <w:hideMark/>
          </w:tcPr>
          <w:p w14:paraId="0E8D17DE"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Evaporation-Induced Crumpling of Graphene Oxide Nanosheets in Aerosolized Droplets: Confinement Force Relationship</w:t>
            </w:r>
          </w:p>
        </w:tc>
      </w:tr>
      <w:tr w:rsidR="009C4C93" w:rsidRPr="009C4C93" w14:paraId="1E803003" w14:textId="77777777" w:rsidTr="000F2AFE">
        <w:trPr>
          <w:trHeight w:val="510"/>
        </w:trPr>
        <w:tc>
          <w:tcPr>
            <w:tcW w:w="1271" w:type="dxa"/>
            <w:noWrap/>
            <w:hideMark/>
          </w:tcPr>
          <w:p w14:paraId="0F92E191" w14:textId="14EC5256"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&lt;EndNote&gt;&lt;Cite&gt;&lt;Author&gt;Viana&lt;/Author&gt;&lt;Year&gt;2015&lt;/Year&gt;&lt;RecNum&gt;34&lt;/RecNum&gt;&lt;DisplayText&gt;(&lt;style face="italic"&gt;34&lt;/style&gt;)&lt;/DisplayText&gt;&lt;record&gt;&lt;rec-number&gt;34&lt;/rec-number&gt;&lt;foreign-keys&gt;&lt;key app="EN" db-id="xzsfatx5atrs04edaaxvsv2ztfwrrwer0aea" timestamp="1719148479"&gt;34&lt;/key&gt;&lt;/foreign-keys&gt;&lt;ref-type name="Journal Article"&gt;17&lt;/ref-type&gt;&lt;contributors&gt;&lt;authors&gt;&lt;author&gt;Viana, Marcelo M&lt;/author&gt;&lt;author&gt;Lima, Meiriane CFS&lt;/author&gt;&lt;author&gt;Forsythe, Jerimiah C&lt;/author&gt;&lt;author&gt;Gangoli, Varun S&lt;/author&gt;&lt;author&gt;Cho, Minjung&lt;/author&gt;&lt;author&gt;Cheng, Yinhong&lt;/author&gt;&lt;author&gt;Silva, Glaura G&lt;/author&gt;&lt;author&gt;Wong, Michael S&lt;/author&gt;&lt;author&gt;Caliman, Vinicius&lt;/author&gt;&lt;/authors&gt;&lt;/contributors&gt;&lt;titles&gt;&lt;title&gt;Facile graphene oxide preparation by microwave-assisted acid method&lt;/title&gt;&lt;secondary-title&gt;Journal of the Brazilian Chemical Society&lt;/secondary-title&gt;&lt;/titles&gt;&lt;periodical&gt;&lt;full-title&gt;Journal of the Brazilian Chemical Society&lt;/full-title&gt;&lt;/periodical&gt;&lt;pages&gt;978-984&lt;/pages&gt;&lt;volume&gt;26&lt;/volume&gt;&lt;dates&gt;&lt;year&gt;2015&lt;/year&gt;&lt;/dates&gt;&lt;isbn&gt;0103-5053&lt;/isbn&gt;&lt;urls&gt;&lt;/urls&gt;&lt;/record&gt;&lt;/Cite&gt;&lt;/EndNote&gt;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(34)</w:t>
            </w:r>
            <w:r w:rsidRPr="009C4C93">
              <w:rPr>
                <w:rFonts w:asciiTheme="majorBidi" w:hAnsiTheme="majorBidi" w:cstheme="majorBidi"/>
                <w:bCs/>
                <w:color w:val="000000"/>
                <w:szCs w:val="24"/>
                <w:lang w:eastAsia="en-GB"/>
              </w:rPr>
              <w:fldChar w:fldCharType="end"/>
            </w:r>
          </w:p>
        </w:tc>
        <w:tc>
          <w:tcPr>
            <w:tcW w:w="7796" w:type="dxa"/>
            <w:hideMark/>
          </w:tcPr>
          <w:p w14:paraId="10E4398A"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Facile Graphene Oxide Preparation by Microwave-Assisted Acid Method</w:t>
            </w:r>
          </w:p>
        </w:tc>
      </w:tr>
      <w:tr w:rsidR="009C4C93" w:rsidRPr="009C4C93" w14:paraId="50F9C162" w14:textId="77777777" w:rsidTr="000F2AFE">
        <w:trPr>
          <w:trHeight w:val="765"/>
        </w:trPr>
        <w:tc>
          <w:tcPr>
            <w:tcW w:w="1271" w:type="dxa"/>
          </w:tcPr>
          <w:p w14:paraId="36BEA481" w14:textId="0648EB64"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&lt;EndNote&gt;&lt;Cite&gt;&lt;Author&gt;Su&lt;/Author&gt;&lt;Year&gt;2017&lt;/Year&gt;&lt;RecNum&gt;35&lt;/RecNum&gt;&lt;DisplayText&gt;(&lt;style face="italic"&gt;35&lt;/style&gt;)&lt;/DisplayText&gt;&lt;record&gt;&lt;rec-number&gt;35&lt;/rec-number&gt;&lt;foreign-keys&gt;&lt;key app="EN" db-id="xzsfatx5atrs04edaaxvsv2ztfwrrwer0aea" timestamp="1719148479"&gt;35&lt;/key&gt;&lt;/foreign-keys&gt;&lt;ref-type name="Journal Article"&gt;17&lt;/ref-type&gt;&lt;contributors&gt;&lt;authors&gt;&lt;author&gt;Su, Haibo&lt;/author&gt;&lt;author&gt;Zhu, Pengli&lt;/author&gt;&lt;author&gt;Zhang, Leicong&lt;/author&gt;&lt;author&gt;Zhou, Fengrui&lt;/author&gt;&lt;author&gt;liang, Xianwen&lt;/author&gt;&lt;author&gt;Li, Tingxi&lt;/author&gt;&lt;author&gt;Wang, Qing&lt;/author&gt;&lt;author&gt;Sun, Rong&lt;/author&gt;&lt;author&gt;Wong, Chingping&lt;/author&gt;&lt;/authors&gt;&lt;/contributors&gt;&lt;titles&gt;&lt;title&gt;Facile synthesis of water soluble reduced graphene oxide with a high concentration and its application in printable micro-supercapacitors&lt;/title&gt;&lt;secondary-title&gt;Sustainable Energy &amp;amp; Fuels&lt;/secondary-title&gt;&lt;/titles&gt;&lt;periodical&gt;&lt;full-title&gt;Sustainable Energy &amp;amp; Fuels&lt;/full-title&gt;&lt;/periodical&gt;&lt;pages&gt;1601-1610&lt;/pages&gt;&lt;volume&gt;1&lt;/volume&gt;&lt;number&gt;7&lt;/number&gt;&lt;dates&gt;&lt;year&gt;2017&lt;/year&gt;&lt;/dates&gt;&lt;publisher&gt;The Royal Society of Chemistry&lt;/publisher&gt;&lt;work-type&gt;10.1039/C7SE00214A&lt;/work-type&gt;&lt;urls&gt;&lt;related-urls&gt;&lt;url&gt;http://dx.doi.org/10.1039/C7SE00214A&lt;/url&gt;&lt;/related-urls&gt;&lt;/urls&gt;&lt;electronic-resource-num&gt;10.1039/C7SE00214A&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(35)</w:t>
            </w:r>
            <w:r w:rsidRPr="009C4C93">
              <w:rPr>
                <w:rFonts w:asciiTheme="majorBidi" w:hAnsiTheme="majorBidi" w:cstheme="majorBidi"/>
                <w:bCs/>
                <w:color w:val="000000"/>
                <w:szCs w:val="24"/>
                <w:lang w:eastAsia="en-GB"/>
              </w:rPr>
              <w:fldChar w:fldCharType="end"/>
            </w:r>
          </w:p>
        </w:tc>
        <w:tc>
          <w:tcPr>
            <w:tcW w:w="7796" w:type="dxa"/>
            <w:hideMark/>
          </w:tcPr>
          <w:p w14:paraId="4AB9B24B"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Facile synthesis of water soluble reduced graphene oxide with a high concentration and its application in printable micro-supercapacitors</w:t>
            </w:r>
          </w:p>
        </w:tc>
      </w:tr>
      <w:tr w:rsidR="009C4C93" w:rsidRPr="009C4C93" w14:paraId="443A71D7" w14:textId="77777777" w:rsidTr="000F2AFE">
        <w:trPr>
          <w:trHeight w:val="300"/>
        </w:trPr>
        <w:tc>
          <w:tcPr>
            <w:tcW w:w="1271" w:type="dxa"/>
          </w:tcPr>
          <w:p w14:paraId="187CBA26" w14:textId="0297C05E"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&lt;EndNote&gt;&lt;Cite&gt;&lt;Author&gt;Liu&lt;/Author&gt;&lt;Year&gt;2016&lt;/Year&gt;&lt;RecNum&gt;36&lt;/RecNum&gt;&lt;DisplayText&gt;(&lt;style face="italic"&gt;36&lt;/style&gt;)&lt;/DisplayText&gt;&lt;record&gt;&lt;rec-number&gt;36&lt;/rec-number&gt;&lt;foreign-keys&gt;&lt;key app="EN" db-id="xzsfatx5atrs04edaaxvsv2ztfwrrwer0aea" timestamp="1719148479"&gt;36&lt;/key&gt;&lt;/foreign-keys&gt;&lt;ref-type name="Journal Article"&gt;17&lt;/ref-type&gt;&lt;contributors&gt;&lt;authors&gt;&lt;author&gt;Liu, Gonggang&lt;/author&gt;&lt;author&gt;Ye, Hongqi&lt;/author&gt;&lt;author&gt;Li, Antai&lt;/author&gt;&lt;author&gt;Zhu, Chenyuan&lt;/author&gt;&lt;author&gt;Jiang, Heng&lt;/author&gt;&lt;author&gt;Liu, Yong&lt;/author&gt;&lt;author&gt;Han, Kai&lt;/author&gt;&lt;author&gt;Zhou, Yonghua&lt;/author&gt;&lt;/authors&gt;&lt;/contributors&gt;&lt;titles&gt;&lt;title&gt;Graphene oxide for high-efficiency separation membranes: Role of electrostatic interactions&lt;/title&gt;&lt;secondary-title&gt;Carbon&lt;/secondary-title&gt;&lt;/titles&gt;&lt;periodical&gt;&lt;full-title&gt;Carbon&lt;/full-title&gt;&lt;/periodical&gt;&lt;pages&gt;56-61&lt;/pages&gt;&lt;volume&gt;110&lt;/volume&gt;&lt;dates&gt;&lt;year&gt;2016&lt;/year&gt;&lt;pub-dates&gt;&lt;date&gt;2016/12/01/&lt;/date&gt;&lt;/pub-dates&gt;&lt;/dates&gt;&lt;isbn&gt;0008-6223&lt;/isbn&gt;&lt;urls&gt;&lt;related-urls&gt;&lt;url&gt;https://www.sciencedirect.com/science/article/pii/S0008622316307564&lt;/url&gt;&lt;/related-urls&gt;&lt;/urls&gt;&lt;electronic-resource-num&gt;https://doi.org/10.1016/j.carbon.2016.09.005&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(36)</w:t>
            </w:r>
            <w:r w:rsidRPr="009C4C93">
              <w:rPr>
                <w:rFonts w:asciiTheme="majorBidi" w:hAnsiTheme="majorBidi" w:cstheme="majorBidi"/>
                <w:bCs/>
                <w:color w:val="000000"/>
                <w:szCs w:val="24"/>
                <w:lang w:eastAsia="en-GB"/>
              </w:rPr>
              <w:fldChar w:fldCharType="end"/>
            </w:r>
          </w:p>
        </w:tc>
        <w:tc>
          <w:tcPr>
            <w:tcW w:w="7796" w:type="dxa"/>
            <w:hideMark/>
          </w:tcPr>
          <w:p w14:paraId="03FE0CB7" w14:textId="77777777" w:rsidR="009C4C93" w:rsidRPr="009C4C93" w:rsidRDefault="009C4C93" w:rsidP="000F2AFE">
            <w:pPr>
              <w:jc w:val="center"/>
              <w:rPr>
                <w:rFonts w:asciiTheme="majorBidi" w:eastAsia="Times New Roman" w:hAnsiTheme="majorBidi" w:cstheme="majorBidi"/>
                <w:bCs/>
                <w:color w:val="1F1F1F"/>
                <w:szCs w:val="24"/>
                <w:lang w:eastAsia="en-GB"/>
              </w:rPr>
            </w:pPr>
            <w:r w:rsidRPr="009C4C93">
              <w:rPr>
                <w:rFonts w:asciiTheme="majorBidi" w:eastAsia="Times New Roman" w:hAnsiTheme="majorBidi" w:cstheme="majorBidi"/>
                <w:bCs/>
                <w:color w:val="1F1F1F"/>
                <w:szCs w:val="24"/>
                <w:lang w:eastAsia="en-GB"/>
              </w:rPr>
              <w:t>Graphene oxide for high-efficiency separation membranes: Role of electrostatic interaction</w:t>
            </w:r>
          </w:p>
        </w:tc>
      </w:tr>
      <w:tr w:rsidR="009C4C93" w:rsidRPr="009C4C93" w14:paraId="45D9C403" w14:textId="77777777" w:rsidTr="000F2AFE">
        <w:trPr>
          <w:trHeight w:val="300"/>
        </w:trPr>
        <w:tc>
          <w:tcPr>
            <w:tcW w:w="1271" w:type="dxa"/>
            <w:noWrap/>
          </w:tcPr>
          <w:p w14:paraId="112E2923" w14:textId="7E6F6BFF"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&lt;EndNote&gt;&lt;Cite&gt;&lt;Author&gt;Luo&lt;/Author&gt;&lt;Year&gt;2010&lt;/Year&gt;&lt;RecNum&gt;37&lt;/RecNum&gt;&lt;DisplayText&gt;(&lt;style face="italic"&gt;37&lt;/style&gt;)&lt;/DisplayText&gt;&lt;record&gt;&lt;rec-number&gt;37&lt;/rec-number&gt;&lt;foreign-keys&gt;&lt;key app="EN" db-id="xzsfatx5atrs04edaaxvsv2ztfwrrwer0aea" timestamp="1719148479"&gt;37&lt;/key&gt;&lt;/foreign-keys&gt;&lt;ref-type name="Journal Article"&gt;17&lt;/ref-type&gt;&lt;contributors&gt;&lt;authors&gt;&lt;author&gt;Luo, Jiayan&lt;/author&gt;&lt;author&gt;Cote, Laura J.&lt;/author&gt;&lt;author&gt;Tung, Vincent C.&lt;/author&gt;&lt;author&gt;Tan, Alvin T. L.&lt;/author&gt;&lt;author&gt;Goins, Philip E.&lt;/author&gt;&lt;author&gt;Wu, Jinsong&lt;/author&gt;&lt;author&gt;Huang, Jiaxing&lt;/author&gt;&lt;/authors&gt;&lt;/contributors&gt;&lt;titles&gt;&lt;title&gt;Graphene Oxide Nanocolloids&lt;/title&gt;&lt;secondary-title&gt;Journal of the American Chemical Society&lt;/secondary-title&gt;&lt;/titles&gt;&lt;periodical&gt;&lt;full-title&gt;Journal of the American Chemical Society&lt;/full-title&gt;&lt;/periodical&gt;&lt;pages&gt;17667-17669&lt;/pages&gt;&lt;volume&gt;132&lt;/volume&gt;&lt;number&gt;50&lt;/number&gt;&lt;dates&gt;&lt;year&gt;2010&lt;/year&gt;&lt;pub-dates&gt;&lt;date&gt;2010/12/22&lt;/date&gt;&lt;/pub-dates&gt;&lt;/dates&gt;&lt;publisher&gt;American Chemical Society&lt;/publisher&gt;&lt;isbn&gt;0002-7863&lt;/isbn&gt;&lt;urls&gt;&lt;related-urls&gt;&lt;url&gt;https://doi.org/10.1021/ja1078943&lt;/url&gt;&lt;/related-urls&gt;&lt;/urls&gt;&lt;electronic-resource-num&gt;10.1021/ja1078943&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(37)</w:t>
            </w:r>
            <w:r w:rsidRPr="009C4C93">
              <w:rPr>
                <w:rFonts w:asciiTheme="majorBidi" w:hAnsiTheme="majorBidi" w:cstheme="majorBidi"/>
                <w:bCs/>
                <w:color w:val="000000"/>
                <w:szCs w:val="24"/>
                <w:lang w:eastAsia="en-GB"/>
              </w:rPr>
              <w:fldChar w:fldCharType="end"/>
            </w:r>
          </w:p>
        </w:tc>
        <w:tc>
          <w:tcPr>
            <w:tcW w:w="7796" w:type="dxa"/>
            <w:hideMark/>
          </w:tcPr>
          <w:p w14:paraId="32ECEA00"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Graphene Oxide Nanocolloids</w:t>
            </w:r>
          </w:p>
        </w:tc>
      </w:tr>
      <w:tr w:rsidR="009C4C93" w:rsidRPr="009C4C93" w14:paraId="1497DE53" w14:textId="77777777" w:rsidTr="000F2AFE">
        <w:trPr>
          <w:trHeight w:val="510"/>
        </w:trPr>
        <w:tc>
          <w:tcPr>
            <w:tcW w:w="1271" w:type="dxa"/>
          </w:tcPr>
          <w:p w14:paraId="4E4181E7" w14:textId="5A77CA69"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&lt;EndNote&gt;&lt;Cite&gt;&lt;Author&gt;Zhao&lt;/Author&gt;&lt;Year&gt;2015&lt;/Year&gt;&lt;RecNum&gt;38&lt;/RecNum&gt;&lt;DisplayText&gt;(&lt;style face="italic"&gt;38&lt;/style&gt;)&lt;/DisplayText&gt;&lt;record&gt;&lt;rec-number&gt;38&lt;/rec-number&gt;&lt;foreign-keys&gt;&lt;key app="EN" db-id="xzsfatx5atrs04edaaxvsv2ztfwrrwer0aea" timestamp="1719148479"&gt;38&lt;/key&gt;&lt;/foreign-keys&gt;&lt;ref-type name="Journal Article"&gt;17&lt;/ref-type&gt;&lt;contributors&gt;&lt;authors&gt;&lt;author&gt;Zhao, Jian&lt;/author&gt;&lt;author&gt;Liu, Feifei&lt;/author&gt;&lt;author&gt;Wang, Zhenyu&lt;/author&gt;&lt;author&gt;Cao, Xuesong&lt;/author&gt;&lt;author&gt;Xing, Baoshan&lt;/author&gt;&lt;/authors&gt;&lt;/contributors&gt;&lt;titles&gt;&lt;title&gt;Heteroaggregation of Graphene Oxide with Minerals in Aqueous Phase&lt;/title&gt;&lt;secondary-title&gt;Environmental Science &amp;amp; Technology&lt;/secondary-title&gt;&lt;/titles&gt;&lt;periodical&gt;&lt;full-title&gt;Environmental Science &amp;amp; Technology&lt;/full-title&gt;&lt;/periodical&gt;&lt;pages&gt;2849-2857&lt;/pages&gt;&lt;volume&gt;49&lt;/volume&gt;&lt;number&gt;5&lt;/number&gt;&lt;dates&gt;&lt;year&gt;2015&lt;/year&gt;&lt;pub-dates&gt;&lt;date&gt;2015/03/03&lt;/date&gt;&lt;/pub-dates&gt;&lt;/dates&gt;&lt;publisher&gt;American Chemical Society&lt;/publisher&gt;&lt;isbn&gt;0013-936X&lt;/isbn&gt;&lt;urls&gt;&lt;related-urls&gt;&lt;url&gt;https://doi.org/10.1021/es505605w&lt;/url&gt;&lt;/related-urls&gt;&lt;/urls&gt;&lt;electronic-resource-num&gt;10.1021/es505605w&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(38)</w:t>
            </w:r>
            <w:r w:rsidRPr="009C4C93">
              <w:rPr>
                <w:rFonts w:asciiTheme="majorBidi" w:hAnsiTheme="majorBidi" w:cstheme="majorBidi"/>
                <w:bCs/>
                <w:color w:val="000000"/>
                <w:szCs w:val="24"/>
                <w:lang w:eastAsia="en-GB"/>
              </w:rPr>
              <w:fldChar w:fldCharType="end"/>
            </w:r>
          </w:p>
        </w:tc>
        <w:tc>
          <w:tcPr>
            <w:tcW w:w="7796" w:type="dxa"/>
            <w:hideMark/>
          </w:tcPr>
          <w:p w14:paraId="42215A74"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Heteroaggregation of Graphene Oxide with Minerals in Aqueous Phase</w:t>
            </w:r>
          </w:p>
        </w:tc>
      </w:tr>
      <w:tr w:rsidR="009C4C93" w:rsidRPr="009C4C93" w14:paraId="27A47F20" w14:textId="77777777" w:rsidTr="000F2AFE">
        <w:trPr>
          <w:trHeight w:val="510"/>
        </w:trPr>
        <w:tc>
          <w:tcPr>
            <w:tcW w:w="1271" w:type="dxa"/>
          </w:tcPr>
          <w:p w14:paraId="2138C2E3" w14:textId="1A4DFB35"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&lt;EndNote&gt;&lt;Cite&gt;&lt;Author&gt;Xu&lt;/Author&gt;&lt;Year&gt;2011&lt;/Year&gt;&lt;RecNum&gt;39&lt;/RecNum&gt;&lt;DisplayText&gt;(&lt;style face="italic"&gt;39&lt;/style&gt;)&lt;/DisplayText&gt;&lt;record&gt;&lt;rec-number&gt;39&lt;/rec-number&gt;&lt;foreign-keys&gt;&lt;key app="EN" db-id="xzsfatx5atrs04edaaxvsv2ztfwrrwer0aea" timestamp="1719148479"&gt;39&lt;/key&gt;&lt;/foreign-keys&gt;&lt;ref-type name="Journal Article"&gt;17&lt;/ref-type&gt;&lt;contributors&gt;&lt;authors&gt;&lt;author&gt;Xu, Yuxi&lt;/author&gt;&lt;author&gt;Sheng, Kaixuan&lt;/author&gt;&lt;author&gt;Li, Chun&lt;/author&gt;&lt;author&gt;Shi, Gaoquan&lt;/author&gt;&lt;/authors&gt;&lt;/contributors&gt;&lt;titles&gt;&lt;title&gt;Highly conductive chemically converted graphene prepared from mildly oxidized graphene oxide&lt;/title&gt;&lt;secondary-title&gt;Journal of Materials Chemistry&lt;/secondary-title&gt;&lt;/titles&gt;&lt;periodical&gt;&lt;full-title&gt;Journal of Materials Chemistry&lt;/full-title&gt;&lt;/periodical&gt;&lt;pages&gt;7376-7380&lt;/pages&gt;&lt;volume&gt;21&lt;/volume&gt;&lt;number&gt;20&lt;/number&gt;&lt;dates&gt;&lt;year&gt;2011&lt;/year&gt;&lt;/dates&gt;&lt;publisher&gt;The Royal Society of Chemistry&lt;/publisher&gt;&lt;isbn&gt;0959-9428&lt;/isbn&gt;&lt;work-type&gt;10.1039/C1JM10768B&lt;/work-type&gt;&lt;urls&gt;&lt;related-urls&gt;&lt;url&gt;http://dx.doi.org/10.1039/C1JM10768B&lt;/url&gt;&lt;/related-urls&gt;&lt;/urls&gt;&lt;electronic-resource-num&gt;10.1039/C1JM10768B&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(39)</w:t>
            </w:r>
            <w:r w:rsidRPr="009C4C93">
              <w:rPr>
                <w:rFonts w:asciiTheme="majorBidi" w:hAnsiTheme="majorBidi" w:cstheme="majorBidi"/>
                <w:bCs/>
                <w:color w:val="000000"/>
                <w:szCs w:val="24"/>
                <w:lang w:eastAsia="en-GB"/>
              </w:rPr>
              <w:fldChar w:fldCharType="end"/>
            </w:r>
          </w:p>
        </w:tc>
        <w:tc>
          <w:tcPr>
            <w:tcW w:w="7796" w:type="dxa"/>
            <w:hideMark/>
          </w:tcPr>
          <w:p w14:paraId="199942CD"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Highly conductive chemically converted graphene prepared from mildly oxidized graphene oxide</w:t>
            </w:r>
          </w:p>
        </w:tc>
      </w:tr>
      <w:tr w:rsidR="009C4C93" w:rsidRPr="009C4C93" w14:paraId="4B7B558D" w14:textId="77777777" w:rsidTr="000F2AFE">
        <w:trPr>
          <w:trHeight w:val="510"/>
        </w:trPr>
        <w:tc>
          <w:tcPr>
            <w:tcW w:w="1271" w:type="dxa"/>
          </w:tcPr>
          <w:p w14:paraId="6CADC17E" w14:textId="4F0534C9"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&lt;EndNote&gt;&lt;Cite&gt;&lt;Author&gt;Gao&lt;/Author&gt;&lt;Year&gt;2017&lt;/Year&gt;&lt;RecNum&gt;40&lt;/RecNum&gt;&lt;DisplayText&gt;(&lt;style face="italic"&gt;40&lt;/style&gt;)&lt;/DisplayText&gt;&lt;record&gt;&lt;rec-number&gt;40&lt;/rec-number&gt;&lt;foreign-keys&gt;&lt;key app="EN" db-id="xzsfatx5atrs04edaaxvsv2ztfwrrwer0aea" timestamp="1719148479"&gt;40&lt;/key&gt;&lt;/foreign-keys&gt;&lt;ref-type name="Journal Article"&gt;17&lt;/ref-type&gt;&lt;contributors&gt;&lt;authors&gt;&lt;author&gt;Gao, Yang&lt;/author&gt;&lt;author&gt;Ren, Xuemei&lt;/author&gt;&lt;author&gt;Tan, Xiaoli&lt;/author&gt;&lt;author&gt;Hayat, Tasawar&lt;/author&gt;&lt;author&gt;Alsaedi, Ahmed&lt;/author&gt;&lt;author&gt;Chen, Changlun&lt;/author&gt;&lt;/authors&gt;&lt;/contributors&gt;&lt;titles&gt;&lt;title&gt;Insights into key factors controlling GO stability in natural surface waters&lt;/title&gt;&lt;secondary-title&gt;Journal of Hazardous Materials&lt;/secondary-title&gt;&lt;/titles&gt;&lt;periodical&gt;&lt;full-title&gt;Journal of Hazardous Materials&lt;/full-title&gt;&lt;/periodical&gt;&lt;pages&gt;56-65&lt;/pages&gt;&lt;volume&gt;335&lt;/volume&gt;&lt;keywords&gt;&lt;keyword&gt;Natural surface waters&lt;/keyword&gt;&lt;keyword&gt;GO&lt;/keyword&gt;&lt;keyword&gt;Aggregation mechanism&lt;/keyword&gt;&lt;keyword&gt;Sedimentation&lt;/keyword&gt;&lt;/keywords&gt;&lt;dates&gt;&lt;year&gt;2017&lt;/year&gt;&lt;pub-dates&gt;&lt;date&gt;2017/08/05/&lt;/date&gt;&lt;/pub-dates&gt;&lt;/dates&gt;&lt;isbn&gt;0304-3894&lt;/isbn&gt;&lt;urls&gt;&lt;related-urls&gt;&lt;url&gt;https://www.sciencedirect.com/science/article/pii/S0304389417302698&lt;/url&gt;&lt;/related-urls&gt;&lt;/urls&gt;&lt;electronic-resource-num&gt;https://doi.org/10.1016/j.jhazmat.2017.04.027&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(40)</w:t>
            </w:r>
            <w:r w:rsidRPr="009C4C93">
              <w:rPr>
                <w:rFonts w:asciiTheme="majorBidi" w:hAnsiTheme="majorBidi" w:cstheme="majorBidi"/>
                <w:bCs/>
                <w:color w:val="000000"/>
                <w:szCs w:val="24"/>
                <w:lang w:eastAsia="en-GB"/>
              </w:rPr>
              <w:fldChar w:fldCharType="end"/>
            </w:r>
          </w:p>
        </w:tc>
        <w:tc>
          <w:tcPr>
            <w:tcW w:w="7796" w:type="dxa"/>
            <w:hideMark/>
          </w:tcPr>
          <w:p w14:paraId="60E4FAEE" w14:textId="77777777" w:rsidR="009C4C93" w:rsidRPr="009C4C93" w:rsidRDefault="009C4C93" w:rsidP="000F2AFE">
            <w:pPr>
              <w:jc w:val="center"/>
              <w:rPr>
                <w:rFonts w:asciiTheme="majorBidi" w:eastAsia="Times New Roman" w:hAnsiTheme="majorBidi" w:cstheme="majorBidi"/>
                <w:bCs/>
                <w:color w:val="1F1F1F"/>
                <w:szCs w:val="24"/>
                <w:lang w:eastAsia="en-GB"/>
              </w:rPr>
            </w:pPr>
            <w:r w:rsidRPr="009C4C93">
              <w:rPr>
                <w:rFonts w:asciiTheme="majorBidi" w:eastAsia="Times New Roman" w:hAnsiTheme="majorBidi" w:cstheme="majorBidi"/>
                <w:bCs/>
                <w:color w:val="1F1F1F"/>
                <w:szCs w:val="24"/>
                <w:lang w:eastAsia="en-GB"/>
              </w:rPr>
              <w:t>Insights into key factors controlling GO stability in natural surface waters</w:t>
            </w:r>
          </w:p>
        </w:tc>
      </w:tr>
      <w:tr w:rsidR="009C4C93" w:rsidRPr="009C4C93" w14:paraId="477DF114" w14:textId="77777777" w:rsidTr="000F2AFE">
        <w:trPr>
          <w:trHeight w:val="300"/>
        </w:trPr>
        <w:tc>
          <w:tcPr>
            <w:tcW w:w="1271" w:type="dxa"/>
            <w:noWrap/>
            <w:hideMark/>
          </w:tcPr>
          <w:p w14:paraId="558DDAF0" w14:textId="3E39B13A" w:rsidR="009C4C93" w:rsidRPr="009C4C93" w:rsidRDefault="009C4C93" w:rsidP="000F2AFE">
            <w:pPr>
              <w:jc w:val="center"/>
              <w:rPr>
                <w:rFonts w:asciiTheme="majorBidi" w:eastAsia="Times New Roman" w:hAnsiTheme="majorBidi" w:cstheme="majorBidi"/>
                <w:bCs/>
                <w:color w:val="1F1F1F"/>
                <w:szCs w:val="24"/>
                <w:lang w:eastAsia="en-GB"/>
              </w:rPr>
            </w:pPr>
            <w:r w:rsidRPr="009C4C93">
              <w:rPr>
                <w:rFonts w:asciiTheme="majorBidi" w:hAnsiTheme="majorBidi" w:cstheme="majorBidi"/>
                <w:bCs/>
                <w:color w:val="1F1F1F"/>
                <w:szCs w:val="24"/>
                <w:lang w:eastAsia="en-GB"/>
              </w:rPr>
              <w:fldChar w:fldCharType="begin"/>
            </w:r>
            <w:r>
              <w:rPr>
                <w:rFonts w:asciiTheme="majorBidi" w:eastAsia="Times New Roman" w:hAnsiTheme="majorBidi" w:cstheme="majorBidi"/>
                <w:bCs/>
                <w:color w:val="1F1F1F"/>
                <w:szCs w:val="24"/>
                <w:lang w:eastAsia="en-GB"/>
              </w:rPr>
              <w:instrText xml:space="preserve"> ADDIN EN.CITE &lt;EndNote&gt;&lt;Cite&gt;&lt;Author&gt;Tang&lt;/Author&gt;&lt;Year&gt;2017&lt;/Year&gt;&lt;RecNum&gt;41&lt;/RecNum&gt;&lt;DisplayText&gt;(&lt;style face="italic"&gt;41&lt;/style&gt;)&lt;/DisplayText&gt;&lt;record&gt;&lt;rec-number&gt;41&lt;/rec-number&gt;&lt;foreign-keys&gt;&lt;key app="EN" db-id="xzsfatx5atrs04edaaxvsv2ztfwrrwer0aea" timestamp="1719148479"&gt;41&lt;/key&gt;&lt;/foreign-keys&gt;&lt;ref-type name="Journal Article"&gt;17&lt;/ref-type&gt;&lt;contributors&gt;&lt;authors&gt;&lt;author&gt;Tang, Huan&lt;/author&gt;&lt;author&gt;Zhao, Ying&lt;/author&gt;&lt;author&gt;Yang, Xiaonan&lt;/author&gt;&lt;author&gt;Liu, Dongmei&lt;/author&gt;&lt;author&gt;Shao, Penghui&lt;/author&gt;&lt;author&gt;Zhu, Zhigao&lt;/author&gt;&lt;author&gt;Shan, Sujie&lt;/author&gt;&lt;author&gt;Cui, Fuyi&lt;/author&gt;&lt;author&gt;Xing, Baoshan&lt;/author&gt;&lt;/authors&gt;&lt;/contributors&gt;&lt;titles&gt;&lt;title&gt;New insight into the aggregation of graphene oxide using molecular dynamics simulations and extended Derjaguin–Landau–Verwey–Overbeek theory&lt;/title&gt;&lt;secondary-title&gt;Environmental science &amp;amp; technology&lt;/secondary-title&gt;&lt;/titles&gt;&lt;periodical&gt;&lt;full-title&gt;Environmental Science &amp;amp; Technology&lt;/full-title&gt;&lt;/periodical&gt;&lt;pages&gt;9674-9682&lt;/pages&gt;&lt;volume&gt;51&lt;/volume&gt;&lt;number&gt;17&lt;/number&gt;&lt;dates&gt;&lt;year&gt;2017&lt;/year&gt;&lt;/dates&gt;&lt;isbn&gt;0013-936X&lt;/isbn&gt;&lt;urls&gt;&lt;/urls&gt;&lt;/record&gt;&lt;/Cite&gt;&lt;/EndNote&gt;</w:instrText>
            </w:r>
            <w:r w:rsidRPr="009C4C93">
              <w:rPr>
                <w:rFonts w:asciiTheme="majorBidi" w:hAnsiTheme="majorBidi" w:cstheme="majorBidi"/>
                <w:bCs/>
                <w:color w:val="1F1F1F"/>
                <w:szCs w:val="24"/>
                <w:lang w:eastAsia="en-GB"/>
              </w:rPr>
              <w:fldChar w:fldCharType="separate"/>
            </w:r>
            <w:r w:rsidRPr="009C4C93">
              <w:rPr>
                <w:rFonts w:asciiTheme="majorBidi" w:eastAsia="Times New Roman" w:hAnsiTheme="majorBidi" w:cstheme="majorBidi"/>
                <w:bCs/>
                <w:noProof/>
                <w:color w:val="1F1F1F"/>
                <w:szCs w:val="24"/>
                <w:lang w:eastAsia="en-GB"/>
              </w:rPr>
              <w:t>(41)</w:t>
            </w:r>
            <w:r w:rsidRPr="009C4C93">
              <w:rPr>
                <w:rFonts w:asciiTheme="majorBidi" w:hAnsiTheme="majorBidi" w:cstheme="majorBidi"/>
                <w:bCs/>
                <w:color w:val="1F1F1F"/>
                <w:szCs w:val="24"/>
                <w:lang w:eastAsia="en-GB"/>
              </w:rPr>
              <w:fldChar w:fldCharType="end"/>
            </w:r>
          </w:p>
        </w:tc>
        <w:tc>
          <w:tcPr>
            <w:tcW w:w="7796" w:type="dxa"/>
            <w:hideMark/>
          </w:tcPr>
          <w:p w14:paraId="3E15056D"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New Insight into the Aggregation of Graphene Oxide Using Molecular Dynamics Simulations and Extended Derjaguin–Landau–Verwey–Overbeek Theory</w:t>
            </w:r>
          </w:p>
        </w:tc>
      </w:tr>
      <w:tr w:rsidR="009C4C93" w:rsidRPr="009C4C93" w14:paraId="242E8439" w14:textId="77777777" w:rsidTr="000F2AFE">
        <w:trPr>
          <w:trHeight w:val="300"/>
        </w:trPr>
        <w:tc>
          <w:tcPr>
            <w:tcW w:w="1271" w:type="dxa"/>
          </w:tcPr>
          <w:p w14:paraId="459654DF" w14:textId="4E3196F0"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&lt;EndNote&gt;&lt;Cite&gt;&lt;Author&gt;McCoy&lt;/Author&gt;&lt;Year&gt;2015&lt;/Year&gt;&lt;RecNum&gt;42&lt;/RecNum&gt;&lt;DisplayText&gt;(&lt;style face="italic"&gt;42&lt;/style&gt;)&lt;/DisplayText&gt;&lt;record&gt;&lt;rec-number&gt;42&lt;/rec-number&gt;&lt;foreign-keys&gt;&lt;key app="EN" db-id="xzsfatx5atrs04edaaxvsv2ztfwrrwer0aea" timestamp="1719148479"&gt;42&lt;/key&gt;&lt;/foreign-keys&gt;&lt;ref-type name="Journal Article"&gt;17&lt;/ref-type&gt;&lt;contributors&gt;&lt;authors&gt;&lt;author&gt;McCoy, Thomas M.&lt;/author&gt;&lt;author&gt;Brown, Paul&lt;/author&gt;&lt;author&gt;Eastoe, Julian&lt;/author&gt;&lt;author&gt;Tabor, Rico F.&lt;/author&gt;&lt;/authors&gt;&lt;/contributors&gt;&lt;titles&gt;&lt;title&gt;Noncovalent Magnetic Control and Reversible Recovery of Graphene Oxide Using Iron Oxide and Magnetic Surfactants&lt;/title&gt;&lt;secondary-title&gt;ACS Applied Materials &amp;amp; Interfaces&lt;/secondary-title&gt;&lt;/titles&gt;&lt;periodical&gt;&lt;full-title&gt;ACS Applied Materials &amp;amp; Interfaces&lt;/full-title&gt;&lt;/periodical&gt;&lt;pages&gt;2124-2133&lt;/pages&gt;&lt;volume&gt;7&lt;/volume&gt;&lt;number&gt;3&lt;/number&gt;&lt;dates&gt;&lt;year&gt;2015&lt;/year&gt;&lt;pub-dates&gt;&lt;date&gt;2015/01/28&lt;/date&gt;&lt;/pub-dates&gt;&lt;/dates&gt;&lt;publisher&gt;American Chemical Society&lt;/publisher&gt;&lt;isbn&gt;1944-8244&lt;/isbn&gt;&lt;urls&gt;&lt;related-urls&gt;&lt;url&gt;https://doi.org/10.1021/am508565d&lt;/url&gt;&lt;/related-urls&gt;&lt;/urls&gt;&lt;electronic-resource-num&gt;10.1021/am508565d&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(42)</w:t>
            </w:r>
            <w:r w:rsidRPr="009C4C93">
              <w:rPr>
                <w:rFonts w:asciiTheme="majorBidi" w:hAnsiTheme="majorBidi" w:cstheme="majorBidi"/>
                <w:bCs/>
                <w:color w:val="000000"/>
                <w:szCs w:val="24"/>
                <w:lang w:eastAsia="en-GB"/>
              </w:rPr>
              <w:fldChar w:fldCharType="end"/>
            </w:r>
          </w:p>
        </w:tc>
        <w:tc>
          <w:tcPr>
            <w:tcW w:w="7796" w:type="dxa"/>
            <w:hideMark/>
          </w:tcPr>
          <w:p w14:paraId="3342C93A"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Noncovalent Magnetic Control and Reversible Recovery of Graphene Oxide Using Iron Oxide and Magnetic Surfactants</w:t>
            </w:r>
          </w:p>
        </w:tc>
      </w:tr>
      <w:tr w:rsidR="009C4C93" w:rsidRPr="009C4C93" w14:paraId="720E3384" w14:textId="77777777" w:rsidTr="000F2AFE">
        <w:trPr>
          <w:trHeight w:val="510"/>
        </w:trPr>
        <w:tc>
          <w:tcPr>
            <w:tcW w:w="1271" w:type="dxa"/>
            <w:noWrap/>
            <w:hideMark/>
          </w:tcPr>
          <w:p w14:paraId="2793437E" w14:textId="52044BAA"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&lt;EndNote&gt;&lt;Cite&gt;&lt;Author&gt;Li&lt;/Author&gt;&lt;Year&gt;2008&lt;/Year&gt;&lt;RecNum&gt;43&lt;/RecNum&gt;&lt;DisplayText&gt;(&lt;style face="italic"&gt;43&lt;/style&gt;)&lt;/DisplayText&gt;&lt;record&gt;&lt;rec-number&gt;43&lt;/rec-number&gt;&lt;foreign-keys&gt;&lt;key app="EN" db-id="xzsfatx5atrs04edaaxvsv2ztfwrrwer0aea" timestamp="1719148479"&gt;43&lt;/key&gt;&lt;/foreign-keys&gt;&lt;ref-type name="Journal Article"&gt;17&lt;/ref-type&gt;&lt;contributors&gt;&lt;authors&gt;&lt;author&gt;Li, Dan&lt;/author&gt;&lt;author&gt;Müller, Marc B&lt;/author&gt;&lt;author&gt;Gilje, Scott&lt;/author&gt;&lt;author&gt;Kaner, Richard B&lt;/author&gt;&lt;author&gt;Wallace, Gordon G&lt;/author&gt;&lt;/authors&gt;&lt;/contributors&gt;&lt;titles&gt;&lt;title&gt;Processable aqueous dispersions of graphene nanosheets&lt;/title&gt;&lt;secondary-title&gt;Nature nanotechnology&lt;/secondary-title&gt;&lt;/titles&gt;&lt;periodical&gt;&lt;full-title&gt;Nature Nanotechnology&lt;/full-title&gt;&lt;/periodical&gt;&lt;pages&gt;101-105&lt;/pages&gt;&lt;volume&gt;3&lt;/volume&gt;&lt;number&gt;2&lt;/number&gt;&lt;dates&gt;&lt;year&gt;2008&lt;/year&gt;&lt;/dates&gt;&lt;isbn&gt;1748-3395&lt;/isbn&gt;&lt;urls&gt;&lt;/urls&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(43)</w:t>
            </w:r>
            <w:r w:rsidRPr="009C4C93">
              <w:rPr>
                <w:rFonts w:asciiTheme="majorBidi" w:hAnsiTheme="majorBidi" w:cstheme="majorBidi"/>
                <w:bCs/>
                <w:color w:val="000000"/>
                <w:szCs w:val="24"/>
                <w:lang w:eastAsia="en-GB"/>
              </w:rPr>
              <w:fldChar w:fldCharType="end"/>
            </w:r>
          </w:p>
        </w:tc>
        <w:tc>
          <w:tcPr>
            <w:tcW w:w="7796" w:type="dxa"/>
            <w:hideMark/>
          </w:tcPr>
          <w:p w14:paraId="579108DF"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Processable aqueous dispersions of graphene nanosheets</w:t>
            </w:r>
          </w:p>
        </w:tc>
      </w:tr>
      <w:tr w:rsidR="009C4C93" w:rsidRPr="009C4C93" w14:paraId="78B72DC6" w14:textId="77777777" w:rsidTr="000F2AFE">
        <w:trPr>
          <w:trHeight w:val="510"/>
        </w:trPr>
        <w:tc>
          <w:tcPr>
            <w:tcW w:w="1271" w:type="dxa"/>
            <w:noWrap/>
          </w:tcPr>
          <w:p w14:paraId="25DB4D5C" w14:textId="107310BB"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&lt;EndNote&gt;&lt;Cite&gt;&lt;Author&gt;Nguyen&lt;/Author&gt;&lt;Year&gt;2017&lt;/Year&gt;&lt;RecNum&gt;44&lt;/RecNum&gt;&lt;DisplayText&gt;(&lt;style face="italic"&gt;44&lt;/style&gt;)&lt;/DisplayText&gt;&lt;record&gt;&lt;rec-number&gt;44&lt;/rec-number&gt;&lt;foreign-keys&gt;&lt;key app="EN" db-id="xzsfatx5atrs04edaaxvsv2ztfwrrwer0aea" timestamp="1719148479"&gt;44&lt;/key&gt;&lt;/foreign-keys&gt;&lt;ref-type name="Journal Article"&gt;17&lt;/ref-type&gt;&lt;contributors&gt;&lt;authors&gt;&lt;author&gt;Nguyen, Thai Phuong&lt;/author&gt;&lt;author&gt;Chang, Wei-Chang&lt;/author&gt;&lt;author&gt;Lai, Yen-Chih&lt;/author&gt;&lt;author&gt;Hsiao, Ta-Chih&lt;/author&gt;&lt;author&gt;Tsai, De-Hao&lt;/author&gt;&lt;/authors&gt;&lt;/contributors&gt;&lt;titles&gt;&lt;title&gt;Quantitative characterization of colloidal assembly of graphene oxide-silver nanoparticle hybrids using aerosol differential mobility-coupled mass analyses&lt;/title&gt;&lt;secondary-title&gt;Analytical and Bioanalytical Chemistry&lt;/secondary-title&gt;&lt;/titles&gt;&lt;periodical&gt;&lt;full-title&gt;Analytical and Bioanalytical Chemistry&lt;/full-title&gt;&lt;/periodical&gt;&lt;pages&gt;5933-5941&lt;/pages&gt;&lt;volume&gt;409&lt;/volume&gt;&lt;number&gt;25&lt;/number&gt;&lt;dates&gt;&lt;year&gt;2017&lt;/year&gt;&lt;pub-dates&gt;&lt;date&gt;2017/10/01&lt;/date&gt;&lt;/pub-dates&gt;&lt;/dates&gt;&lt;isbn&gt;1618-2650&lt;/isbn&gt;&lt;urls&gt;&lt;related-urls&gt;&lt;url&gt;https://doi.org/10.1007/s00216-017-0535-z&lt;/url&gt;&lt;/related-urls&gt;&lt;/urls&gt;&lt;electronic-resource-num&gt;10.1007/s00216-017-0535-z&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(44)</w:t>
            </w:r>
            <w:r w:rsidRPr="009C4C93">
              <w:rPr>
                <w:rFonts w:asciiTheme="majorBidi" w:hAnsiTheme="majorBidi" w:cstheme="majorBidi"/>
                <w:bCs/>
                <w:color w:val="000000"/>
                <w:szCs w:val="24"/>
                <w:lang w:eastAsia="en-GB"/>
              </w:rPr>
              <w:fldChar w:fldCharType="end"/>
            </w:r>
          </w:p>
        </w:tc>
        <w:tc>
          <w:tcPr>
            <w:tcW w:w="7796" w:type="dxa"/>
            <w:hideMark/>
          </w:tcPr>
          <w:p w14:paraId="69338661"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Quantitative characterization of colloidal assembly of graphene oxide-silver nanoparticle hybrids using aerosol differential mobility-coupled mass analyses</w:t>
            </w:r>
          </w:p>
        </w:tc>
      </w:tr>
      <w:tr w:rsidR="009C4C93" w:rsidRPr="009C4C93" w14:paraId="3B10EC3E" w14:textId="77777777" w:rsidTr="000F2AFE">
        <w:trPr>
          <w:trHeight w:val="510"/>
        </w:trPr>
        <w:tc>
          <w:tcPr>
            <w:tcW w:w="1271" w:type="dxa"/>
            <w:noWrap/>
          </w:tcPr>
          <w:p w14:paraId="2663EC68" w14:textId="53740F28"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lastRenderedPageBreak/>
              <w:fldChar w:fldCharType="begin"/>
            </w:r>
            <w:r>
              <w:rPr>
                <w:rFonts w:asciiTheme="majorBidi" w:eastAsia="Times New Roman" w:hAnsiTheme="majorBidi" w:cstheme="majorBidi"/>
                <w:bCs/>
                <w:color w:val="000000"/>
                <w:szCs w:val="24"/>
                <w:lang w:eastAsia="en-GB"/>
              </w:rPr>
              <w:instrText xml:space="preserve"> ADDIN EN.CITE &lt;EndNote&gt;&lt;Cite&gt;&lt;Author&gt;Zhang&lt;/Author&gt;&lt;Year&gt;2022&lt;/Year&gt;&lt;RecNum&gt;45&lt;/RecNum&gt;&lt;DisplayText&gt;(&lt;style face="italic"&gt;45&lt;/style&gt;)&lt;/DisplayText&gt;&lt;record&gt;&lt;rec-number&gt;45&lt;/rec-number&gt;&lt;foreign-keys&gt;&lt;key app="EN" db-id="xzsfatx5atrs04edaaxvsv2ztfwrrwer0aea" timestamp="1719148479"&gt;45&lt;/key&gt;&lt;/foreign-keys&gt;&lt;ref-type name="Journal Article"&gt;17&lt;/ref-type&gt;&lt;contributors&gt;&lt;authors&gt;&lt;author&gt;Zhang, Shuyan&lt;/author&gt;&lt;author&gt;Li, Wenli&lt;/author&gt;&lt;author&gt;Tang, Huan&lt;/author&gt;&lt;author&gt;Huang, Tinglin&lt;/author&gt;&lt;author&gt;Xing, Baoshan&lt;/author&gt;&lt;/authors&gt;&lt;/contributors&gt;&lt;titles&gt;&lt;title&gt;Revisit the adsorption of aromatic compounds on graphene oxide: Roles of oxidized debris&lt;/title&gt;&lt;secondary-title&gt;Chemical Engineering Journal&lt;/secondary-title&gt;&lt;/titles&gt;&lt;periodical&gt;&lt;full-title&gt;Chemical Engineering Journal&lt;/full-title&gt;&lt;/periodical&gt;&lt;pages&gt;137996&lt;/pages&gt;&lt;volume&gt;450&lt;/volume&gt;&lt;keywords&gt;&lt;keyword&gt;Graphene oxide&lt;/keyword&gt;&lt;keyword&gt;Oxidized debris&lt;/keyword&gt;&lt;keyword&gt;Adsorption&lt;/keyword&gt;&lt;keyword&gt;Aromatic compounds&lt;/keyword&gt;&lt;keyword&gt;Molecular dynamic simulation&lt;/keyword&gt;&lt;/keywords&gt;&lt;dates&gt;&lt;year&gt;2022&lt;/year&gt;&lt;pub-dates&gt;&lt;date&gt;2022/12/15/&lt;/date&gt;&lt;/pub-dates&gt;&lt;/dates&gt;&lt;isbn&gt;1385-8947&lt;/isbn&gt;&lt;urls&gt;&lt;related-urls&gt;&lt;url&gt;https://www.sciencedirect.com/science/article/pii/S1385894722034829&lt;/url&gt;&lt;/related-urls&gt;&lt;/urls&gt;&lt;electronic-resource-num&gt;https://doi.org/10.1016/j.cej.2022.137996&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(45)</w:t>
            </w:r>
            <w:r w:rsidRPr="009C4C93">
              <w:rPr>
                <w:rFonts w:asciiTheme="majorBidi" w:hAnsiTheme="majorBidi" w:cstheme="majorBidi"/>
                <w:bCs/>
                <w:color w:val="000000"/>
                <w:szCs w:val="24"/>
                <w:lang w:eastAsia="en-GB"/>
              </w:rPr>
              <w:fldChar w:fldCharType="end"/>
            </w:r>
          </w:p>
        </w:tc>
        <w:tc>
          <w:tcPr>
            <w:tcW w:w="7796" w:type="dxa"/>
          </w:tcPr>
          <w:p w14:paraId="627125C6"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Revisit the adsorption of aromatic compounds on graphene oxide: Roles of oxidized debris</w:t>
            </w:r>
          </w:p>
          <w:p w14:paraId="29C30E86" w14:textId="77777777" w:rsidR="009C4C93" w:rsidRPr="009C4C93" w:rsidRDefault="009C4C93" w:rsidP="000F2AFE">
            <w:pPr>
              <w:jc w:val="center"/>
              <w:rPr>
                <w:rFonts w:asciiTheme="majorBidi" w:eastAsia="Times New Roman" w:hAnsiTheme="majorBidi" w:cstheme="majorBidi"/>
                <w:bCs/>
                <w:color w:val="000000"/>
                <w:szCs w:val="24"/>
                <w:lang w:eastAsia="en-GB"/>
              </w:rPr>
            </w:pPr>
          </w:p>
        </w:tc>
      </w:tr>
      <w:tr w:rsidR="009C4C93" w:rsidRPr="009C4C93" w14:paraId="1213B881" w14:textId="77777777" w:rsidTr="000F2AFE">
        <w:trPr>
          <w:trHeight w:val="510"/>
        </w:trPr>
        <w:tc>
          <w:tcPr>
            <w:tcW w:w="1271" w:type="dxa"/>
          </w:tcPr>
          <w:p w14:paraId="1343DDE5" w14:textId="586C704C"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&lt;EndNote&gt;&lt;Cite&gt;&lt;Author&gt;Huang&lt;/Author&gt;&lt;Year&gt;2013&lt;/Year&gt;&lt;RecNum&gt;46&lt;/RecNum&gt;&lt;DisplayText&gt;(&lt;style face="italic"&gt;46&lt;/style&gt;)&lt;/DisplayText&gt;&lt;record&gt;&lt;rec-number&gt;46&lt;/rec-number&gt;&lt;foreign-keys&gt;&lt;key app="EN" db-id="xzsfatx5atrs04edaaxvsv2ztfwrrwer0aea" timestamp="1719148479"&gt;46&lt;/key&gt;&lt;/foreign-keys&gt;&lt;ref-type name="Journal Article"&gt;17&lt;/ref-type&gt;&lt;contributors&gt;&lt;authors&gt;&lt;author&gt;Huang, Hubiao&lt;/author&gt;&lt;author&gt;Mao, Yiyin&lt;/author&gt;&lt;author&gt;Ying, Yulong&lt;/author&gt;&lt;author&gt;Liu, Yu&lt;/author&gt;&lt;author&gt;Sun, Luwei&lt;/author&gt;&lt;author&gt;Peng, Xinsheng&lt;/author&gt;&lt;/authors&gt;&lt;/contributors&gt;&lt;titles&gt;&lt;title&gt;Salt concentration, pH and pressure controlled separation of small molecules through lamellar graphene oxide membranes&lt;/title&gt;&lt;secondary-title&gt;Chemical Communications&lt;/secondary-title&gt;&lt;/titles&gt;&lt;periodical&gt;&lt;full-title&gt;Chemical Communications&lt;/full-title&gt;&lt;/periodical&gt;&lt;pages&gt;5963-5965&lt;/pages&gt;&lt;volume&gt;49&lt;/volume&gt;&lt;number&gt;53&lt;/number&gt;&lt;dates&gt;&lt;year&gt;2013&lt;/year&gt;&lt;/dates&gt;&lt;publisher&gt;The Royal Society of Chemistry&lt;/publisher&gt;&lt;isbn&gt;1359-7345&lt;/isbn&gt;&lt;work-type&gt;10.1039/C3CC41953C&lt;/work-type&gt;&lt;urls&gt;&lt;related-urls&gt;&lt;url&gt;http://dx.doi.org/10.1039/C3CC41953C&lt;/url&gt;&lt;/related-urls&gt;&lt;/urls&gt;&lt;electronic-resource-num&gt;10.1039/C3CC41953C&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(46)</w:t>
            </w:r>
            <w:r w:rsidRPr="009C4C93">
              <w:rPr>
                <w:rFonts w:asciiTheme="majorBidi" w:hAnsiTheme="majorBidi" w:cstheme="majorBidi"/>
                <w:bCs/>
                <w:color w:val="000000"/>
                <w:szCs w:val="24"/>
                <w:lang w:eastAsia="en-GB"/>
              </w:rPr>
              <w:fldChar w:fldCharType="end"/>
            </w:r>
          </w:p>
        </w:tc>
        <w:tc>
          <w:tcPr>
            <w:tcW w:w="7796" w:type="dxa"/>
            <w:hideMark/>
          </w:tcPr>
          <w:p w14:paraId="2DA445BA"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Salt concentration, pH and pressure controlled separation of small molecules through lamellar graphene oxide membrane</w:t>
            </w:r>
          </w:p>
        </w:tc>
      </w:tr>
      <w:tr w:rsidR="009C4C93" w:rsidRPr="009C4C93" w14:paraId="52FE5730" w14:textId="77777777" w:rsidTr="000F2AFE">
        <w:trPr>
          <w:trHeight w:val="300"/>
        </w:trPr>
        <w:tc>
          <w:tcPr>
            <w:tcW w:w="1271" w:type="dxa"/>
          </w:tcPr>
          <w:p w14:paraId="1999EEBA" w14:textId="4BC33626"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&lt;EndNote&gt;&lt;Cite&gt;&lt;Author&gt;Wang&lt;/Author&gt;&lt;Year&gt;2011&lt;/Year&gt;&lt;RecNum&gt;47&lt;/RecNum&gt;&lt;DisplayText&gt;(&lt;style face="italic"&gt;47&lt;/style&gt;)&lt;/DisplayText&gt;&lt;record&gt;&lt;rec-number&gt;47&lt;/rec-number&gt;&lt;foreign-keys&gt;&lt;key app="EN" db-id="xzsfatx5atrs04edaaxvsv2ztfwrrwer0aea" timestamp="1719148479"&gt;47&lt;/key&gt;&lt;/foreign-keys&gt;&lt;ref-type name="Journal Article"&gt;17&lt;/ref-type&gt;&lt;contributors&gt;&lt;authors&gt;&lt;author&gt;Wang, Xiluan&lt;/author&gt;&lt;author&gt;Bai, Hua&lt;/author&gt;&lt;author&gt;Shi, Gaoquan&lt;/author&gt;&lt;/authors&gt;&lt;/contributors&gt;&lt;titles&gt;&lt;title&gt;Size Fractionation of Graphene Oxide Sheets by pH-Assisted Selective Sedimentation&lt;/title&gt;&lt;secondary-title&gt;Journal of the American Chemical Society&lt;/secondary-title&gt;&lt;/titles&gt;&lt;periodical&gt;&lt;full-title&gt;Journal of the American Chemical Society&lt;/full-title&gt;&lt;/periodical&gt;&lt;pages&gt;6338-6342&lt;/pages&gt;&lt;volume&gt;133&lt;/volume&gt;&lt;number&gt;16&lt;/number&gt;&lt;dates&gt;&lt;year&gt;2011&lt;/year&gt;&lt;pub-dates&gt;&lt;date&gt;2011/04/27&lt;/date&gt;&lt;/pub-dates&gt;&lt;/dates&gt;&lt;publisher&gt;American Chemical Society&lt;/publisher&gt;&lt;isbn&gt;0002-7863&lt;/isbn&gt;&lt;urls&gt;&lt;related-urls&gt;&lt;url&gt;https://doi.org/10.1021/ja200218y&lt;/url&gt;&lt;/related-urls&gt;&lt;/urls&gt;&lt;electronic-resource-num&gt;10.1021/ja200218y&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(47)</w:t>
            </w:r>
            <w:r w:rsidRPr="009C4C93">
              <w:rPr>
                <w:rFonts w:asciiTheme="majorBidi" w:hAnsiTheme="majorBidi" w:cstheme="majorBidi"/>
                <w:bCs/>
                <w:color w:val="000000"/>
                <w:szCs w:val="24"/>
                <w:lang w:eastAsia="en-GB"/>
              </w:rPr>
              <w:fldChar w:fldCharType="end"/>
            </w:r>
          </w:p>
        </w:tc>
        <w:tc>
          <w:tcPr>
            <w:tcW w:w="7796" w:type="dxa"/>
            <w:hideMark/>
          </w:tcPr>
          <w:p w14:paraId="41682272"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Size Fractionation of Graphene Oxide Sheets by pH-Assisted Selective Sedimentation</w:t>
            </w:r>
          </w:p>
        </w:tc>
      </w:tr>
      <w:tr w:rsidR="009C4C93" w:rsidRPr="009C4C93" w14:paraId="7064B795" w14:textId="77777777" w:rsidTr="000F2AFE">
        <w:trPr>
          <w:trHeight w:val="510"/>
        </w:trPr>
        <w:tc>
          <w:tcPr>
            <w:tcW w:w="1271" w:type="dxa"/>
          </w:tcPr>
          <w:p w14:paraId="0263BC3C" w14:textId="41FBAA49"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&lt;EndNote&gt;&lt;Cite&gt;&lt;Author&gt;Yu&lt;/Author&gt;&lt;Year&gt;2016&lt;/Year&gt;&lt;RecNum&gt;48&lt;/RecNum&gt;&lt;DisplayText&gt;(&lt;style face="italic"&gt;48&lt;/style&gt;)&lt;/DisplayText&gt;&lt;record&gt;&lt;rec-number&gt;48&lt;/rec-number&gt;&lt;foreign-keys&gt;&lt;key app="EN" db-id="xzsfatx5atrs04edaaxvsv2ztfwrrwer0aea" timestamp="1719148479"&gt;48&lt;/key&gt;&lt;/foreign-keys&gt;&lt;ref-type name="Journal Article"&gt;17&lt;/ref-type&gt;&lt;contributors&gt;&lt;authors&gt;&lt;author&gt;Yu, Shujun&lt;/author&gt;&lt;author&gt;Wang, Xiangxue&lt;/author&gt;&lt;author&gt;Ai, Yuejie&lt;/author&gt;&lt;author&gt;Liang, Yu&lt;/author&gt;&lt;author&gt;Ji, Yongfei&lt;/author&gt;&lt;author&gt;Li, Jiaxing&lt;/author&gt;&lt;author&gt;Hayat, Tasawar&lt;/author&gt;&lt;author&gt;Alsaedi, Ahmed&lt;/author&gt;&lt;author&gt;Wang, Xiangke&lt;/author&gt;&lt;/authors&gt;&lt;/contributors&gt;&lt;titles&gt;&lt;title&gt;Spectroscopic and theoretical studies on the counterion effect of Cu(ii) ion and graphene oxide interaction with titanium dioxide&lt;/title&gt;&lt;secondary-title&gt;Environmental Science: Nano&lt;/secondary-title&gt;&lt;/titles&gt;&lt;periodical&gt;&lt;full-title&gt;Environmental Science: Nano&lt;/full-title&gt;&lt;/periodical&gt;&lt;pages&gt;1361-1368&lt;/pages&gt;&lt;volume&gt;3&lt;/volume&gt;&lt;number&gt;6&lt;/number&gt;&lt;dates&gt;&lt;year&gt;2016&lt;/year&gt;&lt;/dates&gt;&lt;publisher&gt;The Royal Society of Chemistry&lt;/publisher&gt;&lt;isbn&gt;2051-8153&lt;/isbn&gt;&lt;work-type&gt;10.1039/C6EN00297H&lt;/work-type&gt;&lt;urls&gt;&lt;related-urls&gt;&lt;url&gt;http://dx.doi.org/10.1039/C6EN00297H&lt;/url&gt;&lt;/related-urls&gt;&lt;/urls&gt;&lt;electronic-resource-num&gt;10.1039/C6EN00297H&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(48)</w:t>
            </w:r>
            <w:r w:rsidRPr="009C4C93">
              <w:rPr>
                <w:rFonts w:asciiTheme="majorBidi" w:hAnsiTheme="majorBidi" w:cstheme="majorBidi"/>
                <w:bCs/>
                <w:color w:val="000000"/>
                <w:szCs w:val="24"/>
                <w:lang w:eastAsia="en-GB"/>
              </w:rPr>
              <w:fldChar w:fldCharType="end"/>
            </w:r>
          </w:p>
        </w:tc>
        <w:tc>
          <w:tcPr>
            <w:tcW w:w="7796" w:type="dxa"/>
            <w:hideMark/>
          </w:tcPr>
          <w:p w14:paraId="4738FD92"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Spectroscopic and theoretical studies on the counterion effect of Cu(ii) ion and graphene oxide interaction with titanium dioxide</w:t>
            </w:r>
          </w:p>
        </w:tc>
      </w:tr>
      <w:tr w:rsidR="009C4C93" w:rsidRPr="009C4C93" w14:paraId="687698C1" w14:textId="77777777" w:rsidTr="000F2AFE">
        <w:trPr>
          <w:trHeight w:val="510"/>
        </w:trPr>
        <w:tc>
          <w:tcPr>
            <w:tcW w:w="1271" w:type="dxa"/>
            <w:noWrap/>
          </w:tcPr>
          <w:p w14:paraId="62E3D566" w14:textId="0EC49021"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&lt;EndNote&gt;&lt;Cite&gt;&lt;Author&gt;Qi&lt;/Author&gt;&lt;Year&gt;2017&lt;/Year&gt;&lt;RecNum&gt;49&lt;/RecNum&gt;&lt;DisplayText&gt;(&lt;style face="italic"&gt;49&lt;/style&gt;)&lt;/DisplayText&gt;&lt;record&gt;&lt;rec-number&gt;49&lt;/rec-number&gt;&lt;foreign-keys&gt;&lt;key app="EN" db-id="xzsfatx5atrs04edaaxvsv2ztfwrrwer0aea" timestamp="1719148479"&gt;49&lt;/key&gt;&lt;/foreign-keys&gt;&lt;ref-type name="Journal Article"&gt;17&lt;/ref-type&gt;&lt;contributors&gt;&lt;authors&gt;&lt;author&gt;Qi, Benyu&lt;/author&gt;&lt;author&gt;He, Xiaofan&lt;/author&gt;&lt;author&gt;Zeng, Gaofeng&lt;/author&gt;&lt;author&gt;Pan, Yichang&lt;/author&gt;&lt;author&gt;Li, Guihua&lt;/author&gt;&lt;author&gt;Liu, Guojuan&lt;/author&gt;&lt;author&gt;Zhang, Yanfeng&lt;/author&gt;&lt;author&gt;Chen, Wei&lt;/author&gt;&lt;author&gt;Sun, Yuhan&lt;/author&gt;&lt;/authors&gt;&lt;/contributors&gt;&lt;titles&gt;&lt;title&gt;Strict molecular sieving over electrodeposited 2D-interspacing-narrowed graphene oxide membranes&lt;/title&gt;&lt;secondary-title&gt;Nature Communications&lt;/secondary-title&gt;&lt;/titles&gt;&lt;periodical&gt;&lt;full-title&gt;Nature communications&lt;/full-title&gt;&lt;/periodical&gt;&lt;pages&gt;825&lt;/pages&gt;&lt;volume&gt;8&lt;/volume&gt;&lt;number&gt;1&lt;/number&gt;&lt;dates&gt;&lt;year&gt;2017&lt;/year&gt;&lt;pub-dates&gt;&lt;date&gt;2017/10/10&lt;/date&gt;&lt;/pub-dates&gt;&lt;/dates&gt;&lt;isbn&gt;2041-1723&lt;/isbn&gt;&lt;urls&gt;&lt;related-urls&gt;&lt;url&gt;https://doi.org/10.1038/s41467-017-00990-x&lt;/url&gt;&lt;/related-urls&gt;&lt;/urls&gt;&lt;electronic-resource-num&gt;10.1038/s41467-017-00990-x&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(49)</w:t>
            </w:r>
            <w:r w:rsidRPr="009C4C93">
              <w:rPr>
                <w:rFonts w:asciiTheme="majorBidi" w:hAnsiTheme="majorBidi" w:cstheme="majorBidi"/>
                <w:bCs/>
                <w:color w:val="000000"/>
                <w:szCs w:val="24"/>
                <w:lang w:eastAsia="en-GB"/>
              </w:rPr>
              <w:fldChar w:fldCharType="end"/>
            </w:r>
          </w:p>
        </w:tc>
        <w:tc>
          <w:tcPr>
            <w:tcW w:w="7796" w:type="dxa"/>
            <w:hideMark/>
          </w:tcPr>
          <w:p w14:paraId="597E9713"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Strict molecular sieving over electrodeposited 2D-interspacing-narrowed graphene oxide membranes</w:t>
            </w:r>
          </w:p>
        </w:tc>
      </w:tr>
      <w:tr w:rsidR="009C4C93" w:rsidRPr="009C4C93" w14:paraId="4B112126" w14:textId="77777777" w:rsidTr="000F2AFE">
        <w:trPr>
          <w:trHeight w:val="300"/>
        </w:trPr>
        <w:tc>
          <w:tcPr>
            <w:tcW w:w="1271" w:type="dxa"/>
            <w:noWrap/>
            <w:hideMark/>
          </w:tcPr>
          <w:tbl>
            <w:tblPr>
              <w:tblW w:w="0" w:type="auto"/>
              <w:tblCellSpacing w:w="0" w:type="dxa"/>
              <w:tblCellMar>
                <w:left w:w="0" w:type="dxa"/>
                <w:right w:w="0" w:type="dxa"/>
              </w:tblCellMar>
              <w:tblLook w:val="04A0" w:firstRow="1" w:lastRow="0" w:firstColumn="1" w:lastColumn="0" w:noHBand="0" w:noVBand="1"/>
            </w:tblPr>
            <w:tblGrid>
              <w:gridCol w:w="1055"/>
            </w:tblGrid>
            <w:tr w:rsidR="009C4C93" w:rsidRPr="009C4C93" w14:paraId="2ABFEAFC" w14:textId="77777777" w:rsidTr="000F2AFE">
              <w:trPr>
                <w:trHeight w:val="300"/>
                <w:tblCellSpacing w:w="0" w:type="dxa"/>
              </w:trPr>
              <w:tc>
                <w:tcPr>
                  <w:tcW w:w="2756" w:type="dxa"/>
                  <w:tcBorders>
                    <w:top w:val="nil"/>
                    <w:left w:val="nil"/>
                    <w:bottom w:val="nil"/>
                    <w:right w:val="nil"/>
                  </w:tcBorders>
                  <w:shd w:val="clear" w:color="auto" w:fill="auto"/>
                  <w:vAlign w:val="center"/>
                </w:tcPr>
                <w:p w14:paraId="28CF10B0" w14:textId="56D04A12" w:rsidR="009C4C93" w:rsidRPr="009C4C93" w:rsidRDefault="009C4C93" w:rsidP="000F2AFE">
                  <w:pPr>
                    <w:jc w:val="center"/>
                    <w:rPr>
                      <w:rFonts w:asciiTheme="majorBidi" w:hAnsiTheme="majorBidi" w:cstheme="majorBidi"/>
                      <w:bCs/>
                      <w:color w:val="000000"/>
                      <w:szCs w:val="24"/>
                      <w:lang w:eastAsia="en-GB"/>
                    </w:rPr>
                  </w:pPr>
                  <w:r w:rsidRPr="009C4C93">
                    <w:rPr>
                      <w:rFonts w:asciiTheme="majorBidi" w:hAnsiTheme="majorBidi" w:cstheme="majorBidi"/>
                      <w:bCs/>
                      <w:noProof/>
                      <w:color w:val="000000"/>
                      <w:szCs w:val="24"/>
                      <w:lang w:val="en-GB" w:eastAsia="en-GB"/>
                    </w:rPr>
                    <w:drawing>
                      <wp:anchor distT="0" distB="0" distL="114300" distR="114300" simplePos="0" relativeHeight="251659264" behindDoc="0" locked="0" layoutInCell="1" allowOverlap="1" wp14:anchorId="76D4FE05" wp14:editId="6421EE44">
                        <wp:simplePos x="0" y="0"/>
                        <wp:positionH relativeFrom="column">
                          <wp:posOffset>0</wp:posOffset>
                        </wp:positionH>
                        <wp:positionV relativeFrom="paragraph">
                          <wp:posOffset>0</wp:posOffset>
                        </wp:positionV>
                        <wp:extent cx="257175" cy="190500"/>
                        <wp:effectExtent l="0" t="0" r="0" b="0"/>
                        <wp:wrapNone/>
                        <wp:docPr id="195790814" name="Picture 195790814" descr="Orcid">
                          <a:hlinkClick xmlns:a="http://schemas.openxmlformats.org/drawingml/2006/main" r:id="rId17" tooltip="Orcid 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toShape 2" descr="Orcid">
                                  <a:hlinkClick r:id="rId17" tooltip="Orcid link"/>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57175" cy="190500"/>
                                </a:xfrm>
                                <a:prstGeom prst="rect">
                                  <a:avLst/>
                                </a:prstGeom>
                                <a:noFill/>
                              </pic:spPr>
                            </pic:pic>
                          </a:graphicData>
                        </a:graphic>
                        <wp14:sizeRelH relativeFrom="page">
                          <wp14:pctWidth>0</wp14:pctWidth>
                        </wp14:sizeRelH>
                        <wp14:sizeRelV relativeFrom="page">
                          <wp14:pctHeight>0</wp14:pctHeight>
                        </wp14:sizeRelV>
                      </wp:anchor>
                    </w:drawing>
                  </w:r>
                  <w:r w:rsidRPr="009C4C93">
                    <w:rPr>
                      <w:rFonts w:asciiTheme="majorBidi" w:hAnsiTheme="majorBidi" w:cstheme="majorBidi"/>
                      <w:bCs/>
                      <w:color w:val="000000"/>
                      <w:szCs w:val="24"/>
                      <w:lang w:eastAsia="en-GB"/>
                    </w:rPr>
                    <w:fldChar w:fldCharType="begin"/>
                  </w:r>
                  <w:r>
                    <w:rPr>
                      <w:rFonts w:asciiTheme="majorBidi" w:hAnsiTheme="majorBidi" w:cstheme="majorBidi"/>
                      <w:bCs/>
                      <w:color w:val="000000"/>
                      <w:szCs w:val="24"/>
                      <w:lang w:eastAsia="en-GB"/>
                    </w:rPr>
                    <w:instrText xml:space="preserve"> ADDIN EN.CITE &lt;EndNote&gt;&lt;Cite&gt;&lt;Author&gt;Eigler&lt;/Author&gt;&lt;Year&gt;2013&lt;/Year&gt;&lt;RecNum&gt;50&lt;/RecNum&gt;&lt;DisplayText&gt;(&lt;style face="italic"&gt;50&lt;/style&gt;)&lt;/DisplayText&gt;&lt;record&gt;&lt;rec-number&gt;50&lt;/rec-number&gt;&lt;foreign-keys&gt;&lt;key app="EN" db-id="xzsfatx5atrs04edaaxvsv2ztfwrrwer0aea" timestamp="1719148479"&gt;50&lt;/key&gt;&lt;/foreign-keys&gt;&lt;ref-type name="Journal Article"&gt;17&lt;/ref-type&gt;&lt;contributors&gt;&lt;authors&gt;&lt;author&gt;Eigler, Siegfried&lt;/author&gt;&lt;author&gt;Dotzer, Christoph&lt;/author&gt;&lt;author&gt;Hof, Ferdinand&lt;/author&gt;&lt;author&gt;Bauer, Walter&lt;/author&gt;&lt;author&gt;Hirsch, Andreas&lt;/author&gt;&lt;/authors&gt;&lt;/contributors&gt;&lt;titles&gt;&lt;title&gt;Sulfur Species in Graphene Oxide&lt;/title&gt;&lt;secondary-title&gt;Chemistry – A European Journal&lt;/secondary-title&gt;&lt;/titles&gt;&lt;periodical&gt;&lt;full-title&gt;Chemistry – A European Journal&lt;/full-title&gt;&lt;/periodical&gt;&lt;pages&gt;9490-9496&lt;/pages&gt;&lt;volume&gt;19&lt;/volume&gt;&lt;number&gt;29&lt;/number&gt;&lt;keywords&gt;&lt;keyword&gt;graphene oxide&lt;/keyword&gt;&lt;keyword&gt;IR spectroscopy&lt;/keyword&gt;&lt;keyword&gt;organosulfate&lt;/keyword&gt;&lt;keyword&gt;sulfur&lt;/keyword&gt;&lt;keyword&gt;thermogravimetry&lt;/keyword&gt;&lt;/keywords&gt;&lt;dates&gt;&lt;year&gt;2013&lt;/year&gt;&lt;pub-dates&gt;&lt;date&gt;2013/07/15&lt;/date&gt;&lt;/pub-dates&gt;&lt;/dates&gt;&lt;publisher&gt;John Wiley &amp;amp; Sons, Ltd&lt;/publisher&gt;&lt;isbn&gt;0947-6539&lt;/isbn&gt;&lt;urls&gt;&lt;related-urls&gt;&lt;url&gt;https://doi.org/10.1002/chem.201300387&lt;/url&gt;&lt;/related-urls&gt;&lt;/urls&gt;&lt;electronic-resource-num&gt;https://doi.org/10.1002/chem.201300387&lt;/electronic-resource-num&gt;&lt;access-date&gt;2023/12/25&lt;/access-date&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hAnsiTheme="majorBidi" w:cstheme="majorBidi"/>
                      <w:bCs/>
                      <w:noProof/>
                      <w:color w:val="000000"/>
                      <w:szCs w:val="24"/>
                      <w:lang w:eastAsia="en-GB"/>
                    </w:rPr>
                    <w:t>(50)</w:t>
                  </w:r>
                  <w:r w:rsidRPr="009C4C93">
                    <w:rPr>
                      <w:rFonts w:asciiTheme="majorBidi" w:hAnsiTheme="majorBidi" w:cstheme="majorBidi"/>
                      <w:bCs/>
                      <w:color w:val="000000"/>
                      <w:szCs w:val="24"/>
                      <w:lang w:eastAsia="en-GB"/>
                    </w:rPr>
                    <w:fldChar w:fldCharType="end"/>
                  </w:r>
                </w:p>
              </w:tc>
            </w:tr>
          </w:tbl>
          <w:p w14:paraId="1FA67E1F" w14:textId="77777777" w:rsidR="009C4C93" w:rsidRPr="009C4C93" w:rsidRDefault="009C4C93" w:rsidP="000F2AFE">
            <w:pPr>
              <w:jc w:val="center"/>
              <w:rPr>
                <w:rFonts w:asciiTheme="majorBidi" w:eastAsia="Times New Roman" w:hAnsiTheme="majorBidi" w:cstheme="majorBidi"/>
                <w:bCs/>
                <w:color w:val="000000"/>
                <w:szCs w:val="24"/>
                <w:lang w:eastAsia="en-GB"/>
              </w:rPr>
            </w:pPr>
          </w:p>
        </w:tc>
        <w:tc>
          <w:tcPr>
            <w:tcW w:w="7796" w:type="dxa"/>
            <w:hideMark/>
          </w:tcPr>
          <w:p w14:paraId="5141240E"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Sulfur Species in Graphene Oxide</w:t>
            </w:r>
          </w:p>
        </w:tc>
      </w:tr>
      <w:tr w:rsidR="009C4C93" w:rsidRPr="009C4C93" w14:paraId="6E982D45" w14:textId="77777777" w:rsidTr="000F2AFE">
        <w:trPr>
          <w:trHeight w:val="765"/>
        </w:trPr>
        <w:tc>
          <w:tcPr>
            <w:tcW w:w="1271" w:type="dxa"/>
          </w:tcPr>
          <w:p w14:paraId="6B319681" w14:textId="7AAEB462"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&lt;EndNote&gt;&lt;Cite&gt;&lt;Author&gt;Xue&lt;/Author&gt;&lt;Year&gt;2016&lt;/Year&gt;&lt;RecNum&gt;51&lt;/RecNum&gt;&lt;DisplayText&gt;(&lt;style face="italic"&gt;51&lt;/style&gt;)&lt;/DisplayText&gt;&lt;record&gt;&lt;rec-number&gt;51&lt;/rec-number&gt;&lt;foreign-keys&gt;&lt;key app="EN" db-id="xzsfatx5atrs04edaaxvsv2ztfwrrwer0aea" timestamp="1719148479"&gt;51&lt;/key&gt;&lt;/foreign-keys&gt;&lt;ref-type name="Journal Article"&gt;17&lt;/ref-type&gt;&lt;contributors&gt;&lt;authors&gt;&lt;author&gt;Xue, Xiaoqin&lt;/author&gt;&lt;author&gt;Xu, Jiang&lt;/author&gt;&lt;author&gt;Baig, Shams Ali&lt;/author&gt;&lt;author&gt;Xu, Xinhua&lt;/author&gt;&lt;/authors&gt;&lt;/contributors&gt;&lt;titles&gt;&lt;title&gt;Synthesis of graphene oxide nanosheets for the removal of Cd(II) ions from acidic aqueous solutions&lt;/title&gt;&lt;secondary-title&gt;Journal of the Taiwan Institute of Chemical Engineers&lt;/secondary-title&gt;&lt;/titles&gt;&lt;periodical&gt;&lt;full-title&gt;Journal of the Taiwan Institute of Chemical Engineers&lt;/full-title&gt;&lt;/periodical&gt;&lt;pages&gt;365-372&lt;/pages&gt;&lt;volume&gt;59&lt;/volume&gt;&lt;keywords&gt;&lt;keyword&gt;Graphene oxide nanosheets&lt;/keyword&gt;&lt;keyword&gt;Cd(II) adsorption&lt;/keyword&gt;&lt;keyword&gt;Kinetics&lt;/keyword&gt;&lt;keyword&gt;Isotherms&lt;/keyword&gt;&lt;/keywords&gt;&lt;dates&gt;&lt;year&gt;2016&lt;/year&gt;&lt;pub-dates&gt;&lt;date&gt;2016/02/01/&lt;/date&gt;&lt;/pub-dates&gt;&lt;/dates&gt;&lt;isbn&gt;1876-1070&lt;/isbn&gt;&lt;urls&gt;&lt;related-urls&gt;&lt;url&gt;https://www.sciencedirect.com/science/article/pii/S1876107015004046&lt;/url&gt;&lt;/related-urls&gt;&lt;/urls&gt;&lt;electronic-resource-num&gt;https://doi.org/10.1016/j.jtice.2015.08.019&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(51)</w:t>
            </w:r>
            <w:r w:rsidRPr="009C4C93">
              <w:rPr>
                <w:rFonts w:asciiTheme="majorBidi" w:hAnsiTheme="majorBidi" w:cstheme="majorBidi"/>
                <w:bCs/>
                <w:color w:val="000000"/>
                <w:szCs w:val="24"/>
                <w:lang w:eastAsia="en-GB"/>
              </w:rPr>
              <w:fldChar w:fldCharType="end"/>
            </w:r>
          </w:p>
        </w:tc>
        <w:tc>
          <w:tcPr>
            <w:tcW w:w="7796" w:type="dxa"/>
            <w:hideMark/>
          </w:tcPr>
          <w:p w14:paraId="6867BBB0"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Synthesis of graphene oxide nanosheets for the removal of Cd(II) ions from acidic aqueous solutions</w:t>
            </w:r>
          </w:p>
        </w:tc>
      </w:tr>
      <w:tr w:rsidR="009C4C93" w:rsidRPr="009C4C93" w14:paraId="14EF0B66" w14:textId="77777777" w:rsidTr="000F2AFE">
        <w:trPr>
          <w:trHeight w:val="765"/>
        </w:trPr>
        <w:tc>
          <w:tcPr>
            <w:tcW w:w="1271" w:type="dxa"/>
          </w:tcPr>
          <w:p w14:paraId="5F0DA434" w14:textId="121E38EA"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&lt;EndNote&gt;&lt;Cite&gt;&lt;Author&gt;Cote&lt;/Author&gt;&lt;Year&gt;2010&lt;/Year&gt;&lt;RecNum&gt;52&lt;/RecNum&gt;&lt;DisplayText&gt;(&lt;style face="italic"&gt;52&lt;/style&gt;)&lt;/DisplayText&gt;&lt;record&gt;&lt;rec-number&gt;52&lt;/rec-number&gt;&lt;foreign-keys&gt;&lt;key app="EN" db-id="xzsfatx5atrs04edaaxvsv2ztfwrrwer0aea" timestamp="1719148479"&gt;52&lt;/key&gt;&lt;/foreign-keys&gt;&lt;ref-type name="Journal Article"&gt;17&lt;/ref-type&gt;&lt;contributors&gt;&lt;authors&gt;&lt;author&gt;Cote, Laura J.&lt;/author&gt;&lt;author&gt;Kim, Jaemyung&lt;/author&gt;&lt;author&gt;Zhang, Zhen&lt;/author&gt;&lt;author&gt;Sun, Cheng&lt;/author&gt;&lt;author&gt;Huang, Jiaxing&lt;/author&gt;&lt;/authors&gt;&lt;/contributors&gt;&lt;titles&gt;&lt;title&gt;Tunable assembly of graphene oxide surfactant sheets: wrinkles, overlaps and impacts on thin film properties&lt;/title&gt;&lt;secondary-title&gt;Soft Matter&lt;/secondary-title&gt;&lt;/titles&gt;&lt;periodical&gt;&lt;full-title&gt;Soft Matter&lt;/full-title&gt;&lt;/periodical&gt;&lt;pages&gt;6096-6101&lt;/pages&gt;&lt;volume&gt;6&lt;/volume&gt;&lt;number&gt;24&lt;/number&gt;&lt;dates&gt;&lt;year&gt;2010&lt;/year&gt;&lt;/dates&gt;&lt;publisher&gt;The Royal Society of Chemistry&lt;/publisher&gt;&lt;isbn&gt;1744-683X&lt;/isbn&gt;&lt;work-type&gt;10.1039/C0SM00667J&lt;/work-type&gt;&lt;urls&gt;&lt;related-urls&gt;&lt;url&gt;http://dx.doi.org/10.1039/C0SM00667J&lt;/url&gt;&lt;/related-urls&gt;&lt;/urls&gt;&lt;electronic-resource-num&gt;10.1039/C0SM00667J&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(52)</w:t>
            </w:r>
            <w:r w:rsidRPr="009C4C93">
              <w:rPr>
                <w:rFonts w:asciiTheme="majorBidi" w:hAnsiTheme="majorBidi" w:cstheme="majorBidi"/>
                <w:bCs/>
                <w:color w:val="000000"/>
                <w:szCs w:val="24"/>
                <w:lang w:eastAsia="en-GB"/>
              </w:rPr>
              <w:fldChar w:fldCharType="end"/>
            </w:r>
          </w:p>
        </w:tc>
        <w:tc>
          <w:tcPr>
            <w:tcW w:w="7796" w:type="dxa"/>
            <w:hideMark/>
          </w:tcPr>
          <w:p w14:paraId="29614DB6"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Tunable assembly of graphene oxide surfactant sheets: wrinkles, overlaps and impacts on thin film properties</w:t>
            </w:r>
          </w:p>
        </w:tc>
      </w:tr>
      <w:tr w:rsidR="009C4C93" w:rsidRPr="009C4C93" w14:paraId="43526BAF" w14:textId="77777777" w:rsidTr="000F2AFE">
        <w:trPr>
          <w:trHeight w:val="510"/>
        </w:trPr>
        <w:tc>
          <w:tcPr>
            <w:tcW w:w="1271" w:type="dxa"/>
          </w:tcPr>
          <w:p w14:paraId="3194F816" w14:textId="6588BBCF"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&lt;EndNote&gt;&lt;Cite&gt;&lt;Author&gt;Chen&lt;/Author&gt;&lt;Year&gt;2013&lt;/Year&gt;&lt;RecNum&gt;53&lt;/RecNum&gt;&lt;DisplayText&gt;(&lt;style face="italic"&gt;53&lt;/style&gt;)&lt;/DisplayText&gt;&lt;record&gt;&lt;rec-number&gt;53&lt;/rec-number&gt;&lt;foreign-keys&gt;&lt;key app="EN" db-id="xzsfatx5atrs04edaaxvsv2ztfwrrwer0aea" timestamp="1719148479"&gt;53&lt;/key&gt;&lt;/foreign-keys&gt;&lt;ref-type name="Journal Article"&gt;17&lt;/ref-type&gt;&lt;contributors&gt;&lt;authors&gt;&lt;author&gt;Chen, Jung-Tsai&lt;/author&gt;&lt;author&gt;Fu, Ywu-Jang&lt;/author&gt;&lt;author&gt;An, Quan-Fu&lt;/author&gt;&lt;author&gt;Lo, Shen-Chuan&lt;/author&gt;&lt;author&gt;Huang, Shu-Hsien&lt;/author&gt;&lt;author&gt;Hung, Wei-Song&lt;/author&gt;&lt;author&gt;Hu, Chien-Chieh&lt;/author&gt;&lt;author&gt;Lee, Kueir-Rarn&lt;/author&gt;&lt;author&gt;Lai, Juin-Yih&lt;/author&gt;&lt;/authors&gt;&lt;/contributors&gt;&lt;titles&gt;&lt;title&gt;Tuning nanostructure of graphene oxide/polyelectrolyte LbL assemblies by controlling pH of GO suspension to fabricate transparent and super gas barrier films&lt;/title&gt;&lt;secondary-title&gt;Nanoscale&lt;/secondary-title&gt;&lt;/titles&gt;&lt;periodical&gt;&lt;full-title&gt;Nanoscale&lt;/full-title&gt;&lt;/periodical&gt;&lt;pages&gt;9081-9088&lt;/pages&gt;&lt;volume&gt;5&lt;/volume&gt;&lt;number&gt;19&lt;/number&gt;&lt;dates&gt;&lt;year&gt;2013&lt;/year&gt;&lt;/dates&gt;&lt;publisher&gt;The Royal Society of Chemistry&lt;/publisher&gt;&lt;isbn&gt;2040-3364&lt;/isbn&gt;&lt;work-type&gt;10.1039/C3NR02845C&lt;/work-type&gt;&lt;urls&gt;&lt;related-urls&gt;&lt;url&gt;http://dx.doi.org/10.1039/C3NR02845C&lt;/url&gt;&lt;/related-urls&gt;&lt;/urls&gt;&lt;electronic-resource-num&gt;10.1039/C3NR02845C&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(53)</w:t>
            </w:r>
            <w:r w:rsidRPr="009C4C93">
              <w:rPr>
                <w:rFonts w:asciiTheme="majorBidi" w:hAnsiTheme="majorBidi" w:cstheme="majorBidi"/>
                <w:bCs/>
                <w:color w:val="000000"/>
                <w:szCs w:val="24"/>
                <w:lang w:eastAsia="en-GB"/>
              </w:rPr>
              <w:fldChar w:fldCharType="end"/>
            </w:r>
          </w:p>
        </w:tc>
        <w:tc>
          <w:tcPr>
            <w:tcW w:w="7796" w:type="dxa"/>
            <w:hideMark/>
          </w:tcPr>
          <w:p w14:paraId="3AFE2807"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Tuning nanostructure of graphene oxide/polyelectrolyte LbL assemblies by controlling pH of GO suspension to fabricate transparent and super gas barrier film</w:t>
            </w:r>
          </w:p>
        </w:tc>
      </w:tr>
      <w:tr w:rsidR="009C4C93" w:rsidRPr="009C4C93" w14:paraId="2910AC37" w14:textId="77777777" w:rsidTr="000F2AFE">
        <w:trPr>
          <w:trHeight w:val="525"/>
        </w:trPr>
        <w:tc>
          <w:tcPr>
            <w:tcW w:w="1271" w:type="dxa"/>
            <w:noWrap/>
          </w:tcPr>
          <w:p w14:paraId="4BF9FBEE" w14:textId="423450DA"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&lt;EndNote&gt;&lt;Cite&gt;&lt;Author&gt;Konkena&lt;/Author&gt;&lt;Year&gt;2012&lt;/Year&gt;&lt;RecNum&gt;3&lt;/RecNum&gt;&lt;DisplayText&gt;(&lt;style face="italic"&gt;3&lt;/style&gt;)&lt;/DisplayText&gt;&lt;record&gt;&lt;rec-number&gt;3&lt;/rec-number&gt;&lt;foreign-keys&gt;&lt;key app="EN" db-id="xzsfatx5atrs04edaaxvsv2ztfwrrwer0aea" timestamp="1719148479"&gt;3&lt;/key&gt;&lt;/foreign-keys&gt;&lt;ref-type name="Journal Article"&gt;17&lt;/ref-type&gt;&lt;contributors&gt;&lt;authors&gt;&lt;author&gt;Konkena, Bharathi&lt;/author&gt;&lt;author&gt;Vasudevan, Sukumaran&lt;/author&gt;&lt;/authors&gt;&lt;/contributors&gt;&lt;titles&gt;&lt;title&gt;Understanding Aqueous Dispersibility of Graphene Oxide and Reduced Graphene Oxide through pKa Measurements&lt;/title&gt;&lt;secondary-title&gt;The Journal of Physical Chemistry Letters&lt;/secondary-title&gt;&lt;/titles&gt;&lt;periodical&gt;&lt;full-title&gt;The Journal of Physical Chemistry Letters&lt;/full-title&gt;&lt;/periodical&gt;&lt;pages&gt;867-872&lt;/pages&gt;&lt;volume&gt;3&lt;/volume&gt;&lt;number&gt;7&lt;/number&gt;&lt;dates&gt;&lt;year&gt;2012&lt;/year&gt;&lt;pub-dates&gt;&lt;date&gt;2012/04/05&lt;/date&gt;&lt;/pub-dates&gt;&lt;/dates&gt;&lt;publisher&gt;American Chemical Society&lt;/publisher&gt;&lt;urls&gt;&lt;related-urls&gt;&lt;url&gt;https://doi.org/10.1021/jz300236w&lt;/url&gt;&lt;/related-urls&gt;&lt;/urls&gt;&lt;electronic-resource-num&gt;10.1021/jz300236w&lt;/electronic-resource-num&gt;&lt;/record&gt;&lt;/Cite&gt;&lt;/EndNote&gt;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(3)</w:t>
            </w:r>
            <w:r w:rsidRPr="009C4C93">
              <w:rPr>
                <w:rFonts w:asciiTheme="majorBidi" w:hAnsiTheme="majorBidi" w:cstheme="majorBidi"/>
                <w:bCs/>
                <w:color w:val="000000"/>
                <w:szCs w:val="24"/>
                <w:lang w:eastAsia="en-GB"/>
              </w:rPr>
              <w:fldChar w:fldCharType="end"/>
            </w:r>
          </w:p>
        </w:tc>
        <w:tc>
          <w:tcPr>
            <w:tcW w:w="7796" w:type="dxa"/>
            <w:hideMark/>
          </w:tcPr>
          <w:p w14:paraId="5042ADC1"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Understanding Aqueous Dispersibility of Graphene Oxide and Reduced Graphene Oxide through pKa Measurements</w:t>
            </w:r>
          </w:p>
        </w:tc>
      </w:tr>
      <w:tr w:rsidR="009C4C93" w:rsidRPr="009C4C93" w14:paraId="5A8E6A67" w14:textId="77777777" w:rsidTr="000F2AFE">
        <w:trPr>
          <w:trHeight w:val="315"/>
        </w:trPr>
        <w:tc>
          <w:tcPr>
            <w:tcW w:w="1271" w:type="dxa"/>
          </w:tcPr>
          <w:p w14:paraId="7FAB916B" w14:textId="1BEB2D3E"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hAnsiTheme="majorBidi" w:cstheme="majorBidi"/>
                <w:bCs/>
                <w:color w:val="000000"/>
                <w:szCs w:val="24"/>
                <w:lang w:eastAsia="en-GB"/>
              </w:rPr>
              <w:fldChar w:fldCharType="begin"/>
            </w:r>
            <w:r>
              <w:rPr>
                <w:rFonts w:asciiTheme="majorBidi" w:eastAsia="Times New Roman" w:hAnsiTheme="majorBidi" w:cstheme="majorBidi"/>
                <w:bCs/>
                <w:color w:val="000000"/>
                <w:szCs w:val="24"/>
                <w:lang w:eastAsia="en-GB"/>
              </w:rPr>
              <w:instrText xml:space="preserve"> ADDIN EN.CITE &lt;EndNote&gt;&lt;Cite&gt;&lt;Author&gt;Fackrell&lt;/Author&gt;&lt;Year&gt;2016&lt;/Year&gt;&lt;RecNum&gt;54&lt;/RecNum&gt;&lt;DisplayText&gt;(&lt;style face="italic"&gt;54&lt;/style&gt;)&lt;/DisplayText&gt;&lt;record&gt;&lt;rec-number&gt;54&lt;/rec-number&gt;&lt;foreign-keys&gt;&lt;key app="EN" db-id="xzsfatx5atrs04edaaxvsv2ztfwrrwer0aea" timestamp="1719148479"&gt;54&lt;/key&gt;&lt;/foreign-keys&gt;&lt;ref-type name="Journal Article"&gt;17&lt;/ref-type&gt;&lt;contributors&gt;&lt;authors&gt;&lt;author&gt;Fackrell, Joseph K.&lt;/author&gt;&lt;author&gt;Glenn, Craig R.&lt;/author&gt;&lt;author&gt;Popp, Brian N.&lt;/author&gt;&lt;author&gt;Whittier, Robert B.&lt;/author&gt;&lt;author&gt;Dulai, Henrietta&lt;/author&gt;&lt;/authors&gt;&lt;/contributors&gt;&lt;titles&gt;&lt;title&gt;Wastewater injection, aquifer biogeochemical reactions, and resultant groundwater N fluxes to coastal waters: Kā&amp;apos;anapali, Maui, Hawai&amp;apos;i&lt;/title&gt;&lt;secondary-title&gt;Marine Pollution Bulletin&lt;/secondary-title&gt;&lt;/titles&gt;&lt;periodical&gt;&lt;full-title&gt;Marine Pollution Bulletin&lt;/full-title&gt;&lt;/periodical&gt;&lt;pages&gt;281-292&lt;/pages&gt;&lt;volume&gt;110&lt;/volume&gt;&lt;number&gt;1&lt;/number&gt;&lt;keywords&gt;&lt;keyword&gt;Wastewater treatment&lt;/keyword&gt;&lt;keyword&gt;Underground injection&lt;/keyword&gt;&lt;keyword&gt;Nitrogen cycle&lt;/keyword&gt;&lt;keyword&gt;Denitrification&lt;/keyword&gt;&lt;keyword&gt;Anammox&lt;/keyword&gt;&lt;keyword&gt;Submarine groundwater discharge&lt;/keyword&gt;&lt;/keywords&gt;&lt;dates&gt;&lt;year&gt;2016&lt;/year&gt;&lt;pub-dates&gt;&lt;date&gt;2016/09/15/&lt;/date&gt;&lt;/pub-dates&gt;&lt;/dates&gt;&lt;isbn&gt;0025-326X&lt;/isbn&gt;&lt;urls&gt;&lt;related-urls&gt;&lt;url&gt;https://www.sciencedirect.com/science/article/pii/S0025326X16304544&lt;/url&gt;&lt;/related-urls&gt;&lt;/urls&gt;&lt;electronic-resource-num&gt;https://doi.org/10.1016/j.marpolbul.2016.06.050&lt;/electronic-resource-num&gt;&lt;/record&gt;&lt;/Cite&gt;&lt;/EndNote&gt;</w:instrText>
            </w:r>
            <w:r w:rsidRPr="009C4C93">
              <w:rPr>
                <w:rFonts w:asciiTheme="majorBidi" w:hAnsiTheme="majorBidi" w:cstheme="majorBidi"/>
                <w:bCs/>
                <w:color w:val="000000"/>
                <w:szCs w:val="24"/>
                <w:lang w:eastAsia="en-GB"/>
              </w:rPr>
              <w:fldChar w:fldCharType="separate"/>
            </w:r>
            <w:r w:rsidRPr="009C4C93">
              <w:rPr>
                <w:rFonts w:asciiTheme="majorBidi" w:eastAsia="Times New Roman" w:hAnsiTheme="majorBidi" w:cstheme="majorBidi"/>
                <w:bCs/>
                <w:noProof/>
                <w:color w:val="000000"/>
                <w:szCs w:val="24"/>
                <w:lang w:eastAsia="en-GB"/>
              </w:rPr>
              <w:t>(54)</w:t>
            </w:r>
            <w:r w:rsidRPr="009C4C93">
              <w:rPr>
                <w:rFonts w:asciiTheme="majorBidi" w:hAnsiTheme="majorBidi" w:cstheme="majorBidi"/>
                <w:bCs/>
                <w:color w:val="000000"/>
                <w:szCs w:val="24"/>
                <w:lang w:eastAsia="en-GB"/>
              </w:rPr>
              <w:fldChar w:fldCharType="end"/>
            </w:r>
          </w:p>
        </w:tc>
        <w:tc>
          <w:tcPr>
            <w:tcW w:w="7796" w:type="dxa"/>
            <w:hideMark/>
          </w:tcPr>
          <w:p w14:paraId="73F6B519" w14:textId="77777777" w:rsidR="009C4C93" w:rsidRPr="009C4C93" w:rsidRDefault="009C4C93" w:rsidP="000F2AFE">
            <w:pPr>
              <w:jc w:val="center"/>
              <w:rPr>
                <w:rFonts w:asciiTheme="majorBidi" w:eastAsia="Times New Roman" w:hAnsiTheme="majorBidi" w:cstheme="majorBidi"/>
                <w:bCs/>
                <w:color w:val="000000"/>
                <w:szCs w:val="24"/>
                <w:lang w:eastAsia="en-GB"/>
              </w:rPr>
            </w:pPr>
            <w:r w:rsidRPr="009C4C93">
              <w:rPr>
                <w:rFonts w:asciiTheme="majorBidi" w:eastAsia="Times New Roman" w:hAnsiTheme="majorBidi" w:cstheme="majorBidi"/>
                <w:bCs/>
                <w:color w:val="000000"/>
                <w:szCs w:val="24"/>
                <w:lang w:eastAsia="en-GB"/>
              </w:rPr>
              <w:t>Wastewater injection, aquifer biogeochemical reactions, and resultant groundwater N fluxes to coastal waters: Kā'anapali, Maui, Hawai'i</w:t>
            </w:r>
          </w:p>
        </w:tc>
      </w:tr>
    </w:tbl>
    <w:p w14:paraId="2507BD7C" w14:textId="77777777" w:rsidR="00670299" w:rsidRPr="009C4C93" w:rsidRDefault="00670299" w:rsidP="00670299">
      <w:pPr>
        <w:pStyle w:val="SMcaption"/>
        <w:rPr>
          <w:rFonts w:asciiTheme="majorBidi" w:hAnsiTheme="majorBidi" w:cstheme="majorBidi"/>
          <w:szCs w:val="24"/>
        </w:rPr>
      </w:pPr>
    </w:p>
    <w:p w14:paraId="34FD0CA6" w14:textId="1EE9B15B" w:rsidR="009A5287" w:rsidRPr="009C4C93" w:rsidRDefault="009A5287" w:rsidP="009A5287">
      <w:pPr>
        <w:pStyle w:val="SMcaption"/>
        <w:rPr>
          <w:rFonts w:asciiTheme="majorBidi" w:hAnsiTheme="majorBidi" w:cstheme="majorBidi"/>
          <w:szCs w:val="24"/>
        </w:rPr>
      </w:pPr>
    </w:p>
    <w:p w14:paraId="579735E7" w14:textId="2DA55D51" w:rsidR="00150963" w:rsidRDefault="00150963" w:rsidP="009C4C93">
      <w:pPr>
        <w:pStyle w:val="SMcaption"/>
        <w:rPr>
          <w:rFonts w:asciiTheme="majorBidi" w:hAnsiTheme="majorBidi" w:cstheme="majorBidi"/>
          <w:szCs w:val="24"/>
        </w:rPr>
      </w:pPr>
      <w:r>
        <w:rPr>
          <w:rFonts w:asciiTheme="majorBidi" w:hAnsiTheme="majorBidi" w:cstheme="majorBidi"/>
          <w:szCs w:val="24"/>
        </w:rPr>
        <w:br w:type="page"/>
      </w:r>
    </w:p>
    <w:p w14:paraId="795D7282" w14:textId="77777777" w:rsidR="009C4C93" w:rsidRDefault="009C4C93" w:rsidP="009C4C93">
      <w:pPr>
        <w:pStyle w:val="SMcaption"/>
        <w:rPr>
          <w:rFonts w:asciiTheme="majorBidi" w:hAnsiTheme="majorBidi" w:cstheme="majorBidi"/>
          <w:szCs w:val="24"/>
        </w:rPr>
      </w:pPr>
    </w:p>
    <w:p w14:paraId="53529BA7" w14:textId="77777777" w:rsidR="009C4C93" w:rsidRPr="009C4C93" w:rsidRDefault="009C4C93" w:rsidP="009C4C93">
      <w:pPr>
        <w:pStyle w:val="EndNoteBibliography"/>
        <w:spacing w:after="0"/>
        <w:ind w:left="720" w:hanging="720"/>
      </w:pPr>
      <w:r>
        <w:rPr>
          <w:rFonts w:asciiTheme="majorBidi" w:hAnsiTheme="majorBidi" w:cstheme="majorBidi"/>
          <w:szCs w:val="24"/>
        </w:rPr>
        <w:fldChar w:fldCharType="begin"/>
      </w:r>
      <w:r>
        <w:rPr>
          <w:rFonts w:asciiTheme="majorBidi" w:hAnsiTheme="majorBidi" w:cstheme="majorBidi"/>
          <w:szCs w:val="24"/>
        </w:rPr>
        <w:instrText xml:space="preserve"> ADDIN EN.REFLIST </w:instrText>
      </w:r>
      <w:r>
        <w:rPr>
          <w:rFonts w:asciiTheme="majorBidi" w:hAnsiTheme="majorBidi" w:cstheme="majorBidi"/>
          <w:szCs w:val="24"/>
        </w:rPr>
        <w:fldChar w:fldCharType="separate"/>
      </w:r>
      <w:r w:rsidRPr="009C4C93">
        <w:t>1.</w:t>
      </w:r>
      <w:r w:rsidRPr="009C4C93">
        <w:tab/>
        <w:t xml:space="preserve">C. E. Halbig, B. Mukherjee, S. Eigler, S. Garaj, Origin of Oxygen in Graphene Oxide Revealed by 17O and 18O Isotopic Labeling. </w:t>
      </w:r>
      <w:r w:rsidRPr="009C4C93">
        <w:rPr>
          <w:i/>
        </w:rPr>
        <w:t>Journal of the American Chemical Society</w:t>
      </w:r>
      <w:r w:rsidRPr="009C4C93">
        <w:t>,  (2024).</w:t>
      </w:r>
    </w:p>
    <w:p w14:paraId="36971D45" w14:textId="77777777" w:rsidR="009C4C93" w:rsidRPr="009C4C93" w:rsidRDefault="009C4C93" w:rsidP="009C4C93">
      <w:pPr>
        <w:pStyle w:val="EndNoteBibliography"/>
        <w:spacing w:after="0"/>
        <w:ind w:left="720" w:hanging="720"/>
      </w:pPr>
      <w:r w:rsidRPr="009C4C93">
        <w:t>2.</w:t>
      </w:r>
      <w:r w:rsidRPr="009C4C93">
        <w:tab/>
        <w:t xml:space="preserve">G. Trefalt, S. H. Behrens, M. Borkovec, Charge Regulation in the Electrical Double Layer: Ion Adsorption and Surface Interactions. </w:t>
      </w:r>
      <w:r w:rsidRPr="009C4C93">
        <w:rPr>
          <w:i/>
        </w:rPr>
        <w:t>Langmuir</w:t>
      </w:r>
      <w:r w:rsidRPr="009C4C93">
        <w:t xml:space="preserve"> </w:t>
      </w:r>
      <w:r w:rsidRPr="009C4C93">
        <w:rPr>
          <w:b/>
        </w:rPr>
        <w:t>32</w:t>
      </w:r>
      <w:r w:rsidRPr="009C4C93">
        <w:t>, 380-400 (2016).</w:t>
      </w:r>
    </w:p>
    <w:p w14:paraId="3FE5E5A0" w14:textId="77777777" w:rsidR="009C4C93" w:rsidRPr="009C4C93" w:rsidRDefault="009C4C93" w:rsidP="009C4C93">
      <w:pPr>
        <w:pStyle w:val="EndNoteBibliography"/>
        <w:spacing w:after="0"/>
        <w:ind w:left="720" w:hanging="720"/>
      </w:pPr>
      <w:r w:rsidRPr="009C4C93">
        <w:t>3.</w:t>
      </w:r>
      <w:r w:rsidRPr="009C4C93">
        <w:tab/>
        <w:t xml:space="preserve">B. Konkena, S. Vasudevan, Understanding Aqueous Dispersibility of Graphene Oxide and Reduced Graphene Oxide through pKa Measurements. </w:t>
      </w:r>
      <w:r w:rsidRPr="009C4C93">
        <w:rPr>
          <w:i/>
        </w:rPr>
        <w:t>The Journal of Physical Chemistry Letters</w:t>
      </w:r>
      <w:r w:rsidRPr="009C4C93">
        <w:t xml:space="preserve"> </w:t>
      </w:r>
      <w:r w:rsidRPr="009C4C93">
        <w:rPr>
          <w:b/>
        </w:rPr>
        <w:t>3</w:t>
      </w:r>
      <w:r w:rsidRPr="009C4C93">
        <w:t>, 867-872 (2012).</w:t>
      </w:r>
    </w:p>
    <w:p w14:paraId="2EF7CF18" w14:textId="77777777" w:rsidR="009C4C93" w:rsidRPr="009C4C93" w:rsidRDefault="009C4C93" w:rsidP="009C4C93">
      <w:pPr>
        <w:pStyle w:val="EndNoteBibliography"/>
        <w:spacing w:after="0"/>
        <w:ind w:left="720" w:hanging="720"/>
      </w:pPr>
      <w:r w:rsidRPr="009C4C93">
        <w:t>4.</w:t>
      </w:r>
      <w:r w:rsidRPr="009C4C93">
        <w:tab/>
        <w:t>E. S. Orth</w:t>
      </w:r>
      <w:r w:rsidRPr="009C4C93">
        <w:rPr>
          <w:i/>
        </w:rPr>
        <w:t xml:space="preserve"> et al.</w:t>
      </w:r>
      <w:r w:rsidRPr="009C4C93">
        <w:t xml:space="preserve">, pKa determination of graphene-like materials: Validating chemical functionalization. </w:t>
      </w:r>
      <w:r w:rsidRPr="009C4C93">
        <w:rPr>
          <w:i/>
        </w:rPr>
        <w:t>Journal of Colloid and Interface Science</w:t>
      </w:r>
      <w:r w:rsidRPr="009C4C93">
        <w:t xml:space="preserve"> </w:t>
      </w:r>
      <w:r w:rsidRPr="009C4C93">
        <w:rPr>
          <w:b/>
        </w:rPr>
        <w:t>467</w:t>
      </w:r>
      <w:r w:rsidRPr="009C4C93">
        <w:t>, 239-244 (2016).</w:t>
      </w:r>
    </w:p>
    <w:p w14:paraId="17F68D0C" w14:textId="77777777" w:rsidR="009C4C93" w:rsidRPr="009C4C93" w:rsidRDefault="009C4C93" w:rsidP="009C4C93">
      <w:pPr>
        <w:pStyle w:val="EndNoteBibliography"/>
        <w:spacing w:after="0"/>
        <w:ind w:left="720" w:hanging="720"/>
      </w:pPr>
      <w:r w:rsidRPr="009C4C93">
        <w:t>5.</w:t>
      </w:r>
      <w:r w:rsidRPr="009C4C93">
        <w:tab/>
        <w:t>D. V. Andreeva</w:t>
      </w:r>
      <w:r w:rsidRPr="009C4C93">
        <w:rPr>
          <w:i/>
        </w:rPr>
        <w:t xml:space="preserve"> et al.</w:t>
      </w:r>
      <w:r w:rsidRPr="009C4C93">
        <w:t xml:space="preserve">, Two-dimensional adaptive membranes with programmable water and ionic channels. </w:t>
      </w:r>
      <w:r w:rsidRPr="009C4C93">
        <w:rPr>
          <w:i/>
        </w:rPr>
        <w:t>Nature Nanotechnology</w:t>
      </w:r>
      <w:r w:rsidRPr="009C4C93">
        <w:t xml:space="preserve"> </w:t>
      </w:r>
      <w:r w:rsidRPr="009C4C93">
        <w:rPr>
          <w:b/>
        </w:rPr>
        <w:t>16</w:t>
      </w:r>
      <w:r w:rsidRPr="009C4C93">
        <w:t>, 174-180 (2021).</w:t>
      </w:r>
    </w:p>
    <w:p w14:paraId="725F3C44" w14:textId="77777777" w:rsidR="009C4C93" w:rsidRPr="009C4C93" w:rsidRDefault="009C4C93" w:rsidP="009C4C93">
      <w:pPr>
        <w:pStyle w:val="EndNoteBibliography"/>
        <w:spacing w:after="0"/>
        <w:ind w:left="720" w:hanging="720"/>
      </w:pPr>
      <w:r w:rsidRPr="009C4C93">
        <w:t>6.</w:t>
      </w:r>
      <w:r w:rsidRPr="009C4C93">
        <w:tab/>
        <w:t>Y. Zhang</w:t>
      </w:r>
      <w:r w:rsidRPr="009C4C93">
        <w:rPr>
          <w:i/>
        </w:rPr>
        <w:t xml:space="preserve"> et al.</w:t>
      </w:r>
      <w:r w:rsidRPr="009C4C93">
        <w:t xml:space="preserve">, Joint Impacts of Acidity and Viscosity on the Formation of Secondary Organic Aerosol from Isoprene Epoxydiols (IEPOX) in Phase Separated Particles. </w:t>
      </w:r>
      <w:r w:rsidRPr="009C4C93">
        <w:rPr>
          <w:i/>
        </w:rPr>
        <w:t>ACS Earth and Space Chemistry</w:t>
      </w:r>
      <w:r w:rsidRPr="009C4C93">
        <w:t xml:space="preserve"> </w:t>
      </w:r>
      <w:r w:rsidRPr="009C4C93">
        <w:rPr>
          <w:b/>
        </w:rPr>
        <w:t>3</w:t>
      </w:r>
      <w:r w:rsidRPr="009C4C93">
        <w:t>, 2646-2658 (2019).</w:t>
      </w:r>
    </w:p>
    <w:p w14:paraId="43A02419" w14:textId="77777777" w:rsidR="009C4C93" w:rsidRPr="009C4C93" w:rsidRDefault="009C4C93" w:rsidP="009C4C93">
      <w:pPr>
        <w:pStyle w:val="EndNoteBibliography"/>
        <w:spacing w:after="0"/>
        <w:ind w:left="720" w:hanging="720"/>
      </w:pPr>
      <w:r w:rsidRPr="009C4C93">
        <w:t>7.</w:t>
      </w:r>
      <w:r w:rsidRPr="009C4C93">
        <w:tab/>
        <w:t xml:space="preserve">M. Nakagaki, S. Yokoyama, Acid-catalyzed hydrolysis of sodium dodecyl sulfate. </w:t>
      </w:r>
      <w:r w:rsidRPr="009C4C93">
        <w:rPr>
          <w:i/>
        </w:rPr>
        <w:t>Journal of pharmaceutical sciences</w:t>
      </w:r>
      <w:r w:rsidRPr="009C4C93">
        <w:t xml:space="preserve"> </w:t>
      </w:r>
      <w:r w:rsidRPr="009C4C93">
        <w:rPr>
          <w:b/>
        </w:rPr>
        <w:t>74</w:t>
      </w:r>
      <w:r w:rsidRPr="009C4C93">
        <w:t>, 1047-1052 (1985).</w:t>
      </w:r>
    </w:p>
    <w:p w14:paraId="1769FA7B" w14:textId="77777777" w:rsidR="009C4C93" w:rsidRPr="009C4C93" w:rsidRDefault="009C4C93" w:rsidP="009C4C93">
      <w:pPr>
        <w:pStyle w:val="EndNoteBibliography"/>
        <w:spacing w:after="0"/>
        <w:ind w:left="720" w:hanging="720"/>
      </w:pPr>
      <w:r w:rsidRPr="009C4C93">
        <w:t>8.</w:t>
      </w:r>
      <w:r w:rsidRPr="009C4C93">
        <w:tab/>
        <w:t>M. Moazzami-Gudarzi</w:t>
      </w:r>
      <w:r w:rsidRPr="009C4C93">
        <w:rPr>
          <w:i/>
        </w:rPr>
        <w:t xml:space="preserve"> et al.</w:t>
      </w:r>
      <w:r w:rsidRPr="009C4C93">
        <w:t xml:space="preserve">, Interplay between depletion and double-layer forces acting between charged particles in solutions of like-charged polyelectrolytes. </w:t>
      </w:r>
      <w:r w:rsidRPr="009C4C93">
        <w:rPr>
          <w:i/>
        </w:rPr>
        <w:t>Physical review letters</w:t>
      </w:r>
      <w:r w:rsidRPr="009C4C93">
        <w:t xml:space="preserve"> </w:t>
      </w:r>
      <w:r w:rsidRPr="009C4C93">
        <w:rPr>
          <w:b/>
        </w:rPr>
        <w:t>117</w:t>
      </w:r>
      <w:r w:rsidRPr="009C4C93">
        <w:t>, 088001 (2016).</w:t>
      </w:r>
    </w:p>
    <w:p w14:paraId="48D9C606" w14:textId="77777777" w:rsidR="009C4C93" w:rsidRPr="009C4C93" w:rsidRDefault="009C4C93" w:rsidP="009C4C93">
      <w:pPr>
        <w:pStyle w:val="EndNoteBibliography"/>
        <w:spacing w:after="0"/>
        <w:ind w:left="720" w:hanging="720"/>
      </w:pPr>
      <w:r w:rsidRPr="009C4C93">
        <w:t>9.</w:t>
      </w:r>
      <w:r w:rsidRPr="009C4C93">
        <w:tab/>
        <w:t xml:space="preserve">V. A. Parsegian, </w:t>
      </w:r>
      <w:r w:rsidRPr="009C4C93">
        <w:rPr>
          <w:i/>
        </w:rPr>
        <w:t>Van der Waals forces: a handbook for biologists, chemists, engineers, and physicists</w:t>
      </w:r>
      <w:r w:rsidRPr="009C4C93">
        <w:t>.  (Cambridge University Press, 2005).</w:t>
      </w:r>
    </w:p>
    <w:p w14:paraId="2F7CF30E" w14:textId="77777777" w:rsidR="009C4C93" w:rsidRPr="009C4C93" w:rsidRDefault="009C4C93" w:rsidP="009C4C93">
      <w:pPr>
        <w:pStyle w:val="EndNoteBibliography"/>
        <w:spacing w:after="0"/>
        <w:ind w:left="720" w:hanging="720"/>
      </w:pPr>
      <w:r w:rsidRPr="009C4C93">
        <w:t>10.</w:t>
      </w:r>
      <w:r w:rsidRPr="009C4C93">
        <w:tab/>
        <w:t xml:space="preserve">M. Moazzami Gudarzi, S. H. Aboutalebi, Self-consistent dielectric functions of materials: Toward accurate computation of Casimir–van der Waals forces. </w:t>
      </w:r>
      <w:r w:rsidRPr="009C4C93">
        <w:rPr>
          <w:i/>
        </w:rPr>
        <w:t>Science Advances</w:t>
      </w:r>
      <w:r w:rsidRPr="009C4C93">
        <w:t xml:space="preserve"> </w:t>
      </w:r>
      <w:r w:rsidRPr="009C4C93">
        <w:rPr>
          <w:b/>
        </w:rPr>
        <w:t>7</w:t>
      </w:r>
      <w:r w:rsidRPr="009C4C93">
        <w:t>, eabg2272 (2021).</w:t>
      </w:r>
    </w:p>
    <w:p w14:paraId="44395015" w14:textId="77777777" w:rsidR="009C4C93" w:rsidRPr="009C4C93" w:rsidRDefault="009C4C93" w:rsidP="009C4C93">
      <w:pPr>
        <w:pStyle w:val="EndNoteBibliography"/>
        <w:spacing w:after="0"/>
        <w:ind w:left="720" w:hanging="720"/>
      </w:pPr>
      <w:r w:rsidRPr="009C4C93">
        <w:t>11.</w:t>
      </w:r>
      <w:r w:rsidRPr="009C4C93">
        <w:tab/>
        <w:t xml:space="preserve">B. Schwenzer, T. C. Kaspar, Y. Shin, D. W. Gotthold, Spectroscopic Study of Graphene Oxide Membranes Exposed to Ultraviolet Light. </w:t>
      </w:r>
      <w:r w:rsidRPr="009C4C93">
        <w:rPr>
          <w:i/>
        </w:rPr>
        <w:t>The Journal of Physical Chemistry C</w:t>
      </w:r>
      <w:r w:rsidRPr="009C4C93">
        <w:t xml:space="preserve"> </w:t>
      </w:r>
      <w:r w:rsidRPr="009C4C93">
        <w:rPr>
          <w:b/>
        </w:rPr>
        <w:t>120</w:t>
      </w:r>
      <w:r w:rsidRPr="009C4C93">
        <w:t>, 12559-12567 (2016).</w:t>
      </w:r>
    </w:p>
    <w:p w14:paraId="47CB228F" w14:textId="77777777" w:rsidR="009C4C93" w:rsidRPr="009C4C93" w:rsidRDefault="009C4C93" w:rsidP="009C4C93">
      <w:pPr>
        <w:pStyle w:val="EndNoteBibliography"/>
        <w:spacing w:after="0"/>
        <w:ind w:left="720" w:hanging="720"/>
      </w:pPr>
      <w:r w:rsidRPr="009C4C93">
        <w:t>12.</w:t>
      </w:r>
      <w:r w:rsidRPr="009C4C93">
        <w:tab/>
        <w:t xml:space="preserve">M. M. Gudarzi, Colloidal Stability of Graphene Oxide: Aggregation in Two Dimensions. </w:t>
      </w:r>
      <w:r w:rsidRPr="009C4C93">
        <w:rPr>
          <w:i/>
        </w:rPr>
        <w:t>Langmuir</w:t>
      </w:r>
      <w:r w:rsidRPr="009C4C93">
        <w:t xml:space="preserve"> </w:t>
      </w:r>
      <w:r w:rsidRPr="009C4C93">
        <w:rPr>
          <w:b/>
        </w:rPr>
        <w:t>32</w:t>
      </w:r>
      <w:r w:rsidRPr="009C4C93">
        <w:t>, 5058-5068 (2016).</w:t>
      </w:r>
    </w:p>
    <w:p w14:paraId="3F5C4F9A" w14:textId="77777777" w:rsidR="009C4C93" w:rsidRPr="009C4C93" w:rsidRDefault="009C4C93" w:rsidP="009C4C93">
      <w:pPr>
        <w:pStyle w:val="EndNoteBibliography"/>
        <w:spacing w:after="0"/>
        <w:ind w:left="720" w:hanging="720"/>
      </w:pPr>
      <w:r w:rsidRPr="009C4C93">
        <w:t>13.</w:t>
      </w:r>
      <w:r w:rsidRPr="009C4C93">
        <w:tab/>
        <w:t xml:space="preserve">W. Helfrich, Steric interaction of fluid membranes in multilayer systems. </w:t>
      </w:r>
      <w:r w:rsidRPr="009C4C93">
        <w:rPr>
          <w:i/>
        </w:rPr>
        <w:t>Zeitschrift für Naturforschung A</w:t>
      </w:r>
      <w:r w:rsidRPr="009C4C93">
        <w:t xml:space="preserve"> </w:t>
      </w:r>
      <w:r w:rsidRPr="009C4C93">
        <w:rPr>
          <w:b/>
        </w:rPr>
        <w:t>33</w:t>
      </w:r>
      <w:r w:rsidRPr="009C4C93">
        <w:t>, 305-315 (1978).</w:t>
      </w:r>
    </w:p>
    <w:p w14:paraId="1CA67905" w14:textId="77777777" w:rsidR="009C4C93" w:rsidRPr="009C4C93" w:rsidRDefault="009C4C93" w:rsidP="009C4C93">
      <w:pPr>
        <w:pStyle w:val="EndNoteBibliography"/>
        <w:spacing w:after="0"/>
        <w:ind w:left="720" w:hanging="720"/>
      </w:pPr>
      <w:r w:rsidRPr="009C4C93">
        <w:t>14.</w:t>
      </w:r>
      <w:r w:rsidRPr="009C4C93">
        <w:tab/>
        <w:t>P. Poulin</w:t>
      </w:r>
      <w:r w:rsidRPr="009C4C93">
        <w:rPr>
          <w:i/>
        </w:rPr>
        <w:t xml:space="preserve"> et al.</w:t>
      </w:r>
      <w:r w:rsidRPr="009C4C93">
        <w:t xml:space="preserve">, Superflexibility of graphene oxide. </w:t>
      </w:r>
      <w:r w:rsidRPr="009C4C93">
        <w:rPr>
          <w:i/>
        </w:rPr>
        <w:t>Proceedings of the National Academy of Sciences</w:t>
      </w:r>
      <w:r w:rsidRPr="009C4C93">
        <w:t xml:space="preserve"> </w:t>
      </w:r>
      <w:r w:rsidRPr="009C4C93">
        <w:rPr>
          <w:b/>
        </w:rPr>
        <w:t>113</w:t>
      </w:r>
      <w:r w:rsidRPr="009C4C93">
        <w:t>, 11088-11093 (2016).</w:t>
      </w:r>
    </w:p>
    <w:p w14:paraId="1B561413" w14:textId="77777777" w:rsidR="009C4C93" w:rsidRPr="009C4C93" w:rsidRDefault="009C4C93" w:rsidP="009C4C93">
      <w:pPr>
        <w:pStyle w:val="EndNoteBibliography"/>
        <w:spacing w:after="0"/>
        <w:ind w:left="720" w:hanging="720"/>
      </w:pPr>
      <w:r w:rsidRPr="009C4C93">
        <w:t>15.</w:t>
      </w:r>
      <w:r w:rsidRPr="009C4C93">
        <w:tab/>
        <w:t xml:space="preserve">Y. H. Shim, E. H. Cho, S. Y. Kim, Unifying dispersion properties of graphene oxide suspensions via interlayer spacing control: Insights for universal 2D colloid behavior. </w:t>
      </w:r>
      <w:r w:rsidRPr="009C4C93">
        <w:rPr>
          <w:i/>
        </w:rPr>
        <w:t>Carbon</w:t>
      </w:r>
      <w:r w:rsidRPr="009C4C93">
        <w:t xml:space="preserve"> </w:t>
      </w:r>
      <w:r w:rsidRPr="009C4C93">
        <w:rPr>
          <w:b/>
        </w:rPr>
        <w:t>215</w:t>
      </w:r>
      <w:r w:rsidRPr="009C4C93">
        <w:t>, 118473 (2023).</w:t>
      </w:r>
    </w:p>
    <w:p w14:paraId="4D5F230C" w14:textId="77777777" w:rsidR="009C4C93" w:rsidRPr="009C4C93" w:rsidRDefault="009C4C93" w:rsidP="009C4C93">
      <w:pPr>
        <w:pStyle w:val="EndNoteBibliography"/>
        <w:spacing w:after="0"/>
        <w:ind w:left="720" w:hanging="720"/>
      </w:pPr>
      <w:r w:rsidRPr="009C4C93">
        <w:t>16.</w:t>
      </w:r>
      <w:r w:rsidRPr="009C4C93">
        <w:tab/>
        <w:t>A. R. Jalili</w:t>
      </w:r>
      <w:r w:rsidRPr="009C4C93">
        <w:rPr>
          <w:i/>
        </w:rPr>
        <w:t xml:space="preserve"> et al.</w:t>
      </w:r>
      <w:r w:rsidRPr="009C4C93">
        <w:t xml:space="preserve">, Liquid Crystal-Mediated 3D Printing Process to Fabricate Nano-Ordered Layered Structures. </w:t>
      </w:r>
      <w:r w:rsidRPr="009C4C93">
        <w:rPr>
          <w:i/>
        </w:rPr>
        <w:t>ACS Applied Materials &amp; Interfaces</w:t>
      </w:r>
      <w:r w:rsidRPr="009C4C93">
        <w:t xml:space="preserve"> </w:t>
      </w:r>
      <w:r w:rsidRPr="009C4C93">
        <w:rPr>
          <w:b/>
        </w:rPr>
        <w:t>13</w:t>
      </w:r>
      <w:r w:rsidRPr="009C4C93">
        <w:t>, 28627-28638 (2021).</w:t>
      </w:r>
    </w:p>
    <w:p w14:paraId="6041BCDD" w14:textId="77777777" w:rsidR="009C4C93" w:rsidRPr="009C4C93" w:rsidRDefault="009C4C93" w:rsidP="009C4C93">
      <w:pPr>
        <w:pStyle w:val="EndNoteBibliography"/>
        <w:spacing w:after="0"/>
        <w:ind w:left="720" w:hanging="720"/>
      </w:pPr>
      <w:r w:rsidRPr="009C4C93">
        <w:t>17.</w:t>
      </w:r>
      <w:r w:rsidRPr="009C4C93">
        <w:tab/>
        <w:t xml:space="preserve">Y. H. Shim, H. Ahn, S. Lee, S. O. Kim, S. Y. Kim, Universal alignment of graphene oxide in suspensions and fibers. </w:t>
      </w:r>
      <w:r w:rsidRPr="009C4C93">
        <w:rPr>
          <w:i/>
        </w:rPr>
        <w:t>ACS nano</w:t>
      </w:r>
      <w:r w:rsidRPr="009C4C93">
        <w:t xml:space="preserve"> </w:t>
      </w:r>
      <w:r w:rsidRPr="009C4C93">
        <w:rPr>
          <w:b/>
        </w:rPr>
        <w:t>15</w:t>
      </w:r>
      <w:r w:rsidRPr="009C4C93">
        <w:t>, 13453-13462 (2021).</w:t>
      </w:r>
    </w:p>
    <w:p w14:paraId="31A35BC2" w14:textId="77777777" w:rsidR="009C4C93" w:rsidRPr="009C4C93" w:rsidRDefault="009C4C93" w:rsidP="009C4C93">
      <w:pPr>
        <w:pStyle w:val="EndNoteBibliography"/>
        <w:spacing w:after="0"/>
        <w:ind w:left="720" w:hanging="720"/>
      </w:pPr>
      <w:r w:rsidRPr="009C4C93">
        <w:t>18.</w:t>
      </w:r>
      <w:r w:rsidRPr="009C4C93">
        <w:tab/>
        <w:t xml:space="preserve">Z. Xu, C. Gao, Graphene chiral liquid crystals and macroscopic assembled fibres. </w:t>
      </w:r>
      <w:r w:rsidRPr="009C4C93">
        <w:rPr>
          <w:i/>
        </w:rPr>
        <w:t>Nature communications</w:t>
      </w:r>
      <w:r w:rsidRPr="009C4C93">
        <w:t xml:space="preserve"> </w:t>
      </w:r>
      <w:r w:rsidRPr="009C4C93">
        <w:rPr>
          <w:b/>
        </w:rPr>
        <w:t>2</w:t>
      </w:r>
      <w:r w:rsidRPr="009C4C93">
        <w:t>, 571 (2011).</w:t>
      </w:r>
    </w:p>
    <w:p w14:paraId="46B81796" w14:textId="77777777" w:rsidR="009C4C93" w:rsidRPr="009C4C93" w:rsidRDefault="009C4C93" w:rsidP="009C4C93">
      <w:pPr>
        <w:pStyle w:val="EndNoteBibliography"/>
        <w:spacing w:after="0"/>
        <w:ind w:left="720" w:hanging="720"/>
      </w:pPr>
      <w:r w:rsidRPr="009C4C93">
        <w:lastRenderedPageBreak/>
        <w:t>19.</w:t>
      </w:r>
      <w:r w:rsidRPr="009C4C93">
        <w:tab/>
        <w:t xml:space="preserve">Y. H. Shim, K. E. Lee, T. J. Shin, S. O. Kim, S. Y. Kim, Wide concentration liquid crystallinity of graphene oxide aqueous suspensions with interacting polymers. </w:t>
      </w:r>
      <w:r w:rsidRPr="009C4C93">
        <w:rPr>
          <w:i/>
        </w:rPr>
        <w:t>Materials Horizons</w:t>
      </w:r>
      <w:r w:rsidRPr="009C4C93">
        <w:t xml:space="preserve"> </w:t>
      </w:r>
      <w:r w:rsidRPr="009C4C93">
        <w:rPr>
          <w:b/>
        </w:rPr>
        <w:t>4</w:t>
      </w:r>
      <w:r w:rsidRPr="009C4C93">
        <w:t>, 1157-1164 (2017).</w:t>
      </w:r>
    </w:p>
    <w:p w14:paraId="33984A32" w14:textId="77777777" w:rsidR="009C4C93" w:rsidRPr="009C4C93" w:rsidRDefault="009C4C93" w:rsidP="009C4C93">
      <w:pPr>
        <w:pStyle w:val="EndNoteBibliography"/>
        <w:spacing w:after="0"/>
        <w:ind w:left="720" w:hanging="720"/>
      </w:pPr>
      <w:r w:rsidRPr="009C4C93">
        <w:t>20.</w:t>
      </w:r>
      <w:r w:rsidRPr="009C4C93">
        <w:tab/>
        <w:t>C. Zakri</w:t>
      </w:r>
      <w:r w:rsidRPr="009C4C93">
        <w:rPr>
          <w:i/>
        </w:rPr>
        <w:t xml:space="preserve"> et al.</w:t>
      </w:r>
      <w:r w:rsidRPr="009C4C93">
        <w:t xml:space="preserve">, Liquid crystals of carbon nanotubes and graphene. </w:t>
      </w:r>
      <w:r w:rsidRPr="009C4C93">
        <w:rPr>
          <w:i/>
        </w:rPr>
        <w:t>Philosophical Transactions of the Royal Society A: Mathematical, Physical and Engineering Sciences</w:t>
      </w:r>
      <w:r w:rsidRPr="009C4C93">
        <w:t xml:space="preserve"> </w:t>
      </w:r>
      <w:r w:rsidRPr="009C4C93">
        <w:rPr>
          <w:b/>
        </w:rPr>
        <w:t>371</w:t>
      </w:r>
      <w:r w:rsidRPr="009C4C93">
        <w:t>, 20120499 (2013).</w:t>
      </w:r>
    </w:p>
    <w:p w14:paraId="1E224520" w14:textId="77777777" w:rsidR="009C4C93" w:rsidRPr="009C4C93" w:rsidRDefault="009C4C93" w:rsidP="009C4C93">
      <w:pPr>
        <w:pStyle w:val="EndNoteBibliography"/>
        <w:spacing w:after="0"/>
        <w:ind w:left="720" w:hanging="720"/>
      </w:pPr>
      <w:r w:rsidRPr="009C4C93">
        <w:t>21.</w:t>
      </w:r>
      <w:r w:rsidRPr="009C4C93">
        <w:tab/>
        <w:t>R. Leite Rubim</w:t>
      </w:r>
      <w:r w:rsidRPr="009C4C93">
        <w:rPr>
          <w:i/>
        </w:rPr>
        <w:t xml:space="preserve"> et al.</w:t>
      </w:r>
      <w:r w:rsidRPr="009C4C93">
        <w:t xml:space="preserve">, Highly confined stacks of graphene oxide sheets in water. </w:t>
      </w:r>
      <w:r w:rsidRPr="009C4C93">
        <w:rPr>
          <w:i/>
        </w:rPr>
        <w:t>The European Physical Journal E</w:t>
      </w:r>
      <w:r w:rsidRPr="009C4C93">
        <w:t xml:space="preserve"> </w:t>
      </w:r>
      <w:r w:rsidRPr="009C4C93">
        <w:rPr>
          <w:b/>
        </w:rPr>
        <w:t>41</w:t>
      </w:r>
      <w:r w:rsidRPr="009C4C93">
        <w:t>, 1-10 (2018).</w:t>
      </w:r>
    </w:p>
    <w:p w14:paraId="662D0889" w14:textId="77777777" w:rsidR="009C4C93" w:rsidRPr="009C4C93" w:rsidRDefault="009C4C93" w:rsidP="009C4C93">
      <w:pPr>
        <w:pStyle w:val="EndNoteBibliography"/>
        <w:spacing w:after="0"/>
        <w:ind w:left="720" w:hanging="720"/>
      </w:pPr>
      <w:r w:rsidRPr="009C4C93">
        <w:t>22.</w:t>
      </w:r>
      <w:r w:rsidRPr="009C4C93">
        <w:tab/>
        <w:t>P. Li</w:t>
      </w:r>
      <w:r w:rsidRPr="009C4C93">
        <w:rPr>
          <w:i/>
        </w:rPr>
        <w:t xml:space="preserve"> et al.</w:t>
      </w:r>
      <w:r w:rsidRPr="009C4C93">
        <w:t xml:space="preserve">, Tunable lyotropic photonic liquid crystal based on graphene oxide. </w:t>
      </w:r>
      <w:r w:rsidRPr="009C4C93">
        <w:rPr>
          <w:i/>
        </w:rPr>
        <w:t>ACS photonics</w:t>
      </w:r>
      <w:r w:rsidRPr="009C4C93">
        <w:t xml:space="preserve"> </w:t>
      </w:r>
      <w:r w:rsidRPr="009C4C93">
        <w:rPr>
          <w:b/>
        </w:rPr>
        <w:t>1</w:t>
      </w:r>
      <w:r w:rsidRPr="009C4C93">
        <w:t>, 79-86 (2014).</w:t>
      </w:r>
    </w:p>
    <w:p w14:paraId="5C40E815" w14:textId="77777777" w:rsidR="009C4C93" w:rsidRPr="009C4C93" w:rsidRDefault="009C4C93" w:rsidP="009C4C93">
      <w:pPr>
        <w:pStyle w:val="EndNoteBibliography"/>
        <w:spacing w:after="0"/>
        <w:ind w:left="720" w:hanging="720"/>
      </w:pPr>
      <w:r w:rsidRPr="009C4C93">
        <w:t>23.</w:t>
      </w:r>
      <w:r w:rsidRPr="009C4C93">
        <w:tab/>
        <w:t xml:space="preserve">A. Iakunkov, A. V. Talyzin, Swelling properties of graphite oxides and graphene oxide multilayered materials. </w:t>
      </w:r>
      <w:r w:rsidRPr="009C4C93">
        <w:rPr>
          <w:i/>
        </w:rPr>
        <w:t>Nanoscale</w:t>
      </w:r>
      <w:r w:rsidRPr="009C4C93">
        <w:t xml:space="preserve"> </w:t>
      </w:r>
      <w:r w:rsidRPr="009C4C93">
        <w:rPr>
          <w:b/>
        </w:rPr>
        <w:t>12</w:t>
      </w:r>
      <w:r w:rsidRPr="009C4C93">
        <w:t>, 21060-21093 (2020).</w:t>
      </w:r>
    </w:p>
    <w:p w14:paraId="7E0E7098" w14:textId="77777777" w:rsidR="009C4C93" w:rsidRPr="009C4C93" w:rsidRDefault="009C4C93" w:rsidP="009C4C93">
      <w:pPr>
        <w:pStyle w:val="EndNoteBibliography"/>
        <w:spacing w:after="0"/>
        <w:ind w:left="720" w:hanging="720"/>
      </w:pPr>
      <w:r w:rsidRPr="009C4C93">
        <w:t>24.</w:t>
      </w:r>
      <w:r w:rsidRPr="009C4C93">
        <w:tab/>
        <w:t xml:space="preserve">M. Moazzami Gudarzi, S. H. Aboutalebi, Mapping the Binding Energy of Layered Crystals to Macroscopic Observables. </w:t>
      </w:r>
      <w:r w:rsidRPr="009C4C93">
        <w:rPr>
          <w:i/>
        </w:rPr>
        <w:t>Advanced Science</w:t>
      </w:r>
      <w:r w:rsidRPr="009C4C93">
        <w:t xml:space="preserve"> </w:t>
      </w:r>
      <w:r w:rsidRPr="009C4C93">
        <w:rPr>
          <w:b/>
        </w:rPr>
        <w:t>9</w:t>
      </w:r>
      <w:r w:rsidRPr="009C4C93">
        <w:t>, 2204001 (2022).</w:t>
      </w:r>
    </w:p>
    <w:p w14:paraId="4D181021" w14:textId="77777777" w:rsidR="009C4C93" w:rsidRPr="009C4C93" w:rsidRDefault="009C4C93" w:rsidP="009C4C93">
      <w:pPr>
        <w:pStyle w:val="EndNoteBibliography"/>
        <w:spacing w:after="0"/>
        <w:ind w:left="720" w:hanging="720"/>
      </w:pPr>
      <w:r w:rsidRPr="009C4C93">
        <w:t>25.</w:t>
      </w:r>
      <w:r w:rsidRPr="009C4C93">
        <w:tab/>
        <w:t>G. Sheng</w:t>
      </w:r>
      <w:r w:rsidRPr="009C4C93">
        <w:rPr>
          <w:i/>
        </w:rPr>
        <w:t xml:space="preserve"> et al.</w:t>
      </w:r>
      <w:r w:rsidRPr="009C4C93">
        <w:t xml:space="preserve">, Adsorption and co-adsorption of graphene oxide and Ni(II) on iron oxides: A spectroscopic and microscopic investigation. </w:t>
      </w:r>
      <w:r w:rsidRPr="009C4C93">
        <w:rPr>
          <w:i/>
        </w:rPr>
        <w:t>Environ Pollut</w:t>
      </w:r>
      <w:r w:rsidRPr="009C4C93">
        <w:t xml:space="preserve"> </w:t>
      </w:r>
      <w:r w:rsidRPr="009C4C93">
        <w:rPr>
          <w:b/>
        </w:rPr>
        <w:t>233</w:t>
      </w:r>
      <w:r w:rsidRPr="009C4C93">
        <w:t>, 125-131 (2018).</w:t>
      </w:r>
    </w:p>
    <w:p w14:paraId="5079E5B0" w14:textId="77777777" w:rsidR="009C4C93" w:rsidRPr="009C4C93" w:rsidRDefault="009C4C93" w:rsidP="009C4C93">
      <w:pPr>
        <w:pStyle w:val="EndNoteBibliography"/>
        <w:spacing w:after="0"/>
        <w:ind w:left="720" w:hanging="720"/>
      </w:pPr>
      <w:r w:rsidRPr="009C4C93">
        <w:t>26.</w:t>
      </w:r>
      <w:r w:rsidRPr="009C4C93">
        <w:tab/>
        <w:t>H. Wang</w:t>
      </w:r>
      <w:r w:rsidRPr="009C4C93">
        <w:rPr>
          <w:i/>
        </w:rPr>
        <w:t xml:space="preserve"> et al.</w:t>
      </w:r>
      <w:r w:rsidRPr="009C4C93">
        <w:t xml:space="preserve">, Adsorption characteristics and behaviors of graphene oxide for Zn(II) removal from aqueous solution. </w:t>
      </w:r>
      <w:r w:rsidRPr="009C4C93">
        <w:rPr>
          <w:i/>
        </w:rPr>
        <w:t>Applied Surface Science</w:t>
      </w:r>
      <w:r w:rsidRPr="009C4C93">
        <w:t xml:space="preserve"> </w:t>
      </w:r>
      <w:r w:rsidRPr="009C4C93">
        <w:rPr>
          <w:b/>
        </w:rPr>
        <w:t>279</w:t>
      </w:r>
      <w:r w:rsidRPr="009C4C93">
        <w:t>, 432-440 (2013).</w:t>
      </w:r>
    </w:p>
    <w:p w14:paraId="1264D2C7" w14:textId="77777777" w:rsidR="009C4C93" w:rsidRPr="009C4C93" w:rsidRDefault="009C4C93" w:rsidP="009C4C93">
      <w:pPr>
        <w:pStyle w:val="EndNoteBibliography"/>
        <w:spacing w:after="0"/>
        <w:ind w:left="720" w:hanging="720"/>
      </w:pPr>
      <w:r w:rsidRPr="009C4C93">
        <w:t>27.</w:t>
      </w:r>
      <w:r w:rsidRPr="009C4C93">
        <w:tab/>
        <w:t xml:space="preserve">A. Terracciano, J. Zhang, C. Christodoulatos, F. Wu, X. Meng, Adsorption of Ca(2+) on single layer graphene oxide. </w:t>
      </w:r>
      <w:r w:rsidRPr="009C4C93">
        <w:rPr>
          <w:i/>
        </w:rPr>
        <w:t>J Environ Sci (China)</w:t>
      </w:r>
      <w:r w:rsidRPr="009C4C93">
        <w:t xml:space="preserve"> </w:t>
      </w:r>
      <w:r w:rsidRPr="009C4C93">
        <w:rPr>
          <w:b/>
        </w:rPr>
        <w:t>57</w:t>
      </w:r>
      <w:r w:rsidRPr="009C4C93">
        <w:t>, 8-14 (2017).</w:t>
      </w:r>
    </w:p>
    <w:p w14:paraId="47EE61CC" w14:textId="77777777" w:rsidR="009C4C93" w:rsidRPr="009C4C93" w:rsidRDefault="009C4C93" w:rsidP="009C4C93">
      <w:pPr>
        <w:pStyle w:val="EndNoteBibliography"/>
        <w:spacing w:after="0"/>
        <w:ind w:left="720" w:hanging="720"/>
      </w:pPr>
      <w:r w:rsidRPr="009C4C93">
        <w:t>28.</w:t>
      </w:r>
      <w:r w:rsidRPr="009C4C93">
        <w:tab/>
        <w:t xml:space="preserve">K. Yang, B. Chen, X. Zhu, B. Xing, Aggregation, Adsorption, and Morphological Transformation of Graphene Oxide in Aqueous Solutions Containing Different Metal Cations. </w:t>
      </w:r>
      <w:r w:rsidRPr="009C4C93">
        <w:rPr>
          <w:i/>
        </w:rPr>
        <w:t>Environmental Science &amp; Technology</w:t>
      </w:r>
      <w:r w:rsidRPr="009C4C93">
        <w:t xml:space="preserve"> </w:t>
      </w:r>
      <w:r w:rsidRPr="009C4C93">
        <w:rPr>
          <w:b/>
        </w:rPr>
        <w:t>50</w:t>
      </w:r>
      <w:r w:rsidRPr="009C4C93">
        <w:t>, 11066-11075 (2016).</w:t>
      </w:r>
    </w:p>
    <w:p w14:paraId="41FF4B31" w14:textId="77777777" w:rsidR="009C4C93" w:rsidRPr="009C4C93" w:rsidRDefault="009C4C93" w:rsidP="009C4C93">
      <w:pPr>
        <w:pStyle w:val="EndNoteBibliography"/>
        <w:spacing w:after="0"/>
        <w:ind w:left="720" w:hanging="720"/>
      </w:pPr>
      <w:r w:rsidRPr="009C4C93">
        <w:t>29.</w:t>
      </w:r>
      <w:r w:rsidRPr="009C4C93">
        <w:tab/>
        <w:t xml:space="preserve">S. Kashyap, S. Mishra, S. K. Behera, Aqueous Colloidal Stability of Graphene Oxide and Chemically Converted Graphene. </w:t>
      </w:r>
      <w:r w:rsidRPr="009C4C93">
        <w:rPr>
          <w:i/>
        </w:rPr>
        <w:t>Journal of Nanoparticles</w:t>
      </w:r>
      <w:r w:rsidRPr="009C4C93">
        <w:t xml:space="preserve"> </w:t>
      </w:r>
      <w:r w:rsidRPr="009C4C93">
        <w:rPr>
          <w:b/>
        </w:rPr>
        <w:t>2014</w:t>
      </w:r>
      <w:r w:rsidRPr="009C4C93">
        <w:t>, 640281 (2014).</w:t>
      </w:r>
    </w:p>
    <w:p w14:paraId="28D2E56C" w14:textId="77777777" w:rsidR="009C4C93" w:rsidRPr="009C4C93" w:rsidRDefault="009C4C93" w:rsidP="009C4C93">
      <w:pPr>
        <w:pStyle w:val="EndNoteBibliography"/>
        <w:spacing w:after="0"/>
        <w:ind w:left="720" w:hanging="720"/>
      </w:pPr>
      <w:r w:rsidRPr="009C4C93">
        <w:t>30.</w:t>
      </w:r>
      <w:r w:rsidRPr="009C4C93">
        <w:tab/>
        <w:t>S. Yu</w:t>
      </w:r>
      <w:r w:rsidRPr="009C4C93">
        <w:rPr>
          <w:i/>
        </w:rPr>
        <w:t xml:space="preserve"> et al.</w:t>
      </w:r>
      <w:r w:rsidRPr="009C4C93">
        <w:t xml:space="preserve">, Complex Roles of Solution Chemistry on Graphene Oxide Coagulation onto Titanium Dioxide: Batch Experiments, Spectroscopy Analysis and Theoretical Calculation. </w:t>
      </w:r>
      <w:r w:rsidRPr="009C4C93">
        <w:rPr>
          <w:i/>
        </w:rPr>
        <w:t>Scientific Reports</w:t>
      </w:r>
      <w:r w:rsidRPr="009C4C93">
        <w:t xml:space="preserve"> </w:t>
      </w:r>
      <w:r w:rsidRPr="009C4C93">
        <w:rPr>
          <w:b/>
        </w:rPr>
        <w:t>7</w:t>
      </w:r>
      <w:r w:rsidRPr="009C4C93">
        <w:t>, 39625 (2017).</w:t>
      </w:r>
    </w:p>
    <w:p w14:paraId="0BA532A6" w14:textId="77777777" w:rsidR="009C4C93" w:rsidRPr="009C4C93" w:rsidRDefault="009C4C93" w:rsidP="009C4C93">
      <w:pPr>
        <w:pStyle w:val="EndNoteBibliography"/>
        <w:spacing w:after="0"/>
        <w:ind w:left="720" w:hanging="720"/>
      </w:pPr>
      <w:r w:rsidRPr="009C4C93">
        <w:t>31.</w:t>
      </w:r>
      <w:r w:rsidRPr="009C4C93">
        <w:tab/>
        <w:t xml:space="preserve">I. C. Chen, M. Zhang, Y. Min, M. Akbulut, Deposition Kinetics of Graphene Oxide on Charged Self-Assembled Monolayers. </w:t>
      </w:r>
      <w:r w:rsidRPr="009C4C93">
        <w:rPr>
          <w:i/>
        </w:rPr>
        <w:t>The Journal of Physical Chemistry C</w:t>
      </w:r>
      <w:r w:rsidRPr="009C4C93">
        <w:t xml:space="preserve"> </w:t>
      </w:r>
      <w:r w:rsidRPr="009C4C93">
        <w:rPr>
          <w:b/>
        </w:rPr>
        <w:t>120</w:t>
      </w:r>
      <w:r w:rsidRPr="009C4C93">
        <w:t>, 8333-8342 (2016).</w:t>
      </w:r>
    </w:p>
    <w:p w14:paraId="158DC72A" w14:textId="77777777" w:rsidR="009C4C93" w:rsidRPr="009C4C93" w:rsidRDefault="009C4C93" w:rsidP="009C4C93">
      <w:pPr>
        <w:pStyle w:val="EndNoteBibliography"/>
        <w:spacing w:after="0"/>
        <w:ind w:left="720" w:hanging="720"/>
      </w:pPr>
      <w:r w:rsidRPr="009C4C93">
        <w:t>32.</w:t>
      </w:r>
      <w:r w:rsidRPr="009C4C93">
        <w:tab/>
        <w:t xml:space="preserve">M. Hu, B. Mi, Enabling Graphene Oxide Nanosheets as Water Separation Membranes. </w:t>
      </w:r>
      <w:r w:rsidRPr="009C4C93">
        <w:rPr>
          <w:i/>
        </w:rPr>
        <w:t>Environmental Science &amp; Technology</w:t>
      </w:r>
      <w:r w:rsidRPr="009C4C93">
        <w:t xml:space="preserve"> </w:t>
      </w:r>
      <w:r w:rsidRPr="009C4C93">
        <w:rPr>
          <w:b/>
        </w:rPr>
        <w:t>47</w:t>
      </w:r>
      <w:r w:rsidRPr="009C4C93">
        <w:t>, 3715-3723 (2013).</w:t>
      </w:r>
    </w:p>
    <w:p w14:paraId="549ABBFC" w14:textId="77777777" w:rsidR="009C4C93" w:rsidRPr="009C4C93" w:rsidRDefault="009C4C93" w:rsidP="009C4C93">
      <w:pPr>
        <w:pStyle w:val="EndNoteBibliography"/>
        <w:spacing w:after="0"/>
        <w:ind w:left="720" w:hanging="720"/>
      </w:pPr>
      <w:r w:rsidRPr="009C4C93">
        <w:t>33.</w:t>
      </w:r>
      <w:r w:rsidRPr="009C4C93">
        <w:tab/>
        <w:t xml:space="preserve">W.-N. Wang, Y. Jiang, P. Biswas, Evaporation-Induced Crumpling of Graphene Oxide Nanosheets in Aerosolized Droplets: Confinement Force Relationship. </w:t>
      </w:r>
      <w:r w:rsidRPr="009C4C93">
        <w:rPr>
          <w:i/>
        </w:rPr>
        <w:t>The Journal of Physical Chemistry Letters</w:t>
      </w:r>
      <w:r w:rsidRPr="009C4C93">
        <w:t xml:space="preserve"> </w:t>
      </w:r>
      <w:r w:rsidRPr="009C4C93">
        <w:rPr>
          <w:b/>
        </w:rPr>
        <w:t>3</w:t>
      </w:r>
      <w:r w:rsidRPr="009C4C93">
        <w:t>, 3228-3233 (2012).</w:t>
      </w:r>
    </w:p>
    <w:p w14:paraId="6F26931B" w14:textId="77777777" w:rsidR="009C4C93" w:rsidRPr="009C4C93" w:rsidRDefault="009C4C93" w:rsidP="009C4C93">
      <w:pPr>
        <w:pStyle w:val="EndNoteBibliography"/>
        <w:spacing w:after="0"/>
        <w:ind w:left="720" w:hanging="720"/>
      </w:pPr>
      <w:r w:rsidRPr="009C4C93">
        <w:t>34.</w:t>
      </w:r>
      <w:r w:rsidRPr="009C4C93">
        <w:tab/>
        <w:t>M. M. Viana</w:t>
      </w:r>
      <w:r w:rsidRPr="009C4C93">
        <w:rPr>
          <w:i/>
        </w:rPr>
        <w:t xml:space="preserve"> et al.</w:t>
      </w:r>
      <w:r w:rsidRPr="009C4C93">
        <w:t xml:space="preserve">, Facile graphene oxide preparation by microwave-assisted acid method. </w:t>
      </w:r>
      <w:r w:rsidRPr="009C4C93">
        <w:rPr>
          <w:i/>
        </w:rPr>
        <w:t>Journal of the Brazilian Chemical Society</w:t>
      </w:r>
      <w:r w:rsidRPr="009C4C93">
        <w:t xml:space="preserve"> </w:t>
      </w:r>
      <w:r w:rsidRPr="009C4C93">
        <w:rPr>
          <w:b/>
        </w:rPr>
        <w:t>26</w:t>
      </w:r>
      <w:r w:rsidRPr="009C4C93">
        <w:t>, 978-984 (2015).</w:t>
      </w:r>
    </w:p>
    <w:p w14:paraId="1B7BB7AE" w14:textId="77777777" w:rsidR="009C4C93" w:rsidRPr="009C4C93" w:rsidRDefault="009C4C93" w:rsidP="009C4C93">
      <w:pPr>
        <w:pStyle w:val="EndNoteBibliography"/>
        <w:spacing w:after="0"/>
        <w:ind w:left="720" w:hanging="720"/>
      </w:pPr>
      <w:r w:rsidRPr="009C4C93">
        <w:t>35.</w:t>
      </w:r>
      <w:r w:rsidRPr="009C4C93">
        <w:tab/>
        <w:t>H. Su</w:t>
      </w:r>
      <w:r w:rsidRPr="009C4C93">
        <w:rPr>
          <w:i/>
        </w:rPr>
        <w:t xml:space="preserve"> et al.</w:t>
      </w:r>
      <w:r w:rsidRPr="009C4C93">
        <w:t xml:space="preserve">, Facile synthesis of water soluble reduced graphene oxide with a high concentration and its application in printable micro-supercapacitors. </w:t>
      </w:r>
      <w:r w:rsidRPr="009C4C93">
        <w:rPr>
          <w:i/>
        </w:rPr>
        <w:t>Sustainable Energy &amp; Fuels</w:t>
      </w:r>
      <w:r w:rsidRPr="009C4C93">
        <w:t xml:space="preserve"> </w:t>
      </w:r>
      <w:r w:rsidRPr="009C4C93">
        <w:rPr>
          <w:b/>
        </w:rPr>
        <w:t>1</w:t>
      </w:r>
      <w:r w:rsidRPr="009C4C93">
        <w:t>, 1601-1610 (2017).</w:t>
      </w:r>
    </w:p>
    <w:p w14:paraId="2C211725" w14:textId="77777777" w:rsidR="009C4C93" w:rsidRPr="009C4C93" w:rsidRDefault="009C4C93" w:rsidP="009C4C93">
      <w:pPr>
        <w:pStyle w:val="EndNoteBibliography"/>
        <w:spacing w:after="0"/>
        <w:ind w:left="720" w:hanging="720"/>
      </w:pPr>
      <w:r w:rsidRPr="009C4C93">
        <w:t>36.</w:t>
      </w:r>
      <w:r w:rsidRPr="009C4C93">
        <w:tab/>
        <w:t>G. Liu</w:t>
      </w:r>
      <w:r w:rsidRPr="009C4C93">
        <w:rPr>
          <w:i/>
        </w:rPr>
        <w:t xml:space="preserve"> et al.</w:t>
      </w:r>
      <w:r w:rsidRPr="009C4C93">
        <w:t xml:space="preserve">, Graphene oxide for high-efficiency separation membranes: Role of electrostatic interactions. </w:t>
      </w:r>
      <w:r w:rsidRPr="009C4C93">
        <w:rPr>
          <w:i/>
        </w:rPr>
        <w:t>Carbon</w:t>
      </w:r>
      <w:r w:rsidRPr="009C4C93">
        <w:t xml:space="preserve"> </w:t>
      </w:r>
      <w:r w:rsidRPr="009C4C93">
        <w:rPr>
          <w:b/>
        </w:rPr>
        <w:t>110</w:t>
      </w:r>
      <w:r w:rsidRPr="009C4C93">
        <w:t>, 56-61 (2016).</w:t>
      </w:r>
    </w:p>
    <w:p w14:paraId="0B623909" w14:textId="77777777" w:rsidR="009C4C93" w:rsidRPr="009C4C93" w:rsidRDefault="009C4C93" w:rsidP="009C4C93">
      <w:pPr>
        <w:pStyle w:val="EndNoteBibliography"/>
        <w:spacing w:after="0"/>
        <w:ind w:left="720" w:hanging="720"/>
      </w:pPr>
      <w:r w:rsidRPr="009C4C93">
        <w:t>37.</w:t>
      </w:r>
      <w:r w:rsidRPr="009C4C93">
        <w:tab/>
        <w:t>J. Luo</w:t>
      </w:r>
      <w:r w:rsidRPr="009C4C93">
        <w:rPr>
          <w:i/>
        </w:rPr>
        <w:t xml:space="preserve"> et al.</w:t>
      </w:r>
      <w:r w:rsidRPr="009C4C93">
        <w:t xml:space="preserve">, Graphene Oxide Nanocolloids. </w:t>
      </w:r>
      <w:r w:rsidRPr="009C4C93">
        <w:rPr>
          <w:i/>
        </w:rPr>
        <w:t>Journal of the American Chemical Society</w:t>
      </w:r>
      <w:r w:rsidRPr="009C4C93">
        <w:t xml:space="preserve"> </w:t>
      </w:r>
      <w:r w:rsidRPr="009C4C93">
        <w:rPr>
          <w:b/>
        </w:rPr>
        <w:t>132</w:t>
      </w:r>
      <w:r w:rsidRPr="009C4C93">
        <w:t>, 17667-17669 (2010).</w:t>
      </w:r>
    </w:p>
    <w:p w14:paraId="00C0E83E" w14:textId="77777777" w:rsidR="009C4C93" w:rsidRPr="009C4C93" w:rsidRDefault="009C4C93" w:rsidP="009C4C93">
      <w:pPr>
        <w:pStyle w:val="EndNoteBibliography"/>
        <w:spacing w:after="0"/>
        <w:ind w:left="720" w:hanging="720"/>
      </w:pPr>
      <w:r w:rsidRPr="009C4C93">
        <w:lastRenderedPageBreak/>
        <w:t>38.</w:t>
      </w:r>
      <w:r w:rsidRPr="009C4C93">
        <w:tab/>
        <w:t xml:space="preserve">J. Zhao, F. Liu, Z. Wang, X. Cao, B. Xing, Heteroaggregation of Graphene Oxide with Minerals in Aqueous Phase. </w:t>
      </w:r>
      <w:r w:rsidRPr="009C4C93">
        <w:rPr>
          <w:i/>
        </w:rPr>
        <w:t>Environmental Science &amp; Technology</w:t>
      </w:r>
      <w:r w:rsidRPr="009C4C93">
        <w:t xml:space="preserve"> </w:t>
      </w:r>
      <w:r w:rsidRPr="009C4C93">
        <w:rPr>
          <w:b/>
        </w:rPr>
        <w:t>49</w:t>
      </w:r>
      <w:r w:rsidRPr="009C4C93">
        <w:t>, 2849-2857 (2015).</w:t>
      </w:r>
    </w:p>
    <w:p w14:paraId="515E3BBB" w14:textId="77777777" w:rsidR="009C4C93" w:rsidRPr="009C4C93" w:rsidRDefault="009C4C93" w:rsidP="009C4C93">
      <w:pPr>
        <w:pStyle w:val="EndNoteBibliography"/>
        <w:spacing w:after="0"/>
        <w:ind w:left="720" w:hanging="720"/>
      </w:pPr>
      <w:r w:rsidRPr="009C4C93">
        <w:t>39.</w:t>
      </w:r>
      <w:r w:rsidRPr="009C4C93">
        <w:tab/>
        <w:t xml:space="preserve">Y. Xu, K. Sheng, C. Li, G. Shi, Highly conductive chemically converted graphene prepared from mildly oxidized graphene oxide. </w:t>
      </w:r>
      <w:r w:rsidRPr="009C4C93">
        <w:rPr>
          <w:i/>
        </w:rPr>
        <w:t>Journal of Materials Chemistry</w:t>
      </w:r>
      <w:r w:rsidRPr="009C4C93">
        <w:t xml:space="preserve"> </w:t>
      </w:r>
      <w:r w:rsidRPr="009C4C93">
        <w:rPr>
          <w:b/>
        </w:rPr>
        <w:t>21</w:t>
      </w:r>
      <w:r w:rsidRPr="009C4C93">
        <w:t>, 7376-7380 (2011).</w:t>
      </w:r>
    </w:p>
    <w:p w14:paraId="5EA8BBD1" w14:textId="77777777" w:rsidR="009C4C93" w:rsidRPr="009C4C93" w:rsidRDefault="009C4C93" w:rsidP="009C4C93">
      <w:pPr>
        <w:pStyle w:val="EndNoteBibliography"/>
        <w:spacing w:after="0"/>
        <w:ind w:left="720" w:hanging="720"/>
      </w:pPr>
      <w:r w:rsidRPr="009C4C93">
        <w:t>40.</w:t>
      </w:r>
      <w:r w:rsidRPr="009C4C93">
        <w:tab/>
        <w:t>Y. Gao</w:t>
      </w:r>
      <w:r w:rsidRPr="009C4C93">
        <w:rPr>
          <w:i/>
        </w:rPr>
        <w:t xml:space="preserve"> et al.</w:t>
      </w:r>
      <w:r w:rsidRPr="009C4C93">
        <w:t xml:space="preserve">, Insights into key factors controlling GO stability in natural surface waters. </w:t>
      </w:r>
      <w:r w:rsidRPr="009C4C93">
        <w:rPr>
          <w:i/>
        </w:rPr>
        <w:t>Journal of Hazardous Materials</w:t>
      </w:r>
      <w:r w:rsidRPr="009C4C93">
        <w:t xml:space="preserve"> </w:t>
      </w:r>
      <w:r w:rsidRPr="009C4C93">
        <w:rPr>
          <w:b/>
        </w:rPr>
        <w:t>335</w:t>
      </w:r>
      <w:r w:rsidRPr="009C4C93">
        <w:t>, 56-65 (2017).</w:t>
      </w:r>
    </w:p>
    <w:p w14:paraId="03AB9511" w14:textId="77777777" w:rsidR="009C4C93" w:rsidRPr="009C4C93" w:rsidRDefault="009C4C93" w:rsidP="009C4C93">
      <w:pPr>
        <w:pStyle w:val="EndNoteBibliography"/>
        <w:spacing w:after="0"/>
        <w:ind w:left="720" w:hanging="720"/>
      </w:pPr>
      <w:r w:rsidRPr="009C4C93">
        <w:t>41.</w:t>
      </w:r>
      <w:r w:rsidRPr="009C4C93">
        <w:tab/>
        <w:t>H. Tang</w:t>
      </w:r>
      <w:r w:rsidRPr="009C4C93">
        <w:rPr>
          <w:i/>
        </w:rPr>
        <w:t xml:space="preserve"> et al.</w:t>
      </w:r>
      <w:r w:rsidRPr="009C4C93">
        <w:t xml:space="preserve">, New insight into the aggregation of graphene oxide using molecular dynamics simulations and extended Derjaguin–Landau–Verwey–Overbeek theory. </w:t>
      </w:r>
      <w:r w:rsidRPr="009C4C93">
        <w:rPr>
          <w:i/>
        </w:rPr>
        <w:t>Environmental science &amp; technology</w:t>
      </w:r>
      <w:r w:rsidRPr="009C4C93">
        <w:t xml:space="preserve"> </w:t>
      </w:r>
      <w:r w:rsidRPr="009C4C93">
        <w:rPr>
          <w:b/>
        </w:rPr>
        <w:t>51</w:t>
      </w:r>
      <w:r w:rsidRPr="009C4C93">
        <w:t>, 9674-9682 (2017).</w:t>
      </w:r>
    </w:p>
    <w:p w14:paraId="05A32F6D" w14:textId="77777777" w:rsidR="009C4C93" w:rsidRPr="009C4C93" w:rsidRDefault="009C4C93" w:rsidP="009C4C93">
      <w:pPr>
        <w:pStyle w:val="EndNoteBibliography"/>
        <w:spacing w:after="0"/>
        <w:ind w:left="720" w:hanging="720"/>
      </w:pPr>
      <w:r w:rsidRPr="009C4C93">
        <w:t>42.</w:t>
      </w:r>
      <w:r w:rsidRPr="009C4C93">
        <w:tab/>
        <w:t xml:space="preserve">T. M. McCoy, P. Brown, J. Eastoe, R. F. Tabor, Noncovalent Magnetic Control and Reversible Recovery of Graphene Oxide Using Iron Oxide and Magnetic Surfactants. </w:t>
      </w:r>
      <w:r w:rsidRPr="009C4C93">
        <w:rPr>
          <w:i/>
        </w:rPr>
        <w:t>ACS Applied Materials &amp; Interfaces</w:t>
      </w:r>
      <w:r w:rsidRPr="009C4C93">
        <w:t xml:space="preserve"> </w:t>
      </w:r>
      <w:r w:rsidRPr="009C4C93">
        <w:rPr>
          <w:b/>
        </w:rPr>
        <w:t>7</w:t>
      </w:r>
      <w:r w:rsidRPr="009C4C93">
        <w:t>, 2124-2133 (2015).</w:t>
      </w:r>
    </w:p>
    <w:p w14:paraId="3CADAC19" w14:textId="77777777" w:rsidR="009C4C93" w:rsidRPr="009C4C93" w:rsidRDefault="009C4C93" w:rsidP="009C4C93">
      <w:pPr>
        <w:pStyle w:val="EndNoteBibliography"/>
        <w:spacing w:after="0"/>
        <w:ind w:left="720" w:hanging="720"/>
      </w:pPr>
      <w:r w:rsidRPr="009C4C93">
        <w:t>43.</w:t>
      </w:r>
      <w:r w:rsidRPr="009C4C93">
        <w:tab/>
        <w:t xml:space="preserve">D. Li, M. B. Müller, S. Gilje, R. B. Kaner, G. G. Wallace, Processable aqueous dispersions of graphene nanosheets. </w:t>
      </w:r>
      <w:r w:rsidRPr="009C4C93">
        <w:rPr>
          <w:i/>
        </w:rPr>
        <w:t>Nature nanotechnology</w:t>
      </w:r>
      <w:r w:rsidRPr="009C4C93">
        <w:t xml:space="preserve"> </w:t>
      </w:r>
      <w:r w:rsidRPr="009C4C93">
        <w:rPr>
          <w:b/>
        </w:rPr>
        <w:t>3</w:t>
      </w:r>
      <w:r w:rsidRPr="009C4C93">
        <w:t>, 101-105 (2008).</w:t>
      </w:r>
    </w:p>
    <w:p w14:paraId="7F0A042B" w14:textId="77777777" w:rsidR="009C4C93" w:rsidRPr="009C4C93" w:rsidRDefault="009C4C93" w:rsidP="009C4C93">
      <w:pPr>
        <w:pStyle w:val="EndNoteBibliography"/>
        <w:spacing w:after="0"/>
        <w:ind w:left="720" w:hanging="720"/>
      </w:pPr>
      <w:r w:rsidRPr="009C4C93">
        <w:t>44.</w:t>
      </w:r>
      <w:r w:rsidRPr="009C4C93">
        <w:tab/>
        <w:t xml:space="preserve">T. P. Nguyen, W.-C. Chang, Y.-C. Lai, T.-C. Hsiao, D.-H. Tsai, Quantitative characterization of colloidal assembly of graphene oxide-silver nanoparticle hybrids using aerosol differential mobility-coupled mass analyses. </w:t>
      </w:r>
      <w:r w:rsidRPr="009C4C93">
        <w:rPr>
          <w:i/>
        </w:rPr>
        <w:t>Analytical and Bioanalytical Chemistry</w:t>
      </w:r>
      <w:r w:rsidRPr="009C4C93">
        <w:t xml:space="preserve"> </w:t>
      </w:r>
      <w:r w:rsidRPr="009C4C93">
        <w:rPr>
          <w:b/>
        </w:rPr>
        <w:t>409</w:t>
      </w:r>
      <w:r w:rsidRPr="009C4C93">
        <w:t>, 5933-5941 (2017).</w:t>
      </w:r>
    </w:p>
    <w:p w14:paraId="73295EF0" w14:textId="77777777" w:rsidR="009C4C93" w:rsidRPr="009C4C93" w:rsidRDefault="009C4C93" w:rsidP="009C4C93">
      <w:pPr>
        <w:pStyle w:val="EndNoteBibliography"/>
        <w:spacing w:after="0"/>
        <w:ind w:left="720" w:hanging="720"/>
      </w:pPr>
      <w:r w:rsidRPr="009C4C93">
        <w:t>45.</w:t>
      </w:r>
      <w:r w:rsidRPr="009C4C93">
        <w:tab/>
        <w:t xml:space="preserve">S. Zhang, W. Li, H. Tang, T. Huang, B. Xing, Revisit the adsorption of aromatic compounds on graphene oxide: Roles of oxidized debris. </w:t>
      </w:r>
      <w:r w:rsidRPr="009C4C93">
        <w:rPr>
          <w:i/>
        </w:rPr>
        <w:t>Chemical Engineering Journal</w:t>
      </w:r>
      <w:r w:rsidRPr="009C4C93">
        <w:t xml:space="preserve"> </w:t>
      </w:r>
      <w:r w:rsidRPr="009C4C93">
        <w:rPr>
          <w:b/>
        </w:rPr>
        <w:t>450</w:t>
      </w:r>
      <w:r w:rsidRPr="009C4C93">
        <w:t>, 137996 (2022).</w:t>
      </w:r>
    </w:p>
    <w:p w14:paraId="2A7774EF" w14:textId="77777777" w:rsidR="009C4C93" w:rsidRPr="009C4C93" w:rsidRDefault="009C4C93" w:rsidP="009C4C93">
      <w:pPr>
        <w:pStyle w:val="EndNoteBibliography"/>
        <w:spacing w:after="0"/>
        <w:ind w:left="720" w:hanging="720"/>
      </w:pPr>
      <w:r w:rsidRPr="009C4C93">
        <w:t>46.</w:t>
      </w:r>
      <w:r w:rsidRPr="009C4C93">
        <w:tab/>
        <w:t>H. Huang</w:t>
      </w:r>
      <w:r w:rsidRPr="009C4C93">
        <w:rPr>
          <w:i/>
        </w:rPr>
        <w:t xml:space="preserve"> et al.</w:t>
      </w:r>
      <w:r w:rsidRPr="009C4C93">
        <w:t xml:space="preserve">, Salt concentration, pH and pressure controlled separation of small molecules through lamellar graphene oxide membranes. </w:t>
      </w:r>
      <w:r w:rsidRPr="009C4C93">
        <w:rPr>
          <w:i/>
        </w:rPr>
        <w:t>Chemical Communications</w:t>
      </w:r>
      <w:r w:rsidRPr="009C4C93">
        <w:t xml:space="preserve"> </w:t>
      </w:r>
      <w:r w:rsidRPr="009C4C93">
        <w:rPr>
          <w:b/>
        </w:rPr>
        <w:t>49</w:t>
      </w:r>
      <w:r w:rsidRPr="009C4C93">
        <w:t>, 5963-5965 (2013).</w:t>
      </w:r>
    </w:p>
    <w:p w14:paraId="493EE446" w14:textId="77777777" w:rsidR="009C4C93" w:rsidRPr="009C4C93" w:rsidRDefault="009C4C93" w:rsidP="009C4C93">
      <w:pPr>
        <w:pStyle w:val="EndNoteBibliography"/>
        <w:spacing w:after="0"/>
        <w:ind w:left="720" w:hanging="720"/>
      </w:pPr>
      <w:r w:rsidRPr="009C4C93">
        <w:t>47.</w:t>
      </w:r>
      <w:r w:rsidRPr="009C4C93">
        <w:tab/>
        <w:t xml:space="preserve">X. Wang, H. Bai, G. Shi, Size Fractionation of Graphene Oxide Sheets by pH-Assisted Selective Sedimentation. </w:t>
      </w:r>
      <w:r w:rsidRPr="009C4C93">
        <w:rPr>
          <w:i/>
        </w:rPr>
        <w:t>Journal of the American Chemical Society</w:t>
      </w:r>
      <w:r w:rsidRPr="009C4C93">
        <w:t xml:space="preserve"> </w:t>
      </w:r>
      <w:r w:rsidRPr="009C4C93">
        <w:rPr>
          <w:b/>
        </w:rPr>
        <w:t>133</w:t>
      </w:r>
      <w:r w:rsidRPr="009C4C93">
        <w:t>, 6338-6342 (2011).</w:t>
      </w:r>
    </w:p>
    <w:p w14:paraId="51EDEB5E" w14:textId="77777777" w:rsidR="009C4C93" w:rsidRPr="009C4C93" w:rsidRDefault="009C4C93" w:rsidP="009C4C93">
      <w:pPr>
        <w:pStyle w:val="EndNoteBibliography"/>
        <w:spacing w:after="0"/>
        <w:ind w:left="720" w:hanging="720"/>
      </w:pPr>
      <w:r w:rsidRPr="009C4C93">
        <w:t>48.</w:t>
      </w:r>
      <w:r w:rsidRPr="009C4C93">
        <w:tab/>
        <w:t>S. Yu</w:t>
      </w:r>
      <w:r w:rsidRPr="009C4C93">
        <w:rPr>
          <w:i/>
        </w:rPr>
        <w:t xml:space="preserve"> et al.</w:t>
      </w:r>
      <w:r w:rsidRPr="009C4C93">
        <w:t xml:space="preserve">, Spectroscopic and theoretical studies on the counterion effect of Cu(ii) ion and graphene oxide interaction with titanium dioxide. </w:t>
      </w:r>
      <w:r w:rsidRPr="009C4C93">
        <w:rPr>
          <w:i/>
        </w:rPr>
        <w:t>Environmental Science: Nano</w:t>
      </w:r>
      <w:r w:rsidRPr="009C4C93">
        <w:t xml:space="preserve"> </w:t>
      </w:r>
      <w:r w:rsidRPr="009C4C93">
        <w:rPr>
          <w:b/>
        </w:rPr>
        <w:t>3</w:t>
      </w:r>
      <w:r w:rsidRPr="009C4C93">
        <w:t>, 1361-1368 (2016).</w:t>
      </w:r>
    </w:p>
    <w:p w14:paraId="768624EE" w14:textId="77777777" w:rsidR="009C4C93" w:rsidRPr="009C4C93" w:rsidRDefault="009C4C93" w:rsidP="009C4C93">
      <w:pPr>
        <w:pStyle w:val="EndNoteBibliography"/>
        <w:spacing w:after="0"/>
        <w:ind w:left="720" w:hanging="720"/>
      </w:pPr>
      <w:r w:rsidRPr="009C4C93">
        <w:t>49.</w:t>
      </w:r>
      <w:r w:rsidRPr="009C4C93">
        <w:tab/>
        <w:t>B. Qi</w:t>
      </w:r>
      <w:r w:rsidRPr="009C4C93">
        <w:rPr>
          <w:i/>
        </w:rPr>
        <w:t xml:space="preserve"> et al.</w:t>
      </w:r>
      <w:r w:rsidRPr="009C4C93">
        <w:t xml:space="preserve">, Strict molecular sieving over electrodeposited 2D-interspacing-narrowed graphene oxide membranes. </w:t>
      </w:r>
      <w:r w:rsidRPr="009C4C93">
        <w:rPr>
          <w:i/>
        </w:rPr>
        <w:t>Nature Communications</w:t>
      </w:r>
      <w:r w:rsidRPr="009C4C93">
        <w:t xml:space="preserve"> </w:t>
      </w:r>
      <w:r w:rsidRPr="009C4C93">
        <w:rPr>
          <w:b/>
        </w:rPr>
        <w:t>8</w:t>
      </w:r>
      <w:r w:rsidRPr="009C4C93">
        <w:t>, 825 (2017).</w:t>
      </w:r>
    </w:p>
    <w:p w14:paraId="28DC72BF" w14:textId="77777777" w:rsidR="009C4C93" w:rsidRPr="009C4C93" w:rsidRDefault="009C4C93" w:rsidP="009C4C93">
      <w:pPr>
        <w:pStyle w:val="EndNoteBibliography"/>
        <w:spacing w:after="0"/>
        <w:ind w:left="720" w:hanging="720"/>
      </w:pPr>
      <w:r w:rsidRPr="009C4C93">
        <w:t>50.</w:t>
      </w:r>
      <w:r w:rsidRPr="009C4C93">
        <w:tab/>
        <w:t xml:space="preserve">S. Eigler, C. Dotzer, F. Hof, W. Bauer, A. Hirsch, Sulfur Species in Graphene Oxide. </w:t>
      </w:r>
      <w:r w:rsidRPr="009C4C93">
        <w:rPr>
          <w:i/>
        </w:rPr>
        <w:t>Chemistry – A European Journal</w:t>
      </w:r>
      <w:r w:rsidRPr="009C4C93">
        <w:t xml:space="preserve"> </w:t>
      </w:r>
      <w:r w:rsidRPr="009C4C93">
        <w:rPr>
          <w:b/>
        </w:rPr>
        <w:t>19</w:t>
      </w:r>
      <w:r w:rsidRPr="009C4C93">
        <w:t>, 9490-9496 (2013).</w:t>
      </w:r>
    </w:p>
    <w:p w14:paraId="018A6B93" w14:textId="77777777" w:rsidR="009C4C93" w:rsidRPr="009C4C93" w:rsidRDefault="009C4C93" w:rsidP="009C4C93">
      <w:pPr>
        <w:pStyle w:val="EndNoteBibliography"/>
        <w:spacing w:after="0"/>
        <w:ind w:left="720" w:hanging="720"/>
      </w:pPr>
      <w:r w:rsidRPr="009C4C93">
        <w:t>51.</w:t>
      </w:r>
      <w:r w:rsidRPr="009C4C93">
        <w:tab/>
        <w:t xml:space="preserve">X. Xue, J. Xu, S. A. Baig, X. Xu, Synthesis of graphene oxide nanosheets for the removal of Cd(II) ions from acidic aqueous solutions. </w:t>
      </w:r>
      <w:r w:rsidRPr="009C4C93">
        <w:rPr>
          <w:i/>
        </w:rPr>
        <w:t>Journal of the Taiwan Institute of Chemical Engineers</w:t>
      </w:r>
      <w:r w:rsidRPr="009C4C93">
        <w:t xml:space="preserve"> </w:t>
      </w:r>
      <w:r w:rsidRPr="009C4C93">
        <w:rPr>
          <w:b/>
        </w:rPr>
        <w:t>59</w:t>
      </w:r>
      <w:r w:rsidRPr="009C4C93">
        <w:t>, 365-372 (2016).</w:t>
      </w:r>
    </w:p>
    <w:p w14:paraId="39AAD889" w14:textId="77777777" w:rsidR="009C4C93" w:rsidRPr="009C4C93" w:rsidRDefault="009C4C93" w:rsidP="009C4C93">
      <w:pPr>
        <w:pStyle w:val="EndNoteBibliography"/>
        <w:spacing w:after="0"/>
        <w:ind w:left="720" w:hanging="720"/>
      </w:pPr>
      <w:r w:rsidRPr="009C4C93">
        <w:t>52.</w:t>
      </w:r>
      <w:r w:rsidRPr="009C4C93">
        <w:tab/>
        <w:t xml:space="preserve">L. J. Cote, J. Kim, Z. Zhang, C. Sun, J. Huang, Tunable assembly of graphene oxide surfactant sheets: wrinkles, overlaps and impacts on thin film properties. </w:t>
      </w:r>
      <w:r w:rsidRPr="009C4C93">
        <w:rPr>
          <w:i/>
        </w:rPr>
        <w:t>Soft Matter</w:t>
      </w:r>
      <w:r w:rsidRPr="009C4C93">
        <w:t xml:space="preserve"> </w:t>
      </w:r>
      <w:r w:rsidRPr="009C4C93">
        <w:rPr>
          <w:b/>
        </w:rPr>
        <w:t>6</w:t>
      </w:r>
      <w:r w:rsidRPr="009C4C93">
        <w:t>, 6096-6101 (2010).</w:t>
      </w:r>
    </w:p>
    <w:p w14:paraId="79D47173" w14:textId="77777777" w:rsidR="009C4C93" w:rsidRPr="009C4C93" w:rsidRDefault="009C4C93" w:rsidP="009C4C93">
      <w:pPr>
        <w:pStyle w:val="EndNoteBibliography"/>
        <w:spacing w:after="0"/>
        <w:ind w:left="720" w:hanging="720"/>
      </w:pPr>
      <w:r w:rsidRPr="009C4C93">
        <w:t>53.</w:t>
      </w:r>
      <w:r w:rsidRPr="009C4C93">
        <w:tab/>
        <w:t>J.-T. Chen</w:t>
      </w:r>
      <w:r w:rsidRPr="009C4C93">
        <w:rPr>
          <w:i/>
        </w:rPr>
        <w:t xml:space="preserve"> et al.</w:t>
      </w:r>
      <w:r w:rsidRPr="009C4C93">
        <w:t xml:space="preserve">, Tuning nanostructure of graphene oxide/polyelectrolyte LbL assemblies by controlling pH of GO suspension to fabricate transparent and super gas barrier films. </w:t>
      </w:r>
      <w:r w:rsidRPr="009C4C93">
        <w:rPr>
          <w:i/>
        </w:rPr>
        <w:t>Nanoscale</w:t>
      </w:r>
      <w:r w:rsidRPr="009C4C93">
        <w:t xml:space="preserve"> </w:t>
      </w:r>
      <w:r w:rsidRPr="009C4C93">
        <w:rPr>
          <w:b/>
        </w:rPr>
        <w:t>5</w:t>
      </w:r>
      <w:r w:rsidRPr="009C4C93">
        <w:t>, 9081-9088 (2013).</w:t>
      </w:r>
    </w:p>
    <w:p w14:paraId="3673A720" w14:textId="77777777" w:rsidR="009C4C93" w:rsidRPr="009C4C93" w:rsidRDefault="009C4C93" w:rsidP="009C4C93">
      <w:pPr>
        <w:pStyle w:val="EndNoteBibliography"/>
        <w:ind w:left="720" w:hanging="720"/>
      </w:pPr>
      <w:r w:rsidRPr="009C4C93">
        <w:lastRenderedPageBreak/>
        <w:t>54.</w:t>
      </w:r>
      <w:r w:rsidRPr="009C4C93">
        <w:tab/>
        <w:t xml:space="preserve">J. K. Fackrell, C. R. Glenn, B. N. Popp, R. B. Whittier, H. Dulai, Wastewater injection, aquifer biogeochemical reactions, and resultant groundwater N fluxes to coastal waters: Kā'anapali, Maui, Hawai'i. </w:t>
      </w:r>
      <w:r w:rsidRPr="009C4C93">
        <w:rPr>
          <w:i/>
        </w:rPr>
        <w:t>Marine Pollution Bulletin</w:t>
      </w:r>
      <w:r w:rsidRPr="009C4C93">
        <w:t xml:space="preserve"> </w:t>
      </w:r>
      <w:r w:rsidRPr="009C4C93">
        <w:rPr>
          <w:b/>
        </w:rPr>
        <w:t>110</w:t>
      </w:r>
      <w:r w:rsidRPr="009C4C93">
        <w:t>, 281-292 (2016).</w:t>
      </w:r>
    </w:p>
    <w:p w14:paraId="10BF7DE9" w14:textId="3DDF3150" w:rsidR="00B9440A" w:rsidRPr="009C4C93" w:rsidRDefault="009C4C93" w:rsidP="009C4C93">
      <w:pPr>
        <w:pStyle w:val="SMcaption"/>
        <w:rPr>
          <w:rFonts w:asciiTheme="majorBidi" w:hAnsiTheme="majorBidi" w:cstheme="majorBidi"/>
          <w:szCs w:val="24"/>
        </w:rPr>
      </w:pPr>
      <w:r>
        <w:rPr>
          <w:rFonts w:asciiTheme="majorBidi" w:hAnsiTheme="majorBidi" w:cstheme="majorBidi"/>
          <w:szCs w:val="24"/>
        </w:rPr>
        <w:fldChar w:fldCharType="end"/>
      </w:r>
    </w:p>
    <w:sectPr w:rsidR="00B9440A" w:rsidRPr="009C4C93" w:rsidSect="00E853D5">
      <w:headerReference w:type="default" r:id="rId19"/>
      <w:footerReference w:type="default" r:id="rId2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1B3F9" w14:textId="77777777" w:rsidR="00092C50" w:rsidRDefault="00092C50">
      <w:r>
        <w:separator/>
      </w:r>
    </w:p>
  </w:endnote>
  <w:endnote w:type="continuationSeparator" w:id="0">
    <w:p w14:paraId="1A9C4AD2" w14:textId="77777777" w:rsidR="00092C50" w:rsidRDefault="00092C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8EA3E" w14:textId="5F7352E3" w:rsidR="00F125EE" w:rsidRDefault="00114193">
    <w:pPr>
      <w:pStyle w:val="Footer"/>
      <w:jc w:val="right"/>
    </w:pPr>
    <w:r>
      <w:fldChar w:fldCharType="begin"/>
    </w:r>
    <w:r>
      <w:instrText xml:space="preserve"> PAGE   \* MERGEFORMAT </w:instrText>
    </w:r>
    <w:r>
      <w:fldChar w:fldCharType="separate"/>
    </w:r>
    <w:r w:rsidR="00D1293F">
      <w:rPr>
        <w:noProof/>
      </w:rPr>
      <w:t>1</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99CDC5" w14:textId="77777777" w:rsidR="00092C50" w:rsidRDefault="00092C50">
      <w:r>
        <w:separator/>
      </w:r>
    </w:p>
  </w:footnote>
  <w:footnote w:type="continuationSeparator" w:id="0">
    <w:p w14:paraId="1DD8B4EC" w14:textId="77777777" w:rsidR="00092C50" w:rsidRDefault="00092C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zsfatx5atrs04edaaxvsv2ztfwrrwer0aea&quot;&gt;refsupp&lt;record-ids&gt;&lt;item&gt;3&lt;/item&gt;&lt;item&gt;4&lt;/item&gt;&lt;item&gt;5&lt;/item&gt;&lt;item&gt;7&lt;/item&gt;&lt;item&gt;9&lt;/item&gt;&lt;item&gt;11&lt;/item&gt;&lt;item&gt;13&lt;/item&gt;&lt;item&gt;16&lt;/item&gt;&lt;item&gt;17&lt;/item&gt;&lt;item&gt;18&lt;/item&gt;&lt;item&gt;19&lt;/item&gt;&lt;item&gt;20&lt;/item&gt;&lt;item&gt;24&lt;/item&gt;&lt;item&gt;25&lt;/item&gt;&lt;item&gt;26&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record-ids&gt;&lt;/item&gt;&lt;/Libraries&gt;"/>
  </w:docVars>
  <w:rsids>
    <w:rsidRoot w:val="002C030F"/>
    <w:rsid w:val="00015F74"/>
    <w:rsid w:val="00065EBD"/>
    <w:rsid w:val="00066D0C"/>
    <w:rsid w:val="00083B44"/>
    <w:rsid w:val="000850DC"/>
    <w:rsid w:val="00092C50"/>
    <w:rsid w:val="000C07BF"/>
    <w:rsid w:val="000C2771"/>
    <w:rsid w:val="000D46F4"/>
    <w:rsid w:val="000F0DCE"/>
    <w:rsid w:val="000F6BE3"/>
    <w:rsid w:val="00112C5B"/>
    <w:rsid w:val="00114193"/>
    <w:rsid w:val="00115A38"/>
    <w:rsid w:val="0011687B"/>
    <w:rsid w:val="00124F82"/>
    <w:rsid w:val="00150963"/>
    <w:rsid w:val="0016337A"/>
    <w:rsid w:val="00164269"/>
    <w:rsid w:val="001A1BDE"/>
    <w:rsid w:val="001B13CE"/>
    <w:rsid w:val="001C7B12"/>
    <w:rsid w:val="001F0876"/>
    <w:rsid w:val="001F167C"/>
    <w:rsid w:val="001F5E91"/>
    <w:rsid w:val="002077B9"/>
    <w:rsid w:val="00262D72"/>
    <w:rsid w:val="0026473D"/>
    <w:rsid w:val="00294FBB"/>
    <w:rsid w:val="002C030F"/>
    <w:rsid w:val="002F0FB6"/>
    <w:rsid w:val="00300702"/>
    <w:rsid w:val="0031671A"/>
    <w:rsid w:val="00331D75"/>
    <w:rsid w:val="00355362"/>
    <w:rsid w:val="00363E44"/>
    <w:rsid w:val="003659A8"/>
    <w:rsid w:val="003669F9"/>
    <w:rsid w:val="00392402"/>
    <w:rsid w:val="00393BAB"/>
    <w:rsid w:val="00395E86"/>
    <w:rsid w:val="003A2FD8"/>
    <w:rsid w:val="003B40E6"/>
    <w:rsid w:val="003C37FE"/>
    <w:rsid w:val="003D19DE"/>
    <w:rsid w:val="003E55F1"/>
    <w:rsid w:val="003E74FB"/>
    <w:rsid w:val="003F5904"/>
    <w:rsid w:val="003F6E14"/>
    <w:rsid w:val="00405336"/>
    <w:rsid w:val="00435ABE"/>
    <w:rsid w:val="004571D5"/>
    <w:rsid w:val="00461D81"/>
    <w:rsid w:val="0046356B"/>
    <w:rsid w:val="00477182"/>
    <w:rsid w:val="004779CB"/>
    <w:rsid w:val="004A6F57"/>
    <w:rsid w:val="004D0135"/>
    <w:rsid w:val="004E42D8"/>
    <w:rsid w:val="004E7BA2"/>
    <w:rsid w:val="004F7EDF"/>
    <w:rsid w:val="005001AC"/>
    <w:rsid w:val="00526869"/>
    <w:rsid w:val="00527D71"/>
    <w:rsid w:val="00533910"/>
    <w:rsid w:val="005520A8"/>
    <w:rsid w:val="005607DD"/>
    <w:rsid w:val="005A558C"/>
    <w:rsid w:val="005D712F"/>
    <w:rsid w:val="005E28F8"/>
    <w:rsid w:val="005E6513"/>
    <w:rsid w:val="00607E8E"/>
    <w:rsid w:val="00632CA3"/>
    <w:rsid w:val="00651114"/>
    <w:rsid w:val="00664560"/>
    <w:rsid w:val="00670299"/>
    <w:rsid w:val="00691985"/>
    <w:rsid w:val="00697611"/>
    <w:rsid w:val="006A1B64"/>
    <w:rsid w:val="006B13A2"/>
    <w:rsid w:val="007108F5"/>
    <w:rsid w:val="00713E5B"/>
    <w:rsid w:val="007402FC"/>
    <w:rsid w:val="007411A1"/>
    <w:rsid w:val="00793072"/>
    <w:rsid w:val="007C45B3"/>
    <w:rsid w:val="007E2786"/>
    <w:rsid w:val="00807D35"/>
    <w:rsid w:val="008218C4"/>
    <w:rsid w:val="00867A98"/>
    <w:rsid w:val="00870867"/>
    <w:rsid w:val="00873691"/>
    <w:rsid w:val="00885C9B"/>
    <w:rsid w:val="008D5D2A"/>
    <w:rsid w:val="00914B63"/>
    <w:rsid w:val="009354F3"/>
    <w:rsid w:val="009447DC"/>
    <w:rsid w:val="00945471"/>
    <w:rsid w:val="00950234"/>
    <w:rsid w:val="00961BA5"/>
    <w:rsid w:val="009743A9"/>
    <w:rsid w:val="009934D9"/>
    <w:rsid w:val="009A5287"/>
    <w:rsid w:val="009A7C5F"/>
    <w:rsid w:val="009B2AC5"/>
    <w:rsid w:val="009B7984"/>
    <w:rsid w:val="009C4C93"/>
    <w:rsid w:val="009F4BED"/>
    <w:rsid w:val="009F7D93"/>
    <w:rsid w:val="00A02E0C"/>
    <w:rsid w:val="00A3403B"/>
    <w:rsid w:val="00A51A12"/>
    <w:rsid w:val="00A53A78"/>
    <w:rsid w:val="00A627D4"/>
    <w:rsid w:val="00A74DA2"/>
    <w:rsid w:val="00A77632"/>
    <w:rsid w:val="00AB399E"/>
    <w:rsid w:val="00AC59D0"/>
    <w:rsid w:val="00AD16B1"/>
    <w:rsid w:val="00AD499C"/>
    <w:rsid w:val="00AE3408"/>
    <w:rsid w:val="00AF1D85"/>
    <w:rsid w:val="00AF37AE"/>
    <w:rsid w:val="00B36869"/>
    <w:rsid w:val="00B43B31"/>
    <w:rsid w:val="00B47CFA"/>
    <w:rsid w:val="00B574A3"/>
    <w:rsid w:val="00B57F00"/>
    <w:rsid w:val="00B63245"/>
    <w:rsid w:val="00B7065C"/>
    <w:rsid w:val="00B73C69"/>
    <w:rsid w:val="00B77B2A"/>
    <w:rsid w:val="00B82C22"/>
    <w:rsid w:val="00B93DBA"/>
    <w:rsid w:val="00B9440A"/>
    <w:rsid w:val="00BB2D2A"/>
    <w:rsid w:val="00BC290E"/>
    <w:rsid w:val="00BC3E04"/>
    <w:rsid w:val="00BD58CF"/>
    <w:rsid w:val="00BE0099"/>
    <w:rsid w:val="00BF0ABC"/>
    <w:rsid w:val="00BF0C92"/>
    <w:rsid w:val="00C04CC1"/>
    <w:rsid w:val="00C4096C"/>
    <w:rsid w:val="00C50C6D"/>
    <w:rsid w:val="00C600D9"/>
    <w:rsid w:val="00C92B22"/>
    <w:rsid w:val="00CC1384"/>
    <w:rsid w:val="00CD3720"/>
    <w:rsid w:val="00CF1848"/>
    <w:rsid w:val="00CF5C2F"/>
    <w:rsid w:val="00D04BCF"/>
    <w:rsid w:val="00D11A56"/>
    <w:rsid w:val="00D1293F"/>
    <w:rsid w:val="00D143D9"/>
    <w:rsid w:val="00D30C95"/>
    <w:rsid w:val="00D51C15"/>
    <w:rsid w:val="00D5511B"/>
    <w:rsid w:val="00D766F1"/>
    <w:rsid w:val="00DD2E17"/>
    <w:rsid w:val="00DF7D88"/>
    <w:rsid w:val="00E22E6A"/>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B07D3"/>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30EA"/>
    <w:rPr>
      <w:sz w:val="24"/>
    </w:rPr>
  </w:style>
  <w:style w:type="paragraph" w:styleId="Heading1">
    <w:name w:val="heading 1"/>
    <w:basedOn w:val="Normal"/>
    <w:next w:val="Normal"/>
    <w:link w:val="Heading1Char"/>
    <w:uiPriority w:val="9"/>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uiPriority w:val="9"/>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semiHidden/>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semiHidden/>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customStyle="1" w:styleId="UnresolvedMention1">
    <w:name w:val="Unresolved Mention1"/>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character" w:styleId="PlaceholderText">
    <w:name w:val="Placeholder Text"/>
    <w:basedOn w:val="DefaultParagraphFont"/>
    <w:uiPriority w:val="99"/>
    <w:semiHidden/>
    <w:rsid w:val="009C4C93"/>
    <w:rPr>
      <w:color w:val="808080"/>
    </w:rPr>
  </w:style>
  <w:style w:type="table" w:styleId="TableGrid">
    <w:name w:val="Table Grid"/>
    <w:basedOn w:val="TableNormal"/>
    <w:uiPriority w:val="39"/>
    <w:rsid w:val="009C4C93"/>
    <w:rPr>
      <w:rFonts w:asciiTheme="minorHAnsi" w:eastAsiaTheme="minorHAnsi" w:hAnsiTheme="minorHAnsi" w:cstheme="minorBid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9C4C93"/>
    <w:pPr>
      <w:spacing w:line="259" w:lineRule="auto"/>
      <w:jc w:val="center"/>
    </w:pPr>
    <w:rPr>
      <w:rFonts w:eastAsiaTheme="minorHAnsi"/>
      <w:noProof/>
      <w:szCs w:val="22"/>
    </w:rPr>
  </w:style>
  <w:style w:type="character" w:customStyle="1" w:styleId="EndNoteBibliographyTitleChar">
    <w:name w:val="EndNote Bibliography Title Char"/>
    <w:basedOn w:val="DefaultParagraphFont"/>
    <w:link w:val="EndNoteBibliographyTitle"/>
    <w:rsid w:val="009C4C93"/>
    <w:rPr>
      <w:rFonts w:eastAsiaTheme="minorHAnsi"/>
      <w:noProof/>
      <w:sz w:val="24"/>
      <w:szCs w:val="22"/>
    </w:rPr>
  </w:style>
  <w:style w:type="paragraph" w:customStyle="1" w:styleId="EndNoteBibliography">
    <w:name w:val="EndNote Bibliography"/>
    <w:basedOn w:val="Normal"/>
    <w:link w:val="EndNoteBibliographyChar"/>
    <w:rsid w:val="009C4C93"/>
    <w:pPr>
      <w:spacing w:after="160"/>
      <w:jc w:val="both"/>
    </w:pPr>
    <w:rPr>
      <w:rFonts w:eastAsiaTheme="minorHAnsi"/>
      <w:noProof/>
      <w:szCs w:val="22"/>
    </w:rPr>
  </w:style>
  <w:style w:type="character" w:customStyle="1" w:styleId="EndNoteBibliographyChar">
    <w:name w:val="EndNote Bibliography Char"/>
    <w:basedOn w:val="DefaultParagraphFont"/>
    <w:link w:val="EndNoteBibliography"/>
    <w:rsid w:val="009C4C93"/>
    <w:rPr>
      <w:rFonts w:eastAsiaTheme="minorHAnsi"/>
      <w:noProof/>
      <w:sz w:val="24"/>
      <w:szCs w:val="22"/>
    </w:rPr>
  </w:style>
  <w:style w:type="character" w:customStyle="1" w:styleId="title-text">
    <w:name w:val="title-text"/>
    <w:basedOn w:val="DefaultParagraphFont"/>
    <w:rsid w:val="009C4C93"/>
  </w:style>
  <w:style w:type="table" w:styleId="PlainTable3">
    <w:name w:val="Plain Table 3"/>
    <w:basedOn w:val="TableNormal"/>
    <w:uiPriority w:val="43"/>
    <w:rsid w:val="009C4C93"/>
    <w:rPr>
      <w:rFonts w:asciiTheme="minorHAnsi" w:eastAsiaTheme="minorHAnsi" w:hAnsiTheme="minorHAnsi" w:cstheme="minorBidi"/>
      <w:sz w:val="22"/>
      <w:szCs w:val="22"/>
      <w:lang w:val="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Strong">
    <w:name w:val="Strong"/>
    <w:basedOn w:val="DefaultParagraphFont"/>
    <w:uiPriority w:val="22"/>
    <w:qFormat/>
    <w:rsid w:val="009C4C93"/>
    <w:rPr>
      <w:b/>
      <w:bCs/>
    </w:rPr>
  </w:style>
  <w:style w:type="paragraph" w:customStyle="1" w:styleId="Head">
    <w:name w:val="Head"/>
    <w:basedOn w:val="Normal"/>
    <w:rsid w:val="001C7B12"/>
    <w:pPr>
      <w:keepNext/>
      <w:spacing w:before="120" w:after="120"/>
      <w:jc w:val="center"/>
      <w:outlineLvl w:val="0"/>
    </w:pPr>
    <w:rPr>
      <w:b/>
      <w:bCs/>
      <w:kern w:val="28"/>
      <w:sz w:val="28"/>
      <w:szCs w:val="28"/>
    </w:rPr>
  </w:style>
  <w:style w:type="paragraph" w:customStyle="1" w:styleId="Paragraph">
    <w:name w:val="Paragraph"/>
    <w:basedOn w:val="Normal"/>
    <w:link w:val="ParagraphChar"/>
    <w:rsid w:val="00BE0099"/>
    <w:pPr>
      <w:spacing w:before="120"/>
      <w:ind w:firstLine="720"/>
    </w:pPr>
    <w:rPr>
      <w:szCs w:val="24"/>
    </w:rPr>
  </w:style>
  <w:style w:type="character" w:customStyle="1" w:styleId="ParagraphChar">
    <w:name w:val="Paragraph Char"/>
    <w:basedOn w:val="DefaultParagraphFont"/>
    <w:link w:val="Paragraph"/>
    <w:rsid w:val="00BE00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289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orcid.org/0000-0001-7152-7852"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96C6E4-ACBB-496F-B251-8758C763F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14356</Words>
  <Characters>81830</Characters>
  <Application>Microsoft Office Word</Application>
  <DocSecurity>0</DocSecurity>
  <Lines>681</Lines>
  <Paragraphs>191</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95995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Mohsen Moazzami Gudarzi</cp:lastModifiedBy>
  <cp:revision>2</cp:revision>
  <cp:lastPrinted>2018-01-11T19:53:00Z</cp:lastPrinted>
  <dcterms:created xsi:type="dcterms:W3CDTF">2024-07-04T00:34:00Z</dcterms:created>
  <dcterms:modified xsi:type="dcterms:W3CDTF">2024-07-04T00:34:00Z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