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05D" w:rsidRDefault="005457AB">
      <w:pPr>
        <w:spacing w:line="480" w:lineRule="auto"/>
        <w:rPr>
          <w:rFonts w:ascii="Arial" w:eastAsia="Arial" w:hAnsi="Arial" w:cs="Arial"/>
          <w:sz w:val="22"/>
          <w:szCs w:val="22"/>
        </w:rPr>
      </w:pPr>
      <w:r>
        <w:rPr>
          <w:rFonts w:ascii="Arial" w:eastAsia="Arial" w:hAnsi="Arial" w:cs="Arial"/>
          <w:b/>
          <w:sz w:val="22"/>
          <w:szCs w:val="22"/>
          <w:u w:val="single"/>
        </w:rPr>
        <w:t>Title:</w:t>
      </w:r>
      <w:r>
        <w:rPr>
          <w:rFonts w:ascii="Arial" w:eastAsia="Arial" w:hAnsi="Arial" w:cs="Arial"/>
          <w:sz w:val="22"/>
          <w:szCs w:val="22"/>
        </w:rPr>
        <w:t xml:space="preserve"> Climate-driven succession in marine microbiome biodiversity and biogeochemical function</w:t>
      </w:r>
    </w:p>
    <w:p w:rsidR="00BB405D" w:rsidRDefault="005457AB">
      <w:pPr>
        <w:spacing w:line="480" w:lineRule="auto"/>
        <w:rPr>
          <w:rFonts w:ascii="Arial" w:eastAsia="Arial" w:hAnsi="Arial" w:cs="Arial"/>
          <w:sz w:val="22"/>
          <w:szCs w:val="22"/>
          <w:vertAlign w:val="superscript"/>
        </w:rPr>
      </w:pPr>
      <w:r>
        <w:rPr>
          <w:rFonts w:ascii="Arial" w:eastAsia="Arial" w:hAnsi="Arial" w:cs="Arial"/>
          <w:b/>
          <w:sz w:val="22"/>
          <w:szCs w:val="22"/>
          <w:u w:val="single"/>
        </w:rPr>
        <w:t>Authors</w:t>
      </w:r>
      <w:r>
        <w:rPr>
          <w:rFonts w:ascii="Arial" w:eastAsia="Arial" w:hAnsi="Arial" w:cs="Arial"/>
          <w:sz w:val="22"/>
          <w:szCs w:val="22"/>
          <w:u w:val="single"/>
        </w:rPr>
        <w:t>:</w:t>
      </w:r>
      <w:r w:rsidRPr="005457AB">
        <w:rPr>
          <w:rFonts w:ascii="Arial" w:eastAsia="Arial" w:hAnsi="Arial" w:cs="Arial"/>
          <w:sz w:val="22"/>
          <w:szCs w:val="22"/>
        </w:rPr>
        <w:t xml:space="preserve"> </w:t>
      </w:r>
      <w:r>
        <w:rPr>
          <w:rFonts w:ascii="Arial" w:eastAsia="Arial" w:hAnsi="Arial" w:cs="Arial"/>
          <w:sz w:val="22"/>
          <w:szCs w:val="22"/>
        </w:rPr>
        <w:t>Alyse A. Larkin</w:t>
      </w:r>
      <w:r>
        <w:rPr>
          <w:rFonts w:ascii="Arial" w:eastAsia="Arial" w:hAnsi="Arial" w:cs="Arial"/>
          <w:sz w:val="22"/>
          <w:szCs w:val="22"/>
          <w:vertAlign w:val="superscript"/>
        </w:rPr>
        <w:t>1</w:t>
      </w:r>
      <w:r>
        <w:rPr>
          <w:rFonts w:ascii="Arial" w:eastAsia="Arial" w:hAnsi="Arial" w:cs="Arial"/>
          <w:sz w:val="22"/>
          <w:szCs w:val="22"/>
        </w:rPr>
        <w:t>, Melissa L. Brock</w:t>
      </w:r>
      <w:r>
        <w:rPr>
          <w:rFonts w:ascii="Arial" w:eastAsia="Arial" w:hAnsi="Arial" w:cs="Arial"/>
          <w:sz w:val="22"/>
          <w:szCs w:val="22"/>
          <w:vertAlign w:val="superscript"/>
        </w:rPr>
        <w:t>2</w:t>
      </w:r>
      <w:r>
        <w:rPr>
          <w:rFonts w:ascii="Arial" w:eastAsia="Arial" w:hAnsi="Arial" w:cs="Arial"/>
          <w:sz w:val="22"/>
          <w:szCs w:val="22"/>
        </w:rPr>
        <w:t>, Adam Fagan</w:t>
      </w:r>
      <w:r>
        <w:rPr>
          <w:rFonts w:ascii="Arial" w:eastAsia="Arial" w:hAnsi="Arial" w:cs="Arial"/>
          <w:sz w:val="22"/>
          <w:szCs w:val="22"/>
          <w:vertAlign w:val="superscript"/>
        </w:rPr>
        <w:t>1</w:t>
      </w:r>
      <w:r>
        <w:rPr>
          <w:rFonts w:ascii="Arial" w:eastAsia="Arial" w:hAnsi="Arial" w:cs="Arial"/>
          <w:sz w:val="22"/>
          <w:szCs w:val="22"/>
        </w:rPr>
        <w:t>, Allison Moreno</w:t>
      </w:r>
      <w:r>
        <w:rPr>
          <w:rFonts w:ascii="Arial" w:eastAsia="Arial" w:hAnsi="Arial" w:cs="Arial"/>
          <w:sz w:val="22"/>
          <w:szCs w:val="22"/>
          <w:vertAlign w:val="superscript"/>
        </w:rPr>
        <w:t>1</w:t>
      </w:r>
      <w:r>
        <w:rPr>
          <w:rFonts w:ascii="Arial" w:eastAsia="Arial" w:hAnsi="Arial" w:cs="Arial"/>
          <w:sz w:val="22"/>
          <w:szCs w:val="22"/>
        </w:rPr>
        <w:t>, Lauren Lees</w:t>
      </w:r>
      <w:r>
        <w:rPr>
          <w:rFonts w:ascii="Arial" w:eastAsia="Arial" w:hAnsi="Arial" w:cs="Arial"/>
          <w:sz w:val="22"/>
          <w:szCs w:val="22"/>
          <w:vertAlign w:val="superscript"/>
        </w:rPr>
        <w:t>2</w:t>
      </w:r>
      <w:r>
        <w:rPr>
          <w:rFonts w:ascii="Arial" w:eastAsia="Arial" w:hAnsi="Arial" w:cs="Arial"/>
          <w:sz w:val="22"/>
          <w:szCs w:val="22"/>
        </w:rPr>
        <w:t>, Stacy Suarez Cham</w:t>
      </w:r>
      <w:r>
        <w:rPr>
          <w:rFonts w:ascii="Arial" w:eastAsia="Arial" w:hAnsi="Arial" w:cs="Arial"/>
          <w:sz w:val="22"/>
          <w:szCs w:val="22"/>
          <w:vertAlign w:val="superscript"/>
        </w:rPr>
        <w:t>2</w:t>
      </w:r>
      <w:r>
        <w:rPr>
          <w:rFonts w:ascii="Arial" w:eastAsia="Arial" w:hAnsi="Arial" w:cs="Arial"/>
          <w:sz w:val="22"/>
          <w:szCs w:val="22"/>
        </w:rPr>
        <w:t>, Skylar Gerace</w:t>
      </w:r>
      <w:r>
        <w:rPr>
          <w:rFonts w:ascii="Arial" w:eastAsia="Arial" w:hAnsi="Arial" w:cs="Arial"/>
          <w:sz w:val="22"/>
          <w:szCs w:val="22"/>
          <w:vertAlign w:val="superscript"/>
        </w:rPr>
        <w:t>1</w:t>
      </w:r>
      <w:r>
        <w:rPr>
          <w:rFonts w:ascii="Arial" w:eastAsia="Arial" w:hAnsi="Arial" w:cs="Arial"/>
          <w:sz w:val="22"/>
          <w:szCs w:val="22"/>
        </w:rPr>
        <w:t>, and Adam Martiny</w:t>
      </w:r>
      <w:r>
        <w:rPr>
          <w:rFonts w:ascii="Arial" w:eastAsia="Arial" w:hAnsi="Arial" w:cs="Arial"/>
          <w:sz w:val="22"/>
          <w:szCs w:val="22"/>
          <w:vertAlign w:val="superscript"/>
        </w:rPr>
        <w:t>1,2</w:t>
      </w:r>
    </w:p>
    <w:p w:rsidR="00BB405D" w:rsidRDefault="005457AB">
      <w:pPr>
        <w:spacing w:line="480" w:lineRule="auto"/>
        <w:rPr>
          <w:rFonts w:ascii="Arial" w:eastAsia="Arial" w:hAnsi="Arial" w:cs="Arial"/>
          <w:sz w:val="22"/>
          <w:szCs w:val="22"/>
        </w:rPr>
      </w:pPr>
      <w:r>
        <w:rPr>
          <w:rFonts w:ascii="Arial" w:eastAsia="Arial" w:hAnsi="Arial" w:cs="Arial"/>
          <w:sz w:val="22"/>
          <w:szCs w:val="22"/>
          <w:vertAlign w:val="superscript"/>
        </w:rPr>
        <w:t>1</w:t>
      </w:r>
      <w:r>
        <w:rPr>
          <w:rFonts w:ascii="Arial" w:eastAsia="Arial" w:hAnsi="Arial" w:cs="Arial"/>
          <w:sz w:val="22"/>
          <w:szCs w:val="22"/>
        </w:rPr>
        <w:t xml:space="preserve">Department of Earth System Science, University of California, Irvine, </w:t>
      </w:r>
    </w:p>
    <w:p w:rsidR="00BB405D" w:rsidRDefault="005457AB">
      <w:pPr>
        <w:spacing w:line="480" w:lineRule="auto"/>
        <w:rPr>
          <w:rFonts w:ascii="Arial" w:eastAsia="Arial" w:hAnsi="Arial" w:cs="Arial"/>
          <w:b/>
          <w:sz w:val="22"/>
          <w:szCs w:val="22"/>
          <w:u w:val="single"/>
        </w:rPr>
      </w:pPr>
      <w:r>
        <w:rPr>
          <w:rFonts w:ascii="Arial" w:eastAsia="Arial" w:hAnsi="Arial" w:cs="Arial"/>
          <w:sz w:val="22"/>
          <w:szCs w:val="22"/>
          <w:vertAlign w:val="superscript"/>
        </w:rPr>
        <w:t>2</w:t>
      </w:r>
      <w:r>
        <w:rPr>
          <w:rFonts w:ascii="Arial" w:eastAsia="Arial" w:hAnsi="Arial" w:cs="Arial"/>
          <w:sz w:val="22"/>
          <w:szCs w:val="22"/>
        </w:rPr>
        <w:t xml:space="preserve">Department of Ecology and Evolutionary Biology, University of California, Irvine </w:t>
      </w:r>
    </w:p>
    <w:p w:rsidR="00BB405D" w:rsidRDefault="005457AB">
      <w:pPr>
        <w:spacing w:line="480" w:lineRule="auto"/>
        <w:rPr>
          <w:rFonts w:ascii="Arial" w:eastAsia="Arial" w:hAnsi="Arial" w:cs="Arial"/>
          <w:sz w:val="22"/>
          <w:szCs w:val="22"/>
        </w:rPr>
      </w:pPr>
      <w:r>
        <w:rPr>
          <w:rFonts w:ascii="Arial" w:eastAsia="Arial" w:hAnsi="Arial" w:cs="Arial"/>
          <w:b/>
          <w:sz w:val="22"/>
          <w:szCs w:val="22"/>
          <w:u w:val="single"/>
        </w:rPr>
        <w:t>Running title:</w:t>
      </w:r>
      <w:r>
        <w:rPr>
          <w:rFonts w:ascii="Arial" w:eastAsia="Arial" w:hAnsi="Arial" w:cs="Arial"/>
          <w:sz w:val="22"/>
          <w:szCs w:val="22"/>
        </w:rPr>
        <w:t xml:space="preserve"> Long-term ocean microbiome succession</w:t>
      </w:r>
    </w:p>
    <w:p w:rsidR="00BB405D" w:rsidRDefault="00BB405D">
      <w:pPr>
        <w:rPr>
          <w:rFonts w:ascii="Arial" w:eastAsia="Arial" w:hAnsi="Arial" w:cs="Arial"/>
          <w:sz w:val="22"/>
          <w:szCs w:val="22"/>
        </w:rPr>
      </w:pPr>
    </w:p>
    <w:p w:rsidR="00BB405D" w:rsidRDefault="005457AB">
      <w:pPr>
        <w:rPr>
          <w:rFonts w:ascii="Arial" w:eastAsia="Arial" w:hAnsi="Arial" w:cs="Arial"/>
          <w:b/>
          <w:u w:val="single"/>
        </w:rPr>
      </w:pPr>
      <w:r>
        <w:rPr>
          <w:rFonts w:ascii="Arial" w:eastAsia="Arial" w:hAnsi="Arial" w:cs="Arial"/>
          <w:b/>
          <w:u w:val="single"/>
        </w:rPr>
        <w:t>Supplementary Information</w:t>
      </w:r>
    </w:p>
    <w:p w:rsidR="00BB405D" w:rsidRDefault="00BB405D">
      <w:pPr>
        <w:rPr>
          <w:rFonts w:ascii="Arial" w:eastAsia="Arial" w:hAnsi="Arial" w:cs="Arial"/>
          <w:sz w:val="22"/>
          <w:szCs w:val="22"/>
        </w:rPr>
      </w:pPr>
    </w:p>
    <w:p w:rsidR="00BB405D" w:rsidRDefault="00BB405D">
      <w:pPr>
        <w:spacing w:line="276" w:lineRule="auto"/>
        <w:rPr>
          <w:rFonts w:ascii="Arial" w:eastAsia="Arial" w:hAnsi="Arial" w:cs="Arial"/>
          <w:b/>
          <w:i/>
          <w:sz w:val="22"/>
          <w:szCs w:val="22"/>
        </w:rPr>
      </w:pPr>
    </w:p>
    <w:p w:rsidR="00BB405D" w:rsidRDefault="005457AB">
      <w:pPr>
        <w:spacing w:line="276" w:lineRule="auto"/>
        <w:rPr>
          <w:rFonts w:ascii="Arial" w:eastAsia="Arial" w:hAnsi="Arial" w:cs="Arial"/>
          <w:b/>
          <w:i/>
          <w:sz w:val="22"/>
          <w:szCs w:val="22"/>
        </w:rPr>
      </w:pPr>
      <w:r>
        <w:rPr>
          <w:rFonts w:ascii="Arial" w:eastAsia="Arial" w:hAnsi="Arial" w:cs="Arial"/>
          <w:b/>
          <w:i/>
          <w:sz w:val="22"/>
          <w:szCs w:val="22"/>
        </w:rPr>
        <w:t>Additional Sequencin</w:t>
      </w:r>
      <w:r>
        <w:rPr>
          <w:rFonts w:ascii="Arial" w:eastAsia="Arial" w:hAnsi="Arial" w:cs="Arial"/>
          <w:b/>
          <w:i/>
          <w:sz w:val="22"/>
          <w:szCs w:val="22"/>
        </w:rPr>
        <w:t>g Methods</w:t>
      </w:r>
    </w:p>
    <w:p w:rsidR="00BB405D" w:rsidRDefault="005457AB">
      <w:pPr>
        <w:spacing w:line="276" w:lineRule="auto"/>
        <w:rPr>
          <w:rFonts w:ascii="Arial" w:eastAsia="Arial" w:hAnsi="Arial" w:cs="Arial"/>
          <w:sz w:val="22"/>
          <w:szCs w:val="22"/>
        </w:rPr>
      </w:pPr>
      <w:r>
        <w:rPr>
          <w:rFonts w:ascii="Arial" w:eastAsia="Arial" w:hAnsi="Arial" w:cs="Arial"/>
          <w:sz w:val="22"/>
          <w:szCs w:val="22"/>
        </w:rPr>
        <w:t xml:space="preserve">31 metagenomic libraries were sequenced from samples collected in 2021. A </w:t>
      </w:r>
      <w:proofErr w:type="spellStart"/>
      <w:r>
        <w:rPr>
          <w:rFonts w:ascii="Arial" w:eastAsia="Arial" w:hAnsi="Arial" w:cs="Arial"/>
          <w:sz w:val="22"/>
          <w:szCs w:val="22"/>
        </w:rPr>
        <w:t>Nextera</w:t>
      </w:r>
      <w:proofErr w:type="spellEnd"/>
      <w:r>
        <w:rPr>
          <w:rFonts w:ascii="Arial" w:eastAsia="Arial" w:hAnsi="Arial" w:cs="Arial"/>
          <w:sz w:val="22"/>
          <w:szCs w:val="22"/>
        </w:rPr>
        <w:t xml:space="preserve"> DNA Flex Library Prep Kit (Illumina) was used to prepare sequence libraries using a low-volume methodology based on Adams et al. (2020)</w:t>
      </w:r>
      <w:r>
        <w:rPr>
          <w:rFonts w:ascii="Arial" w:eastAsia="Arial" w:hAnsi="Arial" w:cs="Arial"/>
          <w:sz w:val="22"/>
          <w:szCs w:val="22"/>
        </w:rPr>
        <w:t xml:space="preserve">. </w:t>
      </w:r>
      <w:proofErr w:type="spellStart"/>
      <w:r>
        <w:rPr>
          <w:rFonts w:ascii="Arial" w:eastAsia="Arial" w:hAnsi="Arial" w:cs="Arial"/>
          <w:sz w:val="22"/>
          <w:szCs w:val="22"/>
        </w:rPr>
        <w:t>Tagmentation</w:t>
      </w:r>
      <w:proofErr w:type="spellEnd"/>
      <w:r>
        <w:rPr>
          <w:rFonts w:ascii="Arial" w:eastAsia="Arial" w:hAnsi="Arial" w:cs="Arial"/>
          <w:sz w:val="22"/>
          <w:szCs w:val="22"/>
        </w:rPr>
        <w:t xml:space="preserve"> was performed with 25-500 ng of DNA in 5 µL reactions (1 µL bead-linked transposons, 1 µL </w:t>
      </w:r>
      <w:proofErr w:type="spellStart"/>
      <w:r>
        <w:rPr>
          <w:rFonts w:ascii="Arial" w:eastAsia="Arial" w:hAnsi="Arial" w:cs="Arial"/>
          <w:sz w:val="22"/>
          <w:szCs w:val="22"/>
        </w:rPr>
        <w:t>tagmentation</w:t>
      </w:r>
      <w:proofErr w:type="spellEnd"/>
      <w:r>
        <w:rPr>
          <w:rFonts w:ascii="Arial" w:eastAsia="Arial" w:hAnsi="Arial" w:cs="Arial"/>
          <w:sz w:val="22"/>
          <w:szCs w:val="22"/>
        </w:rPr>
        <w:t xml:space="preserve"> </w:t>
      </w:r>
      <w:proofErr w:type="spellStart"/>
      <w:proofErr w:type="gramStart"/>
      <w:r>
        <w:rPr>
          <w:rFonts w:ascii="Arial" w:eastAsia="Arial" w:hAnsi="Arial" w:cs="Arial"/>
          <w:sz w:val="22"/>
          <w:szCs w:val="22"/>
        </w:rPr>
        <w:t>buffer,final</w:t>
      </w:r>
      <w:proofErr w:type="spellEnd"/>
      <w:proofErr w:type="gramEnd"/>
      <w:r>
        <w:rPr>
          <w:rFonts w:ascii="Arial" w:eastAsia="Arial" w:hAnsi="Arial" w:cs="Arial"/>
          <w:sz w:val="22"/>
          <w:szCs w:val="22"/>
        </w:rPr>
        <w:t xml:space="preserve"> volumes adjusted with nuclease-free water) incubated at 55°C for 15 m with a 100°C heated lid. A total of 1 µL </w:t>
      </w:r>
      <w:proofErr w:type="spellStart"/>
      <w:r>
        <w:rPr>
          <w:rFonts w:ascii="Arial" w:eastAsia="Arial" w:hAnsi="Arial" w:cs="Arial"/>
          <w:sz w:val="22"/>
          <w:szCs w:val="22"/>
        </w:rPr>
        <w:t>tagment</w:t>
      </w:r>
      <w:proofErr w:type="spellEnd"/>
      <w:r>
        <w:rPr>
          <w:rFonts w:ascii="Arial" w:eastAsia="Arial" w:hAnsi="Arial" w:cs="Arial"/>
          <w:sz w:val="22"/>
          <w:szCs w:val="22"/>
        </w:rPr>
        <w:t xml:space="preserve"> stop b</w:t>
      </w:r>
      <w:r>
        <w:rPr>
          <w:rFonts w:ascii="Arial" w:eastAsia="Arial" w:hAnsi="Arial" w:cs="Arial"/>
          <w:sz w:val="22"/>
          <w:szCs w:val="22"/>
        </w:rPr>
        <w:t xml:space="preserve">uffer was immediately added to each library then incubated at 37°C for 15 m with a 100°C heated lid. Libraries were placed on a 96-well magnetic plate until solutions were clear. Supernatant was discarded and bead-linked transposons were washed with a </w:t>
      </w:r>
      <w:proofErr w:type="spellStart"/>
      <w:r>
        <w:rPr>
          <w:rFonts w:ascii="Arial" w:eastAsia="Arial" w:hAnsi="Arial" w:cs="Arial"/>
          <w:sz w:val="22"/>
          <w:szCs w:val="22"/>
        </w:rPr>
        <w:t>tagm</w:t>
      </w:r>
      <w:r>
        <w:rPr>
          <w:rFonts w:ascii="Arial" w:eastAsia="Arial" w:hAnsi="Arial" w:cs="Arial"/>
          <w:sz w:val="22"/>
          <w:szCs w:val="22"/>
        </w:rPr>
        <w:t>ent</w:t>
      </w:r>
      <w:proofErr w:type="spellEnd"/>
      <w:r>
        <w:rPr>
          <w:rFonts w:ascii="Arial" w:eastAsia="Arial" w:hAnsi="Arial" w:cs="Arial"/>
          <w:sz w:val="22"/>
          <w:szCs w:val="22"/>
        </w:rPr>
        <w:t xml:space="preserve"> wash buffer (20 µL) three times. Next, the bead-linked transposons were combined with PCR mix (2.75 µL nuclease-free water, 0.5 µL KAPA-PCR-F primer (AAT GAT ACG GCG ACC </w:t>
      </w:r>
      <w:proofErr w:type="spellStart"/>
      <w:r>
        <w:rPr>
          <w:rFonts w:ascii="Arial" w:eastAsia="Arial" w:hAnsi="Arial" w:cs="Arial"/>
          <w:sz w:val="22"/>
          <w:szCs w:val="22"/>
        </w:rPr>
        <w:t>ACC</w:t>
      </w:r>
      <w:proofErr w:type="spellEnd"/>
      <w:r>
        <w:rPr>
          <w:rFonts w:ascii="Arial" w:eastAsia="Arial" w:hAnsi="Arial" w:cs="Arial"/>
          <w:sz w:val="22"/>
          <w:szCs w:val="22"/>
        </w:rPr>
        <w:t xml:space="preserve"> G*A; 10 µM), 0.5 µL KAPA-PCR-R primer (CAA GCA GAA GAC GGC ATA CG*A; 10 µM), 2</w:t>
      </w:r>
      <w:r>
        <w:rPr>
          <w:rFonts w:ascii="Arial" w:eastAsia="Arial" w:hAnsi="Arial" w:cs="Arial"/>
          <w:sz w:val="22"/>
          <w:szCs w:val="22"/>
        </w:rPr>
        <w:t xml:space="preserve">.5 µL custom </w:t>
      </w:r>
      <w:proofErr w:type="spellStart"/>
      <w:r>
        <w:rPr>
          <w:rFonts w:ascii="Arial" w:eastAsia="Arial" w:hAnsi="Arial" w:cs="Arial"/>
          <w:sz w:val="22"/>
          <w:szCs w:val="22"/>
        </w:rPr>
        <w:t>Nextera</w:t>
      </w:r>
      <w:proofErr w:type="spellEnd"/>
      <w:r>
        <w:rPr>
          <w:rFonts w:ascii="Arial" w:eastAsia="Arial" w:hAnsi="Arial" w:cs="Arial"/>
          <w:sz w:val="22"/>
          <w:szCs w:val="22"/>
        </w:rPr>
        <w:t xml:space="preserve"> DNA-style 8 bp unique dual index barcodes, and 6.25 µL KAPA </w:t>
      </w:r>
      <w:proofErr w:type="spellStart"/>
      <w:r>
        <w:rPr>
          <w:rFonts w:ascii="Arial" w:eastAsia="Arial" w:hAnsi="Arial" w:cs="Arial"/>
          <w:sz w:val="22"/>
          <w:szCs w:val="22"/>
        </w:rPr>
        <w:t>KiFi</w:t>
      </w:r>
      <w:proofErr w:type="spellEnd"/>
      <w:r>
        <w:rPr>
          <w:rFonts w:ascii="Arial" w:eastAsia="Arial" w:hAnsi="Arial" w:cs="Arial"/>
          <w:sz w:val="22"/>
          <w:szCs w:val="22"/>
        </w:rPr>
        <w:t xml:space="preserve"> </w:t>
      </w:r>
      <w:proofErr w:type="spellStart"/>
      <w:r>
        <w:rPr>
          <w:rFonts w:ascii="Arial" w:eastAsia="Arial" w:hAnsi="Arial" w:cs="Arial"/>
          <w:sz w:val="22"/>
          <w:szCs w:val="22"/>
        </w:rPr>
        <w:t>HotStart</w:t>
      </w:r>
      <w:proofErr w:type="spellEnd"/>
      <w:r>
        <w:rPr>
          <w:rFonts w:ascii="Arial" w:eastAsia="Arial" w:hAnsi="Arial" w:cs="Arial"/>
          <w:sz w:val="22"/>
          <w:szCs w:val="22"/>
        </w:rPr>
        <w:t xml:space="preserve"> </w:t>
      </w:r>
      <w:proofErr w:type="spellStart"/>
      <w:r>
        <w:rPr>
          <w:rFonts w:ascii="Arial" w:eastAsia="Arial" w:hAnsi="Arial" w:cs="Arial"/>
          <w:sz w:val="22"/>
          <w:szCs w:val="22"/>
        </w:rPr>
        <w:t>ReadyMix</w:t>
      </w:r>
      <w:proofErr w:type="spellEnd"/>
      <w:r>
        <w:rPr>
          <w:rFonts w:ascii="Arial" w:eastAsia="Arial" w:hAnsi="Arial" w:cs="Arial"/>
          <w:sz w:val="22"/>
          <w:szCs w:val="22"/>
        </w:rPr>
        <w:t xml:space="preserve"> (2X)). The I7 index sequence is 5′-CAA GCA GAA GAC GGC ATA CGA GAT [NNN </w:t>
      </w:r>
      <w:proofErr w:type="spellStart"/>
      <w:r>
        <w:rPr>
          <w:rFonts w:ascii="Arial" w:eastAsia="Arial" w:hAnsi="Arial" w:cs="Arial"/>
          <w:sz w:val="22"/>
          <w:szCs w:val="22"/>
        </w:rPr>
        <w:t>NNN</w:t>
      </w:r>
      <w:proofErr w:type="spellEnd"/>
      <w:r>
        <w:rPr>
          <w:rFonts w:ascii="Arial" w:eastAsia="Arial" w:hAnsi="Arial" w:cs="Arial"/>
          <w:sz w:val="22"/>
          <w:szCs w:val="22"/>
        </w:rPr>
        <w:t xml:space="preserve"> </w:t>
      </w:r>
      <w:proofErr w:type="gramStart"/>
      <w:r>
        <w:rPr>
          <w:rFonts w:ascii="Arial" w:eastAsia="Arial" w:hAnsi="Arial" w:cs="Arial"/>
          <w:sz w:val="22"/>
          <w:szCs w:val="22"/>
        </w:rPr>
        <w:t>NN]G</w:t>
      </w:r>
      <w:proofErr w:type="gramEnd"/>
      <w:r>
        <w:rPr>
          <w:rFonts w:ascii="Arial" w:eastAsia="Arial" w:hAnsi="Arial" w:cs="Arial"/>
          <w:sz w:val="22"/>
          <w:szCs w:val="22"/>
        </w:rPr>
        <w:t xml:space="preserve"> TCT CGT GGG CTC GG-3′, and the I5 index sequence is 5′-AAT GAT ACG GCG </w:t>
      </w:r>
      <w:r>
        <w:rPr>
          <w:rFonts w:ascii="Arial" w:eastAsia="Arial" w:hAnsi="Arial" w:cs="Arial"/>
          <w:sz w:val="22"/>
          <w:szCs w:val="22"/>
        </w:rPr>
        <w:t xml:space="preserve">ACC </w:t>
      </w:r>
      <w:proofErr w:type="spellStart"/>
      <w:r>
        <w:rPr>
          <w:rFonts w:ascii="Arial" w:eastAsia="Arial" w:hAnsi="Arial" w:cs="Arial"/>
          <w:sz w:val="22"/>
          <w:szCs w:val="22"/>
        </w:rPr>
        <w:t>ACC</w:t>
      </w:r>
      <w:proofErr w:type="spellEnd"/>
      <w:r>
        <w:rPr>
          <w:rFonts w:ascii="Arial" w:eastAsia="Arial" w:hAnsi="Arial" w:cs="Arial"/>
          <w:sz w:val="22"/>
          <w:szCs w:val="22"/>
        </w:rPr>
        <w:t xml:space="preserve"> GAG ATC TAC AC[N NNN </w:t>
      </w:r>
      <w:proofErr w:type="spellStart"/>
      <w:r>
        <w:rPr>
          <w:rFonts w:ascii="Arial" w:eastAsia="Arial" w:hAnsi="Arial" w:cs="Arial"/>
          <w:sz w:val="22"/>
          <w:szCs w:val="22"/>
        </w:rPr>
        <w:t>NNN</w:t>
      </w:r>
      <w:proofErr w:type="spellEnd"/>
      <w:r>
        <w:rPr>
          <w:rFonts w:ascii="Arial" w:eastAsia="Arial" w:hAnsi="Arial" w:cs="Arial"/>
          <w:sz w:val="22"/>
          <w:szCs w:val="22"/>
        </w:rPr>
        <w:t xml:space="preserve"> N]TC GTC GGC AGC GTC-3′. PCR barcoding was performed using the following reaction: 72°C for 3 m, 98°C for 3 m, followed by 12 cycles of: 98°C for 45 s, 62°C for 30 s, 72°C for 2 m, and a final extension step at 72°C for 1 m</w:t>
      </w:r>
      <w:r>
        <w:rPr>
          <w:rFonts w:ascii="Arial" w:eastAsia="Arial" w:hAnsi="Arial" w:cs="Arial"/>
          <w:sz w:val="22"/>
          <w:szCs w:val="22"/>
        </w:rPr>
        <w:t xml:space="preserve">. After PCR, libraries were placed on a magnetic stand until the supernatant was clear. The supernatant was then quantified using a Qubit dsDNA HS Assay kit and a Synergy 2 Microplate Reader and equimolar concentrations of each library were pooled.   </w:t>
      </w:r>
    </w:p>
    <w:p w:rsidR="00BB405D" w:rsidRDefault="00BB405D">
      <w:pPr>
        <w:spacing w:line="276" w:lineRule="auto"/>
        <w:rPr>
          <w:rFonts w:ascii="Arial" w:eastAsia="Arial" w:hAnsi="Arial" w:cs="Arial"/>
          <w:sz w:val="22"/>
          <w:szCs w:val="22"/>
        </w:rPr>
      </w:pPr>
    </w:p>
    <w:p w:rsidR="00BB405D" w:rsidRDefault="005457AB">
      <w:pPr>
        <w:spacing w:line="276" w:lineRule="auto"/>
        <w:rPr>
          <w:rFonts w:ascii="Arial" w:eastAsia="Arial" w:hAnsi="Arial" w:cs="Arial"/>
          <w:sz w:val="22"/>
          <w:szCs w:val="22"/>
        </w:rPr>
      </w:pPr>
      <w:r>
        <w:rPr>
          <w:rFonts w:ascii="Arial" w:eastAsia="Arial" w:hAnsi="Arial" w:cs="Arial"/>
          <w:sz w:val="22"/>
          <w:szCs w:val="22"/>
        </w:rPr>
        <w:t>A t</w:t>
      </w:r>
      <w:r>
        <w:rPr>
          <w:rFonts w:ascii="Arial" w:eastAsia="Arial" w:hAnsi="Arial" w:cs="Arial"/>
          <w:sz w:val="22"/>
          <w:szCs w:val="22"/>
        </w:rPr>
        <w:t>wo-step magnetic bead selection protocol was used for size selection. First, 45 µL of pooled libraries were incubated at room temperature with 56 µL of sample purification beads and 29 µL of nuclease-free water for 5 m. Second, 120 µL of supernatant from t</w:t>
      </w:r>
      <w:r>
        <w:rPr>
          <w:rFonts w:ascii="Arial" w:eastAsia="Arial" w:hAnsi="Arial" w:cs="Arial"/>
          <w:sz w:val="22"/>
          <w:szCs w:val="22"/>
        </w:rPr>
        <w:t>he first reaction was incubated with 12 µL of sample purification beads at room temperature for 5 minutes. The supernatant was removed and sample purification beads were washed two times with 200 µL of 80% ethanol. A total of 32 µL of resuspension buffer w</w:t>
      </w:r>
      <w:r>
        <w:rPr>
          <w:rFonts w:ascii="Arial" w:eastAsia="Arial" w:hAnsi="Arial" w:cs="Arial"/>
          <w:sz w:val="22"/>
          <w:szCs w:val="22"/>
        </w:rPr>
        <w:t xml:space="preserve">as added to the purification beads and incubated in a water bath at 50°C for 5 m to ensure complete elution of the pooled library. Quantification of the final library was performed using a Qubit dsDNA HS Assay and Qubit </w:t>
      </w:r>
      <w:r>
        <w:rPr>
          <w:rFonts w:ascii="Arial" w:eastAsia="Arial" w:hAnsi="Arial" w:cs="Arial"/>
          <w:sz w:val="22"/>
          <w:szCs w:val="22"/>
        </w:rPr>
        <w:lastRenderedPageBreak/>
        <w:t>fluorometer and via KAPA qPCR. A 210</w:t>
      </w:r>
      <w:r>
        <w:rPr>
          <w:rFonts w:ascii="Arial" w:eastAsia="Arial" w:hAnsi="Arial" w:cs="Arial"/>
          <w:sz w:val="22"/>
          <w:szCs w:val="22"/>
        </w:rPr>
        <w:t xml:space="preserve">0 Bioanalyzer high sensitivity DNA trace was used to determine fragment size distribution. Finally, the pooled library was sequenced (150 bp, paired-end) on one lane of an Illumina </w:t>
      </w:r>
      <w:proofErr w:type="spellStart"/>
      <w:r>
        <w:rPr>
          <w:rFonts w:ascii="Arial" w:eastAsia="Arial" w:hAnsi="Arial" w:cs="Arial"/>
          <w:sz w:val="22"/>
          <w:szCs w:val="22"/>
        </w:rPr>
        <w:t>NovaSeq</w:t>
      </w:r>
      <w:proofErr w:type="spellEnd"/>
      <w:r>
        <w:rPr>
          <w:rFonts w:ascii="Arial" w:eastAsia="Arial" w:hAnsi="Arial" w:cs="Arial"/>
          <w:sz w:val="22"/>
          <w:szCs w:val="22"/>
        </w:rPr>
        <w:t xml:space="preserve"> 6000 S4 flow cell. Sequencing produced a total of 0.259 </w:t>
      </w:r>
      <w:proofErr w:type="spellStart"/>
      <w:r>
        <w:rPr>
          <w:rFonts w:ascii="Arial" w:eastAsia="Arial" w:hAnsi="Arial" w:cs="Arial"/>
          <w:sz w:val="22"/>
          <w:szCs w:val="22"/>
        </w:rPr>
        <w:t>Tbp</w:t>
      </w:r>
      <w:proofErr w:type="spellEnd"/>
      <w:r>
        <w:rPr>
          <w:rFonts w:ascii="Arial" w:eastAsia="Arial" w:hAnsi="Arial" w:cs="Arial"/>
          <w:sz w:val="22"/>
          <w:szCs w:val="22"/>
        </w:rPr>
        <w:t xml:space="preserve"> with an</w:t>
      </w:r>
      <w:r>
        <w:rPr>
          <w:rFonts w:ascii="Arial" w:eastAsia="Arial" w:hAnsi="Arial" w:cs="Arial"/>
          <w:sz w:val="22"/>
          <w:szCs w:val="22"/>
        </w:rPr>
        <w:t xml:space="preserve"> average of 8.36 </w:t>
      </w:r>
      <w:proofErr w:type="spellStart"/>
      <w:r>
        <w:rPr>
          <w:rFonts w:ascii="Arial" w:eastAsia="Arial" w:hAnsi="Arial" w:cs="Arial"/>
          <w:sz w:val="22"/>
          <w:szCs w:val="22"/>
        </w:rPr>
        <w:t>Gbp</w:t>
      </w:r>
      <w:proofErr w:type="spellEnd"/>
      <w:r>
        <w:rPr>
          <w:rFonts w:ascii="Arial" w:eastAsia="Arial" w:hAnsi="Arial" w:cs="Arial"/>
          <w:sz w:val="22"/>
          <w:szCs w:val="22"/>
        </w:rPr>
        <w:t>/sample.</w:t>
      </w:r>
    </w:p>
    <w:p w:rsidR="00BB405D" w:rsidRDefault="00BB405D">
      <w:pPr>
        <w:spacing w:line="276" w:lineRule="auto"/>
        <w:rPr>
          <w:rFonts w:ascii="Arial" w:eastAsia="Arial" w:hAnsi="Arial" w:cs="Arial"/>
          <w:sz w:val="22"/>
          <w:szCs w:val="22"/>
        </w:rPr>
      </w:pPr>
    </w:p>
    <w:p w:rsidR="00BB405D" w:rsidRDefault="005457AB">
      <w:pPr>
        <w:spacing w:line="276" w:lineRule="auto"/>
        <w:rPr>
          <w:rFonts w:ascii="Arial" w:eastAsia="Arial" w:hAnsi="Arial" w:cs="Arial"/>
          <w:b/>
          <w:i/>
          <w:sz w:val="22"/>
          <w:szCs w:val="22"/>
        </w:rPr>
      </w:pPr>
      <w:r>
        <w:rPr>
          <w:rFonts w:ascii="Arial" w:eastAsia="Arial" w:hAnsi="Arial" w:cs="Arial"/>
          <w:b/>
          <w:i/>
          <w:sz w:val="22"/>
          <w:szCs w:val="22"/>
        </w:rPr>
        <w:t>References</w:t>
      </w:r>
    </w:p>
    <w:p w:rsidR="00BB405D" w:rsidRDefault="005457AB">
      <w:pPr>
        <w:rPr>
          <w:rFonts w:ascii="Arial" w:eastAsia="Arial" w:hAnsi="Arial" w:cs="Arial"/>
          <w:sz w:val="22"/>
          <w:szCs w:val="22"/>
        </w:rPr>
      </w:pPr>
      <w:r>
        <w:rPr>
          <w:rFonts w:ascii="Arial" w:eastAsia="Arial" w:hAnsi="Arial" w:cs="Arial"/>
          <w:sz w:val="22"/>
          <w:szCs w:val="22"/>
        </w:rPr>
        <w:t xml:space="preserve">Adams E, </w:t>
      </w:r>
      <w:proofErr w:type="spellStart"/>
      <w:r>
        <w:rPr>
          <w:rFonts w:ascii="Arial" w:eastAsia="Arial" w:hAnsi="Arial" w:cs="Arial"/>
          <w:sz w:val="22"/>
          <w:szCs w:val="22"/>
        </w:rPr>
        <w:t>Wandro</w:t>
      </w:r>
      <w:proofErr w:type="spellEnd"/>
      <w:r>
        <w:rPr>
          <w:rFonts w:ascii="Arial" w:eastAsia="Arial" w:hAnsi="Arial" w:cs="Arial"/>
          <w:sz w:val="22"/>
          <w:szCs w:val="22"/>
        </w:rPr>
        <w:t xml:space="preserve"> S, Avelar-Barragan J, Oliver A, and K </w:t>
      </w:r>
      <w:proofErr w:type="spellStart"/>
      <w:r>
        <w:rPr>
          <w:rFonts w:ascii="Arial" w:eastAsia="Arial" w:hAnsi="Arial" w:cs="Arial"/>
          <w:sz w:val="22"/>
          <w:szCs w:val="22"/>
        </w:rPr>
        <w:t>Whiteson</w:t>
      </w:r>
      <w:proofErr w:type="spellEnd"/>
      <w:r>
        <w:rPr>
          <w:rFonts w:ascii="Arial" w:eastAsia="Arial" w:hAnsi="Arial" w:cs="Arial"/>
          <w:sz w:val="22"/>
          <w:szCs w:val="22"/>
        </w:rPr>
        <w:t xml:space="preserve">. 2020. Low Volume Methodology for </w:t>
      </w:r>
      <w:proofErr w:type="spellStart"/>
      <w:r>
        <w:rPr>
          <w:rFonts w:ascii="Arial" w:eastAsia="Arial" w:hAnsi="Arial" w:cs="Arial"/>
          <w:sz w:val="22"/>
          <w:szCs w:val="22"/>
        </w:rPr>
        <w:t>Nextera</w:t>
      </w:r>
      <w:proofErr w:type="spellEnd"/>
      <w:r>
        <w:rPr>
          <w:rFonts w:ascii="Arial" w:eastAsia="Arial" w:hAnsi="Arial" w:cs="Arial"/>
          <w:sz w:val="22"/>
          <w:szCs w:val="22"/>
        </w:rPr>
        <w:t xml:space="preserve"> DNA Flex Library Prep Kit (96 Samples). </w:t>
      </w:r>
      <w:r>
        <w:rPr>
          <w:rFonts w:ascii="Arial" w:eastAsia="Arial" w:hAnsi="Arial" w:cs="Arial"/>
          <w:b/>
          <w:sz w:val="22"/>
          <w:szCs w:val="22"/>
        </w:rPr>
        <w:t xml:space="preserve">protocols.io: </w:t>
      </w:r>
      <w:r>
        <w:rPr>
          <w:rFonts w:ascii="Arial" w:eastAsia="Arial" w:hAnsi="Arial" w:cs="Arial"/>
          <w:sz w:val="22"/>
          <w:szCs w:val="22"/>
        </w:rPr>
        <w:t>https://dx.doi.org/10.17504/protocols.io.be6rjhd6</w:t>
      </w:r>
    </w:p>
    <w:p w:rsidR="00BB405D" w:rsidRDefault="005457AB">
      <w:pPr>
        <w:rPr>
          <w:rFonts w:ascii="Arial" w:eastAsia="Arial" w:hAnsi="Arial" w:cs="Arial"/>
          <w:b/>
          <w:u w:val="single"/>
        </w:rPr>
      </w:pPr>
      <w:r>
        <w:br w:type="column"/>
      </w:r>
      <w:r>
        <w:rPr>
          <w:rFonts w:ascii="Arial" w:eastAsia="Arial" w:hAnsi="Arial" w:cs="Arial"/>
          <w:b/>
          <w:u w:val="single"/>
        </w:rPr>
        <w:lastRenderedPageBreak/>
        <w:t>Figur</w:t>
      </w:r>
      <w:r>
        <w:rPr>
          <w:rFonts w:ascii="Arial" w:eastAsia="Arial" w:hAnsi="Arial" w:cs="Arial"/>
          <w:b/>
          <w:u w:val="single"/>
        </w:rPr>
        <w:t>es</w:t>
      </w:r>
    </w:p>
    <w:p w:rsidR="00BB405D" w:rsidRDefault="00BB405D">
      <w:pPr>
        <w:rPr>
          <w:rFonts w:ascii="Arial" w:eastAsia="Arial" w:hAnsi="Arial" w:cs="Arial"/>
          <w:sz w:val="22"/>
          <w:szCs w:val="22"/>
        </w:rPr>
      </w:pPr>
    </w:p>
    <w:p w:rsidR="00BB405D" w:rsidRDefault="005457AB">
      <w:pPr>
        <w:rPr>
          <w:rFonts w:ascii="Arial" w:eastAsia="Arial" w:hAnsi="Arial" w:cs="Arial"/>
          <w:sz w:val="22"/>
          <w:szCs w:val="22"/>
        </w:rPr>
      </w:pPr>
      <w:r>
        <w:rPr>
          <w:rFonts w:ascii="Arial" w:eastAsia="Arial" w:hAnsi="Arial" w:cs="Arial"/>
          <w:noProof/>
          <w:sz w:val="22"/>
          <w:szCs w:val="22"/>
        </w:rPr>
        <w:drawing>
          <wp:inline distT="0" distB="0" distL="0" distR="0">
            <wp:extent cx="5943600" cy="4676775"/>
            <wp:effectExtent l="0" t="0" r="0" b="0"/>
            <wp:docPr id="2132714682" name="image3.png" descr="A graph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graph of different colored lines&#10;&#10;Description automatically generated"/>
                    <pic:cNvPicPr preferRelativeResize="0"/>
                  </pic:nvPicPr>
                  <pic:blipFill>
                    <a:blip r:embed="rId5"/>
                    <a:srcRect/>
                    <a:stretch>
                      <a:fillRect/>
                    </a:stretch>
                  </pic:blipFill>
                  <pic:spPr>
                    <a:xfrm>
                      <a:off x="0" y="0"/>
                      <a:ext cx="5943600" cy="4676775"/>
                    </a:xfrm>
                    <a:prstGeom prst="rect">
                      <a:avLst/>
                    </a:prstGeom>
                    <a:ln/>
                  </pic:spPr>
                </pic:pic>
              </a:graphicData>
            </a:graphic>
          </wp:inline>
        </w:drawing>
      </w:r>
    </w:p>
    <w:p w:rsidR="00BB405D" w:rsidRDefault="005457AB">
      <w:pPr>
        <w:pBdr>
          <w:top w:val="nil"/>
          <w:left w:val="nil"/>
          <w:bottom w:val="nil"/>
          <w:right w:val="nil"/>
          <w:between w:val="nil"/>
        </w:pBdr>
        <w:rPr>
          <w:rFonts w:ascii="Arial" w:eastAsia="Arial" w:hAnsi="Arial" w:cs="Arial"/>
          <w:color w:val="000000"/>
          <w:sz w:val="22"/>
          <w:szCs w:val="22"/>
        </w:rPr>
      </w:pPr>
      <w:r>
        <w:rPr>
          <w:rFonts w:ascii="Arial" w:eastAsia="Arial" w:hAnsi="Arial" w:cs="Arial"/>
          <w:b/>
          <w:sz w:val="22"/>
          <w:szCs w:val="22"/>
        </w:rPr>
        <w:t xml:space="preserve">Extended Data Fig. </w:t>
      </w:r>
      <w:r>
        <w:rPr>
          <w:rFonts w:ascii="Arial" w:eastAsia="Arial" w:hAnsi="Arial" w:cs="Arial"/>
          <w:b/>
          <w:color w:val="000000"/>
          <w:sz w:val="22"/>
          <w:szCs w:val="22"/>
        </w:rPr>
        <w:t xml:space="preserve">1. Additional environmental dynamics at </w:t>
      </w:r>
      <w:proofErr w:type="spellStart"/>
      <w:r>
        <w:rPr>
          <w:rFonts w:ascii="Arial" w:eastAsia="Arial" w:hAnsi="Arial" w:cs="Arial"/>
          <w:b/>
          <w:color w:val="000000"/>
          <w:sz w:val="22"/>
          <w:szCs w:val="22"/>
        </w:rPr>
        <w:t>MiCRO</w:t>
      </w:r>
      <w:proofErr w:type="spellEnd"/>
      <w:r>
        <w:rPr>
          <w:rFonts w:ascii="Arial" w:eastAsia="Arial" w:hAnsi="Arial" w:cs="Arial"/>
          <w:b/>
          <w:color w:val="000000"/>
          <w:sz w:val="22"/>
          <w:szCs w:val="22"/>
        </w:rPr>
        <w:t>. A:</w:t>
      </w:r>
      <w:r>
        <w:rPr>
          <w:rFonts w:ascii="Arial" w:eastAsia="Arial" w:hAnsi="Arial" w:cs="Arial"/>
          <w:color w:val="000000"/>
          <w:sz w:val="22"/>
          <w:szCs w:val="22"/>
        </w:rPr>
        <w:t xml:space="preserve"> Nitrate (µM). </w:t>
      </w:r>
      <w:r>
        <w:rPr>
          <w:rFonts w:ascii="Arial" w:eastAsia="Arial" w:hAnsi="Arial" w:cs="Arial"/>
          <w:b/>
          <w:color w:val="000000"/>
          <w:sz w:val="22"/>
          <w:szCs w:val="22"/>
        </w:rPr>
        <w:t>B:</w:t>
      </w:r>
      <w:r>
        <w:rPr>
          <w:rFonts w:ascii="Arial" w:eastAsia="Arial" w:hAnsi="Arial" w:cs="Arial"/>
          <w:color w:val="000000"/>
          <w:sz w:val="22"/>
          <w:szCs w:val="22"/>
        </w:rPr>
        <w:t xml:space="preserve"> Phosphate (µM). </w:t>
      </w:r>
      <w:r>
        <w:rPr>
          <w:rFonts w:ascii="Arial" w:eastAsia="Arial" w:hAnsi="Arial" w:cs="Arial"/>
          <w:b/>
          <w:color w:val="000000"/>
          <w:sz w:val="22"/>
          <w:szCs w:val="22"/>
        </w:rPr>
        <w:t>C:</w:t>
      </w:r>
      <w:r>
        <w:rPr>
          <w:rFonts w:ascii="Arial" w:eastAsia="Arial" w:hAnsi="Arial" w:cs="Arial"/>
          <w:color w:val="000000"/>
          <w:sz w:val="22"/>
          <w:szCs w:val="22"/>
        </w:rPr>
        <w:t xml:space="preserve"> Particulate organic carbon (POC, µM). </w:t>
      </w:r>
      <w:r>
        <w:rPr>
          <w:rFonts w:ascii="Arial" w:eastAsia="Arial" w:hAnsi="Arial" w:cs="Arial"/>
          <w:b/>
          <w:color w:val="000000"/>
          <w:sz w:val="22"/>
          <w:szCs w:val="22"/>
        </w:rPr>
        <w:t>D:</w:t>
      </w:r>
      <w:r>
        <w:rPr>
          <w:rFonts w:ascii="Arial" w:eastAsia="Arial" w:hAnsi="Arial" w:cs="Arial"/>
          <w:color w:val="000000"/>
          <w:sz w:val="22"/>
          <w:szCs w:val="22"/>
        </w:rPr>
        <w:t xml:space="preserve"> Particulate organic carbon-to-nitrogen ratio (</w:t>
      </w:r>
      <w:proofErr w:type="gramStart"/>
      <w:r>
        <w:rPr>
          <w:rFonts w:ascii="Arial" w:eastAsia="Arial" w:hAnsi="Arial" w:cs="Arial"/>
          <w:color w:val="000000"/>
          <w:sz w:val="22"/>
          <w:szCs w:val="22"/>
        </w:rPr>
        <w:t>C:N</w:t>
      </w:r>
      <w:proofErr w:type="gramEnd"/>
      <w:r>
        <w:rPr>
          <w:rFonts w:ascii="Arial" w:eastAsia="Arial" w:hAnsi="Arial" w:cs="Arial"/>
          <w:color w:val="000000"/>
          <w:sz w:val="22"/>
          <w:szCs w:val="22"/>
        </w:rPr>
        <w:t xml:space="preserve">, </w:t>
      </w:r>
      <w:proofErr w:type="spellStart"/>
      <w:r>
        <w:rPr>
          <w:rFonts w:ascii="Arial" w:eastAsia="Arial" w:hAnsi="Arial" w:cs="Arial"/>
          <w:color w:val="000000"/>
          <w:sz w:val="22"/>
          <w:szCs w:val="22"/>
        </w:rPr>
        <w:t>mol:mol</w:t>
      </w:r>
      <w:proofErr w:type="spellEnd"/>
      <w:r>
        <w:rPr>
          <w:rFonts w:ascii="Arial" w:eastAsia="Arial" w:hAnsi="Arial" w:cs="Arial"/>
          <w:color w:val="000000"/>
          <w:sz w:val="22"/>
          <w:szCs w:val="22"/>
        </w:rPr>
        <w:t xml:space="preserve">). </w:t>
      </w:r>
      <w:r>
        <w:rPr>
          <w:rFonts w:ascii="Arial" w:eastAsia="Arial" w:hAnsi="Arial" w:cs="Arial"/>
          <w:b/>
          <w:color w:val="000000"/>
          <w:sz w:val="22"/>
          <w:szCs w:val="22"/>
        </w:rPr>
        <w:t>E:</w:t>
      </w:r>
      <w:r>
        <w:rPr>
          <w:rFonts w:ascii="Arial" w:eastAsia="Arial" w:hAnsi="Arial" w:cs="Arial"/>
          <w:color w:val="000000"/>
          <w:sz w:val="22"/>
          <w:szCs w:val="22"/>
        </w:rPr>
        <w:t xml:space="preserve">  Monthly anomaly in temperature, nitrate and phosphate, POC, and </w:t>
      </w:r>
      <w:proofErr w:type="gramStart"/>
      <w:r>
        <w:rPr>
          <w:rFonts w:ascii="Arial" w:eastAsia="Arial" w:hAnsi="Arial" w:cs="Arial"/>
          <w:color w:val="000000"/>
          <w:sz w:val="22"/>
          <w:szCs w:val="22"/>
        </w:rPr>
        <w:t>C:N.</w:t>
      </w:r>
      <w:proofErr w:type="gramEnd"/>
      <w:r>
        <w:rPr>
          <w:rFonts w:ascii="Arial" w:eastAsia="Arial" w:hAnsi="Arial" w:cs="Arial"/>
          <w:color w:val="000000"/>
          <w:sz w:val="22"/>
          <w:szCs w:val="22"/>
        </w:rPr>
        <w:t xml:space="preserve"> </w:t>
      </w:r>
      <w:r>
        <w:rPr>
          <w:rFonts w:ascii="Arial" w:eastAsia="Arial" w:hAnsi="Arial" w:cs="Arial"/>
          <w:b/>
          <w:color w:val="000000"/>
          <w:sz w:val="22"/>
          <w:szCs w:val="22"/>
        </w:rPr>
        <w:t>F:</w:t>
      </w:r>
      <w:r>
        <w:rPr>
          <w:rFonts w:ascii="Arial" w:eastAsia="Arial" w:hAnsi="Arial" w:cs="Arial"/>
          <w:color w:val="000000"/>
          <w:sz w:val="22"/>
          <w:szCs w:val="22"/>
        </w:rPr>
        <w:t xml:space="preserve"> 2011 to 2021 annual anomalies in temperature, nitrate and phosphate, POC, and C:N. Anomalies were scaled from -1 to 1. Red lines represent a moving average using ‘Robust Loess’ with </w:t>
      </w:r>
      <w:r>
        <w:rPr>
          <w:rFonts w:ascii="Arial" w:eastAsia="Arial" w:hAnsi="Arial" w:cs="Arial"/>
          <w:color w:val="000000"/>
          <w:sz w:val="22"/>
          <w:szCs w:val="22"/>
        </w:rPr>
        <w:t>a window size = 15.</w:t>
      </w:r>
    </w:p>
    <w:p w:rsidR="00BB405D" w:rsidRDefault="00BB405D">
      <w:pPr>
        <w:pBdr>
          <w:top w:val="nil"/>
          <w:left w:val="nil"/>
          <w:bottom w:val="nil"/>
          <w:right w:val="nil"/>
          <w:between w:val="nil"/>
        </w:pBdr>
        <w:rPr>
          <w:rFonts w:ascii="Arial" w:eastAsia="Arial" w:hAnsi="Arial" w:cs="Arial"/>
          <w:color w:val="000000"/>
          <w:sz w:val="22"/>
          <w:szCs w:val="22"/>
        </w:rPr>
      </w:pPr>
    </w:p>
    <w:p w:rsidR="00BB405D" w:rsidRDefault="005457AB">
      <w:pPr>
        <w:pBdr>
          <w:top w:val="nil"/>
          <w:left w:val="nil"/>
          <w:bottom w:val="nil"/>
          <w:right w:val="nil"/>
          <w:between w:val="nil"/>
        </w:pBdr>
        <w:rPr>
          <w:rFonts w:ascii="Arial" w:eastAsia="Arial" w:hAnsi="Arial" w:cs="Arial"/>
          <w:color w:val="000000"/>
          <w:sz w:val="22"/>
          <w:szCs w:val="22"/>
        </w:rPr>
      </w:pPr>
      <w:r>
        <w:br w:type="column"/>
      </w:r>
      <w:r>
        <w:rPr>
          <w:rFonts w:ascii="Arial" w:eastAsia="Arial" w:hAnsi="Arial" w:cs="Arial"/>
          <w:noProof/>
          <w:color w:val="000000"/>
          <w:sz w:val="22"/>
          <w:szCs w:val="22"/>
        </w:rPr>
        <w:lastRenderedPageBreak/>
        <w:drawing>
          <wp:inline distT="0" distB="0" distL="0" distR="0">
            <wp:extent cx="5943600" cy="1776730"/>
            <wp:effectExtent l="0" t="0" r="0" b="0"/>
            <wp:docPr id="2132714684" name="image5.png" descr="A graph with a red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graph with a red line&#10;&#10;Description automatically generated"/>
                    <pic:cNvPicPr preferRelativeResize="0"/>
                  </pic:nvPicPr>
                  <pic:blipFill>
                    <a:blip r:embed="rId6"/>
                    <a:srcRect/>
                    <a:stretch>
                      <a:fillRect/>
                    </a:stretch>
                  </pic:blipFill>
                  <pic:spPr>
                    <a:xfrm>
                      <a:off x="0" y="0"/>
                      <a:ext cx="5943600" cy="1776730"/>
                    </a:xfrm>
                    <a:prstGeom prst="rect">
                      <a:avLst/>
                    </a:prstGeom>
                    <a:ln/>
                  </pic:spPr>
                </pic:pic>
              </a:graphicData>
            </a:graphic>
          </wp:inline>
        </w:drawing>
      </w:r>
    </w:p>
    <w:p w:rsidR="00BB405D" w:rsidRDefault="00BB405D">
      <w:pPr>
        <w:rPr>
          <w:rFonts w:ascii="Arial" w:eastAsia="Arial" w:hAnsi="Arial" w:cs="Arial"/>
          <w:sz w:val="22"/>
          <w:szCs w:val="22"/>
        </w:rPr>
      </w:pPr>
    </w:p>
    <w:p w:rsidR="00BB405D" w:rsidRDefault="005457AB">
      <w:pPr>
        <w:rPr>
          <w:rFonts w:ascii="Arial" w:eastAsia="Arial" w:hAnsi="Arial" w:cs="Arial"/>
          <w:color w:val="000000"/>
          <w:sz w:val="22"/>
          <w:szCs w:val="22"/>
        </w:rPr>
      </w:pPr>
      <w:r>
        <w:rPr>
          <w:rFonts w:ascii="Arial" w:eastAsia="Arial" w:hAnsi="Arial" w:cs="Arial"/>
          <w:b/>
          <w:sz w:val="22"/>
          <w:szCs w:val="22"/>
        </w:rPr>
        <w:t xml:space="preserve">Extended Data Fig. </w:t>
      </w:r>
      <w:r>
        <w:rPr>
          <w:rFonts w:ascii="Arial" w:eastAsia="Arial" w:hAnsi="Arial" w:cs="Arial"/>
          <w:b/>
          <w:color w:val="000000"/>
          <w:sz w:val="22"/>
          <w:szCs w:val="22"/>
        </w:rPr>
        <w:t>2. Seasonal and interannual changes in average genome size. A:</w:t>
      </w:r>
      <w:r>
        <w:rPr>
          <w:rFonts w:ascii="Arial" w:eastAsia="Arial" w:hAnsi="Arial" w:cs="Arial"/>
          <w:color w:val="000000"/>
          <w:sz w:val="22"/>
          <w:szCs w:val="22"/>
        </w:rPr>
        <w:t xml:space="preserve"> Time-series of average genome size. Red line </w:t>
      </w:r>
      <w:r>
        <w:rPr>
          <w:rFonts w:ascii="Arial" w:eastAsia="Arial" w:hAnsi="Arial" w:cs="Arial"/>
          <w:sz w:val="22"/>
          <w:szCs w:val="22"/>
        </w:rPr>
        <w:t>represents the moving</w:t>
      </w:r>
      <w:r>
        <w:rPr>
          <w:rFonts w:ascii="Arial" w:eastAsia="Arial" w:hAnsi="Arial" w:cs="Arial"/>
          <w:color w:val="000000"/>
          <w:sz w:val="22"/>
          <w:szCs w:val="22"/>
        </w:rPr>
        <w:t xml:space="preserve"> average calculated using ‘Robust Loess’ and window size = 20. </w:t>
      </w:r>
      <w:r>
        <w:rPr>
          <w:rFonts w:ascii="Arial" w:eastAsia="Arial" w:hAnsi="Arial" w:cs="Arial"/>
          <w:b/>
          <w:color w:val="000000"/>
          <w:sz w:val="22"/>
          <w:szCs w:val="22"/>
        </w:rPr>
        <w:t>B:</w:t>
      </w:r>
      <w:r>
        <w:rPr>
          <w:rFonts w:ascii="Arial" w:eastAsia="Arial" w:hAnsi="Arial" w:cs="Arial"/>
          <w:color w:val="000000"/>
          <w:sz w:val="22"/>
          <w:szCs w:val="22"/>
        </w:rPr>
        <w:t xml:space="preserve"> Monthly anomaly in genome size. </w:t>
      </w:r>
      <w:r>
        <w:rPr>
          <w:rFonts w:ascii="Arial" w:eastAsia="Arial" w:hAnsi="Arial" w:cs="Arial"/>
          <w:b/>
          <w:color w:val="000000"/>
          <w:sz w:val="22"/>
          <w:szCs w:val="22"/>
        </w:rPr>
        <w:t>C:</w:t>
      </w:r>
      <w:r>
        <w:rPr>
          <w:rFonts w:ascii="Arial" w:eastAsia="Arial" w:hAnsi="Arial" w:cs="Arial"/>
          <w:color w:val="000000"/>
          <w:sz w:val="22"/>
          <w:szCs w:val="22"/>
        </w:rPr>
        <w:t xml:space="preserve"> Annual anomaly in genome size.</w:t>
      </w:r>
    </w:p>
    <w:p w:rsidR="00BB405D" w:rsidRDefault="00BB405D">
      <w:pPr>
        <w:rPr>
          <w:rFonts w:ascii="Arial" w:eastAsia="Arial" w:hAnsi="Arial" w:cs="Arial"/>
          <w:color w:val="000000"/>
          <w:sz w:val="22"/>
          <w:szCs w:val="22"/>
        </w:rPr>
      </w:pPr>
    </w:p>
    <w:p w:rsidR="00BB405D" w:rsidRDefault="005457AB">
      <w:pPr>
        <w:rPr>
          <w:rFonts w:ascii="Arial" w:eastAsia="Arial" w:hAnsi="Arial" w:cs="Arial"/>
          <w:color w:val="000000"/>
          <w:sz w:val="22"/>
          <w:szCs w:val="22"/>
        </w:rPr>
      </w:pPr>
      <w:r>
        <w:br w:type="column"/>
      </w:r>
      <w:r>
        <w:rPr>
          <w:rFonts w:ascii="Arial" w:eastAsia="Arial" w:hAnsi="Arial" w:cs="Arial"/>
          <w:noProof/>
          <w:color w:val="000000"/>
          <w:sz w:val="22"/>
          <w:szCs w:val="22"/>
        </w:rPr>
        <w:lastRenderedPageBreak/>
        <w:drawing>
          <wp:inline distT="0" distB="0" distL="0" distR="0">
            <wp:extent cx="5943600" cy="1892935"/>
            <wp:effectExtent l="0" t="0" r="0" b="0"/>
            <wp:docPr id="2132714683" name="image4.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screenshot of a graph&#10;&#10;Description automatically generated"/>
                    <pic:cNvPicPr preferRelativeResize="0"/>
                  </pic:nvPicPr>
                  <pic:blipFill>
                    <a:blip r:embed="rId7"/>
                    <a:srcRect/>
                    <a:stretch>
                      <a:fillRect/>
                    </a:stretch>
                  </pic:blipFill>
                  <pic:spPr>
                    <a:xfrm>
                      <a:off x="0" y="0"/>
                      <a:ext cx="5943600" cy="1892935"/>
                    </a:xfrm>
                    <a:prstGeom prst="rect">
                      <a:avLst/>
                    </a:prstGeom>
                    <a:ln/>
                  </pic:spPr>
                </pic:pic>
              </a:graphicData>
            </a:graphic>
          </wp:inline>
        </w:drawing>
      </w:r>
    </w:p>
    <w:p w:rsidR="005457AB" w:rsidRDefault="005457AB">
      <w:pPr>
        <w:rPr>
          <w:rFonts w:ascii="Arial" w:eastAsia="Arial" w:hAnsi="Arial" w:cs="Arial"/>
          <w:b/>
          <w:sz w:val="22"/>
          <w:szCs w:val="22"/>
        </w:rPr>
      </w:pPr>
    </w:p>
    <w:p w:rsidR="00BB405D" w:rsidRDefault="005457AB">
      <w:pPr>
        <w:rPr>
          <w:rFonts w:ascii="Arial" w:eastAsia="Arial" w:hAnsi="Arial" w:cs="Arial"/>
          <w:color w:val="000000"/>
          <w:sz w:val="22"/>
          <w:szCs w:val="22"/>
        </w:rPr>
      </w:pPr>
      <w:bookmarkStart w:id="0" w:name="_GoBack"/>
      <w:bookmarkEnd w:id="0"/>
      <w:r>
        <w:rPr>
          <w:rFonts w:ascii="Arial" w:eastAsia="Arial" w:hAnsi="Arial" w:cs="Arial"/>
          <w:b/>
          <w:sz w:val="22"/>
          <w:szCs w:val="22"/>
        </w:rPr>
        <w:t xml:space="preserve">Extended Data Fig. </w:t>
      </w:r>
      <w:r>
        <w:rPr>
          <w:rFonts w:ascii="Arial" w:eastAsia="Arial" w:hAnsi="Arial" w:cs="Arial"/>
          <w:b/>
          <w:color w:val="000000"/>
          <w:sz w:val="22"/>
          <w:szCs w:val="22"/>
        </w:rPr>
        <w:t>3.</w:t>
      </w:r>
      <w:r>
        <w:rPr>
          <w:rFonts w:ascii="Arial" w:eastAsia="Arial" w:hAnsi="Arial" w:cs="Arial"/>
          <w:color w:val="000000"/>
          <w:sz w:val="22"/>
          <w:szCs w:val="22"/>
        </w:rPr>
        <w:t xml:space="preserve"> </w:t>
      </w:r>
      <w:r>
        <w:rPr>
          <w:rFonts w:ascii="Arial" w:eastAsia="Arial" w:hAnsi="Arial" w:cs="Arial"/>
          <w:b/>
          <w:color w:val="000000"/>
          <w:sz w:val="22"/>
          <w:szCs w:val="22"/>
        </w:rPr>
        <w:t>Seasonal and long-term succession in microbial community using Multi-table Co-Inertia Analysis (MCOA). A:</w:t>
      </w:r>
      <w:r>
        <w:rPr>
          <w:rFonts w:ascii="Arial" w:eastAsia="Arial" w:hAnsi="Arial" w:cs="Arial"/>
          <w:color w:val="000000"/>
          <w:sz w:val="22"/>
          <w:szCs w:val="22"/>
        </w:rPr>
        <w:t xml:space="preserve"> Time-series of the first principal component (MCOA_PC1, 35% variance). Monthly (</w:t>
      </w:r>
      <w:r>
        <w:rPr>
          <w:rFonts w:ascii="Arial" w:eastAsia="Arial" w:hAnsi="Arial" w:cs="Arial"/>
          <w:b/>
          <w:color w:val="000000"/>
          <w:sz w:val="22"/>
          <w:szCs w:val="22"/>
        </w:rPr>
        <w:t>B</w:t>
      </w:r>
      <w:r>
        <w:rPr>
          <w:rFonts w:ascii="Arial" w:eastAsia="Arial" w:hAnsi="Arial" w:cs="Arial"/>
          <w:color w:val="000000"/>
          <w:sz w:val="22"/>
          <w:szCs w:val="22"/>
        </w:rPr>
        <w:t>) and interannual (</w:t>
      </w:r>
      <w:r>
        <w:rPr>
          <w:rFonts w:ascii="Arial" w:eastAsia="Arial" w:hAnsi="Arial" w:cs="Arial"/>
          <w:b/>
          <w:color w:val="000000"/>
          <w:sz w:val="22"/>
          <w:szCs w:val="22"/>
        </w:rPr>
        <w:t>C</w:t>
      </w:r>
      <w:r>
        <w:rPr>
          <w:rFonts w:ascii="Arial" w:eastAsia="Arial" w:hAnsi="Arial" w:cs="Arial"/>
          <w:color w:val="000000"/>
          <w:sz w:val="22"/>
          <w:szCs w:val="22"/>
        </w:rPr>
        <w:t xml:space="preserve">) anomaly in MCOA_PC1. </w:t>
      </w:r>
      <w:r>
        <w:rPr>
          <w:rFonts w:ascii="Arial" w:eastAsia="Arial" w:hAnsi="Arial" w:cs="Arial"/>
          <w:b/>
          <w:color w:val="000000"/>
          <w:sz w:val="22"/>
          <w:szCs w:val="22"/>
        </w:rPr>
        <w:t>D:</w:t>
      </w:r>
      <w:r>
        <w:rPr>
          <w:rFonts w:ascii="Arial" w:eastAsia="Arial" w:hAnsi="Arial" w:cs="Arial"/>
          <w:color w:val="000000"/>
          <w:sz w:val="22"/>
          <w:szCs w:val="22"/>
        </w:rPr>
        <w:t xml:space="preserve"> Time-series of the second principal component (MCOA_PC2, 16% variance). Monthly (</w:t>
      </w:r>
      <w:r>
        <w:rPr>
          <w:rFonts w:ascii="Arial" w:eastAsia="Arial" w:hAnsi="Arial" w:cs="Arial"/>
          <w:b/>
          <w:color w:val="000000"/>
          <w:sz w:val="22"/>
          <w:szCs w:val="22"/>
        </w:rPr>
        <w:t>E</w:t>
      </w:r>
      <w:r>
        <w:rPr>
          <w:rFonts w:ascii="Arial" w:eastAsia="Arial" w:hAnsi="Arial" w:cs="Arial"/>
          <w:color w:val="000000"/>
          <w:sz w:val="22"/>
          <w:szCs w:val="22"/>
        </w:rPr>
        <w:t>) and interannual (</w:t>
      </w:r>
      <w:r>
        <w:rPr>
          <w:rFonts w:ascii="Arial" w:eastAsia="Arial" w:hAnsi="Arial" w:cs="Arial"/>
          <w:b/>
          <w:color w:val="000000"/>
          <w:sz w:val="22"/>
          <w:szCs w:val="22"/>
        </w:rPr>
        <w:t>F</w:t>
      </w:r>
      <w:r>
        <w:rPr>
          <w:rFonts w:ascii="Arial" w:eastAsia="Arial" w:hAnsi="Arial" w:cs="Arial"/>
          <w:color w:val="000000"/>
          <w:sz w:val="22"/>
          <w:szCs w:val="22"/>
        </w:rPr>
        <w:t>) anomaly in MCOA_PC2. The</w:t>
      </w:r>
      <w:r>
        <w:rPr>
          <w:rFonts w:ascii="Arial" w:eastAsia="Arial" w:hAnsi="Arial" w:cs="Arial"/>
          <w:color w:val="000000"/>
          <w:sz w:val="22"/>
          <w:szCs w:val="22"/>
        </w:rPr>
        <w:t xml:space="preserve"> MCOA analysis </w:t>
      </w:r>
      <w:r>
        <w:rPr>
          <w:rFonts w:ascii="Arial" w:eastAsia="Arial" w:hAnsi="Arial" w:cs="Arial"/>
          <w:sz w:val="22"/>
          <w:szCs w:val="22"/>
        </w:rPr>
        <w:t>includes</w:t>
      </w:r>
      <w:r>
        <w:rPr>
          <w:rFonts w:ascii="Arial" w:eastAsia="Arial" w:hAnsi="Arial" w:cs="Arial"/>
          <w:color w:val="000000"/>
          <w:sz w:val="22"/>
          <w:szCs w:val="22"/>
        </w:rPr>
        <w:t xml:space="preserve"> gene annotations from KEGG, COG, </w:t>
      </w:r>
      <w:proofErr w:type="spellStart"/>
      <w:r>
        <w:rPr>
          <w:rFonts w:ascii="Arial" w:eastAsia="Arial" w:hAnsi="Arial" w:cs="Arial"/>
          <w:color w:val="000000"/>
          <w:sz w:val="22"/>
          <w:szCs w:val="22"/>
        </w:rPr>
        <w:t>PFam</w:t>
      </w:r>
      <w:proofErr w:type="spellEnd"/>
      <w:r>
        <w:rPr>
          <w:rFonts w:ascii="Arial" w:eastAsia="Arial" w:hAnsi="Arial" w:cs="Arial"/>
          <w:color w:val="000000"/>
          <w:sz w:val="22"/>
          <w:szCs w:val="22"/>
        </w:rPr>
        <w:t xml:space="preserve">, and </w:t>
      </w:r>
      <w:proofErr w:type="spellStart"/>
      <w:r>
        <w:rPr>
          <w:rFonts w:ascii="Arial" w:eastAsia="Arial" w:hAnsi="Arial" w:cs="Arial"/>
          <w:color w:val="000000"/>
          <w:sz w:val="22"/>
          <w:szCs w:val="22"/>
        </w:rPr>
        <w:t>TIGRfam</w:t>
      </w:r>
      <w:proofErr w:type="spellEnd"/>
      <w:r>
        <w:rPr>
          <w:rFonts w:ascii="Arial" w:eastAsia="Arial" w:hAnsi="Arial" w:cs="Arial"/>
          <w:color w:val="000000"/>
          <w:sz w:val="22"/>
          <w:szCs w:val="22"/>
        </w:rPr>
        <w:t xml:space="preserve"> as well as taxonomic variation.</w:t>
      </w:r>
    </w:p>
    <w:p w:rsidR="00BB405D" w:rsidRDefault="005457AB">
      <w:pPr>
        <w:rPr>
          <w:rFonts w:ascii="Arial" w:eastAsia="Arial" w:hAnsi="Arial" w:cs="Arial"/>
          <w:sz w:val="22"/>
          <w:szCs w:val="22"/>
        </w:rPr>
      </w:pPr>
      <w:r>
        <w:br w:type="page"/>
      </w:r>
    </w:p>
    <w:p w:rsidR="00BB405D" w:rsidRDefault="005457AB" w:rsidP="005457AB">
      <w:pPr>
        <w:jc w:val="center"/>
        <w:rPr>
          <w:rFonts w:ascii="Arial" w:eastAsia="Arial" w:hAnsi="Arial" w:cs="Arial"/>
          <w:sz w:val="22"/>
          <w:szCs w:val="22"/>
        </w:rPr>
      </w:pPr>
      <w:r>
        <w:rPr>
          <w:rFonts w:ascii="Arial" w:eastAsia="Arial" w:hAnsi="Arial" w:cs="Arial"/>
          <w:noProof/>
          <w:sz w:val="22"/>
          <w:szCs w:val="22"/>
        </w:rPr>
        <w:lastRenderedPageBreak/>
        <w:drawing>
          <wp:inline distT="0" distB="0" distL="0" distR="0">
            <wp:extent cx="3733800" cy="2590800"/>
            <wp:effectExtent l="0" t="0" r="0" b="0"/>
            <wp:docPr id="2132714680" name="image2.png" descr="A graph of different colored ba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graph of different colored bars&#10;&#10;Description automatically generated"/>
                    <pic:cNvPicPr preferRelativeResize="0"/>
                  </pic:nvPicPr>
                  <pic:blipFill>
                    <a:blip r:embed="rId8"/>
                    <a:srcRect/>
                    <a:stretch>
                      <a:fillRect/>
                    </a:stretch>
                  </pic:blipFill>
                  <pic:spPr>
                    <a:xfrm>
                      <a:off x="0" y="0"/>
                      <a:ext cx="3733800" cy="2590800"/>
                    </a:xfrm>
                    <a:prstGeom prst="rect">
                      <a:avLst/>
                    </a:prstGeom>
                    <a:ln/>
                  </pic:spPr>
                </pic:pic>
              </a:graphicData>
            </a:graphic>
          </wp:inline>
        </w:drawing>
      </w:r>
    </w:p>
    <w:p w:rsidR="00BB405D" w:rsidRDefault="00BB405D">
      <w:pPr>
        <w:rPr>
          <w:rFonts w:ascii="Arial" w:eastAsia="Arial" w:hAnsi="Arial" w:cs="Arial"/>
          <w:sz w:val="22"/>
          <w:szCs w:val="22"/>
        </w:rPr>
      </w:pPr>
    </w:p>
    <w:p w:rsidR="00BB405D" w:rsidRDefault="005457AB">
      <w:pPr>
        <w:rPr>
          <w:rFonts w:ascii="Arial" w:eastAsia="Arial" w:hAnsi="Arial" w:cs="Arial"/>
          <w:color w:val="000000"/>
          <w:sz w:val="22"/>
          <w:szCs w:val="22"/>
        </w:rPr>
      </w:pPr>
      <w:r>
        <w:rPr>
          <w:rFonts w:ascii="Arial" w:eastAsia="Arial" w:hAnsi="Arial" w:cs="Arial"/>
          <w:b/>
          <w:sz w:val="22"/>
          <w:szCs w:val="22"/>
        </w:rPr>
        <w:t>Extended Data Fig. 4. Community compositional variance attributed to interannual and seasonal variation.</w:t>
      </w:r>
      <w:r>
        <w:rPr>
          <w:rFonts w:ascii="Arial" w:eastAsia="Arial" w:hAnsi="Arial" w:cs="Arial"/>
          <w:sz w:val="22"/>
          <w:szCs w:val="22"/>
        </w:rPr>
        <w:t xml:space="preserve"> Compositional variance is estimated usi</w:t>
      </w:r>
      <w:r>
        <w:rPr>
          <w:rFonts w:ascii="Arial" w:eastAsia="Arial" w:hAnsi="Arial" w:cs="Arial"/>
          <w:sz w:val="22"/>
          <w:szCs w:val="22"/>
        </w:rPr>
        <w:t xml:space="preserve">ng PERMANOVA with sampling ‘Year’ and ‘Month’ as factors plus interactions. Composition was estimated using the frequency of taxonomic groups at family level as well as functional genes classified with COG, KEGG Orthologs, </w:t>
      </w:r>
      <w:proofErr w:type="spellStart"/>
      <w:r>
        <w:rPr>
          <w:rFonts w:ascii="Arial" w:eastAsia="Arial" w:hAnsi="Arial" w:cs="Arial"/>
          <w:sz w:val="22"/>
          <w:szCs w:val="22"/>
        </w:rPr>
        <w:t>Pfam</w:t>
      </w:r>
      <w:proofErr w:type="spellEnd"/>
      <w:r>
        <w:rPr>
          <w:rFonts w:ascii="Arial" w:eastAsia="Arial" w:hAnsi="Arial" w:cs="Arial"/>
          <w:sz w:val="22"/>
          <w:szCs w:val="22"/>
        </w:rPr>
        <w:t xml:space="preserve">, or TIGR families. The mean </w:t>
      </w:r>
      <w:r>
        <w:rPr>
          <w:rFonts w:ascii="Arial" w:eastAsia="Arial" w:hAnsi="Arial" w:cs="Arial"/>
          <w:sz w:val="22"/>
          <w:szCs w:val="22"/>
        </w:rPr>
        <w:t>compositional variance attributed to interannual plus seasonal changes was 62%.</w:t>
      </w:r>
      <w:r>
        <w:br w:type="page"/>
      </w:r>
    </w:p>
    <w:p w:rsidR="00BB405D" w:rsidRDefault="005457AB" w:rsidP="005457AB">
      <w:pPr>
        <w:jc w:val="center"/>
        <w:rPr>
          <w:rFonts w:ascii="Arial" w:eastAsia="Arial" w:hAnsi="Arial" w:cs="Arial"/>
          <w:sz w:val="22"/>
          <w:szCs w:val="22"/>
        </w:rPr>
      </w:pPr>
      <w:r>
        <w:rPr>
          <w:rFonts w:ascii="Arial" w:eastAsia="Arial" w:hAnsi="Arial" w:cs="Arial"/>
          <w:noProof/>
          <w:sz w:val="22"/>
          <w:szCs w:val="22"/>
        </w:rPr>
        <w:lastRenderedPageBreak/>
        <w:drawing>
          <wp:inline distT="0" distB="0" distL="0" distR="0">
            <wp:extent cx="4191000" cy="1651000"/>
            <wp:effectExtent l="0" t="0" r="0" b="0"/>
            <wp:docPr id="2132714685" name="image1.png" descr="A red and green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red and green squares&#10;&#10;Description automatically generated"/>
                    <pic:cNvPicPr preferRelativeResize="0"/>
                  </pic:nvPicPr>
                  <pic:blipFill>
                    <a:blip r:embed="rId9"/>
                    <a:srcRect/>
                    <a:stretch>
                      <a:fillRect/>
                    </a:stretch>
                  </pic:blipFill>
                  <pic:spPr>
                    <a:xfrm>
                      <a:off x="0" y="0"/>
                      <a:ext cx="4191000" cy="1651000"/>
                    </a:xfrm>
                    <a:prstGeom prst="rect">
                      <a:avLst/>
                    </a:prstGeom>
                    <a:ln/>
                  </pic:spPr>
                </pic:pic>
              </a:graphicData>
            </a:graphic>
          </wp:inline>
        </w:drawing>
      </w:r>
    </w:p>
    <w:p w:rsidR="005457AB" w:rsidRDefault="005457AB">
      <w:pPr>
        <w:rPr>
          <w:rFonts w:ascii="Arial" w:eastAsia="Arial" w:hAnsi="Arial" w:cs="Arial"/>
          <w:b/>
          <w:sz w:val="22"/>
          <w:szCs w:val="22"/>
        </w:rPr>
      </w:pPr>
    </w:p>
    <w:p w:rsidR="00BB405D" w:rsidRDefault="005457AB">
      <w:pPr>
        <w:rPr>
          <w:rFonts w:ascii="Arial" w:eastAsia="Arial" w:hAnsi="Arial" w:cs="Arial"/>
          <w:sz w:val="22"/>
          <w:szCs w:val="22"/>
        </w:rPr>
      </w:pPr>
      <w:r>
        <w:rPr>
          <w:rFonts w:ascii="Arial" w:eastAsia="Arial" w:hAnsi="Arial" w:cs="Arial"/>
          <w:b/>
          <w:sz w:val="22"/>
          <w:szCs w:val="22"/>
        </w:rPr>
        <w:t xml:space="preserve">Extended Data Fig. 5.  </w:t>
      </w:r>
      <w:proofErr w:type="spellStart"/>
      <w:r>
        <w:rPr>
          <w:rFonts w:ascii="Arial" w:eastAsia="Arial" w:hAnsi="Arial" w:cs="Arial"/>
          <w:b/>
          <w:sz w:val="22"/>
          <w:szCs w:val="22"/>
        </w:rPr>
        <w:t>Clustergram</w:t>
      </w:r>
      <w:proofErr w:type="spellEnd"/>
      <w:r>
        <w:rPr>
          <w:rFonts w:ascii="Arial" w:eastAsia="Arial" w:hAnsi="Arial" w:cs="Arial"/>
          <w:b/>
          <w:sz w:val="22"/>
          <w:szCs w:val="22"/>
        </w:rPr>
        <w:t xml:space="preserve"> of interannual microbiome potential. </w:t>
      </w:r>
      <w:r>
        <w:rPr>
          <w:rFonts w:ascii="Arial" w:eastAsia="Arial" w:hAnsi="Arial" w:cs="Arial"/>
          <w:sz w:val="22"/>
          <w:szCs w:val="22"/>
        </w:rPr>
        <w:t>The annual anomaly for KEGG ortholog was estimated and then grouped using hierarchical clustering ana</w:t>
      </w:r>
      <w:r>
        <w:rPr>
          <w:rFonts w:ascii="Arial" w:eastAsia="Arial" w:hAnsi="Arial" w:cs="Arial"/>
          <w:sz w:val="22"/>
          <w:szCs w:val="22"/>
        </w:rPr>
        <w:t>lysis. Green indicates relatively more frequent, and red indicates relatively less frequent genes.</w:t>
      </w:r>
    </w:p>
    <w:p w:rsidR="005457AB" w:rsidRDefault="005457AB">
      <w:pPr>
        <w:rPr>
          <w:rFonts w:ascii="Arial" w:eastAsia="Arial" w:hAnsi="Arial" w:cs="Arial"/>
          <w:sz w:val="22"/>
          <w:szCs w:val="22"/>
        </w:rPr>
      </w:pPr>
    </w:p>
    <w:p w:rsidR="00BB405D" w:rsidRDefault="005457AB">
      <w:pPr>
        <w:rPr>
          <w:rFonts w:ascii="Arial" w:eastAsia="Arial" w:hAnsi="Arial" w:cs="Arial"/>
          <w:sz w:val="22"/>
          <w:szCs w:val="22"/>
        </w:rPr>
      </w:pPr>
      <w:r>
        <w:br w:type="column"/>
      </w:r>
    </w:p>
    <w:p w:rsidR="00BB405D" w:rsidRDefault="005457AB">
      <w:pPr>
        <w:rPr>
          <w:rFonts w:ascii="Arial" w:eastAsia="Arial" w:hAnsi="Arial" w:cs="Arial"/>
          <w:sz w:val="22"/>
          <w:szCs w:val="22"/>
        </w:rPr>
      </w:pPr>
      <w:r>
        <w:rPr>
          <w:rFonts w:ascii="Arial" w:eastAsia="Arial" w:hAnsi="Arial" w:cs="Arial"/>
          <w:noProof/>
          <w:sz w:val="22"/>
          <w:szCs w:val="22"/>
        </w:rPr>
        <w:drawing>
          <wp:inline distT="0" distB="0" distL="0" distR="0">
            <wp:extent cx="5943600" cy="5809615"/>
            <wp:effectExtent l="0" t="0" r="0" b="0"/>
            <wp:docPr id="2132714679" name="image6.png" descr="A screenshot of a computer generated imag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screenshot of a computer generated image&#10;&#10;Description automatically generated"/>
                    <pic:cNvPicPr preferRelativeResize="0"/>
                  </pic:nvPicPr>
                  <pic:blipFill>
                    <a:blip r:embed="rId10"/>
                    <a:srcRect/>
                    <a:stretch>
                      <a:fillRect/>
                    </a:stretch>
                  </pic:blipFill>
                  <pic:spPr>
                    <a:xfrm>
                      <a:off x="0" y="0"/>
                      <a:ext cx="5943600" cy="5809615"/>
                    </a:xfrm>
                    <a:prstGeom prst="rect">
                      <a:avLst/>
                    </a:prstGeom>
                    <a:ln/>
                  </pic:spPr>
                </pic:pic>
              </a:graphicData>
            </a:graphic>
          </wp:inline>
        </w:drawing>
      </w:r>
    </w:p>
    <w:p w:rsidR="00BB405D" w:rsidRDefault="00BB405D">
      <w:pPr>
        <w:rPr>
          <w:rFonts w:ascii="Arial" w:eastAsia="Arial" w:hAnsi="Arial" w:cs="Arial"/>
          <w:b/>
          <w:sz w:val="22"/>
          <w:szCs w:val="22"/>
        </w:rPr>
      </w:pPr>
    </w:p>
    <w:p w:rsidR="00BB405D" w:rsidRDefault="005457AB">
      <w:pPr>
        <w:rPr>
          <w:rFonts w:ascii="Arial" w:eastAsia="Arial" w:hAnsi="Arial" w:cs="Arial"/>
          <w:sz w:val="22"/>
          <w:szCs w:val="22"/>
        </w:rPr>
      </w:pPr>
      <w:r>
        <w:rPr>
          <w:rFonts w:ascii="Arial" w:eastAsia="Arial" w:hAnsi="Arial" w:cs="Arial"/>
          <w:b/>
          <w:sz w:val="22"/>
          <w:szCs w:val="22"/>
        </w:rPr>
        <w:t xml:space="preserve">Extended Data Fig. 6. Seasonal and long-term succession in microbial community functional potential across annotation systems. </w:t>
      </w:r>
      <w:r>
        <w:rPr>
          <w:rFonts w:ascii="Arial" w:eastAsia="Arial" w:hAnsi="Arial" w:cs="Arial"/>
          <w:sz w:val="22"/>
          <w:szCs w:val="22"/>
        </w:rPr>
        <w:t>Each row includes the temporal dynamics of community taxonomy or functional potential, where sample similarity was estimated from Z-score normalized relative abundances using PCA (each point represents a sample); the integrated community taxonomic or funct</w:t>
      </w:r>
      <w:r>
        <w:rPr>
          <w:rFonts w:ascii="Arial" w:eastAsia="Arial" w:hAnsi="Arial" w:cs="Arial"/>
          <w:sz w:val="22"/>
          <w:szCs w:val="22"/>
        </w:rPr>
        <w:t>ional similarity using multi-table co-inertia analysis (MCOA) (each point represents a gene or taxa); and, the time-series of taxa or genes annotated with an ortholog system, where the frequency of each annotation was Z-score normalized across time.</w:t>
      </w:r>
    </w:p>
    <w:p w:rsidR="00BB405D" w:rsidRDefault="005457AB">
      <w:pPr>
        <w:rPr>
          <w:rFonts w:ascii="Arial" w:eastAsia="Arial" w:hAnsi="Arial" w:cs="Arial"/>
          <w:sz w:val="22"/>
          <w:szCs w:val="22"/>
        </w:rPr>
      </w:pPr>
      <w:r>
        <w:br w:type="page"/>
      </w:r>
    </w:p>
    <w:p w:rsidR="00BB405D" w:rsidRDefault="005457AB">
      <w:pPr>
        <w:rPr>
          <w:rFonts w:ascii="Arial" w:eastAsia="Arial" w:hAnsi="Arial" w:cs="Arial"/>
          <w:b/>
          <w:sz w:val="22"/>
          <w:szCs w:val="22"/>
        </w:rPr>
      </w:pPr>
      <w:r>
        <w:rPr>
          <w:rFonts w:ascii="Arial" w:eastAsia="Arial" w:hAnsi="Arial" w:cs="Arial"/>
          <w:noProof/>
          <w:sz w:val="22"/>
          <w:szCs w:val="22"/>
        </w:rPr>
        <w:lastRenderedPageBreak/>
        <w:drawing>
          <wp:inline distT="0" distB="0" distL="0" distR="0">
            <wp:extent cx="5943600" cy="6737350"/>
            <wp:effectExtent l="0" t="0" r="0" b="0"/>
            <wp:docPr id="2132714686" name="image7.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screenshot of a graph&#10;&#10;Description automatically generated"/>
                    <pic:cNvPicPr preferRelativeResize="0"/>
                  </pic:nvPicPr>
                  <pic:blipFill>
                    <a:blip r:embed="rId11"/>
                    <a:srcRect/>
                    <a:stretch>
                      <a:fillRect/>
                    </a:stretch>
                  </pic:blipFill>
                  <pic:spPr>
                    <a:xfrm>
                      <a:off x="0" y="0"/>
                      <a:ext cx="5943600" cy="6737350"/>
                    </a:xfrm>
                    <a:prstGeom prst="rect">
                      <a:avLst/>
                    </a:prstGeom>
                    <a:ln/>
                  </pic:spPr>
                </pic:pic>
              </a:graphicData>
            </a:graphic>
          </wp:inline>
        </w:drawing>
      </w:r>
    </w:p>
    <w:p w:rsidR="00BB405D" w:rsidRDefault="005457AB">
      <w:pPr>
        <w:rPr>
          <w:rFonts w:ascii="Arial" w:eastAsia="Arial" w:hAnsi="Arial" w:cs="Arial"/>
          <w:sz w:val="22"/>
          <w:szCs w:val="22"/>
        </w:rPr>
      </w:pPr>
      <w:r>
        <w:rPr>
          <w:rFonts w:ascii="Arial" w:eastAsia="Arial" w:hAnsi="Arial" w:cs="Arial"/>
          <w:b/>
          <w:sz w:val="22"/>
          <w:szCs w:val="22"/>
        </w:rPr>
        <w:t>Ex</w:t>
      </w:r>
      <w:r>
        <w:rPr>
          <w:rFonts w:ascii="Arial" w:eastAsia="Arial" w:hAnsi="Arial" w:cs="Arial"/>
          <w:b/>
          <w:sz w:val="22"/>
          <w:szCs w:val="22"/>
        </w:rPr>
        <w:t xml:space="preserve">tended Data Fig. 7. Detailed analysis of nutrient stress genes (Fe and N) and their phylogenetic origin. </w:t>
      </w:r>
    </w:p>
    <w:p w:rsidR="00BB405D" w:rsidRDefault="00BB405D">
      <w:pPr>
        <w:rPr>
          <w:rFonts w:ascii="Arial" w:eastAsia="Arial" w:hAnsi="Arial" w:cs="Arial"/>
          <w:sz w:val="22"/>
          <w:szCs w:val="22"/>
        </w:rPr>
      </w:pPr>
    </w:p>
    <w:p w:rsidR="00BB405D" w:rsidRDefault="005457AB">
      <w:pPr>
        <w:rPr>
          <w:rFonts w:ascii="Arial" w:eastAsia="Arial" w:hAnsi="Arial" w:cs="Arial"/>
          <w:sz w:val="22"/>
          <w:szCs w:val="22"/>
        </w:rPr>
      </w:pPr>
      <w:r>
        <w:rPr>
          <w:rFonts w:ascii="Arial" w:eastAsia="Arial" w:hAnsi="Arial" w:cs="Arial"/>
          <w:noProof/>
          <w:sz w:val="22"/>
          <w:szCs w:val="22"/>
        </w:rPr>
        <w:lastRenderedPageBreak/>
        <w:drawing>
          <wp:inline distT="0" distB="0" distL="0" distR="0">
            <wp:extent cx="5943600" cy="5307965"/>
            <wp:effectExtent l="0" t="0" r="0" b="0"/>
            <wp:docPr id="2132714681" name="image8.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screenshot of a graph&#10;&#10;Description automatically generated"/>
                    <pic:cNvPicPr preferRelativeResize="0"/>
                  </pic:nvPicPr>
                  <pic:blipFill>
                    <a:blip r:embed="rId12"/>
                    <a:srcRect/>
                    <a:stretch>
                      <a:fillRect/>
                    </a:stretch>
                  </pic:blipFill>
                  <pic:spPr>
                    <a:xfrm>
                      <a:off x="0" y="0"/>
                      <a:ext cx="5943600" cy="5307965"/>
                    </a:xfrm>
                    <a:prstGeom prst="rect">
                      <a:avLst/>
                    </a:prstGeom>
                    <a:ln/>
                  </pic:spPr>
                </pic:pic>
              </a:graphicData>
            </a:graphic>
          </wp:inline>
        </w:drawing>
      </w:r>
    </w:p>
    <w:p w:rsidR="00BB405D" w:rsidRDefault="00BB405D">
      <w:pPr>
        <w:rPr>
          <w:rFonts w:ascii="Arial" w:eastAsia="Arial" w:hAnsi="Arial" w:cs="Arial"/>
          <w:sz w:val="22"/>
          <w:szCs w:val="22"/>
        </w:rPr>
      </w:pPr>
    </w:p>
    <w:p w:rsidR="00BB405D" w:rsidRDefault="005457AB">
      <w:pPr>
        <w:rPr>
          <w:rFonts w:ascii="Arial" w:eastAsia="Arial" w:hAnsi="Arial" w:cs="Arial"/>
          <w:sz w:val="22"/>
          <w:szCs w:val="22"/>
        </w:rPr>
      </w:pPr>
      <w:r>
        <w:rPr>
          <w:rFonts w:ascii="Arial" w:eastAsia="Arial" w:hAnsi="Arial" w:cs="Arial"/>
          <w:b/>
          <w:sz w:val="22"/>
          <w:szCs w:val="22"/>
        </w:rPr>
        <w:t xml:space="preserve">Extended Data Fig. 8. Detailed analysis of nutrient stress genes (P) and their phylogenetic origin. </w:t>
      </w:r>
    </w:p>
    <w:sectPr w:rsidR="00BB405D">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auto"/>
    <w:pitch w:val="default"/>
  </w:font>
  <w:font w:name="Aptos Display">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05D"/>
    <w:rsid w:val="005457AB"/>
    <w:rsid w:val="00BB4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4869D"/>
  <w15:docId w15:val="{28753C95-A4C8-45F2-AC17-07D67E45A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Aptos" w:hAnsi="Aptos" w:cs="Apto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28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28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28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28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28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28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28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28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28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A2872"/>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A28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28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28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28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28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28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28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28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2872"/>
    <w:rPr>
      <w:rFonts w:eastAsiaTheme="majorEastAsia" w:cstheme="majorBidi"/>
      <w:color w:val="272727" w:themeColor="text1" w:themeTint="D8"/>
    </w:rPr>
  </w:style>
  <w:style w:type="character" w:customStyle="1" w:styleId="TitleChar">
    <w:name w:val="Title Char"/>
    <w:basedOn w:val="DefaultParagraphFont"/>
    <w:link w:val="Title"/>
    <w:uiPriority w:val="10"/>
    <w:rsid w:val="004A28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4A28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287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A2872"/>
    <w:rPr>
      <w:i/>
      <w:iCs/>
      <w:color w:val="404040" w:themeColor="text1" w:themeTint="BF"/>
    </w:rPr>
  </w:style>
  <w:style w:type="paragraph" w:styleId="ListParagraph">
    <w:name w:val="List Paragraph"/>
    <w:basedOn w:val="Normal"/>
    <w:uiPriority w:val="34"/>
    <w:qFormat/>
    <w:rsid w:val="004A2872"/>
    <w:pPr>
      <w:ind w:left="720"/>
      <w:contextualSpacing/>
    </w:pPr>
  </w:style>
  <w:style w:type="character" w:styleId="IntenseEmphasis">
    <w:name w:val="Intense Emphasis"/>
    <w:basedOn w:val="DefaultParagraphFont"/>
    <w:uiPriority w:val="21"/>
    <w:qFormat/>
    <w:rsid w:val="004A2872"/>
    <w:rPr>
      <w:i/>
      <w:iCs/>
      <w:color w:val="0F4761" w:themeColor="accent1" w:themeShade="BF"/>
    </w:rPr>
  </w:style>
  <w:style w:type="paragraph" w:styleId="IntenseQuote">
    <w:name w:val="Intense Quote"/>
    <w:basedOn w:val="Normal"/>
    <w:next w:val="Normal"/>
    <w:link w:val="IntenseQuoteChar"/>
    <w:uiPriority w:val="30"/>
    <w:qFormat/>
    <w:rsid w:val="004A28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2872"/>
    <w:rPr>
      <w:i/>
      <w:iCs/>
      <w:color w:val="0F4761" w:themeColor="accent1" w:themeShade="BF"/>
    </w:rPr>
  </w:style>
  <w:style w:type="character" w:styleId="IntenseReference">
    <w:name w:val="Intense Reference"/>
    <w:basedOn w:val="DefaultParagraphFont"/>
    <w:uiPriority w:val="32"/>
    <w:qFormat/>
    <w:rsid w:val="004A2872"/>
    <w:rPr>
      <w:b/>
      <w:bCs/>
      <w:smallCaps/>
      <w:color w:val="0F4761" w:themeColor="accent1" w:themeShade="BF"/>
      <w:spacing w:val="5"/>
    </w:rPr>
  </w:style>
  <w:style w:type="paragraph" w:styleId="NormalWeb">
    <w:name w:val="Normal (Web)"/>
    <w:basedOn w:val="Normal"/>
    <w:uiPriority w:val="99"/>
    <w:semiHidden/>
    <w:unhideWhenUsed/>
    <w:rsid w:val="00C30BFC"/>
    <w:pPr>
      <w:spacing w:before="100" w:beforeAutospacing="1" w:after="100" w:afterAutospacing="1"/>
    </w:pPr>
    <w:rPr>
      <w:rFonts w:ascii="Times New Roman" w:eastAsia="Times New Roman" w:hAnsi="Times New Roman" w:cs="Times New Roman"/>
    </w:rPr>
  </w:style>
  <w:style w:type="character" w:styleId="LineNumber">
    <w:name w:val="line number"/>
    <w:basedOn w:val="DefaultParagraphFont"/>
    <w:uiPriority w:val="99"/>
    <w:semiHidden/>
    <w:unhideWhenUsed/>
    <w:rsid w:val="00545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QuWbZHphsxs3RnwjEVSgZngndw==">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959</Words>
  <Characters>5470</Characters>
  <Application>Microsoft Office Word</Application>
  <DocSecurity>0</DocSecurity>
  <Lines>45</Lines>
  <Paragraphs>12</Paragraphs>
  <ScaleCrop>false</ScaleCrop>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Martiny</dc:creator>
  <cp:lastModifiedBy>Alyse Larkin</cp:lastModifiedBy>
  <cp:revision>2</cp:revision>
  <dcterms:created xsi:type="dcterms:W3CDTF">2024-05-28T23:28:00Z</dcterms:created>
  <dcterms:modified xsi:type="dcterms:W3CDTF">2024-06-24T22:45:00Z</dcterms:modified>
</cp:coreProperties>
</file>