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7E90A9" w14:textId="023A3D81" w:rsidR="006028FA" w:rsidRPr="001D1700" w:rsidRDefault="006028FA" w:rsidP="00900D0C">
      <w:pPr>
        <w:rPr>
          <w:rFonts w:asciiTheme="minorHAnsi" w:hAnsiTheme="minorHAnsi" w:cstheme="minorHAnsi"/>
          <w:b/>
          <w:bCs/>
          <w:sz w:val="28"/>
          <w:szCs w:val="28"/>
        </w:rPr>
      </w:pPr>
      <w:r w:rsidRPr="001D1700">
        <w:rPr>
          <w:rFonts w:asciiTheme="minorHAnsi" w:hAnsiTheme="minorHAnsi" w:cstheme="minorHAnsi"/>
          <w:b/>
          <w:bCs/>
          <w:sz w:val="28"/>
          <w:szCs w:val="28"/>
        </w:rPr>
        <w:t xml:space="preserve">Supporting Information </w:t>
      </w:r>
    </w:p>
    <w:p w14:paraId="1AFE4FD8" w14:textId="03B32FFE" w:rsidR="006B2AC6" w:rsidRPr="001D1700" w:rsidRDefault="009065E6" w:rsidP="00900D0C">
      <w:pPr>
        <w:rPr>
          <w:rFonts w:asciiTheme="minorHAnsi" w:hAnsiTheme="minorHAnsi" w:cstheme="minorHAnsi"/>
        </w:rPr>
      </w:pPr>
      <w:r w:rsidRPr="001D1700">
        <w:rPr>
          <w:rFonts w:asciiTheme="minorHAnsi" w:hAnsiTheme="minorHAnsi" w:cstheme="minorHAnsi"/>
        </w:rPr>
        <w:t>Passive and Discrete Sampling of Neonicotinoid Pesticides in Saginaw, Michigan (United States) and Implications for the Protection of Aquatic Life</w:t>
      </w:r>
    </w:p>
    <w:p w14:paraId="7FA4122F" w14:textId="77777777" w:rsidR="006028FA" w:rsidRPr="001D1700" w:rsidRDefault="006028FA" w:rsidP="00900D0C">
      <w:pPr>
        <w:rPr>
          <w:rFonts w:asciiTheme="minorHAnsi" w:hAnsiTheme="minorHAnsi" w:cstheme="minorHAnsi"/>
          <w:b/>
          <w:bCs/>
          <w:sz w:val="28"/>
          <w:szCs w:val="28"/>
        </w:rPr>
      </w:pPr>
    </w:p>
    <w:p w14:paraId="7BBCD795" w14:textId="2DCB6650" w:rsidR="00210FB1" w:rsidRPr="001D1700" w:rsidRDefault="00210FB1" w:rsidP="00210FB1">
      <w:pPr>
        <w:rPr>
          <w:rFonts w:asciiTheme="minorHAnsi" w:hAnsiTheme="minorHAnsi" w:cstheme="minorHAnsi"/>
        </w:rPr>
      </w:pPr>
      <w:r w:rsidRPr="001D1700">
        <w:rPr>
          <w:rFonts w:asciiTheme="minorHAnsi" w:hAnsiTheme="minorHAnsi" w:cstheme="minorHAnsi"/>
        </w:rPr>
        <w:t xml:space="preserve">Supplemental Table </w:t>
      </w:r>
      <w:r w:rsidR="00183CB9" w:rsidRPr="001D1700">
        <w:rPr>
          <w:rFonts w:asciiTheme="minorHAnsi" w:hAnsiTheme="minorHAnsi" w:cstheme="minorHAnsi"/>
        </w:rPr>
        <w:t>S</w:t>
      </w:r>
      <w:r w:rsidRPr="001D1700">
        <w:rPr>
          <w:rFonts w:asciiTheme="minorHAnsi" w:hAnsiTheme="minorHAnsi" w:cstheme="minorHAnsi"/>
        </w:rPr>
        <w:t xml:space="preserve">1. Site information including site code, river, site description and location data (latitude, longitude). </w:t>
      </w:r>
    </w:p>
    <w:p w14:paraId="16A76C56" w14:textId="77777777" w:rsidR="00210FB1" w:rsidRPr="001D1700" w:rsidRDefault="00210FB1" w:rsidP="00210FB1">
      <w:pPr>
        <w:pStyle w:val="Caption"/>
        <w:keepNext/>
        <w:rPr>
          <w:rFonts w:asciiTheme="minorHAnsi" w:hAnsiTheme="minorHAnsi" w:cstheme="minorHAnsi"/>
        </w:rPr>
      </w:pPr>
    </w:p>
    <w:tbl>
      <w:tblPr>
        <w:tblStyle w:val="TableGrid"/>
        <w:tblW w:w="4649" w:type="pct"/>
        <w:tblLook w:val="04A0" w:firstRow="1" w:lastRow="0" w:firstColumn="1" w:lastColumn="0" w:noHBand="0" w:noVBand="1"/>
      </w:tblPr>
      <w:tblGrid>
        <w:gridCol w:w="1220"/>
        <w:gridCol w:w="1763"/>
        <w:gridCol w:w="2772"/>
        <w:gridCol w:w="1440"/>
        <w:gridCol w:w="1499"/>
      </w:tblGrid>
      <w:tr w:rsidR="00210FB1" w:rsidRPr="001D1700" w14:paraId="6929459B" w14:textId="77777777" w:rsidTr="00210FB1">
        <w:trPr>
          <w:trHeight w:val="305"/>
        </w:trPr>
        <w:tc>
          <w:tcPr>
            <w:tcW w:w="701" w:type="pct"/>
            <w:shd w:val="clear" w:color="auto" w:fill="D9D9D9" w:themeFill="background1" w:themeFillShade="D9"/>
            <w:vAlign w:val="center"/>
          </w:tcPr>
          <w:p w14:paraId="3AEA0BDB" w14:textId="77777777" w:rsidR="00210FB1" w:rsidRPr="001D1700" w:rsidRDefault="00210FB1" w:rsidP="00FF13D1">
            <w:pPr>
              <w:jc w:val="center"/>
              <w:rPr>
                <w:rFonts w:asciiTheme="minorHAnsi" w:hAnsiTheme="minorHAnsi" w:cstheme="minorHAnsi"/>
                <w:b/>
                <w:bCs/>
              </w:rPr>
            </w:pPr>
            <w:r w:rsidRPr="001D1700">
              <w:rPr>
                <w:rFonts w:asciiTheme="minorHAnsi" w:hAnsiTheme="minorHAnsi" w:cstheme="minorHAnsi"/>
                <w:b/>
                <w:bCs/>
              </w:rPr>
              <w:t>Site Code</w:t>
            </w:r>
          </w:p>
        </w:tc>
        <w:tc>
          <w:tcPr>
            <w:tcW w:w="1014" w:type="pct"/>
            <w:shd w:val="clear" w:color="auto" w:fill="D9D9D9" w:themeFill="background1" w:themeFillShade="D9"/>
            <w:vAlign w:val="center"/>
          </w:tcPr>
          <w:p w14:paraId="3FD5B20A" w14:textId="77777777" w:rsidR="00210FB1" w:rsidRPr="001D1700" w:rsidRDefault="00210FB1" w:rsidP="00FF13D1">
            <w:pPr>
              <w:jc w:val="center"/>
              <w:rPr>
                <w:rFonts w:asciiTheme="minorHAnsi" w:hAnsiTheme="minorHAnsi" w:cstheme="minorHAnsi"/>
                <w:b/>
                <w:bCs/>
              </w:rPr>
            </w:pPr>
            <w:r w:rsidRPr="001D1700">
              <w:rPr>
                <w:rFonts w:asciiTheme="minorHAnsi" w:hAnsiTheme="minorHAnsi" w:cstheme="minorHAnsi"/>
                <w:b/>
                <w:bCs/>
              </w:rPr>
              <w:t>River</w:t>
            </w:r>
          </w:p>
        </w:tc>
        <w:tc>
          <w:tcPr>
            <w:tcW w:w="1594" w:type="pct"/>
            <w:shd w:val="clear" w:color="auto" w:fill="D9D9D9" w:themeFill="background1" w:themeFillShade="D9"/>
            <w:vAlign w:val="center"/>
          </w:tcPr>
          <w:p w14:paraId="041C0F8A" w14:textId="77777777" w:rsidR="00210FB1" w:rsidRPr="001D1700" w:rsidRDefault="00210FB1" w:rsidP="00FF13D1">
            <w:pPr>
              <w:jc w:val="center"/>
              <w:rPr>
                <w:rFonts w:asciiTheme="minorHAnsi" w:hAnsiTheme="minorHAnsi" w:cstheme="minorHAnsi"/>
                <w:b/>
                <w:bCs/>
              </w:rPr>
            </w:pPr>
            <w:r w:rsidRPr="001D1700">
              <w:rPr>
                <w:rFonts w:asciiTheme="minorHAnsi" w:hAnsiTheme="minorHAnsi" w:cstheme="minorHAnsi"/>
                <w:b/>
                <w:bCs/>
              </w:rPr>
              <w:t>Description</w:t>
            </w:r>
          </w:p>
        </w:tc>
        <w:tc>
          <w:tcPr>
            <w:tcW w:w="828" w:type="pct"/>
            <w:shd w:val="clear" w:color="auto" w:fill="D9D9D9" w:themeFill="background1" w:themeFillShade="D9"/>
            <w:vAlign w:val="center"/>
          </w:tcPr>
          <w:p w14:paraId="438CD5CF" w14:textId="77777777" w:rsidR="00210FB1" w:rsidRPr="001D1700" w:rsidRDefault="00210FB1" w:rsidP="00FF13D1">
            <w:pPr>
              <w:jc w:val="center"/>
              <w:rPr>
                <w:rFonts w:asciiTheme="minorHAnsi" w:hAnsiTheme="minorHAnsi" w:cstheme="minorHAnsi"/>
                <w:b/>
                <w:bCs/>
              </w:rPr>
            </w:pPr>
            <w:r w:rsidRPr="001D1700">
              <w:rPr>
                <w:rFonts w:asciiTheme="minorHAnsi" w:hAnsiTheme="minorHAnsi" w:cstheme="minorHAnsi"/>
                <w:b/>
                <w:bCs/>
              </w:rPr>
              <w:t>Latitude</w:t>
            </w:r>
          </w:p>
        </w:tc>
        <w:tc>
          <w:tcPr>
            <w:tcW w:w="862" w:type="pct"/>
            <w:shd w:val="clear" w:color="auto" w:fill="D9D9D9" w:themeFill="background1" w:themeFillShade="D9"/>
            <w:vAlign w:val="center"/>
          </w:tcPr>
          <w:p w14:paraId="0CF33447" w14:textId="77777777" w:rsidR="00210FB1" w:rsidRPr="001D1700" w:rsidRDefault="00210FB1" w:rsidP="00FF13D1">
            <w:pPr>
              <w:jc w:val="center"/>
              <w:rPr>
                <w:rFonts w:asciiTheme="minorHAnsi" w:hAnsiTheme="minorHAnsi" w:cstheme="minorHAnsi"/>
                <w:b/>
                <w:bCs/>
              </w:rPr>
            </w:pPr>
            <w:r w:rsidRPr="001D1700">
              <w:rPr>
                <w:rFonts w:asciiTheme="minorHAnsi" w:hAnsiTheme="minorHAnsi" w:cstheme="minorHAnsi"/>
                <w:b/>
                <w:bCs/>
              </w:rPr>
              <w:t>Longitude</w:t>
            </w:r>
          </w:p>
        </w:tc>
      </w:tr>
      <w:tr w:rsidR="00210FB1" w:rsidRPr="001D1700" w14:paraId="3CBD379B" w14:textId="77777777" w:rsidTr="00210FB1">
        <w:trPr>
          <w:trHeight w:val="233"/>
        </w:trPr>
        <w:tc>
          <w:tcPr>
            <w:tcW w:w="701" w:type="pct"/>
          </w:tcPr>
          <w:p w14:paraId="5B661BF6" w14:textId="77777777" w:rsidR="00210FB1" w:rsidRPr="001D1700" w:rsidRDefault="00210FB1" w:rsidP="00FF13D1">
            <w:pPr>
              <w:jc w:val="center"/>
              <w:rPr>
                <w:rFonts w:asciiTheme="minorHAnsi" w:hAnsiTheme="minorHAnsi" w:cstheme="minorHAnsi"/>
                <w:highlight w:val="yellow"/>
              </w:rPr>
            </w:pPr>
            <w:r w:rsidRPr="001D1700">
              <w:rPr>
                <w:rFonts w:asciiTheme="minorHAnsi" w:hAnsiTheme="minorHAnsi" w:cstheme="minorHAnsi"/>
              </w:rPr>
              <w:t>SG-0030</w:t>
            </w:r>
          </w:p>
        </w:tc>
        <w:tc>
          <w:tcPr>
            <w:tcW w:w="1014" w:type="pct"/>
          </w:tcPr>
          <w:p w14:paraId="774B8800" w14:textId="77777777" w:rsidR="00210FB1" w:rsidRPr="001D1700" w:rsidRDefault="00210FB1" w:rsidP="00FF13D1">
            <w:pPr>
              <w:jc w:val="center"/>
              <w:rPr>
                <w:rFonts w:asciiTheme="minorHAnsi" w:hAnsiTheme="minorHAnsi" w:cstheme="minorHAnsi"/>
                <w:highlight w:val="yellow"/>
              </w:rPr>
            </w:pPr>
            <w:r w:rsidRPr="001D1700">
              <w:rPr>
                <w:rFonts w:asciiTheme="minorHAnsi" w:hAnsiTheme="minorHAnsi" w:cstheme="minorHAnsi"/>
              </w:rPr>
              <w:t>Saginaw</w:t>
            </w:r>
          </w:p>
        </w:tc>
        <w:tc>
          <w:tcPr>
            <w:tcW w:w="1594" w:type="pct"/>
          </w:tcPr>
          <w:p w14:paraId="27AD6DD3" w14:textId="77777777" w:rsidR="00210FB1" w:rsidRPr="001D1700" w:rsidRDefault="00210FB1" w:rsidP="00FF13D1">
            <w:pPr>
              <w:jc w:val="center"/>
              <w:rPr>
                <w:rFonts w:asciiTheme="minorHAnsi" w:hAnsiTheme="minorHAnsi" w:cstheme="minorHAnsi"/>
                <w:highlight w:val="yellow"/>
              </w:rPr>
            </w:pPr>
            <w:r w:rsidRPr="001D1700">
              <w:rPr>
                <w:rFonts w:asciiTheme="minorHAnsi" w:hAnsiTheme="minorHAnsi" w:cstheme="minorHAnsi"/>
              </w:rPr>
              <w:t>At Saginaw Southern Railway</w:t>
            </w:r>
          </w:p>
        </w:tc>
        <w:tc>
          <w:tcPr>
            <w:tcW w:w="828" w:type="pct"/>
          </w:tcPr>
          <w:p w14:paraId="435AFB03" w14:textId="77777777" w:rsidR="00210FB1" w:rsidRPr="001D1700" w:rsidRDefault="00210FB1" w:rsidP="00FF13D1">
            <w:pPr>
              <w:jc w:val="center"/>
              <w:rPr>
                <w:rFonts w:asciiTheme="minorHAnsi" w:hAnsiTheme="minorHAnsi" w:cstheme="minorHAnsi"/>
                <w:highlight w:val="yellow"/>
              </w:rPr>
            </w:pPr>
            <w:r w:rsidRPr="001D1700">
              <w:rPr>
                <w:rFonts w:asciiTheme="minorHAnsi" w:hAnsiTheme="minorHAnsi" w:cstheme="minorHAnsi"/>
              </w:rPr>
              <w:t>43.614319</w:t>
            </w:r>
          </w:p>
        </w:tc>
        <w:tc>
          <w:tcPr>
            <w:tcW w:w="862" w:type="pct"/>
          </w:tcPr>
          <w:p w14:paraId="145C873F" w14:textId="77777777" w:rsidR="00210FB1" w:rsidRPr="001D1700" w:rsidRDefault="00210FB1" w:rsidP="00FF13D1">
            <w:pPr>
              <w:jc w:val="center"/>
              <w:rPr>
                <w:rFonts w:asciiTheme="minorHAnsi" w:hAnsiTheme="minorHAnsi" w:cstheme="minorHAnsi"/>
                <w:highlight w:val="yellow"/>
              </w:rPr>
            </w:pPr>
            <w:r w:rsidRPr="001D1700">
              <w:rPr>
                <w:rFonts w:asciiTheme="minorHAnsi" w:hAnsiTheme="minorHAnsi" w:cstheme="minorHAnsi"/>
              </w:rPr>
              <w:t>-83.857387</w:t>
            </w:r>
          </w:p>
        </w:tc>
      </w:tr>
      <w:tr w:rsidR="00210FB1" w:rsidRPr="001D1700" w14:paraId="0B4F1E4B" w14:textId="77777777" w:rsidTr="00210FB1">
        <w:trPr>
          <w:trHeight w:val="242"/>
        </w:trPr>
        <w:tc>
          <w:tcPr>
            <w:tcW w:w="701" w:type="pct"/>
          </w:tcPr>
          <w:p w14:paraId="3BFAE5DE"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SG-0040</w:t>
            </w:r>
          </w:p>
        </w:tc>
        <w:tc>
          <w:tcPr>
            <w:tcW w:w="1014" w:type="pct"/>
          </w:tcPr>
          <w:p w14:paraId="235146B9"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Saginaw</w:t>
            </w:r>
          </w:p>
        </w:tc>
        <w:tc>
          <w:tcPr>
            <w:tcW w:w="1594" w:type="pct"/>
          </w:tcPr>
          <w:p w14:paraId="0012EF38"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At Independence Bridge (Golson Boat Launch)</w:t>
            </w:r>
          </w:p>
        </w:tc>
        <w:tc>
          <w:tcPr>
            <w:tcW w:w="828" w:type="pct"/>
          </w:tcPr>
          <w:p w14:paraId="716FD9CF"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43.613099</w:t>
            </w:r>
          </w:p>
        </w:tc>
        <w:tc>
          <w:tcPr>
            <w:tcW w:w="862" w:type="pct"/>
          </w:tcPr>
          <w:p w14:paraId="6B03C951"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-83.872678</w:t>
            </w:r>
          </w:p>
        </w:tc>
      </w:tr>
      <w:tr w:rsidR="00210FB1" w:rsidRPr="001D1700" w14:paraId="5319BA61" w14:textId="77777777" w:rsidTr="00210FB1">
        <w:trPr>
          <w:trHeight w:val="259"/>
        </w:trPr>
        <w:tc>
          <w:tcPr>
            <w:tcW w:w="701" w:type="pct"/>
          </w:tcPr>
          <w:p w14:paraId="2B271B3F"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SG-0052a</w:t>
            </w:r>
          </w:p>
        </w:tc>
        <w:tc>
          <w:tcPr>
            <w:tcW w:w="1014" w:type="pct"/>
          </w:tcPr>
          <w:p w14:paraId="164CFCA8"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Saginaw</w:t>
            </w:r>
          </w:p>
        </w:tc>
        <w:tc>
          <w:tcPr>
            <w:tcW w:w="1594" w:type="pct"/>
          </w:tcPr>
          <w:p w14:paraId="2285786C"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d/s Middle Ground Island</w:t>
            </w:r>
          </w:p>
        </w:tc>
        <w:tc>
          <w:tcPr>
            <w:tcW w:w="828" w:type="pct"/>
          </w:tcPr>
          <w:p w14:paraId="75699455"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43.584924</w:t>
            </w:r>
          </w:p>
        </w:tc>
        <w:tc>
          <w:tcPr>
            <w:tcW w:w="862" w:type="pct"/>
          </w:tcPr>
          <w:p w14:paraId="6E6C7D8F" w14:textId="77777777" w:rsidR="00210FB1" w:rsidRPr="001D1700" w:rsidRDefault="00210FB1" w:rsidP="00FF13D1">
            <w:pPr>
              <w:jc w:val="center"/>
              <w:rPr>
                <w:rFonts w:asciiTheme="minorHAnsi" w:hAnsiTheme="minorHAnsi" w:cstheme="minorHAnsi"/>
                <w:highlight w:val="yellow"/>
              </w:rPr>
            </w:pPr>
            <w:r w:rsidRPr="001D1700">
              <w:rPr>
                <w:rFonts w:asciiTheme="minorHAnsi" w:hAnsiTheme="minorHAnsi" w:cstheme="minorHAnsi"/>
              </w:rPr>
              <w:t>-83.899923</w:t>
            </w:r>
          </w:p>
        </w:tc>
      </w:tr>
      <w:tr w:rsidR="00210FB1" w:rsidRPr="001D1700" w14:paraId="5A853A49" w14:textId="77777777" w:rsidTr="00210FB1">
        <w:trPr>
          <w:trHeight w:val="244"/>
        </w:trPr>
        <w:tc>
          <w:tcPr>
            <w:tcW w:w="701" w:type="pct"/>
          </w:tcPr>
          <w:p w14:paraId="08734F5B"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SG-0059</w:t>
            </w:r>
          </w:p>
        </w:tc>
        <w:tc>
          <w:tcPr>
            <w:tcW w:w="1014" w:type="pct"/>
          </w:tcPr>
          <w:p w14:paraId="4AB80364"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Saginaw</w:t>
            </w:r>
          </w:p>
        </w:tc>
        <w:tc>
          <w:tcPr>
            <w:tcW w:w="1594" w:type="pct"/>
          </w:tcPr>
          <w:p w14:paraId="1066E90D"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d/s Dutch Creek</w:t>
            </w:r>
          </w:p>
        </w:tc>
        <w:tc>
          <w:tcPr>
            <w:tcW w:w="828" w:type="pct"/>
          </w:tcPr>
          <w:p w14:paraId="57074368"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43.564886</w:t>
            </w:r>
          </w:p>
        </w:tc>
        <w:tc>
          <w:tcPr>
            <w:tcW w:w="862" w:type="pct"/>
          </w:tcPr>
          <w:p w14:paraId="4CB1C2A6"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-83.909150</w:t>
            </w:r>
          </w:p>
        </w:tc>
      </w:tr>
      <w:tr w:rsidR="00210FB1" w:rsidRPr="001D1700" w14:paraId="5AC0AD06" w14:textId="77777777" w:rsidTr="00210FB1">
        <w:trPr>
          <w:trHeight w:val="259"/>
        </w:trPr>
        <w:tc>
          <w:tcPr>
            <w:tcW w:w="701" w:type="pct"/>
          </w:tcPr>
          <w:p w14:paraId="3312B9F6"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SG-0070</w:t>
            </w:r>
          </w:p>
        </w:tc>
        <w:tc>
          <w:tcPr>
            <w:tcW w:w="1014" w:type="pct"/>
          </w:tcPr>
          <w:p w14:paraId="7074D8F2"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Saginaw</w:t>
            </w:r>
          </w:p>
        </w:tc>
        <w:tc>
          <w:tcPr>
            <w:tcW w:w="1594" w:type="pct"/>
          </w:tcPr>
          <w:p w14:paraId="4DB3C029"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 xml:space="preserve">At </w:t>
            </w:r>
            <w:proofErr w:type="spellStart"/>
            <w:r w:rsidRPr="001D1700">
              <w:rPr>
                <w:rFonts w:asciiTheme="minorHAnsi" w:hAnsiTheme="minorHAnsi" w:cstheme="minorHAnsi"/>
              </w:rPr>
              <w:t>Zilwaukee</w:t>
            </w:r>
            <w:proofErr w:type="spellEnd"/>
            <w:r w:rsidRPr="001D1700">
              <w:rPr>
                <w:rFonts w:asciiTheme="minorHAnsi" w:hAnsiTheme="minorHAnsi" w:cstheme="minorHAnsi"/>
              </w:rPr>
              <w:t xml:space="preserve"> Bridge</w:t>
            </w:r>
          </w:p>
        </w:tc>
        <w:tc>
          <w:tcPr>
            <w:tcW w:w="828" w:type="pct"/>
          </w:tcPr>
          <w:p w14:paraId="03DFD5AA"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43.482222</w:t>
            </w:r>
          </w:p>
        </w:tc>
        <w:tc>
          <w:tcPr>
            <w:tcW w:w="862" w:type="pct"/>
          </w:tcPr>
          <w:p w14:paraId="3D149C65"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-83.912853</w:t>
            </w:r>
          </w:p>
        </w:tc>
      </w:tr>
      <w:tr w:rsidR="00210FB1" w:rsidRPr="001D1700" w14:paraId="636C7FF2" w14:textId="77777777" w:rsidTr="00210FB1">
        <w:trPr>
          <w:trHeight w:val="259"/>
        </w:trPr>
        <w:tc>
          <w:tcPr>
            <w:tcW w:w="701" w:type="pct"/>
          </w:tcPr>
          <w:p w14:paraId="117E1919"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DC-0010</w:t>
            </w:r>
          </w:p>
        </w:tc>
        <w:tc>
          <w:tcPr>
            <w:tcW w:w="1014" w:type="pct"/>
          </w:tcPr>
          <w:p w14:paraId="2D95926C"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Dutch Creek</w:t>
            </w:r>
          </w:p>
        </w:tc>
        <w:tc>
          <w:tcPr>
            <w:tcW w:w="1594" w:type="pct"/>
          </w:tcPr>
          <w:p w14:paraId="5E1F17DE"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At Ziegler Rd.</w:t>
            </w:r>
          </w:p>
        </w:tc>
        <w:tc>
          <w:tcPr>
            <w:tcW w:w="828" w:type="pct"/>
          </w:tcPr>
          <w:p w14:paraId="69E3894C"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43.563786</w:t>
            </w:r>
          </w:p>
        </w:tc>
        <w:tc>
          <w:tcPr>
            <w:tcW w:w="862" w:type="pct"/>
          </w:tcPr>
          <w:p w14:paraId="591706CB"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-83.940854</w:t>
            </w:r>
          </w:p>
        </w:tc>
      </w:tr>
      <w:tr w:rsidR="00210FB1" w:rsidRPr="001D1700" w14:paraId="2B9B7E07" w14:textId="77777777" w:rsidTr="00210FB1">
        <w:trPr>
          <w:trHeight w:val="244"/>
        </w:trPr>
        <w:tc>
          <w:tcPr>
            <w:tcW w:w="701" w:type="pct"/>
          </w:tcPr>
          <w:p w14:paraId="359D4B9C"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SG-0110</w:t>
            </w:r>
          </w:p>
        </w:tc>
        <w:tc>
          <w:tcPr>
            <w:tcW w:w="1014" w:type="pct"/>
          </w:tcPr>
          <w:p w14:paraId="6E6A5EFC"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Saginaw</w:t>
            </w:r>
          </w:p>
        </w:tc>
        <w:tc>
          <w:tcPr>
            <w:tcW w:w="1594" w:type="pct"/>
          </w:tcPr>
          <w:p w14:paraId="01CAD60C"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W Center St</w:t>
            </w:r>
          </w:p>
        </w:tc>
        <w:tc>
          <w:tcPr>
            <w:tcW w:w="828" w:type="pct"/>
          </w:tcPr>
          <w:p w14:paraId="5D823E6F"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 xml:space="preserve">43.401518 </w:t>
            </w:r>
          </w:p>
        </w:tc>
        <w:tc>
          <w:tcPr>
            <w:tcW w:w="862" w:type="pct"/>
          </w:tcPr>
          <w:p w14:paraId="68A20B61"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-83.965935</w:t>
            </w:r>
          </w:p>
        </w:tc>
      </w:tr>
      <w:tr w:rsidR="00210FB1" w:rsidRPr="001D1700" w14:paraId="7CCA595C" w14:textId="77777777" w:rsidTr="00210FB1">
        <w:trPr>
          <w:trHeight w:val="259"/>
        </w:trPr>
        <w:tc>
          <w:tcPr>
            <w:tcW w:w="701" w:type="pct"/>
          </w:tcPr>
          <w:p w14:paraId="07C19BCC"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TW-0010</w:t>
            </w:r>
          </w:p>
        </w:tc>
        <w:tc>
          <w:tcPr>
            <w:tcW w:w="1014" w:type="pct"/>
          </w:tcPr>
          <w:p w14:paraId="2982A1A0"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Tittabawassee</w:t>
            </w:r>
          </w:p>
        </w:tc>
        <w:tc>
          <w:tcPr>
            <w:tcW w:w="1594" w:type="pct"/>
          </w:tcPr>
          <w:p w14:paraId="137F39AA"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S. Center Rd</w:t>
            </w:r>
          </w:p>
        </w:tc>
        <w:tc>
          <w:tcPr>
            <w:tcW w:w="828" w:type="pct"/>
          </w:tcPr>
          <w:p w14:paraId="12D3EDA0"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43.393165</w:t>
            </w:r>
          </w:p>
        </w:tc>
        <w:tc>
          <w:tcPr>
            <w:tcW w:w="862" w:type="pct"/>
          </w:tcPr>
          <w:p w14:paraId="674FD5CF"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-84.013690</w:t>
            </w:r>
          </w:p>
        </w:tc>
      </w:tr>
      <w:tr w:rsidR="00210FB1" w:rsidRPr="001D1700" w14:paraId="409DAB9B" w14:textId="77777777" w:rsidTr="00210FB1">
        <w:trPr>
          <w:trHeight w:val="259"/>
        </w:trPr>
        <w:tc>
          <w:tcPr>
            <w:tcW w:w="701" w:type="pct"/>
          </w:tcPr>
          <w:p w14:paraId="345605C5"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CR-0010</w:t>
            </w:r>
          </w:p>
        </w:tc>
        <w:tc>
          <w:tcPr>
            <w:tcW w:w="1014" w:type="pct"/>
          </w:tcPr>
          <w:p w14:paraId="63283067"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Cass</w:t>
            </w:r>
          </w:p>
        </w:tc>
        <w:tc>
          <w:tcPr>
            <w:tcW w:w="1594" w:type="pct"/>
          </w:tcPr>
          <w:p w14:paraId="17D5D775"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E. Rd</w:t>
            </w:r>
          </w:p>
        </w:tc>
        <w:tc>
          <w:tcPr>
            <w:tcW w:w="828" w:type="pct"/>
          </w:tcPr>
          <w:p w14:paraId="01B75689"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43.364739</w:t>
            </w:r>
          </w:p>
        </w:tc>
        <w:tc>
          <w:tcPr>
            <w:tcW w:w="862" w:type="pct"/>
          </w:tcPr>
          <w:p w14:paraId="717F6DA1"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-83.955111</w:t>
            </w:r>
          </w:p>
        </w:tc>
      </w:tr>
      <w:tr w:rsidR="00210FB1" w:rsidRPr="001D1700" w14:paraId="5B9A4DBB" w14:textId="77777777" w:rsidTr="00210FB1">
        <w:trPr>
          <w:trHeight w:val="259"/>
        </w:trPr>
        <w:tc>
          <w:tcPr>
            <w:tcW w:w="701" w:type="pct"/>
          </w:tcPr>
          <w:p w14:paraId="0B8EBAB4"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FR-0015</w:t>
            </w:r>
          </w:p>
        </w:tc>
        <w:tc>
          <w:tcPr>
            <w:tcW w:w="1014" w:type="pct"/>
          </w:tcPr>
          <w:p w14:paraId="7D9D3A5E"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Flint near mouth</w:t>
            </w:r>
          </w:p>
        </w:tc>
        <w:tc>
          <w:tcPr>
            <w:tcW w:w="1594" w:type="pct"/>
          </w:tcPr>
          <w:p w14:paraId="13D52415"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E. Rd</w:t>
            </w:r>
          </w:p>
        </w:tc>
        <w:tc>
          <w:tcPr>
            <w:tcW w:w="828" w:type="pct"/>
          </w:tcPr>
          <w:p w14:paraId="72D5FDE3"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43.308829</w:t>
            </w:r>
          </w:p>
        </w:tc>
        <w:tc>
          <w:tcPr>
            <w:tcW w:w="862" w:type="pct"/>
          </w:tcPr>
          <w:p w14:paraId="1679D984"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-83.953895</w:t>
            </w:r>
          </w:p>
        </w:tc>
      </w:tr>
      <w:tr w:rsidR="00210FB1" w:rsidRPr="001D1700" w14:paraId="43366733" w14:textId="77777777" w:rsidTr="00210FB1">
        <w:trPr>
          <w:trHeight w:val="259"/>
        </w:trPr>
        <w:tc>
          <w:tcPr>
            <w:tcW w:w="701" w:type="pct"/>
          </w:tcPr>
          <w:p w14:paraId="558A052D"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BD-0110</w:t>
            </w:r>
          </w:p>
        </w:tc>
        <w:tc>
          <w:tcPr>
            <w:tcW w:w="1014" w:type="pct"/>
          </w:tcPr>
          <w:p w14:paraId="2AF57673"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Bad River</w:t>
            </w:r>
          </w:p>
        </w:tc>
        <w:tc>
          <w:tcPr>
            <w:tcW w:w="1594" w:type="pct"/>
          </w:tcPr>
          <w:p w14:paraId="25CDF138"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At St. Charles/ Lumberman’s Park and Saginaw Valley Rail Trail</w:t>
            </w:r>
          </w:p>
        </w:tc>
        <w:tc>
          <w:tcPr>
            <w:tcW w:w="828" w:type="pct"/>
          </w:tcPr>
          <w:p w14:paraId="68ABCA35"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43.300439</w:t>
            </w:r>
          </w:p>
        </w:tc>
        <w:tc>
          <w:tcPr>
            <w:tcW w:w="862" w:type="pct"/>
          </w:tcPr>
          <w:p w14:paraId="21793D6E" w14:textId="77777777" w:rsidR="00210FB1" w:rsidRPr="001D1700" w:rsidRDefault="00210FB1" w:rsidP="00FF13D1">
            <w:pPr>
              <w:jc w:val="center"/>
              <w:rPr>
                <w:rFonts w:asciiTheme="minorHAnsi" w:hAnsiTheme="minorHAnsi" w:cstheme="minorHAnsi"/>
              </w:rPr>
            </w:pPr>
            <w:r w:rsidRPr="001D1700">
              <w:rPr>
                <w:rFonts w:asciiTheme="minorHAnsi" w:hAnsiTheme="minorHAnsi" w:cstheme="minorHAnsi"/>
              </w:rPr>
              <w:t>-84.137436</w:t>
            </w:r>
          </w:p>
        </w:tc>
      </w:tr>
      <w:tr w:rsidR="00210FB1" w:rsidRPr="001D1700" w14:paraId="0DC01073" w14:textId="77777777" w:rsidTr="00210FB1">
        <w:trPr>
          <w:trHeight w:val="305"/>
        </w:trPr>
        <w:tc>
          <w:tcPr>
            <w:tcW w:w="701" w:type="pct"/>
          </w:tcPr>
          <w:p w14:paraId="428A2946"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SW-0010</w:t>
            </w:r>
          </w:p>
        </w:tc>
        <w:tc>
          <w:tcPr>
            <w:tcW w:w="1014" w:type="pct"/>
          </w:tcPr>
          <w:p w14:paraId="495E2DBB"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Shiawassee</w:t>
            </w:r>
          </w:p>
        </w:tc>
        <w:tc>
          <w:tcPr>
            <w:tcW w:w="1594" w:type="pct"/>
          </w:tcPr>
          <w:p w14:paraId="3D0D4DD4" w14:textId="77777777" w:rsidR="00210FB1" w:rsidRPr="001D1700" w:rsidRDefault="00210FB1" w:rsidP="00FF13D1">
            <w:pPr>
              <w:jc w:val="center"/>
              <w:rPr>
                <w:rFonts w:asciiTheme="minorHAnsi" w:eastAsia="Calibri" w:hAnsiTheme="minorHAnsi" w:cstheme="minorHAnsi"/>
              </w:rPr>
            </w:pPr>
            <w:r w:rsidRPr="001D1700">
              <w:rPr>
                <w:rFonts w:asciiTheme="minorHAnsi" w:hAnsiTheme="minorHAnsi" w:cstheme="minorHAnsi"/>
              </w:rPr>
              <w:t>Fergus Rd</w:t>
            </w:r>
          </w:p>
        </w:tc>
        <w:tc>
          <w:tcPr>
            <w:tcW w:w="828" w:type="pct"/>
          </w:tcPr>
          <w:p w14:paraId="426F9143" w14:textId="77777777" w:rsidR="00210FB1" w:rsidRPr="001D1700" w:rsidRDefault="00210FB1" w:rsidP="00FF13D1">
            <w:pPr>
              <w:pStyle w:val="Heading2"/>
              <w:jc w:val="center"/>
              <w:rPr>
                <w:rFonts w:asciiTheme="minorHAnsi" w:hAnsiTheme="minorHAnsi" w:cstheme="minorHAnsi"/>
                <w:color w:val="auto"/>
                <w:sz w:val="24"/>
                <w:szCs w:val="24"/>
              </w:rPr>
            </w:pPr>
            <w:r w:rsidRPr="001D1700">
              <w:rPr>
                <w:rFonts w:asciiTheme="minorHAnsi" w:hAnsiTheme="minorHAnsi" w:cstheme="minorHAnsi"/>
                <w:color w:val="auto"/>
                <w:sz w:val="24"/>
                <w:szCs w:val="24"/>
              </w:rPr>
              <w:t>43.254970</w:t>
            </w:r>
          </w:p>
        </w:tc>
        <w:tc>
          <w:tcPr>
            <w:tcW w:w="862" w:type="pct"/>
          </w:tcPr>
          <w:p w14:paraId="4D24899C" w14:textId="77777777" w:rsidR="00210FB1" w:rsidRPr="001D1700" w:rsidRDefault="00210FB1" w:rsidP="00FF13D1">
            <w:pPr>
              <w:pStyle w:val="Heading2"/>
              <w:jc w:val="center"/>
              <w:rPr>
                <w:rFonts w:asciiTheme="minorHAnsi" w:hAnsiTheme="minorHAnsi" w:cstheme="minorHAnsi"/>
                <w:color w:val="auto"/>
                <w:sz w:val="24"/>
                <w:szCs w:val="24"/>
              </w:rPr>
            </w:pPr>
            <w:r w:rsidRPr="001D1700">
              <w:rPr>
                <w:rFonts w:asciiTheme="minorHAnsi" w:hAnsiTheme="minorHAnsi" w:cstheme="minorHAnsi"/>
                <w:color w:val="auto"/>
                <w:sz w:val="24"/>
                <w:szCs w:val="24"/>
              </w:rPr>
              <w:t>-84.104536</w:t>
            </w:r>
          </w:p>
        </w:tc>
      </w:tr>
      <w:tr w:rsidR="00210FB1" w:rsidRPr="001D1700" w14:paraId="417E98FF" w14:textId="77777777" w:rsidTr="00210FB1">
        <w:trPr>
          <w:trHeight w:val="305"/>
        </w:trPr>
        <w:tc>
          <w:tcPr>
            <w:tcW w:w="701" w:type="pct"/>
          </w:tcPr>
          <w:p w14:paraId="6D1E5D04"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PR-0010</w:t>
            </w:r>
          </w:p>
        </w:tc>
        <w:tc>
          <w:tcPr>
            <w:tcW w:w="1014" w:type="pct"/>
          </w:tcPr>
          <w:p w14:paraId="40E35EFC"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Pine</w:t>
            </w:r>
          </w:p>
        </w:tc>
        <w:tc>
          <w:tcPr>
            <w:tcW w:w="1594" w:type="pct"/>
          </w:tcPr>
          <w:p w14:paraId="6DBFBF30"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E. Pine River Rd</w:t>
            </w:r>
          </w:p>
        </w:tc>
        <w:tc>
          <w:tcPr>
            <w:tcW w:w="828" w:type="pct"/>
          </w:tcPr>
          <w:p w14:paraId="701685E0" w14:textId="77777777" w:rsidR="00210FB1" w:rsidRPr="001D1700" w:rsidRDefault="00210FB1" w:rsidP="00FF13D1">
            <w:pPr>
              <w:pStyle w:val="Heading2"/>
              <w:jc w:val="center"/>
              <w:rPr>
                <w:rFonts w:asciiTheme="minorHAnsi" w:hAnsiTheme="minorHAnsi" w:cstheme="minorHAnsi"/>
                <w:color w:val="auto"/>
                <w:sz w:val="24"/>
                <w:szCs w:val="24"/>
              </w:rPr>
            </w:pPr>
            <w:r w:rsidRPr="001D1700">
              <w:rPr>
                <w:rFonts w:asciiTheme="minorHAnsi" w:hAnsiTheme="minorHAnsi" w:cstheme="minorHAnsi"/>
                <w:color w:val="auto"/>
                <w:sz w:val="24"/>
                <w:szCs w:val="24"/>
              </w:rPr>
              <w:t>43.597297</w:t>
            </w:r>
          </w:p>
        </w:tc>
        <w:tc>
          <w:tcPr>
            <w:tcW w:w="862" w:type="pct"/>
          </w:tcPr>
          <w:p w14:paraId="2B1AE2E1" w14:textId="77777777" w:rsidR="00210FB1" w:rsidRPr="001D1700" w:rsidRDefault="00210FB1" w:rsidP="00FF13D1">
            <w:pPr>
              <w:pStyle w:val="Heading2"/>
              <w:jc w:val="center"/>
              <w:rPr>
                <w:rFonts w:asciiTheme="minorHAnsi" w:hAnsiTheme="minorHAnsi" w:cstheme="minorHAnsi"/>
                <w:color w:val="auto"/>
                <w:sz w:val="24"/>
                <w:szCs w:val="24"/>
              </w:rPr>
            </w:pPr>
            <w:r w:rsidRPr="001D1700">
              <w:rPr>
                <w:rFonts w:asciiTheme="minorHAnsi" w:hAnsiTheme="minorHAnsi" w:cstheme="minorHAnsi"/>
                <w:color w:val="auto"/>
                <w:sz w:val="24"/>
                <w:szCs w:val="24"/>
              </w:rPr>
              <w:t>-84.302928</w:t>
            </w:r>
          </w:p>
        </w:tc>
      </w:tr>
      <w:tr w:rsidR="00210FB1" w:rsidRPr="001D1700" w14:paraId="1717679F" w14:textId="77777777" w:rsidTr="00210FB1">
        <w:trPr>
          <w:trHeight w:val="305"/>
        </w:trPr>
        <w:tc>
          <w:tcPr>
            <w:tcW w:w="701" w:type="pct"/>
          </w:tcPr>
          <w:p w14:paraId="5A2AF331"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CP-0020</w:t>
            </w:r>
          </w:p>
        </w:tc>
        <w:tc>
          <w:tcPr>
            <w:tcW w:w="1014" w:type="pct"/>
          </w:tcPr>
          <w:p w14:paraId="3CC08335" w14:textId="77777777" w:rsidR="00210FB1" w:rsidRPr="001D1700" w:rsidRDefault="00210FB1" w:rsidP="00FF13D1">
            <w:pPr>
              <w:jc w:val="center"/>
              <w:rPr>
                <w:rFonts w:asciiTheme="minorHAnsi" w:eastAsiaTheme="minorEastAsia" w:hAnsiTheme="minorHAnsi" w:cstheme="minorHAnsi"/>
              </w:rPr>
            </w:pPr>
            <w:r w:rsidRPr="001D1700">
              <w:rPr>
                <w:rFonts w:asciiTheme="minorHAnsi" w:hAnsiTheme="minorHAnsi" w:cstheme="minorHAnsi"/>
              </w:rPr>
              <w:t>Chippewa</w:t>
            </w:r>
          </w:p>
        </w:tc>
        <w:tc>
          <w:tcPr>
            <w:tcW w:w="1594" w:type="pct"/>
          </w:tcPr>
          <w:p w14:paraId="40764B04" w14:textId="77777777" w:rsidR="00210FB1" w:rsidRPr="001D1700" w:rsidRDefault="00210FB1" w:rsidP="00FF13D1">
            <w:pPr>
              <w:jc w:val="center"/>
              <w:rPr>
                <w:rFonts w:asciiTheme="minorHAnsi" w:eastAsia="Calibri" w:hAnsiTheme="minorHAnsi" w:cstheme="minorHAnsi"/>
              </w:rPr>
            </w:pPr>
            <w:r w:rsidRPr="001D1700">
              <w:rPr>
                <w:rFonts w:asciiTheme="minorHAnsi" w:hAnsiTheme="minorHAnsi" w:cstheme="minorHAnsi"/>
              </w:rPr>
              <w:t>E. Chippewa R. Rd.</w:t>
            </w:r>
          </w:p>
        </w:tc>
        <w:tc>
          <w:tcPr>
            <w:tcW w:w="828" w:type="pct"/>
          </w:tcPr>
          <w:p w14:paraId="1528AC3A" w14:textId="77777777" w:rsidR="00210FB1" w:rsidRPr="001D1700" w:rsidRDefault="00210FB1" w:rsidP="00FF13D1">
            <w:pPr>
              <w:pStyle w:val="Heading2"/>
              <w:jc w:val="center"/>
              <w:rPr>
                <w:rFonts w:asciiTheme="minorHAnsi" w:hAnsiTheme="minorHAnsi" w:cstheme="minorHAnsi"/>
                <w:color w:val="auto"/>
                <w:sz w:val="24"/>
                <w:szCs w:val="24"/>
              </w:rPr>
            </w:pPr>
            <w:r w:rsidRPr="001D1700">
              <w:rPr>
                <w:rFonts w:asciiTheme="minorHAnsi" w:hAnsiTheme="minorHAnsi" w:cstheme="minorHAnsi"/>
                <w:color w:val="auto"/>
                <w:sz w:val="24"/>
                <w:szCs w:val="24"/>
              </w:rPr>
              <w:t>43.60696</w:t>
            </w:r>
          </w:p>
        </w:tc>
        <w:tc>
          <w:tcPr>
            <w:tcW w:w="862" w:type="pct"/>
          </w:tcPr>
          <w:p w14:paraId="5463E364" w14:textId="77777777" w:rsidR="00210FB1" w:rsidRPr="001D1700" w:rsidRDefault="00210FB1" w:rsidP="00FF13D1">
            <w:pPr>
              <w:pStyle w:val="Heading2"/>
              <w:jc w:val="center"/>
              <w:rPr>
                <w:rFonts w:asciiTheme="minorHAnsi" w:hAnsiTheme="minorHAnsi" w:cstheme="minorHAnsi"/>
                <w:color w:val="auto"/>
                <w:sz w:val="24"/>
                <w:szCs w:val="24"/>
              </w:rPr>
            </w:pPr>
            <w:r w:rsidRPr="001D1700">
              <w:rPr>
                <w:rFonts w:asciiTheme="minorHAnsi" w:hAnsiTheme="minorHAnsi" w:cstheme="minorHAnsi"/>
                <w:color w:val="auto"/>
                <w:sz w:val="24"/>
                <w:szCs w:val="24"/>
              </w:rPr>
              <w:t>-84.30929</w:t>
            </w:r>
          </w:p>
        </w:tc>
      </w:tr>
    </w:tbl>
    <w:p w14:paraId="3081498C" w14:textId="77777777" w:rsidR="00EF0539" w:rsidRPr="008D5C56" w:rsidRDefault="00EF0539" w:rsidP="00900D0C">
      <w:pPr>
        <w:rPr>
          <w:rFonts w:cstheme="minorHAnsi"/>
        </w:rPr>
      </w:pPr>
    </w:p>
    <w:p w14:paraId="771BB9FA" w14:textId="77777777" w:rsidR="002B46A0" w:rsidRPr="008D5C56" w:rsidRDefault="002B46A0">
      <w:pPr>
        <w:rPr>
          <w:rFonts w:cstheme="minorHAnsi"/>
          <w:sz w:val="28"/>
          <w:szCs w:val="28"/>
        </w:rPr>
      </w:pPr>
      <w:r w:rsidRPr="008D5C56">
        <w:rPr>
          <w:rFonts w:cstheme="minorHAnsi"/>
          <w:sz w:val="28"/>
          <w:szCs w:val="28"/>
        </w:rPr>
        <w:br w:type="page"/>
      </w:r>
    </w:p>
    <w:p w14:paraId="76912257" w14:textId="27D3EFAE" w:rsidR="00691D1E" w:rsidRDefault="00183CB9" w:rsidP="00183CB9">
      <w:pPr>
        <w:rPr>
          <w:rFonts w:asciiTheme="minorHAnsi" w:hAnsiTheme="minorHAnsi" w:cstheme="minorHAnsi"/>
        </w:rPr>
      </w:pPr>
      <w:r w:rsidRPr="001D1700">
        <w:rPr>
          <w:rFonts w:asciiTheme="minorHAnsi" w:hAnsiTheme="minorHAnsi" w:cstheme="minorHAnsi"/>
        </w:rPr>
        <w:lastRenderedPageBreak/>
        <w:t>Supplemental Table S</w:t>
      </w:r>
      <w:r w:rsidR="00832445" w:rsidRPr="001D1700">
        <w:rPr>
          <w:rFonts w:asciiTheme="minorHAnsi" w:hAnsiTheme="minorHAnsi" w:cstheme="minorHAnsi"/>
        </w:rPr>
        <w:t>2</w:t>
      </w:r>
      <w:r w:rsidRPr="001D1700">
        <w:rPr>
          <w:rFonts w:asciiTheme="minorHAnsi" w:hAnsiTheme="minorHAnsi" w:cstheme="minorHAnsi"/>
        </w:rPr>
        <w:t xml:space="preserve">. </w:t>
      </w:r>
      <w:r w:rsidR="00832445" w:rsidRPr="001D1700">
        <w:rPr>
          <w:rFonts w:asciiTheme="minorHAnsi" w:hAnsiTheme="minorHAnsi" w:cstheme="minorHAnsi"/>
        </w:rPr>
        <w:t>Discrete sample concentrations for imidacloprid, clothianidin, and thiamethoxam</w:t>
      </w:r>
      <w:r w:rsidR="00691D1E" w:rsidRPr="001D1700">
        <w:rPr>
          <w:rFonts w:asciiTheme="minorHAnsi" w:hAnsiTheme="minorHAnsi" w:cstheme="minorHAnsi"/>
        </w:rPr>
        <w:t xml:space="preserve"> (ng/L)</w:t>
      </w:r>
      <w:r w:rsidR="00832445" w:rsidRPr="001D1700">
        <w:rPr>
          <w:rFonts w:asciiTheme="minorHAnsi" w:hAnsiTheme="minorHAnsi" w:cstheme="minorHAnsi"/>
        </w:rPr>
        <w:t xml:space="preserve">. </w:t>
      </w:r>
    </w:p>
    <w:p w14:paraId="50EB99E9" w14:textId="77777777" w:rsidR="001D1700" w:rsidRPr="001D1700" w:rsidRDefault="001D1700" w:rsidP="00183CB9">
      <w:pPr>
        <w:rPr>
          <w:rFonts w:asciiTheme="minorHAnsi" w:hAnsiTheme="minorHAnsi" w:cstheme="minorHAnsi"/>
        </w:rPr>
      </w:pPr>
    </w:p>
    <w:tbl>
      <w:tblPr>
        <w:tblStyle w:val="TableGrid"/>
        <w:tblW w:w="10165" w:type="dxa"/>
        <w:tblLayout w:type="fixed"/>
        <w:tblLook w:val="0000" w:firstRow="0" w:lastRow="0" w:firstColumn="0" w:lastColumn="0" w:noHBand="0" w:noVBand="0"/>
      </w:tblPr>
      <w:tblGrid>
        <w:gridCol w:w="1165"/>
        <w:gridCol w:w="2520"/>
        <w:gridCol w:w="900"/>
        <w:gridCol w:w="990"/>
        <w:gridCol w:w="990"/>
        <w:gridCol w:w="900"/>
        <w:gridCol w:w="900"/>
        <w:gridCol w:w="990"/>
        <w:gridCol w:w="810"/>
      </w:tblGrid>
      <w:tr w:rsidR="00913891" w:rsidRPr="00691D1E" w14:paraId="76F01876" w14:textId="77777777" w:rsidTr="00BE3D36">
        <w:trPr>
          <w:trHeight w:val="280"/>
        </w:trPr>
        <w:tc>
          <w:tcPr>
            <w:tcW w:w="10165" w:type="dxa"/>
            <w:gridSpan w:val="9"/>
          </w:tcPr>
          <w:p w14:paraId="2B6C5B1C" w14:textId="7A50B012" w:rsidR="00913891" w:rsidRPr="001D1700" w:rsidRDefault="00913891" w:rsidP="00913891">
            <w:pPr>
              <w:autoSpaceDE w:val="0"/>
              <w:autoSpaceDN w:val="0"/>
              <w:adjustRightInd w:val="0"/>
              <w:jc w:val="center"/>
              <w:rPr>
                <w:rFonts w:asciiTheme="minorHAnsi" w:hAnsiTheme="minorHAnsi" w:cstheme="minorHAnsi"/>
                <w:color w:val="000000" w:themeColor="text1"/>
              </w:rPr>
            </w:pPr>
            <w:r w:rsidRPr="001D1700">
              <w:rPr>
                <w:rFonts w:asciiTheme="minorHAnsi" w:hAnsiTheme="minorHAnsi" w:cstheme="minorHAnsi"/>
                <w:color w:val="000000" w:themeColor="text1"/>
              </w:rPr>
              <w:t>Imidacloprid</w:t>
            </w:r>
          </w:p>
        </w:tc>
      </w:tr>
      <w:tr w:rsidR="00691D1E" w:rsidRPr="00691D1E" w14:paraId="7FD94234" w14:textId="77777777" w:rsidTr="00691D1E">
        <w:trPr>
          <w:trHeight w:val="280"/>
        </w:trPr>
        <w:tc>
          <w:tcPr>
            <w:tcW w:w="1165" w:type="dxa"/>
          </w:tcPr>
          <w:p w14:paraId="38DF51C0"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Site ID</w:t>
            </w:r>
          </w:p>
        </w:tc>
        <w:tc>
          <w:tcPr>
            <w:tcW w:w="2520" w:type="dxa"/>
          </w:tcPr>
          <w:p w14:paraId="6A500D30"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Sample Location</w:t>
            </w:r>
          </w:p>
        </w:tc>
        <w:tc>
          <w:tcPr>
            <w:tcW w:w="900" w:type="dxa"/>
          </w:tcPr>
          <w:p w14:paraId="515CE861"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 xml:space="preserve">July 29, </w:t>
            </w:r>
          </w:p>
          <w:p w14:paraId="1C16CD7F" w14:textId="110BC926"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2021</w:t>
            </w:r>
          </w:p>
        </w:tc>
        <w:tc>
          <w:tcPr>
            <w:tcW w:w="990" w:type="dxa"/>
          </w:tcPr>
          <w:p w14:paraId="31D6398F" w14:textId="0D83EF02"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Aug. 26, 2021</w:t>
            </w:r>
          </w:p>
        </w:tc>
        <w:tc>
          <w:tcPr>
            <w:tcW w:w="990" w:type="dxa"/>
          </w:tcPr>
          <w:p w14:paraId="026AF42D" w14:textId="2164CB37" w:rsidR="00691D1E" w:rsidRPr="00691D1E" w:rsidRDefault="00691D1E">
            <w:pPr>
              <w:autoSpaceDE w:val="0"/>
              <w:autoSpaceDN w:val="0"/>
              <w:adjustRightInd w:val="0"/>
              <w:jc w:val="right"/>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Oct. 14, 2021</w:t>
            </w:r>
          </w:p>
        </w:tc>
        <w:tc>
          <w:tcPr>
            <w:tcW w:w="900" w:type="dxa"/>
          </w:tcPr>
          <w:p w14:paraId="5C2611ED" w14:textId="70C7A568" w:rsidR="00691D1E" w:rsidRPr="00691D1E" w:rsidRDefault="00691D1E">
            <w:pPr>
              <w:autoSpaceDE w:val="0"/>
              <w:autoSpaceDN w:val="0"/>
              <w:adjustRightInd w:val="0"/>
              <w:jc w:val="right"/>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April 5, 2022</w:t>
            </w:r>
          </w:p>
        </w:tc>
        <w:tc>
          <w:tcPr>
            <w:tcW w:w="900" w:type="dxa"/>
          </w:tcPr>
          <w:p w14:paraId="3B8A980D" w14:textId="23D11FC3" w:rsidR="00691D1E" w:rsidRPr="00691D1E" w:rsidRDefault="00691D1E">
            <w:pPr>
              <w:autoSpaceDE w:val="0"/>
              <w:autoSpaceDN w:val="0"/>
              <w:adjustRightInd w:val="0"/>
              <w:jc w:val="right"/>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May 3, 2022</w:t>
            </w:r>
          </w:p>
        </w:tc>
        <w:tc>
          <w:tcPr>
            <w:tcW w:w="990" w:type="dxa"/>
          </w:tcPr>
          <w:p w14:paraId="4EF80B3B" w14:textId="05CF10B9" w:rsidR="00691D1E" w:rsidRPr="00691D1E" w:rsidRDefault="00691D1E">
            <w:pPr>
              <w:autoSpaceDE w:val="0"/>
              <w:autoSpaceDN w:val="0"/>
              <w:adjustRightInd w:val="0"/>
              <w:jc w:val="right"/>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June 14, 2022</w:t>
            </w:r>
          </w:p>
        </w:tc>
        <w:tc>
          <w:tcPr>
            <w:tcW w:w="810" w:type="dxa"/>
          </w:tcPr>
          <w:p w14:paraId="1CD3AE7A" w14:textId="1F3C4EF0" w:rsidR="00691D1E" w:rsidRPr="00691D1E" w:rsidRDefault="00691D1E">
            <w:pPr>
              <w:autoSpaceDE w:val="0"/>
              <w:autoSpaceDN w:val="0"/>
              <w:adjustRightInd w:val="0"/>
              <w:jc w:val="right"/>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July 7, 2022</w:t>
            </w:r>
          </w:p>
        </w:tc>
      </w:tr>
      <w:tr w:rsidR="00691D1E" w:rsidRPr="00691D1E" w14:paraId="45CDA8A2" w14:textId="77777777" w:rsidTr="00691D1E">
        <w:trPr>
          <w:trHeight w:val="280"/>
        </w:trPr>
        <w:tc>
          <w:tcPr>
            <w:tcW w:w="1165" w:type="dxa"/>
          </w:tcPr>
          <w:p w14:paraId="4CCDB475"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SG-0030</w:t>
            </w:r>
          </w:p>
        </w:tc>
        <w:tc>
          <w:tcPr>
            <w:tcW w:w="2520" w:type="dxa"/>
          </w:tcPr>
          <w:p w14:paraId="0A90D82E"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Saginaw - S. Railway</w:t>
            </w:r>
          </w:p>
        </w:tc>
        <w:tc>
          <w:tcPr>
            <w:tcW w:w="900" w:type="dxa"/>
          </w:tcPr>
          <w:p w14:paraId="71C210DC"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71</w:t>
            </w:r>
          </w:p>
        </w:tc>
        <w:tc>
          <w:tcPr>
            <w:tcW w:w="990" w:type="dxa"/>
          </w:tcPr>
          <w:p w14:paraId="3D0DB1F2"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14</w:t>
            </w:r>
          </w:p>
        </w:tc>
        <w:tc>
          <w:tcPr>
            <w:tcW w:w="990" w:type="dxa"/>
          </w:tcPr>
          <w:p w14:paraId="51706BA7"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60DEBE3B"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5C34D218"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716CDBCD"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783935B0"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r>
      <w:tr w:rsidR="00691D1E" w:rsidRPr="00691D1E" w14:paraId="1C6E39B2" w14:textId="77777777" w:rsidTr="00691D1E">
        <w:trPr>
          <w:trHeight w:val="280"/>
        </w:trPr>
        <w:tc>
          <w:tcPr>
            <w:tcW w:w="1165" w:type="dxa"/>
          </w:tcPr>
          <w:p w14:paraId="7DCB26E4"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SG-0040</w:t>
            </w:r>
          </w:p>
        </w:tc>
        <w:tc>
          <w:tcPr>
            <w:tcW w:w="2520" w:type="dxa"/>
          </w:tcPr>
          <w:p w14:paraId="759FE313"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Saginaw - Independence</w:t>
            </w:r>
          </w:p>
        </w:tc>
        <w:tc>
          <w:tcPr>
            <w:tcW w:w="900" w:type="dxa"/>
          </w:tcPr>
          <w:p w14:paraId="11D73FA0"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81</w:t>
            </w:r>
          </w:p>
        </w:tc>
        <w:tc>
          <w:tcPr>
            <w:tcW w:w="990" w:type="dxa"/>
          </w:tcPr>
          <w:p w14:paraId="09B08A03"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27</w:t>
            </w:r>
          </w:p>
        </w:tc>
        <w:tc>
          <w:tcPr>
            <w:tcW w:w="990" w:type="dxa"/>
          </w:tcPr>
          <w:p w14:paraId="54AB40FF"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16</w:t>
            </w:r>
          </w:p>
        </w:tc>
        <w:tc>
          <w:tcPr>
            <w:tcW w:w="900" w:type="dxa"/>
          </w:tcPr>
          <w:p w14:paraId="48E96169"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3C4ACCC4"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1C9E49F5"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7F87EBCE"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r>
      <w:tr w:rsidR="00691D1E" w:rsidRPr="00691D1E" w14:paraId="68E7DD0E" w14:textId="77777777" w:rsidTr="00691D1E">
        <w:trPr>
          <w:trHeight w:val="280"/>
        </w:trPr>
        <w:tc>
          <w:tcPr>
            <w:tcW w:w="1165" w:type="dxa"/>
          </w:tcPr>
          <w:p w14:paraId="4BA81EE1"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SG-0052a</w:t>
            </w:r>
          </w:p>
        </w:tc>
        <w:tc>
          <w:tcPr>
            <w:tcW w:w="2520" w:type="dxa"/>
          </w:tcPr>
          <w:p w14:paraId="0BB586F1"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Saginaw - Middle Ground</w:t>
            </w:r>
          </w:p>
        </w:tc>
        <w:tc>
          <w:tcPr>
            <w:tcW w:w="900" w:type="dxa"/>
          </w:tcPr>
          <w:p w14:paraId="4E067FED"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63</w:t>
            </w:r>
          </w:p>
        </w:tc>
        <w:tc>
          <w:tcPr>
            <w:tcW w:w="990" w:type="dxa"/>
          </w:tcPr>
          <w:p w14:paraId="6A667FA9"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16</w:t>
            </w:r>
          </w:p>
        </w:tc>
        <w:tc>
          <w:tcPr>
            <w:tcW w:w="990" w:type="dxa"/>
          </w:tcPr>
          <w:p w14:paraId="793C6B0E"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17</w:t>
            </w:r>
          </w:p>
        </w:tc>
        <w:tc>
          <w:tcPr>
            <w:tcW w:w="900" w:type="dxa"/>
          </w:tcPr>
          <w:p w14:paraId="1DE3F12C"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4CA7ECD7"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6135D55C"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694721C8"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r>
      <w:tr w:rsidR="00691D1E" w:rsidRPr="00691D1E" w14:paraId="2162E10A" w14:textId="77777777" w:rsidTr="00691D1E">
        <w:trPr>
          <w:trHeight w:val="280"/>
        </w:trPr>
        <w:tc>
          <w:tcPr>
            <w:tcW w:w="1165" w:type="dxa"/>
          </w:tcPr>
          <w:p w14:paraId="22185567"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SG-0059</w:t>
            </w:r>
          </w:p>
        </w:tc>
        <w:tc>
          <w:tcPr>
            <w:tcW w:w="2520" w:type="dxa"/>
          </w:tcPr>
          <w:p w14:paraId="1A9118CD"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Saginaw - Dutch Creek</w:t>
            </w:r>
          </w:p>
        </w:tc>
        <w:tc>
          <w:tcPr>
            <w:tcW w:w="900" w:type="dxa"/>
          </w:tcPr>
          <w:p w14:paraId="4B7135C8"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68</w:t>
            </w:r>
          </w:p>
        </w:tc>
        <w:tc>
          <w:tcPr>
            <w:tcW w:w="990" w:type="dxa"/>
          </w:tcPr>
          <w:p w14:paraId="5129142B"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13</w:t>
            </w:r>
          </w:p>
        </w:tc>
        <w:tc>
          <w:tcPr>
            <w:tcW w:w="990" w:type="dxa"/>
          </w:tcPr>
          <w:p w14:paraId="2FF79FA5"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49B4579B"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2691A6E8"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3CBCE4B4"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359E9FBD"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r>
      <w:tr w:rsidR="00691D1E" w:rsidRPr="00691D1E" w14:paraId="0C1E560C" w14:textId="77777777" w:rsidTr="00691D1E">
        <w:trPr>
          <w:trHeight w:val="280"/>
        </w:trPr>
        <w:tc>
          <w:tcPr>
            <w:tcW w:w="1165" w:type="dxa"/>
          </w:tcPr>
          <w:p w14:paraId="69600C21"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SG-0070</w:t>
            </w:r>
          </w:p>
        </w:tc>
        <w:tc>
          <w:tcPr>
            <w:tcW w:w="2520" w:type="dxa"/>
          </w:tcPr>
          <w:p w14:paraId="24BE437A"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 xml:space="preserve">Saginaw - </w:t>
            </w:r>
            <w:proofErr w:type="spellStart"/>
            <w:r w:rsidRPr="00691D1E">
              <w:rPr>
                <w:rFonts w:asciiTheme="minorHAnsi" w:hAnsiTheme="minorHAnsi" w:cstheme="minorHAnsi"/>
                <w:color w:val="000000" w:themeColor="text1"/>
                <w:sz w:val="22"/>
                <w:szCs w:val="22"/>
              </w:rPr>
              <w:t>Zilwaukee</w:t>
            </w:r>
            <w:proofErr w:type="spellEnd"/>
          </w:p>
        </w:tc>
        <w:tc>
          <w:tcPr>
            <w:tcW w:w="900" w:type="dxa"/>
          </w:tcPr>
          <w:p w14:paraId="322F71F8"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58</w:t>
            </w:r>
          </w:p>
        </w:tc>
        <w:tc>
          <w:tcPr>
            <w:tcW w:w="990" w:type="dxa"/>
          </w:tcPr>
          <w:p w14:paraId="6133F7FB"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15</w:t>
            </w:r>
          </w:p>
        </w:tc>
        <w:tc>
          <w:tcPr>
            <w:tcW w:w="990" w:type="dxa"/>
          </w:tcPr>
          <w:p w14:paraId="21BD3D90"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73EF8DEF"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4824F4BF"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4CCE2505"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1B6EFE4B"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r>
      <w:tr w:rsidR="00691D1E" w:rsidRPr="00691D1E" w14:paraId="49D18597" w14:textId="77777777" w:rsidTr="00691D1E">
        <w:trPr>
          <w:trHeight w:val="280"/>
        </w:trPr>
        <w:tc>
          <w:tcPr>
            <w:tcW w:w="1165" w:type="dxa"/>
          </w:tcPr>
          <w:p w14:paraId="02D7B2D3"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DC-0010</w:t>
            </w:r>
          </w:p>
        </w:tc>
        <w:tc>
          <w:tcPr>
            <w:tcW w:w="2520" w:type="dxa"/>
          </w:tcPr>
          <w:p w14:paraId="27F3FF6D"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Dutch Creek - Ziegler</w:t>
            </w:r>
          </w:p>
        </w:tc>
        <w:tc>
          <w:tcPr>
            <w:tcW w:w="900" w:type="dxa"/>
          </w:tcPr>
          <w:p w14:paraId="569AC9F9"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220</w:t>
            </w:r>
          </w:p>
        </w:tc>
        <w:tc>
          <w:tcPr>
            <w:tcW w:w="990" w:type="dxa"/>
          </w:tcPr>
          <w:p w14:paraId="0B4329FB"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26</w:t>
            </w:r>
          </w:p>
        </w:tc>
        <w:tc>
          <w:tcPr>
            <w:tcW w:w="990" w:type="dxa"/>
          </w:tcPr>
          <w:p w14:paraId="2AAE3177"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77AC6D4E"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2CEA49B1"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3319C49F"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7E98DFE0"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r>
      <w:tr w:rsidR="00691D1E" w:rsidRPr="00691D1E" w14:paraId="098664AE" w14:textId="77777777" w:rsidTr="00691D1E">
        <w:trPr>
          <w:trHeight w:val="280"/>
        </w:trPr>
        <w:tc>
          <w:tcPr>
            <w:tcW w:w="1165" w:type="dxa"/>
          </w:tcPr>
          <w:p w14:paraId="05FEDD62"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SG-0110</w:t>
            </w:r>
          </w:p>
        </w:tc>
        <w:tc>
          <w:tcPr>
            <w:tcW w:w="2520" w:type="dxa"/>
          </w:tcPr>
          <w:p w14:paraId="1D7F9ED1"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Saginaw - W Center</w:t>
            </w:r>
          </w:p>
        </w:tc>
        <w:tc>
          <w:tcPr>
            <w:tcW w:w="900" w:type="dxa"/>
          </w:tcPr>
          <w:p w14:paraId="43FC83D4"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34</w:t>
            </w:r>
          </w:p>
        </w:tc>
        <w:tc>
          <w:tcPr>
            <w:tcW w:w="990" w:type="dxa"/>
          </w:tcPr>
          <w:p w14:paraId="495A35EE"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17</w:t>
            </w:r>
          </w:p>
        </w:tc>
        <w:tc>
          <w:tcPr>
            <w:tcW w:w="990" w:type="dxa"/>
          </w:tcPr>
          <w:p w14:paraId="24D3C41A"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7.3</w:t>
            </w:r>
          </w:p>
        </w:tc>
        <w:tc>
          <w:tcPr>
            <w:tcW w:w="900" w:type="dxa"/>
          </w:tcPr>
          <w:p w14:paraId="6B16EEB6"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69D0B114"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06263AF0"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03AFC788"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r>
      <w:tr w:rsidR="00691D1E" w:rsidRPr="00691D1E" w14:paraId="5179F198" w14:textId="77777777" w:rsidTr="00691D1E">
        <w:trPr>
          <w:trHeight w:val="280"/>
        </w:trPr>
        <w:tc>
          <w:tcPr>
            <w:tcW w:w="1165" w:type="dxa"/>
          </w:tcPr>
          <w:p w14:paraId="03D12A80"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SG-0010</w:t>
            </w:r>
          </w:p>
        </w:tc>
        <w:tc>
          <w:tcPr>
            <w:tcW w:w="2520" w:type="dxa"/>
          </w:tcPr>
          <w:p w14:paraId="0A582853"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Tittabawassee - S Center</w:t>
            </w:r>
          </w:p>
        </w:tc>
        <w:tc>
          <w:tcPr>
            <w:tcW w:w="900" w:type="dxa"/>
          </w:tcPr>
          <w:p w14:paraId="730FB7FD"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14</w:t>
            </w:r>
          </w:p>
        </w:tc>
        <w:tc>
          <w:tcPr>
            <w:tcW w:w="990" w:type="dxa"/>
          </w:tcPr>
          <w:p w14:paraId="3D125BD2"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04596B53"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7576EF12"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6EBE6DE9"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1A8B84E6"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75762BC4"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r>
      <w:tr w:rsidR="00691D1E" w:rsidRPr="00691D1E" w14:paraId="4A9CE771" w14:textId="77777777" w:rsidTr="00691D1E">
        <w:trPr>
          <w:trHeight w:val="280"/>
        </w:trPr>
        <w:tc>
          <w:tcPr>
            <w:tcW w:w="1165" w:type="dxa"/>
          </w:tcPr>
          <w:p w14:paraId="4E362391"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CR-0010</w:t>
            </w:r>
          </w:p>
        </w:tc>
        <w:tc>
          <w:tcPr>
            <w:tcW w:w="2520" w:type="dxa"/>
          </w:tcPr>
          <w:p w14:paraId="0DFF593B"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Cass - E Road</w:t>
            </w:r>
          </w:p>
        </w:tc>
        <w:tc>
          <w:tcPr>
            <w:tcW w:w="900" w:type="dxa"/>
          </w:tcPr>
          <w:p w14:paraId="180EE0F6"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0DD8FD82"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58822A49"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149D05FE"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66FBA216"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5E860466"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5663B829"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r>
      <w:tr w:rsidR="00691D1E" w:rsidRPr="00691D1E" w14:paraId="4082FDC9" w14:textId="77777777" w:rsidTr="00691D1E">
        <w:trPr>
          <w:trHeight w:val="280"/>
        </w:trPr>
        <w:tc>
          <w:tcPr>
            <w:tcW w:w="1165" w:type="dxa"/>
          </w:tcPr>
          <w:p w14:paraId="0067BF22"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FR-0015</w:t>
            </w:r>
          </w:p>
        </w:tc>
        <w:tc>
          <w:tcPr>
            <w:tcW w:w="2520" w:type="dxa"/>
          </w:tcPr>
          <w:p w14:paraId="271C301A"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Flint - E Road</w:t>
            </w:r>
          </w:p>
        </w:tc>
        <w:tc>
          <w:tcPr>
            <w:tcW w:w="900" w:type="dxa"/>
          </w:tcPr>
          <w:p w14:paraId="7F6E2A7D"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96</w:t>
            </w:r>
          </w:p>
        </w:tc>
        <w:tc>
          <w:tcPr>
            <w:tcW w:w="990" w:type="dxa"/>
          </w:tcPr>
          <w:p w14:paraId="4060EBDB"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36</w:t>
            </w:r>
          </w:p>
        </w:tc>
        <w:tc>
          <w:tcPr>
            <w:tcW w:w="990" w:type="dxa"/>
          </w:tcPr>
          <w:p w14:paraId="61450081"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2F314DCD"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11826B65"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535EC4D4"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75B1C943"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33</w:t>
            </w:r>
          </w:p>
        </w:tc>
      </w:tr>
      <w:tr w:rsidR="00691D1E" w:rsidRPr="00691D1E" w14:paraId="600FE87E" w14:textId="77777777" w:rsidTr="00691D1E">
        <w:trPr>
          <w:trHeight w:val="280"/>
        </w:trPr>
        <w:tc>
          <w:tcPr>
            <w:tcW w:w="1165" w:type="dxa"/>
          </w:tcPr>
          <w:p w14:paraId="7C4ED7F7"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BD-0110</w:t>
            </w:r>
          </w:p>
        </w:tc>
        <w:tc>
          <w:tcPr>
            <w:tcW w:w="2520" w:type="dxa"/>
          </w:tcPr>
          <w:p w14:paraId="77C017A9"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Bad River</w:t>
            </w:r>
          </w:p>
        </w:tc>
        <w:tc>
          <w:tcPr>
            <w:tcW w:w="900" w:type="dxa"/>
          </w:tcPr>
          <w:p w14:paraId="1F58B531"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292BE9F3"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14BADE41"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5FED2852"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2830C149"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7173CBC8"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025DB5B1"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r>
      <w:tr w:rsidR="00691D1E" w:rsidRPr="00691D1E" w14:paraId="5C824424" w14:textId="77777777" w:rsidTr="00691D1E">
        <w:trPr>
          <w:trHeight w:val="280"/>
        </w:trPr>
        <w:tc>
          <w:tcPr>
            <w:tcW w:w="1165" w:type="dxa"/>
          </w:tcPr>
          <w:p w14:paraId="5D571585"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SW-0010</w:t>
            </w:r>
          </w:p>
        </w:tc>
        <w:tc>
          <w:tcPr>
            <w:tcW w:w="2520" w:type="dxa"/>
          </w:tcPr>
          <w:p w14:paraId="70E187CC"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Shiawassee - Fergus</w:t>
            </w:r>
          </w:p>
        </w:tc>
        <w:tc>
          <w:tcPr>
            <w:tcW w:w="900" w:type="dxa"/>
          </w:tcPr>
          <w:p w14:paraId="1723A050"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4CC9D2A3"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75A28C2E"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77E8C029"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3720E40C"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03D983A5"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4A9BF7E7"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r>
      <w:tr w:rsidR="00691D1E" w:rsidRPr="00691D1E" w14:paraId="3AC554AA" w14:textId="77777777" w:rsidTr="00691D1E">
        <w:trPr>
          <w:trHeight w:val="280"/>
        </w:trPr>
        <w:tc>
          <w:tcPr>
            <w:tcW w:w="1165" w:type="dxa"/>
          </w:tcPr>
          <w:p w14:paraId="0C7CF026"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PR-0010</w:t>
            </w:r>
          </w:p>
        </w:tc>
        <w:tc>
          <w:tcPr>
            <w:tcW w:w="2520" w:type="dxa"/>
          </w:tcPr>
          <w:p w14:paraId="301597D4"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Pine - E Pine River</w:t>
            </w:r>
          </w:p>
        </w:tc>
        <w:tc>
          <w:tcPr>
            <w:tcW w:w="900" w:type="dxa"/>
          </w:tcPr>
          <w:p w14:paraId="476E786E"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740EFAAF"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7DB40CE6"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7F5FC12C"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1782AB4D"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0AF25542"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0DBD85DE"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p>
        </w:tc>
      </w:tr>
      <w:tr w:rsidR="00691D1E" w:rsidRPr="00691D1E" w14:paraId="1BDB33E9" w14:textId="77777777" w:rsidTr="00691D1E">
        <w:trPr>
          <w:trHeight w:val="280"/>
        </w:trPr>
        <w:tc>
          <w:tcPr>
            <w:tcW w:w="1165" w:type="dxa"/>
          </w:tcPr>
          <w:p w14:paraId="3F4DCE62"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CP-0020</w:t>
            </w:r>
          </w:p>
        </w:tc>
        <w:tc>
          <w:tcPr>
            <w:tcW w:w="2520" w:type="dxa"/>
          </w:tcPr>
          <w:p w14:paraId="26F34A2A" w14:textId="77777777" w:rsidR="00691D1E" w:rsidRPr="00691D1E" w:rsidRDefault="00691D1E">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Chippewa - E Chippewa River</w:t>
            </w:r>
          </w:p>
        </w:tc>
        <w:tc>
          <w:tcPr>
            <w:tcW w:w="900" w:type="dxa"/>
          </w:tcPr>
          <w:p w14:paraId="5E70E873"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2C9270A6"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08F8673A"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3C9CC428"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00" w:type="dxa"/>
          </w:tcPr>
          <w:p w14:paraId="651E1330"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990" w:type="dxa"/>
          </w:tcPr>
          <w:p w14:paraId="4DD2FE6A"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c>
          <w:tcPr>
            <w:tcW w:w="810" w:type="dxa"/>
          </w:tcPr>
          <w:p w14:paraId="32770A84" w14:textId="77777777" w:rsidR="00691D1E" w:rsidRPr="00691D1E" w:rsidRDefault="00691D1E" w:rsidP="00691D1E">
            <w:pPr>
              <w:autoSpaceDE w:val="0"/>
              <w:autoSpaceDN w:val="0"/>
              <w:adjustRightInd w:val="0"/>
              <w:jc w:val="cente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ND</w:t>
            </w:r>
          </w:p>
        </w:tc>
      </w:tr>
    </w:tbl>
    <w:p w14:paraId="48205BDA" w14:textId="32F1853C" w:rsidR="00183CB9" w:rsidRPr="008D5C56" w:rsidRDefault="00183CB9" w:rsidP="00183CB9">
      <w:pPr>
        <w:rPr>
          <w:rFonts w:cstheme="minorHAnsi"/>
        </w:rPr>
      </w:pPr>
    </w:p>
    <w:tbl>
      <w:tblPr>
        <w:tblStyle w:val="TableGrid"/>
        <w:tblW w:w="10165" w:type="dxa"/>
        <w:tblLook w:val="04A0" w:firstRow="1" w:lastRow="0" w:firstColumn="1" w:lastColumn="0" w:noHBand="0" w:noVBand="1"/>
      </w:tblPr>
      <w:tblGrid>
        <w:gridCol w:w="1075"/>
        <w:gridCol w:w="2520"/>
        <w:gridCol w:w="900"/>
        <w:gridCol w:w="1080"/>
        <w:gridCol w:w="990"/>
        <w:gridCol w:w="900"/>
        <w:gridCol w:w="900"/>
        <w:gridCol w:w="990"/>
        <w:gridCol w:w="810"/>
      </w:tblGrid>
      <w:tr w:rsidR="001D1700" w:rsidRPr="00913891" w14:paraId="4D723D89" w14:textId="77777777" w:rsidTr="008E124E">
        <w:trPr>
          <w:trHeight w:val="310"/>
        </w:trPr>
        <w:tc>
          <w:tcPr>
            <w:tcW w:w="10165" w:type="dxa"/>
            <w:gridSpan w:val="9"/>
            <w:noWrap/>
          </w:tcPr>
          <w:p w14:paraId="068C3FA4" w14:textId="6DE391C1" w:rsidR="001D1700" w:rsidRPr="001D1700" w:rsidRDefault="001D1700" w:rsidP="001D1700">
            <w:pPr>
              <w:jc w:val="center"/>
              <w:rPr>
                <w:rFonts w:asciiTheme="minorHAnsi" w:hAnsiTheme="minorHAnsi" w:cstheme="minorHAnsi"/>
                <w:color w:val="000000" w:themeColor="text1"/>
              </w:rPr>
            </w:pPr>
            <w:r w:rsidRPr="001D1700">
              <w:rPr>
                <w:rFonts w:asciiTheme="minorHAnsi" w:hAnsiTheme="minorHAnsi" w:cstheme="minorHAnsi"/>
                <w:color w:val="000000" w:themeColor="text1"/>
              </w:rPr>
              <w:t>Clothianidin</w:t>
            </w:r>
          </w:p>
        </w:tc>
      </w:tr>
      <w:tr w:rsidR="001D1700" w:rsidRPr="00913891" w14:paraId="35439968" w14:textId="77777777" w:rsidTr="001D1700">
        <w:trPr>
          <w:trHeight w:val="310"/>
        </w:trPr>
        <w:tc>
          <w:tcPr>
            <w:tcW w:w="1075" w:type="dxa"/>
            <w:noWrap/>
            <w:hideMark/>
          </w:tcPr>
          <w:p w14:paraId="2FAD6A99"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Site ID</w:t>
            </w:r>
          </w:p>
        </w:tc>
        <w:tc>
          <w:tcPr>
            <w:tcW w:w="2520" w:type="dxa"/>
            <w:noWrap/>
            <w:hideMark/>
          </w:tcPr>
          <w:p w14:paraId="2ADF2BC0"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Sample Location</w:t>
            </w:r>
          </w:p>
        </w:tc>
        <w:tc>
          <w:tcPr>
            <w:tcW w:w="900" w:type="dxa"/>
            <w:noWrap/>
            <w:hideMark/>
          </w:tcPr>
          <w:p w14:paraId="3BBB422B" w14:textId="77777777" w:rsidR="00913891" w:rsidRPr="00691D1E" w:rsidRDefault="00913891" w:rsidP="00913891">
            <w:pPr>
              <w:autoSpaceDE w:val="0"/>
              <w:autoSpaceDN w:val="0"/>
              <w:adjustRightInd w:val="0"/>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 xml:space="preserve">July 29, </w:t>
            </w:r>
          </w:p>
          <w:p w14:paraId="4E9E391E" w14:textId="19E64C5B" w:rsidR="00913891" w:rsidRPr="00913891" w:rsidRDefault="00913891" w:rsidP="00913891">
            <w:pP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2021</w:t>
            </w:r>
          </w:p>
        </w:tc>
        <w:tc>
          <w:tcPr>
            <w:tcW w:w="1080" w:type="dxa"/>
            <w:noWrap/>
            <w:hideMark/>
          </w:tcPr>
          <w:p w14:paraId="270221F8" w14:textId="3CC4AA0A" w:rsidR="00913891" w:rsidRPr="00913891" w:rsidRDefault="00913891" w:rsidP="00913891">
            <w:pPr>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Aug.</w:t>
            </w:r>
            <w:r>
              <w:rPr>
                <w:rFonts w:cstheme="minorHAnsi"/>
                <w:color w:val="000000" w:themeColor="text1"/>
              </w:rPr>
              <w:t xml:space="preserve"> </w:t>
            </w:r>
            <w:r w:rsidRPr="00691D1E">
              <w:rPr>
                <w:rFonts w:asciiTheme="minorHAnsi" w:hAnsiTheme="minorHAnsi" w:cstheme="minorHAnsi"/>
                <w:color w:val="000000" w:themeColor="text1"/>
                <w:sz w:val="22"/>
                <w:szCs w:val="22"/>
              </w:rPr>
              <w:t>26, 2021</w:t>
            </w:r>
          </w:p>
        </w:tc>
        <w:tc>
          <w:tcPr>
            <w:tcW w:w="990" w:type="dxa"/>
            <w:noWrap/>
            <w:hideMark/>
          </w:tcPr>
          <w:p w14:paraId="17DDFA6B" w14:textId="23E56F03" w:rsidR="00913891" w:rsidRPr="00913891" w:rsidRDefault="00913891" w:rsidP="00913891">
            <w:pPr>
              <w:jc w:val="right"/>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Oct. 14, 2021</w:t>
            </w:r>
          </w:p>
        </w:tc>
        <w:tc>
          <w:tcPr>
            <w:tcW w:w="900" w:type="dxa"/>
            <w:noWrap/>
            <w:hideMark/>
          </w:tcPr>
          <w:p w14:paraId="39DC8DC0" w14:textId="4A5BCB08" w:rsidR="00913891" w:rsidRPr="00913891" w:rsidRDefault="00913891" w:rsidP="00913891">
            <w:pPr>
              <w:jc w:val="right"/>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April 5, 2022</w:t>
            </w:r>
          </w:p>
        </w:tc>
        <w:tc>
          <w:tcPr>
            <w:tcW w:w="900" w:type="dxa"/>
            <w:noWrap/>
            <w:hideMark/>
          </w:tcPr>
          <w:p w14:paraId="5D36BF09" w14:textId="203F7899" w:rsidR="00913891" w:rsidRPr="00913891" w:rsidRDefault="00913891" w:rsidP="00913891">
            <w:pPr>
              <w:jc w:val="right"/>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May 3, 2022</w:t>
            </w:r>
          </w:p>
        </w:tc>
        <w:tc>
          <w:tcPr>
            <w:tcW w:w="990" w:type="dxa"/>
            <w:noWrap/>
            <w:hideMark/>
          </w:tcPr>
          <w:p w14:paraId="184BB6A1" w14:textId="76C6C0F2" w:rsidR="00913891" w:rsidRPr="00913891" w:rsidRDefault="00913891" w:rsidP="00913891">
            <w:pPr>
              <w:jc w:val="right"/>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June 14, 2022</w:t>
            </w:r>
          </w:p>
        </w:tc>
        <w:tc>
          <w:tcPr>
            <w:tcW w:w="810" w:type="dxa"/>
            <w:noWrap/>
            <w:hideMark/>
          </w:tcPr>
          <w:p w14:paraId="2BAA09B8" w14:textId="08159915" w:rsidR="00913891" w:rsidRPr="00913891" w:rsidRDefault="00913891" w:rsidP="00913891">
            <w:pPr>
              <w:jc w:val="right"/>
              <w:rPr>
                <w:rFonts w:asciiTheme="minorHAnsi" w:hAnsiTheme="minorHAnsi" w:cstheme="minorHAnsi"/>
                <w:color w:val="000000" w:themeColor="text1"/>
                <w:sz w:val="22"/>
                <w:szCs w:val="22"/>
              </w:rPr>
            </w:pPr>
            <w:r w:rsidRPr="00691D1E">
              <w:rPr>
                <w:rFonts w:asciiTheme="minorHAnsi" w:hAnsiTheme="minorHAnsi" w:cstheme="minorHAnsi"/>
                <w:color w:val="000000" w:themeColor="text1"/>
                <w:sz w:val="22"/>
                <w:szCs w:val="22"/>
              </w:rPr>
              <w:t>July 7, 2022</w:t>
            </w:r>
          </w:p>
        </w:tc>
      </w:tr>
      <w:tr w:rsidR="001D1700" w:rsidRPr="00913891" w14:paraId="44AC3261" w14:textId="77777777" w:rsidTr="001D1700">
        <w:trPr>
          <w:trHeight w:val="310"/>
        </w:trPr>
        <w:tc>
          <w:tcPr>
            <w:tcW w:w="1075" w:type="dxa"/>
            <w:hideMark/>
          </w:tcPr>
          <w:p w14:paraId="7D610225"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SG-0030</w:t>
            </w:r>
          </w:p>
        </w:tc>
        <w:tc>
          <w:tcPr>
            <w:tcW w:w="2520" w:type="dxa"/>
            <w:hideMark/>
          </w:tcPr>
          <w:p w14:paraId="0D9C3DB4"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Saginaw - S. Railway</w:t>
            </w:r>
          </w:p>
        </w:tc>
        <w:tc>
          <w:tcPr>
            <w:tcW w:w="900" w:type="dxa"/>
            <w:noWrap/>
            <w:hideMark/>
          </w:tcPr>
          <w:p w14:paraId="3DF7EA66"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1080" w:type="dxa"/>
            <w:noWrap/>
            <w:hideMark/>
          </w:tcPr>
          <w:p w14:paraId="6AE813E2"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644FB438"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66</w:t>
            </w:r>
          </w:p>
        </w:tc>
        <w:tc>
          <w:tcPr>
            <w:tcW w:w="900" w:type="dxa"/>
            <w:noWrap/>
            <w:hideMark/>
          </w:tcPr>
          <w:p w14:paraId="60C1B091"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12</w:t>
            </w:r>
          </w:p>
        </w:tc>
        <w:tc>
          <w:tcPr>
            <w:tcW w:w="900" w:type="dxa"/>
            <w:noWrap/>
            <w:hideMark/>
          </w:tcPr>
          <w:p w14:paraId="019F9DEB"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637A01C8"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810" w:type="dxa"/>
            <w:noWrap/>
            <w:hideMark/>
          </w:tcPr>
          <w:p w14:paraId="5AA34573"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r>
      <w:tr w:rsidR="001D1700" w:rsidRPr="00913891" w14:paraId="60D588F9" w14:textId="77777777" w:rsidTr="001D1700">
        <w:trPr>
          <w:trHeight w:val="310"/>
        </w:trPr>
        <w:tc>
          <w:tcPr>
            <w:tcW w:w="1075" w:type="dxa"/>
            <w:hideMark/>
          </w:tcPr>
          <w:p w14:paraId="1D1598C5"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SG-0040</w:t>
            </w:r>
          </w:p>
        </w:tc>
        <w:tc>
          <w:tcPr>
            <w:tcW w:w="2520" w:type="dxa"/>
            <w:hideMark/>
          </w:tcPr>
          <w:p w14:paraId="609275C3"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Saginaw - Independence</w:t>
            </w:r>
          </w:p>
        </w:tc>
        <w:tc>
          <w:tcPr>
            <w:tcW w:w="900" w:type="dxa"/>
            <w:noWrap/>
            <w:hideMark/>
          </w:tcPr>
          <w:p w14:paraId="6DBC9C85"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1080" w:type="dxa"/>
            <w:noWrap/>
            <w:hideMark/>
          </w:tcPr>
          <w:p w14:paraId="77CD7C9F"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8.5</w:t>
            </w:r>
          </w:p>
        </w:tc>
        <w:tc>
          <w:tcPr>
            <w:tcW w:w="990" w:type="dxa"/>
            <w:noWrap/>
            <w:hideMark/>
          </w:tcPr>
          <w:p w14:paraId="2132C597"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63</w:t>
            </w:r>
          </w:p>
        </w:tc>
        <w:tc>
          <w:tcPr>
            <w:tcW w:w="900" w:type="dxa"/>
            <w:noWrap/>
            <w:hideMark/>
          </w:tcPr>
          <w:p w14:paraId="33D30600"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11</w:t>
            </w:r>
          </w:p>
        </w:tc>
        <w:tc>
          <w:tcPr>
            <w:tcW w:w="900" w:type="dxa"/>
            <w:noWrap/>
            <w:hideMark/>
          </w:tcPr>
          <w:p w14:paraId="419A072A"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4D11B5F1"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810" w:type="dxa"/>
            <w:noWrap/>
            <w:hideMark/>
          </w:tcPr>
          <w:p w14:paraId="3B7DB6AB"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r>
      <w:tr w:rsidR="001D1700" w:rsidRPr="00913891" w14:paraId="1FE1C42C" w14:textId="77777777" w:rsidTr="001D1700">
        <w:trPr>
          <w:trHeight w:val="310"/>
        </w:trPr>
        <w:tc>
          <w:tcPr>
            <w:tcW w:w="1075" w:type="dxa"/>
            <w:hideMark/>
          </w:tcPr>
          <w:p w14:paraId="7AF4A3E7"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SG-0052a</w:t>
            </w:r>
          </w:p>
        </w:tc>
        <w:tc>
          <w:tcPr>
            <w:tcW w:w="2520" w:type="dxa"/>
            <w:hideMark/>
          </w:tcPr>
          <w:p w14:paraId="1640C0E4"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Saginaw - Middle Ground</w:t>
            </w:r>
          </w:p>
        </w:tc>
        <w:tc>
          <w:tcPr>
            <w:tcW w:w="900" w:type="dxa"/>
            <w:noWrap/>
            <w:hideMark/>
          </w:tcPr>
          <w:p w14:paraId="4D34BAED"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1080" w:type="dxa"/>
            <w:noWrap/>
            <w:hideMark/>
          </w:tcPr>
          <w:p w14:paraId="7AF3F69A"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7C487059"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58</w:t>
            </w:r>
          </w:p>
        </w:tc>
        <w:tc>
          <w:tcPr>
            <w:tcW w:w="900" w:type="dxa"/>
            <w:noWrap/>
            <w:hideMark/>
          </w:tcPr>
          <w:p w14:paraId="020AF0A9"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12</w:t>
            </w:r>
          </w:p>
        </w:tc>
        <w:tc>
          <w:tcPr>
            <w:tcW w:w="900" w:type="dxa"/>
            <w:noWrap/>
            <w:hideMark/>
          </w:tcPr>
          <w:p w14:paraId="78BF2D47"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5938EB3D"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810" w:type="dxa"/>
            <w:noWrap/>
            <w:hideMark/>
          </w:tcPr>
          <w:p w14:paraId="77A56A09"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r>
      <w:tr w:rsidR="001D1700" w:rsidRPr="00913891" w14:paraId="09B1E0EE" w14:textId="77777777" w:rsidTr="001D1700">
        <w:trPr>
          <w:trHeight w:val="310"/>
        </w:trPr>
        <w:tc>
          <w:tcPr>
            <w:tcW w:w="1075" w:type="dxa"/>
            <w:hideMark/>
          </w:tcPr>
          <w:p w14:paraId="332F8ADA"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SG-0059</w:t>
            </w:r>
          </w:p>
        </w:tc>
        <w:tc>
          <w:tcPr>
            <w:tcW w:w="2520" w:type="dxa"/>
            <w:hideMark/>
          </w:tcPr>
          <w:p w14:paraId="41EE8FE2"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Saginaw - Dutch Creek</w:t>
            </w:r>
          </w:p>
        </w:tc>
        <w:tc>
          <w:tcPr>
            <w:tcW w:w="900" w:type="dxa"/>
            <w:noWrap/>
            <w:hideMark/>
          </w:tcPr>
          <w:p w14:paraId="78129DE6"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1080" w:type="dxa"/>
            <w:noWrap/>
            <w:hideMark/>
          </w:tcPr>
          <w:p w14:paraId="7D4087B9"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6.8</w:t>
            </w:r>
          </w:p>
        </w:tc>
        <w:tc>
          <w:tcPr>
            <w:tcW w:w="990" w:type="dxa"/>
            <w:noWrap/>
            <w:hideMark/>
          </w:tcPr>
          <w:p w14:paraId="2FA3B81F"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71</w:t>
            </w:r>
          </w:p>
        </w:tc>
        <w:tc>
          <w:tcPr>
            <w:tcW w:w="900" w:type="dxa"/>
            <w:noWrap/>
            <w:hideMark/>
          </w:tcPr>
          <w:p w14:paraId="36DB571A"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10</w:t>
            </w:r>
          </w:p>
        </w:tc>
        <w:tc>
          <w:tcPr>
            <w:tcW w:w="900" w:type="dxa"/>
            <w:noWrap/>
            <w:hideMark/>
          </w:tcPr>
          <w:p w14:paraId="17A9521F"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55C02249"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810" w:type="dxa"/>
            <w:noWrap/>
            <w:hideMark/>
          </w:tcPr>
          <w:p w14:paraId="46F03F1C"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r>
      <w:tr w:rsidR="001D1700" w:rsidRPr="00913891" w14:paraId="0ED55D86" w14:textId="77777777" w:rsidTr="001D1700">
        <w:trPr>
          <w:trHeight w:val="310"/>
        </w:trPr>
        <w:tc>
          <w:tcPr>
            <w:tcW w:w="1075" w:type="dxa"/>
            <w:hideMark/>
          </w:tcPr>
          <w:p w14:paraId="080EB014"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SG-0070</w:t>
            </w:r>
          </w:p>
        </w:tc>
        <w:tc>
          <w:tcPr>
            <w:tcW w:w="2520" w:type="dxa"/>
            <w:hideMark/>
          </w:tcPr>
          <w:p w14:paraId="3685A9C9"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 xml:space="preserve">Saginaw - </w:t>
            </w:r>
            <w:proofErr w:type="spellStart"/>
            <w:r w:rsidRPr="00913891">
              <w:rPr>
                <w:rFonts w:asciiTheme="minorHAnsi" w:hAnsiTheme="minorHAnsi" w:cstheme="minorHAnsi"/>
                <w:color w:val="000000" w:themeColor="text1"/>
                <w:sz w:val="22"/>
                <w:szCs w:val="22"/>
              </w:rPr>
              <w:t>Zilwaukee</w:t>
            </w:r>
            <w:proofErr w:type="spellEnd"/>
          </w:p>
        </w:tc>
        <w:tc>
          <w:tcPr>
            <w:tcW w:w="900" w:type="dxa"/>
            <w:noWrap/>
            <w:hideMark/>
          </w:tcPr>
          <w:p w14:paraId="40CF588A"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1080" w:type="dxa"/>
            <w:noWrap/>
            <w:hideMark/>
          </w:tcPr>
          <w:p w14:paraId="6D847BC6"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0E8D4C60"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53</w:t>
            </w:r>
          </w:p>
        </w:tc>
        <w:tc>
          <w:tcPr>
            <w:tcW w:w="900" w:type="dxa"/>
            <w:noWrap/>
            <w:hideMark/>
          </w:tcPr>
          <w:p w14:paraId="5DB7B2A6"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8</w:t>
            </w:r>
          </w:p>
        </w:tc>
        <w:tc>
          <w:tcPr>
            <w:tcW w:w="900" w:type="dxa"/>
            <w:noWrap/>
            <w:hideMark/>
          </w:tcPr>
          <w:p w14:paraId="6B4D77D9"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15FBAF1A"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810" w:type="dxa"/>
            <w:noWrap/>
            <w:hideMark/>
          </w:tcPr>
          <w:p w14:paraId="7379483E"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r>
      <w:tr w:rsidR="001D1700" w:rsidRPr="00913891" w14:paraId="536359C1" w14:textId="77777777" w:rsidTr="001D1700">
        <w:trPr>
          <w:trHeight w:val="310"/>
        </w:trPr>
        <w:tc>
          <w:tcPr>
            <w:tcW w:w="1075" w:type="dxa"/>
            <w:hideMark/>
          </w:tcPr>
          <w:p w14:paraId="2A719FD8"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DC-0010</w:t>
            </w:r>
          </w:p>
        </w:tc>
        <w:tc>
          <w:tcPr>
            <w:tcW w:w="2520" w:type="dxa"/>
            <w:hideMark/>
          </w:tcPr>
          <w:p w14:paraId="640DE3DA"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Dutch Creek - Ziegler</w:t>
            </w:r>
          </w:p>
        </w:tc>
        <w:tc>
          <w:tcPr>
            <w:tcW w:w="900" w:type="dxa"/>
            <w:noWrap/>
            <w:hideMark/>
          </w:tcPr>
          <w:p w14:paraId="03EB1FDB"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71</w:t>
            </w:r>
          </w:p>
        </w:tc>
        <w:tc>
          <w:tcPr>
            <w:tcW w:w="1080" w:type="dxa"/>
            <w:noWrap/>
            <w:hideMark/>
          </w:tcPr>
          <w:p w14:paraId="6E31B91F"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24</w:t>
            </w:r>
          </w:p>
        </w:tc>
        <w:tc>
          <w:tcPr>
            <w:tcW w:w="990" w:type="dxa"/>
            <w:noWrap/>
            <w:hideMark/>
          </w:tcPr>
          <w:p w14:paraId="0497CCAE"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98</w:t>
            </w:r>
          </w:p>
        </w:tc>
        <w:tc>
          <w:tcPr>
            <w:tcW w:w="900" w:type="dxa"/>
            <w:noWrap/>
            <w:hideMark/>
          </w:tcPr>
          <w:p w14:paraId="4E93F0C6"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31</w:t>
            </w:r>
          </w:p>
        </w:tc>
        <w:tc>
          <w:tcPr>
            <w:tcW w:w="900" w:type="dxa"/>
            <w:noWrap/>
            <w:hideMark/>
          </w:tcPr>
          <w:p w14:paraId="1C88B34C"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43533C82"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810" w:type="dxa"/>
            <w:noWrap/>
            <w:hideMark/>
          </w:tcPr>
          <w:p w14:paraId="6B450F28"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r>
      <w:tr w:rsidR="001D1700" w:rsidRPr="00913891" w14:paraId="72F5706C" w14:textId="77777777" w:rsidTr="001D1700">
        <w:trPr>
          <w:trHeight w:val="310"/>
        </w:trPr>
        <w:tc>
          <w:tcPr>
            <w:tcW w:w="1075" w:type="dxa"/>
            <w:hideMark/>
          </w:tcPr>
          <w:p w14:paraId="2577346E"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SG-0110</w:t>
            </w:r>
          </w:p>
        </w:tc>
        <w:tc>
          <w:tcPr>
            <w:tcW w:w="2520" w:type="dxa"/>
            <w:hideMark/>
          </w:tcPr>
          <w:p w14:paraId="69232857"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Saginaw - W Center</w:t>
            </w:r>
          </w:p>
        </w:tc>
        <w:tc>
          <w:tcPr>
            <w:tcW w:w="900" w:type="dxa"/>
            <w:noWrap/>
            <w:hideMark/>
          </w:tcPr>
          <w:p w14:paraId="04CF7D48"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21</w:t>
            </w:r>
          </w:p>
        </w:tc>
        <w:tc>
          <w:tcPr>
            <w:tcW w:w="1080" w:type="dxa"/>
            <w:noWrap/>
            <w:hideMark/>
          </w:tcPr>
          <w:p w14:paraId="2705E74F"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2887855C"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31</w:t>
            </w:r>
          </w:p>
        </w:tc>
        <w:tc>
          <w:tcPr>
            <w:tcW w:w="900" w:type="dxa"/>
            <w:noWrap/>
            <w:hideMark/>
          </w:tcPr>
          <w:p w14:paraId="7213F515"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13</w:t>
            </w:r>
          </w:p>
        </w:tc>
        <w:tc>
          <w:tcPr>
            <w:tcW w:w="900" w:type="dxa"/>
            <w:noWrap/>
            <w:hideMark/>
          </w:tcPr>
          <w:p w14:paraId="02AE1E98"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6CD85959"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810" w:type="dxa"/>
            <w:noWrap/>
            <w:hideMark/>
          </w:tcPr>
          <w:p w14:paraId="42E8AB03"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r>
      <w:tr w:rsidR="001D1700" w:rsidRPr="00913891" w14:paraId="6D5EF532" w14:textId="77777777" w:rsidTr="001D1700">
        <w:trPr>
          <w:trHeight w:val="310"/>
        </w:trPr>
        <w:tc>
          <w:tcPr>
            <w:tcW w:w="1075" w:type="dxa"/>
            <w:hideMark/>
          </w:tcPr>
          <w:p w14:paraId="4CE6D35F"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SG-0010</w:t>
            </w:r>
          </w:p>
        </w:tc>
        <w:tc>
          <w:tcPr>
            <w:tcW w:w="2520" w:type="dxa"/>
            <w:hideMark/>
          </w:tcPr>
          <w:p w14:paraId="4E47D255"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Tittabawassee - S Center</w:t>
            </w:r>
          </w:p>
        </w:tc>
        <w:tc>
          <w:tcPr>
            <w:tcW w:w="900" w:type="dxa"/>
            <w:noWrap/>
            <w:hideMark/>
          </w:tcPr>
          <w:p w14:paraId="345CD328"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1080" w:type="dxa"/>
            <w:noWrap/>
            <w:hideMark/>
          </w:tcPr>
          <w:p w14:paraId="681D7BEC"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4E27F722"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34</w:t>
            </w:r>
          </w:p>
        </w:tc>
        <w:tc>
          <w:tcPr>
            <w:tcW w:w="900" w:type="dxa"/>
            <w:noWrap/>
            <w:hideMark/>
          </w:tcPr>
          <w:p w14:paraId="6E40AA7E"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00" w:type="dxa"/>
            <w:noWrap/>
            <w:hideMark/>
          </w:tcPr>
          <w:p w14:paraId="41D98721"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5121D16F"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810" w:type="dxa"/>
            <w:noWrap/>
            <w:hideMark/>
          </w:tcPr>
          <w:p w14:paraId="196C5E00"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r>
      <w:tr w:rsidR="001D1700" w:rsidRPr="00913891" w14:paraId="0AAF9D13" w14:textId="77777777" w:rsidTr="001D1700">
        <w:trPr>
          <w:trHeight w:val="310"/>
        </w:trPr>
        <w:tc>
          <w:tcPr>
            <w:tcW w:w="1075" w:type="dxa"/>
            <w:hideMark/>
          </w:tcPr>
          <w:p w14:paraId="6EF17F24"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CR-0010</w:t>
            </w:r>
          </w:p>
        </w:tc>
        <w:tc>
          <w:tcPr>
            <w:tcW w:w="2520" w:type="dxa"/>
            <w:hideMark/>
          </w:tcPr>
          <w:p w14:paraId="41A76B35"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Cass - E Road</w:t>
            </w:r>
          </w:p>
        </w:tc>
        <w:tc>
          <w:tcPr>
            <w:tcW w:w="900" w:type="dxa"/>
            <w:noWrap/>
            <w:hideMark/>
          </w:tcPr>
          <w:p w14:paraId="4EC8B615"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1080" w:type="dxa"/>
            <w:noWrap/>
            <w:hideMark/>
          </w:tcPr>
          <w:p w14:paraId="04FE17B4"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22E0003A"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36</w:t>
            </w:r>
          </w:p>
        </w:tc>
        <w:tc>
          <w:tcPr>
            <w:tcW w:w="900" w:type="dxa"/>
            <w:noWrap/>
            <w:hideMark/>
          </w:tcPr>
          <w:p w14:paraId="06756E84"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00" w:type="dxa"/>
            <w:noWrap/>
            <w:hideMark/>
          </w:tcPr>
          <w:p w14:paraId="621D6F54"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1E44DE42"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810" w:type="dxa"/>
            <w:noWrap/>
            <w:hideMark/>
          </w:tcPr>
          <w:p w14:paraId="530F3D4D"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r>
      <w:tr w:rsidR="001D1700" w:rsidRPr="00913891" w14:paraId="6268AEA2" w14:textId="77777777" w:rsidTr="001D1700">
        <w:trPr>
          <w:trHeight w:val="310"/>
        </w:trPr>
        <w:tc>
          <w:tcPr>
            <w:tcW w:w="1075" w:type="dxa"/>
            <w:hideMark/>
          </w:tcPr>
          <w:p w14:paraId="0E299D2D"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FR-0015</w:t>
            </w:r>
          </w:p>
        </w:tc>
        <w:tc>
          <w:tcPr>
            <w:tcW w:w="2520" w:type="dxa"/>
            <w:hideMark/>
          </w:tcPr>
          <w:p w14:paraId="6D7F6E75"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Flint - E Road</w:t>
            </w:r>
          </w:p>
        </w:tc>
        <w:tc>
          <w:tcPr>
            <w:tcW w:w="900" w:type="dxa"/>
            <w:noWrap/>
            <w:hideMark/>
          </w:tcPr>
          <w:p w14:paraId="4CBD77AA"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1080" w:type="dxa"/>
            <w:noWrap/>
            <w:hideMark/>
          </w:tcPr>
          <w:p w14:paraId="1BA483A9"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115BA823"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00" w:type="dxa"/>
            <w:noWrap/>
            <w:hideMark/>
          </w:tcPr>
          <w:p w14:paraId="044E13F8"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00" w:type="dxa"/>
            <w:noWrap/>
            <w:hideMark/>
          </w:tcPr>
          <w:p w14:paraId="4260CEFC"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16F174BD"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16</w:t>
            </w:r>
          </w:p>
        </w:tc>
        <w:tc>
          <w:tcPr>
            <w:tcW w:w="810" w:type="dxa"/>
            <w:noWrap/>
            <w:hideMark/>
          </w:tcPr>
          <w:p w14:paraId="48182C4F"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r>
      <w:tr w:rsidR="001D1700" w:rsidRPr="00913891" w14:paraId="76E6C9C2" w14:textId="77777777" w:rsidTr="001D1700">
        <w:trPr>
          <w:trHeight w:val="310"/>
        </w:trPr>
        <w:tc>
          <w:tcPr>
            <w:tcW w:w="1075" w:type="dxa"/>
            <w:hideMark/>
          </w:tcPr>
          <w:p w14:paraId="6500782E"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BD-0110</w:t>
            </w:r>
          </w:p>
        </w:tc>
        <w:tc>
          <w:tcPr>
            <w:tcW w:w="2520" w:type="dxa"/>
            <w:hideMark/>
          </w:tcPr>
          <w:p w14:paraId="5E0F7C2A"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Bad River</w:t>
            </w:r>
          </w:p>
        </w:tc>
        <w:tc>
          <w:tcPr>
            <w:tcW w:w="900" w:type="dxa"/>
            <w:noWrap/>
            <w:hideMark/>
          </w:tcPr>
          <w:p w14:paraId="131B2FFA"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39</w:t>
            </w:r>
          </w:p>
        </w:tc>
        <w:tc>
          <w:tcPr>
            <w:tcW w:w="1080" w:type="dxa"/>
            <w:noWrap/>
            <w:hideMark/>
          </w:tcPr>
          <w:p w14:paraId="150C3FB2"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57</w:t>
            </w:r>
          </w:p>
        </w:tc>
        <w:tc>
          <w:tcPr>
            <w:tcW w:w="990" w:type="dxa"/>
            <w:noWrap/>
            <w:hideMark/>
          </w:tcPr>
          <w:p w14:paraId="11F45A25"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71</w:t>
            </w:r>
          </w:p>
        </w:tc>
        <w:tc>
          <w:tcPr>
            <w:tcW w:w="900" w:type="dxa"/>
            <w:noWrap/>
            <w:hideMark/>
          </w:tcPr>
          <w:p w14:paraId="6633060B"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00" w:type="dxa"/>
            <w:noWrap/>
            <w:hideMark/>
          </w:tcPr>
          <w:p w14:paraId="4E7BD493"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38</w:t>
            </w:r>
          </w:p>
        </w:tc>
        <w:tc>
          <w:tcPr>
            <w:tcW w:w="990" w:type="dxa"/>
            <w:noWrap/>
            <w:hideMark/>
          </w:tcPr>
          <w:p w14:paraId="7F96D98D"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89</w:t>
            </w:r>
          </w:p>
        </w:tc>
        <w:tc>
          <w:tcPr>
            <w:tcW w:w="810" w:type="dxa"/>
            <w:noWrap/>
            <w:hideMark/>
          </w:tcPr>
          <w:p w14:paraId="5924E15E"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35</w:t>
            </w:r>
          </w:p>
        </w:tc>
      </w:tr>
      <w:tr w:rsidR="001D1700" w:rsidRPr="00913891" w14:paraId="266E936F" w14:textId="77777777" w:rsidTr="001D1700">
        <w:trPr>
          <w:trHeight w:val="310"/>
        </w:trPr>
        <w:tc>
          <w:tcPr>
            <w:tcW w:w="1075" w:type="dxa"/>
            <w:hideMark/>
          </w:tcPr>
          <w:p w14:paraId="0ED705ED"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SW-0010</w:t>
            </w:r>
          </w:p>
        </w:tc>
        <w:tc>
          <w:tcPr>
            <w:tcW w:w="2520" w:type="dxa"/>
            <w:hideMark/>
          </w:tcPr>
          <w:p w14:paraId="6A0AFEAE"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Shiawassee - Fergus</w:t>
            </w:r>
          </w:p>
        </w:tc>
        <w:tc>
          <w:tcPr>
            <w:tcW w:w="900" w:type="dxa"/>
            <w:noWrap/>
            <w:hideMark/>
          </w:tcPr>
          <w:p w14:paraId="42D95225"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1080" w:type="dxa"/>
            <w:noWrap/>
            <w:hideMark/>
          </w:tcPr>
          <w:p w14:paraId="263135BA"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48E6E3B5"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00" w:type="dxa"/>
            <w:noWrap/>
            <w:hideMark/>
          </w:tcPr>
          <w:p w14:paraId="5CBA6700"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00" w:type="dxa"/>
            <w:noWrap/>
            <w:hideMark/>
          </w:tcPr>
          <w:p w14:paraId="760E5971"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1F8A3A37"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15</w:t>
            </w:r>
          </w:p>
        </w:tc>
        <w:tc>
          <w:tcPr>
            <w:tcW w:w="810" w:type="dxa"/>
            <w:noWrap/>
            <w:hideMark/>
          </w:tcPr>
          <w:p w14:paraId="14E814B1"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r>
      <w:tr w:rsidR="001D1700" w:rsidRPr="00913891" w14:paraId="47979B14" w14:textId="77777777" w:rsidTr="001D1700">
        <w:trPr>
          <w:trHeight w:val="310"/>
        </w:trPr>
        <w:tc>
          <w:tcPr>
            <w:tcW w:w="1075" w:type="dxa"/>
            <w:hideMark/>
          </w:tcPr>
          <w:p w14:paraId="7B1AC796"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PR-0010</w:t>
            </w:r>
          </w:p>
        </w:tc>
        <w:tc>
          <w:tcPr>
            <w:tcW w:w="2520" w:type="dxa"/>
            <w:hideMark/>
          </w:tcPr>
          <w:p w14:paraId="4D67C385"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Pine - E Pine River</w:t>
            </w:r>
          </w:p>
        </w:tc>
        <w:tc>
          <w:tcPr>
            <w:tcW w:w="900" w:type="dxa"/>
            <w:noWrap/>
            <w:hideMark/>
          </w:tcPr>
          <w:p w14:paraId="20C4B33D"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1080" w:type="dxa"/>
            <w:noWrap/>
            <w:hideMark/>
          </w:tcPr>
          <w:p w14:paraId="351CF08B"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3244E5FB"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70</w:t>
            </w:r>
          </w:p>
        </w:tc>
        <w:tc>
          <w:tcPr>
            <w:tcW w:w="900" w:type="dxa"/>
            <w:noWrap/>
            <w:hideMark/>
          </w:tcPr>
          <w:p w14:paraId="18378DBA"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00" w:type="dxa"/>
            <w:noWrap/>
            <w:hideMark/>
          </w:tcPr>
          <w:p w14:paraId="2644CD3F"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10</w:t>
            </w:r>
          </w:p>
        </w:tc>
        <w:tc>
          <w:tcPr>
            <w:tcW w:w="990" w:type="dxa"/>
            <w:noWrap/>
            <w:hideMark/>
          </w:tcPr>
          <w:p w14:paraId="3882B7F6"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30.5</w:t>
            </w:r>
          </w:p>
        </w:tc>
        <w:tc>
          <w:tcPr>
            <w:tcW w:w="810" w:type="dxa"/>
            <w:noWrap/>
            <w:hideMark/>
          </w:tcPr>
          <w:p w14:paraId="09D83C8D" w14:textId="77777777" w:rsidR="00913891" w:rsidRPr="00913891" w:rsidRDefault="00913891" w:rsidP="001D1700">
            <w:pPr>
              <w:jc w:val="center"/>
              <w:rPr>
                <w:rFonts w:asciiTheme="minorHAnsi" w:hAnsiTheme="minorHAnsi" w:cstheme="minorHAnsi"/>
                <w:color w:val="000000" w:themeColor="text1"/>
                <w:sz w:val="22"/>
                <w:szCs w:val="22"/>
              </w:rPr>
            </w:pPr>
          </w:p>
        </w:tc>
      </w:tr>
      <w:tr w:rsidR="001D1700" w:rsidRPr="00913891" w14:paraId="7F7A1416" w14:textId="77777777" w:rsidTr="001D1700">
        <w:trPr>
          <w:trHeight w:val="310"/>
        </w:trPr>
        <w:tc>
          <w:tcPr>
            <w:tcW w:w="1075" w:type="dxa"/>
            <w:hideMark/>
          </w:tcPr>
          <w:p w14:paraId="1E252E67"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CP-0020</w:t>
            </w:r>
          </w:p>
        </w:tc>
        <w:tc>
          <w:tcPr>
            <w:tcW w:w="2520" w:type="dxa"/>
            <w:hideMark/>
          </w:tcPr>
          <w:p w14:paraId="1371DA9F" w14:textId="77777777" w:rsidR="00913891" w:rsidRPr="00913891" w:rsidRDefault="00913891" w:rsidP="00913891">
            <w:pP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Chippewa - E Chippewa River</w:t>
            </w:r>
          </w:p>
        </w:tc>
        <w:tc>
          <w:tcPr>
            <w:tcW w:w="900" w:type="dxa"/>
            <w:noWrap/>
            <w:hideMark/>
          </w:tcPr>
          <w:p w14:paraId="11DCB7E4"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1080" w:type="dxa"/>
            <w:noWrap/>
            <w:hideMark/>
          </w:tcPr>
          <w:p w14:paraId="5B876D29"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90" w:type="dxa"/>
            <w:noWrap/>
            <w:hideMark/>
          </w:tcPr>
          <w:p w14:paraId="757394BC"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26</w:t>
            </w:r>
          </w:p>
        </w:tc>
        <w:tc>
          <w:tcPr>
            <w:tcW w:w="900" w:type="dxa"/>
            <w:noWrap/>
            <w:hideMark/>
          </w:tcPr>
          <w:p w14:paraId="6E1DDE24"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900" w:type="dxa"/>
            <w:noWrap/>
            <w:hideMark/>
          </w:tcPr>
          <w:p w14:paraId="0ADFF003"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8.8</w:t>
            </w:r>
          </w:p>
        </w:tc>
        <w:tc>
          <w:tcPr>
            <w:tcW w:w="990" w:type="dxa"/>
            <w:noWrap/>
            <w:hideMark/>
          </w:tcPr>
          <w:p w14:paraId="4C0749FA"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c>
          <w:tcPr>
            <w:tcW w:w="810" w:type="dxa"/>
            <w:noWrap/>
            <w:hideMark/>
          </w:tcPr>
          <w:p w14:paraId="4EADE013" w14:textId="77777777" w:rsidR="00913891" w:rsidRPr="00913891" w:rsidRDefault="00913891" w:rsidP="001D1700">
            <w:pPr>
              <w:jc w:val="center"/>
              <w:rPr>
                <w:rFonts w:asciiTheme="minorHAnsi" w:hAnsiTheme="minorHAnsi" w:cstheme="minorHAnsi"/>
                <w:color w:val="000000" w:themeColor="text1"/>
                <w:sz w:val="22"/>
                <w:szCs w:val="22"/>
              </w:rPr>
            </w:pPr>
            <w:r w:rsidRPr="00913891">
              <w:rPr>
                <w:rFonts w:asciiTheme="minorHAnsi" w:hAnsiTheme="minorHAnsi" w:cstheme="minorHAnsi"/>
                <w:color w:val="000000" w:themeColor="text1"/>
                <w:sz w:val="22"/>
                <w:szCs w:val="22"/>
              </w:rPr>
              <w:t>ND</w:t>
            </w:r>
          </w:p>
        </w:tc>
      </w:tr>
    </w:tbl>
    <w:p w14:paraId="502363DB" w14:textId="77777777" w:rsidR="00183CB9" w:rsidRDefault="00183CB9" w:rsidP="00900D0C">
      <w:pPr>
        <w:rPr>
          <w:b/>
          <w:bCs/>
          <w:sz w:val="28"/>
          <w:szCs w:val="28"/>
        </w:rPr>
      </w:pPr>
    </w:p>
    <w:p w14:paraId="2ABE572F" w14:textId="77777777" w:rsidR="00183CB9" w:rsidRDefault="00183CB9" w:rsidP="00900D0C">
      <w:pPr>
        <w:rPr>
          <w:b/>
          <w:bCs/>
          <w:sz w:val="28"/>
          <w:szCs w:val="28"/>
        </w:rPr>
      </w:pPr>
    </w:p>
    <w:p w14:paraId="5C8DA8A4" w14:textId="77777777" w:rsidR="001D1700" w:rsidRDefault="001D1700" w:rsidP="00900D0C">
      <w:pPr>
        <w:rPr>
          <w:b/>
          <w:bCs/>
          <w:sz w:val="28"/>
          <w:szCs w:val="28"/>
        </w:rPr>
      </w:pPr>
    </w:p>
    <w:p w14:paraId="22ECE474" w14:textId="77777777" w:rsidR="001D1700" w:rsidRDefault="001D1700" w:rsidP="00900D0C">
      <w:pPr>
        <w:rPr>
          <w:b/>
          <w:bCs/>
          <w:sz w:val="28"/>
          <w:szCs w:val="28"/>
        </w:rPr>
      </w:pPr>
    </w:p>
    <w:tbl>
      <w:tblPr>
        <w:tblStyle w:val="TableGrid"/>
        <w:tblW w:w="10141" w:type="dxa"/>
        <w:tblLook w:val="04A0" w:firstRow="1" w:lastRow="0" w:firstColumn="1" w:lastColumn="0" w:noHBand="0" w:noVBand="1"/>
      </w:tblPr>
      <w:tblGrid>
        <w:gridCol w:w="1075"/>
        <w:gridCol w:w="2520"/>
        <w:gridCol w:w="944"/>
        <w:gridCol w:w="1036"/>
        <w:gridCol w:w="1055"/>
        <w:gridCol w:w="832"/>
        <w:gridCol w:w="903"/>
        <w:gridCol w:w="944"/>
        <w:gridCol w:w="832"/>
      </w:tblGrid>
      <w:tr w:rsidR="001D1700" w:rsidRPr="001D1700" w14:paraId="46624938" w14:textId="77777777" w:rsidTr="001D1700">
        <w:trPr>
          <w:trHeight w:val="310"/>
        </w:trPr>
        <w:tc>
          <w:tcPr>
            <w:tcW w:w="10141" w:type="dxa"/>
            <w:gridSpan w:val="9"/>
            <w:noWrap/>
          </w:tcPr>
          <w:p w14:paraId="71E3AC9F" w14:textId="49CA2756" w:rsidR="001D1700" w:rsidRPr="001D1700" w:rsidRDefault="001D1700" w:rsidP="001D1700">
            <w:pPr>
              <w:jc w:val="center"/>
              <w:rPr>
                <w:rFonts w:asciiTheme="minorHAnsi" w:hAnsiTheme="minorHAnsi" w:cstheme="minorHAnsi"/>
                <w:color w:val="000000"/>
                <w:sz w:val="22"/>
                <w:szCs w:val="22"/>
              </w:rPr>
            </w:pPr>
            <w:r>
              <w:rPr>
                <w:rFonts w:asciiTheme="minorHAnsi" w:hAnsiTheme="minorHAnsi" w:cstheme="minorHAnsi"/>
                <w:color w:val="000000"/>
                <w:sz w:val="22"/>
                <w:szCs w:val="22"/>
              </w:rPr>
              <w:t>Thiamethoxam</w:t>
            </w:r>
          </w:p>
        </w:tc>
      </w:tr>
      <w:tr w:rsidR="001D1700" w:rsidRPr="001D1700" w14:paraId="413BA5DF" w14:textId="77777777" w:rsidTr="001D1700">
        <w:trPr>
          <w:trHeight w:val="310"/>
        </w:trPr>
        <w:tc>
          <w:tcPr>
            <w:tcW w:w="1075" w:type="dxa"/>
            <w:noWrap/>
            <w:hideMark/>
          </w:tcPr>
          <w:p w14:paraId="023E58D4"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Site ID</w:t>
            </w:r>
          </w:p>
        </w:tc>
        <w:tc>
          <w:tcPr>
            <w:tcW w:w="2520" w:type="dxa"/>
            <w:noWrap/>
            <w:hideMark/>
          </w:tcPr>
          <w:p w14:paraId="2CE270F1"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Sample Location</w:t>
            </w:r>
          </w:p>
        </w:tc>
        <w:tc>
          <w:tcPr>
            <w:tcW w:w="944" w:type="dxa"/>
            <w:noWrap/>
            <w:hideMark/>
          </w:tcPr>
          <w:p w14:paraId="0613A2AD"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7/29/21</w:t>
            </w:r>
          </w:p>
        </w:tc>
        <w:tc>
          <w:tcPr>
            <w:tcW w:w="1036" w:type="dxa"/>
            <w:noWrap/>
            <w:hideMark/>
          </w:tcPr>
          <w:p w14:paraId="3A547827"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8/26/21</w:t>
            </w:r>
          </w:p>
        </w:tc>
        <w:tc>
          <w:tcPr>
            <w:tcW w:w="1055" w:type="dxa"/>
            <w:noWrap/>
            <w:hideMark/>
          </w:tcPr>
          <w:p w14:paraId="55923793" w14:textId="77777777" w:rsidR="001D1700" w:rsidRPr="001D1700" w:rsidRDefault="001D1700">
            <w:pPr>
              <w:jc w:val="right"/>
              <w:rPr>
                <w:rFonts w:asciiTheme="minorHAnsi" w:hAnsiTheme="minorHAnsi" w:cstheme="minorHAnsi"/>
                <w:color w:val="000000"/>
                <w:sz w:val="22"/>
                <w:szCs w:val="22"/>
              </w:rPr>
            </w:pPr>
            <w:r w:rsidRPr="001D1700">
              <w:rPr>
                <w:rFonts w:asciiTheme="minorHAnsi" w:hAnsiTheme="minorHAnsi" w:cstheme="minorHAnsi"/>
                <w:color w:val="000000"/>
                <w:sz w:val="22"/>
                <w:szCs w:val="22"/>
              </w:rPr>
              <w:t>10/14/21</w:t>
            </w:r>
          </w:p>
        </w:tc>
        <w:tc>
          <w:tcPr>
            <w:tcW w:w="832" w:type="dxa"/>
            <w:noWrap/>
            <w:hideMark/>
          </w:tcPr>
          <w:p w14:paraId="656AE036" w14:textId="77777777" w:rsidR="001D1700" w:rsidRPr="001D1700" w:rsidRDefault="001D1700">
            <w:pPr>
              <w:jc w:val="right"/>
              <w:rPr>
                <w:rFonts w:asciiTheme="minorHAnsi" w:hAnsiTheme="minorHAnsi" w:cstheme="minorHAnsi"/>
                <w:color w:val="000000"/>
                <w:sz w:val="22"/>
                <w:szCs w:val="22"/>
              </w:rPr>
            </w:pPr>
            <w:r w:rsidRPr="001D1700">
              <w:rPr>
                <w:rFonts w:asciiTheme="minorHAnsi" w:hAnsiTheme="minorHAnsi" w:cstheme="minorHAnsi"/>
                <w:color w:val="000000"/>
                <w:sz w:val="22"/>
                <w:szCs w:val="22"/>
              </w:rPr>
              <w:t>4/5/22</w:t>
            </w:r>
          </w:p>
        </w:tc>
        <w:tc>
          <w:tcPr>
            <w:tcW w:w="903" w:type="dxa"/>
            <w:noWrap/>
            <w:hideMark/>
          </w:tcPr>
          <w:p w14:paraId="50286157" w14:textId="77777777" w:rsidR="001D1700" w:rsidRPr="001D1700" w:rsidRDefault="001D1700">
            <w:pPr>
              <w:jc w:val="right"/>
              <w:rPr>
                <w:rFonts w:asciiTheme="minorHAnsi" w:hAnsiTheme="minorHAnsi" w:cstheme="minorHAnsi"/>
                <w:color w:val="000000"/>
                <w:sz w:val="22"/>
                <w:szCs w:val="22"/>
              </w:rPr>
            </w:pPr>
            <w:r w:rsidRPr="001D1700">
              <w:rPr>
                <w:rFonts w:asciiTheme="minorHAnsi" w:hAnsiTheme="minorHAnsi" w:cstheme="minorHAnsi"/>
                <w:color w:val="000000"/>
                <w:sz w:val="22"/>
                <w:szCs w:val="22"/>
              </w:rPr>
              <w:t>5/3/22</w:t>
            </w:r>
          </w:p>
        </w:tc>
        <w:tc>
          <w:tcPr>
            <w:tcW w:w="944" w:type="dxa"/>
            <w:noWrap/>
            <w:hideMark/>
          </w:tcPr>
          <w:p w14:paraId="382B2BC2" w14:textId="77777777" w:rsidR="001D1700" w:rsidRPr="001D1700" w:rsidRDefault="001D1700">
            <w:pPr>
              <w:jc w:val="right"/>
              <w:rPr>
                <w:rFonts w:asciiTheme="minorHAnsi" w:hAnsiTheme="minorHAnsi" w:cstheme="minorHAnsi"/>
                <w:color w:val="000000"/>
                <w:sz w:val="22"/>
                <w:szCs w:val="22"/>
              </w:rPr>
            </w:pPr>
            <w:r w:rsidRPr="001D1700">
              <w:rPr>
                <w:rFonts w:asciiTheme="minorHAnsi" w:hAnsiTheme="minorHAnsi" w:cstheme="minorHAnsi"/>
                <w:color w:val="000000"/>
                <w:sz w:val="22"/>
                <w:szCs w:val="22"/>
              </w:rPr>
              <w:t>6/14/22</w:t>
            </w:r>
          </w:p>
        </w:tc>
        <w:tc>
          <w:tcPr>
            <w:tcW w:w="832" w:type="dxa"/>
            <w:noWrap/>
            <w:hideMark/>
          </w:tcPr>
          <w:p w14:paraId="6B3A938E" w14:textId="77777777" w:rsidR="001D1700" w:rsidRPr="001D1700" w:rsidRDefault="001D1700">
            <w:pPr>
              <w:jc w:val="right"/>
              <w:rPr>
                <w:rFonts w:asciiTheme="minorHAnsi" w:hAnsiTheme="minorHAnsi" w:cstheme="minorHAnsi"/>
                <w:color w:val="000000"/>
                <w:sz w:val="22"/>
                <w:szCs w:val="22"/>
              </w:rPr>
            </w:pPr>
            <w:r w:rsidRPr="001D1700">
              <w:rPr>
                <w:rFonts w:asciiTheme="minorHAnsi" w:hAnsiTheme="minorHAnsi" w:cstheme="minorHAnsi"/>
                <w:color w:val="000000"/>
                <w:sz w:val="22"/>
                <w:szCs w:val="22"/>
              </w:rPr>
              <w:t>7/7/22</w:t>
            </w:r>
          </w:p>
        </w:tc>
      </w:tr>
      <w:tr w:rsidR="001D1700" w:rsidRPr="001D1700" w14:paraId="40BD1132" w14:textId="77777777" w:rsidTr="001D1700">
        <w:trPr>
          <w:trHeight w:val="310"/>
        </w:trPr>
        <w:tc>
          <w:tcPr>
            <w:tcW w:w="1075" w:type="dxa"/>
            <w:hideMark/>
          </w:tcPr>
          <w:p w14:paraId="28573C72"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SG-0030</w:t>
            </w:r>
          </w:p>
        </w:tc>
        <w:tc>
          <w:tcPr>
            <w:tcW w:w="2520" w:type="dxa"/>
            <w:hideMark/>
          </w:tcPr>
          <w:p w14:paraId="35B6B27D"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Saginaw - S. Railway</w:t>
            </w:r>
          </w:p>
        </w:tc>
        <w:tc>
          <w:tcPr>
            <w:tcW w:w="944" w:type="dxa"/>
            <w:noWrap/>
            <w:hideMark/>
          </w:tcPr>
          <w:p w14:paraId="3CEA2D6B"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36" w:type="dxa"/>
            <w:noWrap/>
            <w:hideMark/>
          </w:tcPr>
          <w:p w14:paraId="7EDD2AB3"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05BC0426"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23</w:t>
            </w:r>
          </w:p>
        </w:tc>
        <w:tc>
          <w:tcPr>
            <w:tcW w:w="832" w:type="dxa"/>
            <w:noWrap/>
            <w:hideMark/>
          </w:tcPr>
          <w:p w14:paraId="18F7E7AB"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797F57FF"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255FB96A"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832" w:type="dxa"/>
            <w:noWrap/>
            <w:hideMark/>
          </w:tcPr>
          <w:p w14:paraId="6458E103"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r>
      <w:tr w:rsidR="001D1700" w:rsidRPr="001D1700" w14:paraId="3C5E010D" w14:textId="77777777" w:rsidTr="001D1700">
        <w:trPr>
          <w:trHeight w:val="310"/>
        </w:trPr>
        <w:tc>
          <w:tcPr>
            <w:tcW w:w="1075" w:type="dxa"/>
            <w:hideMark/>
          </w:tcPr>
          <w:p w14:paraId="30499497"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SG-0040</w:t>
            </w:r>
          </w:p>
        </w:tc>
        <w:tc>
          <w:tcPr>
            <w:tcW w:w="2520" w:type="dxa"/>
            <w:hideMark/>
          </w:tcPr>
          <w:p w14:paraId="11D62E23"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Saginaw - Independence</w:t>
            </w:r>
          </w:p>
        </w:tc>
        <w:tc>
          <w:tcPr>
            <w:tcW w:w="944" w:type="dxa"/>
            <w:noWrap/>
            <w:hideMark/>
          </w:tcPr>
          <w:p w14:paraId="60B4C0EA"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36" w:type="dxa"/>
            <w:noWrap/>
            <w:hideMark/>
          </w:tcPr>
          <w:p w14:paraId="1159C6CC"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3C2C4844"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25</w:t>
            </w:r>
          </w:p>
        </w:tc>
        <w:tc>
          <w:tcPr>
            <w:tcW w:w="832" w:type="dxa"/>
            <w:noWrap/>
            <w:hideMark/>
          </w:tcPr>
          <w:p w14:paraId="09DD2F79"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0572F579"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263FE57F"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832" w:type="dxa"/>
            <w:noWrap/>
            <w:hideMark/>
          </w:tcPr>
          <w:p w14:paraId="7C53F800"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r>
      <w:tr w:rsidR="001D1700" w:rsidRPr="001D1700" w14:paraId="07F11811" w14:textId="77777777" w:rsidTr="001D1700">
        <w:trPr>
          <w:trHeight w:val="310"/>
        </w:trPr>
        <w:tc>
          <w:tcPr>
            <w:tcW w:w="1075" w:type="dxa"/>
            <w:hideMark/>
          </w:tcPr>
          <w:p w14:paraId="7D5B1CAC"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SG-0052a</w:t>
            </w:r>
          </w:p>
        </w:tc>
        <w:tc>
          <w:tcPr>
            <w:tcW w:w="2520" w:type="dxa"/>
            <w:hideMark/>
          </w:tcPr>
          <w:p w14:paraId="2B67E13B"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Saginaw - Middle Ground</w:t>
            </w:r>
          </w:p>
        </w:tc>
        <w:tc>
          <w:tcPr>
            <w:tcW w:w="944" w:type="dxa"/>
            <w:noWrap/>
            <w:hideMark/>
          </w:tcPr>
          <w:p w14:paraId="4B3859E4"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36" w:type="dxa"/>
            <w:noWrap/>
            <w:hideMark/>
          </w:tcPr>
          <w:p w14:paraId="4BDD6847"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07F64D94"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21</w:t>
            </w:r>
          </w:p>
        </w:tc>
        <w:tc>
          <w:tcPr>
            <w:tcW w:w="832" w:type="dxa"/>
            <w:noWrap/>
            <w:hideMark/>
          </w:tcPr>
          <w:p w14:paraId="0F0ADBD1"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2E9FAB7B"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3E825D42"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6.8</w:t>
            </w:r>
          </w:p>
        </w:tc>
        <w:tc>
          <w:tcPr>
            <w:tcW w:w="832" w:type="dxa"/>
            <w:noWrap/>
            <w:hideMark/>
          </w:tcPr>
          <w:p w14:paraId="2A408312"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r>
      <w:tr w:rsidR="001D1700" w:rsidRPr="001D1700" w14:paraId="1F9C0BFF" w14:textId="77777777" w:rsidTr="001D1700">
        <w:trPr>
          <w:trHeight w:val="310"/>
        </w:trPr>
        <w:tc>
          <w:tcPr>
            <w:tcW w:w="1075" w:type="dxa"/>
            <w:hideMark/>
          </w:tcPr>
          <w:p w14:paraId="47350570"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SG-0059</w:t>
            </w:r>
          </w:p>
        </w:tc>
        <w:tc>
          <w:tcPr>
            <w:tcW w:w="2520" w:type="dxa"/>
            <w:hideMark/>
          </w:tcPr>
          <w:p w14:paraId="581E7B8B"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Saginaw - Dutch Creek</w:t>
            </w:r>
          </w:p>
        </w:tc>
        <w:tc>
          <w:tcPr>
            <w:tcW w:w="944" w:type="dxa"/>
            <w:noWrap/>
            <w:hideMark/>
          </w:tcPr>
          <w:p w14:paraId="247665E1"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36" w:type="dxa"/>
            <w:noWrap/>
            <w:hideMark/>
          </w:tcPr>
          <w:p w14:paraId="6D2F2F2B"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46317AEF"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23</w:t>
            </w:r>
          </w:p>
        </w:tc>
        <w:tc>
          <w:tcPr>
            <w:tcW w:w="832" w:type="dxa"/>
            <w:noWrap/>
            <w:hideMark/>
          </w:tcPr>
          <w:p w14:paraId="7345F578"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5DE6E3D8"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7DBFBAFE"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832" w:type="dxa"/>
            <w:noWrap/>
            <w:hideMark/>
          </w:tcPr>
          <w:p w14:paraId="3F75A732"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r>
      <w:tr w:rsidR="001D1700" w:rsidRPr="001D1700" w14:paraId="4D708230" w14:textId="77777777" w:rsidTr="001D1700">
        <w:trPr>
          <w:trHeight w:val="310"/>
        </w:trPr>
        <w:tc>
          <w:tcPr>
            <w:tcW w:w="1075" w:type="dxa"/>
            <w:hideMark/>
          </w:tcPr>
          <w:p w14:paraId="4084FF84"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SG-0070</w:t>
            </w:r>
          </w:p>
        </w:tc>
        <w:tc>
          <w:tcPr>
            <w:tcW w:w="2520" w:type="dxa"/>
            <w:hideMark/>
          </w:tcPr>
          <w:p w14:paraId="494B488A"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 xml:space="preserve">Saginaw - </w:t>
            </w:r>
            <w:proofErr w:type="spellStart"/>
            <w:r w:rsidRPr="001D1700">
              <w:rPr>
                <w:rFonts w:asciiTheme="minorHAnsi" w:hAnsiTheme="minorHAnsi" w:cstheme="minorHAnsi"/>
                <w:color w:val="000000"/>
                <w:sz w:val="22"/>
                <w:szCs w:val="22"/>
              </w:rPr>
              <w:t>Zilwaukee</w:t>
            </w:r>
            <w:proofErr w:type="spellEnd"/>
          </w:p>
        </w:tc>
        <w:tc>
          <w:tcPr>
            <w:tcW w:w="944" w:type="dxa"/>
            <w:noWrap/>
            <w:hideMark/>
          </w:tcPr>
          <w:p w14:paraId="682AAAF3"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36" w:type="dxa"/>
            <w:noWrap/>
            <w:hideMark/>
          </w:tcPr>
          <w:p w14:paraId="47ED1DCB"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6E9CD5B3"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16</w:t>
            </w:r>
          </w:p>
        </w:tc>
        <w:tc>
          <w:tcPr>
            <w:tcW w:w="832" w:type="dxa"/>
            <w:noWrap/>
            <w:hideMark/>
          </w:tcPr>
          <w:p w14:paraId="11BF35E2"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6F82CA55"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079917AB"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832" w:type="dxa"/>
            <w:noWrap/>
            <w:hideMark/>
          </w:tcPr>
          <w:p w14:paraId="172DA71B"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r>
      <w:tr w:rsidR="001D1700" w:rsidRPr="001D1700" w14:paraId="77F616BC" w14:textId="77777777" w:rsidTr="001D1700">
        <w:trPr>
          <w:trHeight w:val="310"/>
        </w:trPr>
        <w:tc>
          <w:tcPr>
            <w:tcW w:w="1075" w:type="dxa"/>
            <w:hideMark/>
          </w:tcPr>
          <w:p w14:paraId="703F3AEF"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DC-0010</w:t>
            </w:r>
          </w:p>
        </w:tc>
        <w:tc>
          <w:tcPr>
            <w:tcW w:w="2520" w:type="dxa"/>
            <w:hideMark/>
          </w:tcPr>
          <w:p w14:paraId="44C4D850"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Dutch Creek - Ziegler</w:t>
            </w:r>
          </w:p>
        </w:tc>
        <w:tc>
          <w:tcPr>
            <w:tcW w:w="944" w:type="dxa"/>
            <w:noWrap/>
            <w:hideMark/>
          </w:tcPr>
          <w:p w14:paraId="4EAB47B5"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32</w:t>
            </w:r>
          </w:p>
        </w:tc>
        <w:tc>
          <w:tcPr>
            <w:tcW w:w="1036" w:type="dxa"/>
            <w:noWrap/>
            <w:hideMark/>
          </w:tcPr>
          <w:p w14:paraId="1BEAD202"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1A8755BE"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7.1</w:t>
            </w:r>
          </w:p>
        </w:tc>
        <w:tc>
          <w:tcPr>
            <w:tcW w:w="832" w:type="dxa"/>
            <w:noWrap/>
            <w:hideMark/>
          </w:tcPr>
          <w:p w14:paraId="54F12AA5"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42FDE6DD"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218E8DD8"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832" w:type="dxa"/>
            <w:noWrap/>
            <w:hideMark/>
          </w:tcPr>
          <w:p w14:paraId="74E45DF9"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r>
      <w:tr w:rsidR="001D1700" w:rsidRPr="001D1700" w14:paraId="591DE2EA" w14:textId="77777777" w:rsidTr="001D1700">
        <w:trPr>
          <w:trHeight w:val="310"/>
        </w:trPr>
        <w:tc>
          <w:tcPr>
            <w:tcW w:w="1075" w:type="dxa"/>
            <w:hideMark/>
          </w:tcPr>
          <w:p w14:paraId="36D31F1C"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SG-0110</w:t>
            </w:r>
          </w:p>
        </w:tc>
        <w:tc>
          <w:tcPr>
            <w:tcW w:w="2520" w:type="dxa"/>
            <w:hideMark/>
          </w:tcPr>
          <w:p w14:paraId="5C5D55E7"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Saginaw - W Center</w:t>
            </w:r>
          </w:p>
        </w:tc>
        <w:tc>
          <w:tcPr>
            <w:tcW w:w="944" w:type="dxa"/>
            <w:noWrap/>
            <w:hideMark/>
          </w:tcPr>
          <w:p w14:paraId="03B56BDE"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8.1</w:t>
            </w:r>
          </w:p>
        </w:tc>
        <w:tc>
          <w:tcPr>
            <w:tcW w:w="1036" w:type="dxa"/>
            <w:noWrap/>
            <w:hideMark/>
          </w:tcPr>
          <w:p w14:paraId="61F7DB2B"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7C9FF14F"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7.7</w:t>
            </w:r>
          </w:p>
        </w:tc>
        <w:tc>
          <w:tcPr>
            <w:tcW w:w="832" w:type="dxa"/>
            <w:noWrap/>
            <w:hideMark/>
          </w:tcPr>
          <w:p w14:paraId="1EF96B19"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618E5A3F"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2D291D9F"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5.9</w:t>
            </w:r>
          </w:p>
        </w:tc>
        <w:tc>
          <w:tcPr>
            <w:tcW w:w="832" w:type="dxa"/>
            <w:noWrap/>
            <w:hideMark/>
          </w:tcPr>
          <w:p w14:paraId="1D622478"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r>
      <w:tr w:rsidR="001D1700" w:rsidRPr="001D1700" w14:paraId="7591FE32" w14:textId="77777777" w:rsidTr="001D1700">
        <w:trPr>
          <w:trHeight w:val="310"/>
        </w:trPr>
        <w:tc>
          <w:tcPr>
            <w:tcW w:w="1075" w:type="dxa"/>
            <w:hideMark/>
          </w:tcPr>
          <w:p w14:paraId="6A97043F"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SG-0010</w:t>
            </w:r>
          </w:p>
        </w:tc>
        <w:tc>
          <w:tcPr>
            <w:tcW w:w="2520" w:type="dxa"/>
            <w:hideMark/>
          </w:tcPr>
          <w:p w14:paraId="3E8ACB8A"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Tittabawassee - S Center</w:t>
            </w:r>
          </w:p>
        </w:tc>
        <w:tc>
          <w:tcPr>
            <w:tcW w:w="944" w:type="dxa"/>
            <w:noWrap/>
            <w:hideMark/>
          </w:tcPr>
          <w:p w14:paraId="6DAF4120"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36" w:type="dxa"/>
            <w:noWrap/>
            <w:hideMark/>
          </w:tcPr>
          <w:p w14:paraId="77625A37"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132BD7E9"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9.6</w:t>
            </w:r>
          </w:p>
        </w:tc>
        <w:tc>
          <w:tcPr>
            <w:tcW w:w="832" w:type="dxa"/>
            <w:noWrap/>
            <w:hideMark/>
          </w:tcPr>
          <w:p w14:paraId="1406B6BA"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609CB012"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761B8CB6"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832" w:type="dxa"/>
            <w:noWrap/>
            <w:hideMark/>
          </w:tcPr>
          <w:p w14:paraId="19F20AB8"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r>
      <w:tr w:rsidR="001D1700" w:rsidRPr="001D1700" w14:paraId="560C68C8" w14:textId="77777777" w:rsidTr="001D1700">
        <w:trPr>
          <w:trHeight w:val="310"/>
        </w:trPr>
        <w:tc>
          <w:tcPr>
            <w:tcW w:w="1075" w:type="dxa"/>
            <w:hideMark/>
          </w:tcPr>
          <w:p w14:paraId="7CD1BDB2"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CR-0010</w:t>
            </w:r>
          </w:p>
        </w:tc>
        <w:tc>
          <w:tcPr>
            <w:tcW w:w="2520" w:type="dxa"/>
            <w:hideMark/>
          </w:tcPr>
          <w:p w14:paraId="1567477C"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Cass - E Road</w:t>
            </w:r>
          </w:p>
        </w:tc>
        <w:tc>
          <w:tcPr>
            <w:tcW w:w="944" w:type="dxa"/>
            <w:noWrap/>
            <w:hideMark/>
          </w:tcPr>
          <w:p w14:paraId="362E103A"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36" w:type="dxa"/>
            <w:noWrap/>
            <w:hideMark/>
          </w:tcPr>
          <w:p w14:paraId="2031530B"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1F4B9BE6"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7.2</w:t>
            </w:r>
          </w:p>
        </w:tc>
        <w:tc>
          <w:tcPr>
            <w:tcW w:w="832" w:type="dxa"/>
            <w:noWrap/>
            <w:hideMark/>
          </w:tcPr>
          <w:p w14:paraId="32A8844C"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05E824DD"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35DAF02D"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6.6</w:t>
            </w:r>
          </w:p>
        </w:tc>
        <w:tc>
          <w:tcPr>
            <w:tcW w:w="832" w:type="dxa"/>
            <w:noWrap/>
            <w:hideMark/>
          </w:tcPr>
          <w:p w14:paraId="2B3CC989"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r>
      <w:tr w:rsidR="001D1700" w:rsidRPr="001D1700" w14:paraId="4E908A00" w14:textId="77777777" w:rsidTr="001D1700">
        <w:trPr>
          <w:trHeight w:val="310"/>
        </w:trPr>
        <w:tc>
          <w:tcPr>
            <w:tcW w:w="1075" w:type="dxa"/>
            <w:hideMark/>
          </w:tcPr>
          <w:p w14:paraId="351C9C98"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FR-0015</w:t>
            </w:r>
          </w:p>
        </w:tc>
        <w:tc>
          <w:tcPr>
            <w:tcW w:w="2520" w:type="dxa"/>
            <w:hideMark/>
          </w:tcPr>
          <w:p w14:paraId="25B04830"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Flint - E Road</w:t>
            </w:r>
          </w:p>
        </w:tc>
        <w:tc>
          <w:tcPr>
            <w:tcW w:w="944" w:type="dxa"/>
            <w:noWrap/>
            <w:hideMark/>
          </w:tcPr>
          <w:p w14:paraId="76CE3286"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36" w:type="dxa"/>
            <w:noWrap/>
            <w:hideMark/>
          </w:tcPr>
          <w:p w14:paraId="5F753DC2"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2FCF17B7"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832" w:type="dxa"/>
            <w:noWrap/>
            <w:hideMark/>
          </w:tcPr>
          <w:p w14:paraId="36CD91F6"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076552FA"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552CF4AB"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9.7</w:t>
            </w:r>
          </w:p>
        </w:tc>
        <w:tc>
          <w:tcPr>
            <w:tcW w:w="832" w:type="dxa"/>
            <w:noWrap/>
            <w:hideMark/>
          </w:tcPr>
          <w:p w14:paraId="38B338A3"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r>
      <w:tr w:rsidR="001D1700" w:rsidRPr="001D1700" w14:paraId="5F474512" w14:textId="77777777" w:rsidTr="001D1700">
        <w:trPr>
          <w:trHeight w:val="310"/>
        </w:trPr>
        <w:tc>
          <w:tcPr>
            <w:tcW w:w="1075" w:type="dxa"/>
            <w:hideMark/>
          </w:tcPr>
          <w:p w14:paraId="1A0AF21A"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BD-0110</w:t>
            </w:r>
          </w:p>
        </w:tc>
        <w:tc>
          <w:tcPr>
            <w:tcW w:w="2520" w:type="dxa"/>
            <w:hideMark/>
          </w:tcPr>
          <w:p w14:paraId="30F68997"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Bad River</w:t>
            </w:r>
          </w:p>
        </w:tc>
        <w:tc>
          <w:tcPr>
            <w:tcW w:w="944" w:type="dxa"/>
            <w:noWrap/>
            <w:hideMark/>
          </w:tcPr>
          <w:p w14:paraId="7D093DE5"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7.6</w:t>
            </w:r>
          </w:p>
        </w:tc>
        <w:tc>
          <w:tcPr>
            <w:tcW w:w="1036" w:type="dxa"/>
            <w:noWrap/>
            <w:hideMark/>
          </w:tcPr>
          <w:p w14:paraId="66986470"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7F520C67"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832" w:type="dxa"/>
            <w:noWrap/>
            <w:hideMark/>
          </w:tcPr>
          <w:p w14:paraId="09B2C4F5"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2A3A9018"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23B6BF30"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13</w:t>
            </w:r>
          </w:p>
        </w:tc>
        <w:tc>
          <w:tcPr>
            <w:tcW w:w="832" w:type="dxa"/>
            <w:noWrap/>
            <w:hideMark/>
          </w:tcPr>
          <w:p w14:paraId="34D15F71"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r>
      <w:tr w:rsidR="001D1700" w:rsidRPr="001D1700" w14:paraId="3A0A33CB" w14:textId="77777777" w:rsidTr="001D1700">
        <w:trPr>
          <w:trHeight w:val="310"/>
        </w:trPr>
        <w:tc>
          <w:tcPr>
            <w:tcW w:w="1075" w:type="dxa"/>
            <w:hideMark/>
          </w:tcPr>
          <w:p w14:paraId="4C31A745"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SW-0010</w:t>
            </w:r>
          </w:p>
        </w:tc>
        <w:tc>
          <w:tcPr>
            <w:tcW w:w="2520" w:type="dxa"/>
            <w:hideMark/>
          </w:tcPr>
          <w:p w14:paraId="27EAD2D7"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Shiawassee - Fergus</w:t>
            </w:r>
          </w:p>
        </w:tc>
        <w:tc>
          <w:tcPr>
            <w:tcW w:w="944" w:type="dxa"/>
            <w:noWrap/>
            <w:hideMark/>
          </w:tcPr>
          <w:p w14:paraId="76A75499"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36" w:type="dxa"/>
            <w:noWrap/>
            <w:hideMark/>
          </w:tcPr>
          <w:p w14:paraId="0C657143"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2AB6DE99"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832" w:type="dxa"/>
            <w:noWrap/>
            <w:hideMark/>
          </w:tcPr>
          <w:p w14:paraId="44866375"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72A24B1B"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57282F36"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832" w:type="dxa"/>
            <w:noWrap/>
            <w:hideMark/>
          </w:tcPr>
          <w:p w14:paraId="3BA813BE"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r>
      <w:tr w:rsidR="001D1700" w:rsidRPr="001D1700" w14:paraId="5F8729CB" w14:textId="77777777" w:rsidTr="001D1700">
        <w:trPr>
          <w:trHeight w:val="310"/>
        </w:trPr>
        <w:tc>
          <w:tcPr>
            <w:tcW w:w="1075" w:type="dxa"/>
            <w:hideMark/>
          </w:tcPr>
          <w:p w14:paraId="3471CF6F"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PR-0010</w:t>
            </w:r>
          </w:p>
        </w:tc>
        <w:tc>
          <w:tcPr>
            <w:tcW w:w="2520" w:type="dxa"/>
            <w:hideMark/>
          </w:tcPr>
          <w:p w14:paraId="0D2FA341"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Pine - E Pine River</w:t>
            </w:r>
          </w:p>
        </w:tc>
        <w:tc>
          <w:tcPr>
            <w:tcW w:w="944" w:type="dxa"/>
            <w:noWrap/>
            <w:hideMark/>
          </w:tcPr>
          <w:p w14:paraId="7796A47D"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36" w:type="dxa"/>
            <w:noWrap/>
            <w:hideMark/>
          </w:tcPr>
          <w:p w14:paraId="6931523C"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242CA755"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22</w:t>
            </w:r>
          </w:p>
        </w:tc>
        <w:tc>
          <w:tcPr>
            <w:tcW w:w="832" w:type="dxa"/>
            <w:noWrap/>
            <w:hideMark/>
          </w:tcPr>
          <w:p w14:paraId="601C320E"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34B93C8C"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41548B32"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10.05</w:t>
            </w:r>
          </w:p>
        </w:tc>
        <w:tc>
          <w:tcPr>
            <w:tcW w:w="832" w:type="dxa"/>
            <w:noWrap/>
            <w:hideMark/>
          </w:tcPr>
          <w:p w14:paraId="636CC9D0" w14:textId="77777777" w:rsidR="001D1700" w:rsidRPr="001D1700" w:rsidRDefault="001D1700" w:rsidP="001D1700">
            <w:pPr>
              <w:jc w:val="center"/>
              <w:rPr>
                <w:rFonts w:asciiTheme="minorHAnsi" w:hAnsiTheme="minorHAnsi" w:cstheme="minorHAnsi"/>
                <w:color w:val="000000"/>
                <w:sz w:val="22"/>
                <w:szCs w:val="22"/>
              </w:rPr>
            </w:pPr>
          </w:p>
        </w:tc>
      </w:tr>
      <w:tr w:rsidR="001D1700" w:rsidRPr="001D1700" w14:paraId="347E47B9" w14:textId="77777777" w:rsidTr="001D1700">
        <w:trPr>
          <w:trHeight w:val="310"/>
        </w:trPr>
        <w:tc>
          <w:tcPr>
            <w:tcW w:w="1075" w:type="dxa"/>
            <w:hideMark/>
          </w:tcPr>
          <w:p w14:paraId="5F5B4CE7"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CP-0020</w:t>
            </w:r>
          </w:p>
        </w:tc>
        <w:tc>
          <w:tcPr>
            <w:tcW w:w="2520" w:type="dxa"/>
            <w:hideMark/>
          </w:tcPr>
          <w:p w14:paraId="4CA212EF" w14:textId="77777777" w:rsidR="001D1700" w:rsidRPr="001D1700" w:rsidRDefault="001D1700">
            <w:pPr>
              <w:rPr>
                <w:rFonts w:asciiTheme="minorHAnsi" w:hAnsiTheme="minorHAnsi" w:cstheme="minorHAnsi"/>
                <w:color w:val="000000"/>
                <w:sz w:val="22"/>
                <w:szCs w:val="22"/>
              </w:rPr>
            </w:pPr>
            <w:r w:rsidRPr="001D1700">
              <w:rPr>
                <w:rFonts w:asciiTheme="minorHAnsi" w:hAnsiTheme="minorHAnsi" w:cstheme="minorHAnsi"/>
                <w:color w:val="000000"/>
                <w:sz w:val="22"/>
                <w:szCs w:val="22"/>
              </w:rPr>
              <w:t>Chippewa - E Chippewa River</w:t>
            </w:r>
          </w:p>
        </w:tc>
        <w:tc>
          <w:tcPr>
            <w:tcW w:w="944" w:type="dxa"/>
            <w:noWrap/>
            <w:hideMark/>
          </w:tcPr>
          <w:p w14:paraId="00BD2C93"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36" w:type="dxa"/>
            <w:noWrap/>
            <w:hideMark/>
          </w:tcPr>
          <w:p w14:paraId="7463BD65"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1055" w:type="dxa"/>
            <w:noWrap/>
            <w:hideMark/>
          </w:tcPr>
          <w:p w14:paraId="3165BC29"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832" w:type="dxa"/>
            <w:noWrap/>
            <w:hideMark/>
          </w:tcPr>
          <w:p w14:paraId="26F048A3"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03" w:type="dxa"/>
            <w:noWrap/>
            <w:hideMark/>
          </w:tcPr>
          <w:p w14:paraId="6B1F6396"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944" w:type="dxa"/>
            <w:noWrap/>
            <w:hideMark/>
          </w:tcPr>
          <w:p w14:paraId="2E3C718C"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c>
          <w:tcPr>
            <w:tcW w:w="832" w:type="dxa"/>
            <w:noWrap/>
            <w:hideMark/>
          </w:tcPr>
          <w:p w14:paraId="5FDCCBAB" w14:textId="77777777" w:rsidR="001D1700" w:rsidRPr="001D1700" w:rsidRDefault="001D1700" w:rsidP="001D1700">
            <w:pPr>
              <w:jc w:val="center"/>
              <w:rPr>
                <w:rFonts w:asciiTheme="minorHAnsi" w:hAnsiTheme="minorHAnsi" w:cstheme="minorHAnsi"/>
                <w:color w:val="000000"/>
                <w:sz w:val="22"/>
                <w:szCs w:val="22"/>
              </w:rPr>
            </w:pPr>
            <w:r w:rsidRPr="001D1700">
              <w:rPr>
                <w:rFonts w:asciiTheme="minorHAnsi" w:hAnsiTheme="minorHAnsi" w:cstheme="minorHAnsi"/>
                <w:color w:val="000000"/>
                <w:sz w:val="22"/>
                <w:szCs w:val="22"/>
              </w:rPr>
              <w:t>ND</w:t>
            </w:r>
          </w:p>
        </w:tc>
      </w:tr>
    </w:tbl>
    <w:p w14:paraId="49551145" w14:textId="77777777" w:rsidR="001D1700" w:rsidRDefault="001D1700" w:rsidP="00900D0C">
      <w:pPr>
        <w:rPr>
          <w:b/>
          <w:bCs/>
          <w:sz w:val="28"/>
          <w:szCs w:val="28"/>
        </w:rPr>
      </w:pPr>
    </w:p>
    <w:p w14:paraId="641D039C" w14:textId="77777777" w:rsidR="00183CB9" w:rsidRDefault="00183CB9" w:rsidP="00900D0C">
      <w:pPr>
        <w:rPr>
          <w:b/>
          <w:bCs/>
          <w:sz w:val="28"/>
          <w:szCs w:val="28"/>
        </w:rPr>
      </w:pPr>
    </w:p>
    <w:p w14:paraId="7C633C07" w14:textId="77777777" w:rsidR="00183D17" w:rsidRDefault="00183D17">
      <w:pPr>
        <w:spacing w:after="160" w:line="259" w:lineRule="auto"/>
        <w:rPr>
          <w:rFonts w:asciiTheme="minorHAnsi" w:hAnsiTheme="minorHAnsi" w:cstheme="minorHAnsi"/>
        </w:rPr>
      </w:pPr>
      <w:r>
        <w:rPr>
          <w:rFonts w:asciiTheme="minorHAnsi" w:hAnsiTheme="minorHAnsi" w:cstheme="minorHAnsi"/>
        </w:rPr>
        <w:br w:type="page"/>
      </w:r>
    </w:p>
    <w:p w14:paraId="523F7570" w14:textId="427C1CB6" w:rsidR="00183D17" w:rsidRDefault="00183D17" w:rsidP="00183D17">
      <w:pPr>
        <w:rPr>
          <w:rFonts w:asciiTheme="minorHAnsi" w:hAnsiTheme="minorHAnsi" w:cstheme="minorHAnsi"/>
        </w:rPr>
      </w:pPr>
      <w:r w:rsidRPr="001D1700">
        <w:rPr>
          <w:rFonts w:asciiTheme="minorHAnsi" w:hAnsiTheme="minorHAnsi" w:cstheme="minorHAnsi"/>
        </w:rPr>
        <w:lastRenderedPageBreak/>
        <w:t>Supplemental Table S</w:t>
      </w:r>
      <w:r>
        <w:rPr>
          <w:rFonts w:asciiTheme="minorHAnsi" w:hAnsiTheme="minorHAnsi" w:cstheme="minorHAnsi"/>
        </w:rPr>
        <w:t>3</w:t>
      </w:r>
      <w:r w:rsidRPr="001D1700">
        <w:rPr>
          <w:rFonts w:asciiTheme="minorHAnsi" w:hAnsiTheme="minorHAnsi" w:cstheme="minorHAnsi"/>
        </w:rPr>
        <w:t xml:space="preserve">. </w:t>
      </w:r>
      <w:r>
        <w:rPr>
          <w:rFonts w:asciiTheme="minorHAnsi" w:hAnsiTheme="minorHAnsi" w:cstheme="minorHAnsi"/>
        </w:rPr>
        <w:t>POCIS mass accumulation</w:t>
      </w:r>
      <w:r w:rsidRPr="001D1700">
        <w:rPr>
          <w:rFonts w:asciiTheme="minorHAnsi" w:hAnsiTheme="minorHAnsi" w:cstheme="minorHAnsi"/>
        </w:rPr>
        <w:t xml:space="preserve"> for imidacloprid, clothianidin, and thiamethoxam (ng/</w:t>
      </w:r>
      <w:r w:rsidR="005C29EE">
        <w:rPr>
          <w:rFonts w:asciiTheme="minorHAnsi" w:hAnsiTheme="minorHAnsi" w:cstheme="minorHAnsi"/>
        </w:rPr>
        <w:t>POCIS</w:t>
      </w:r>
      <w:r w:rsidRPr="001D1700">
        <w:rPr>
          <w:rFonts w:asciiTheme="minorHAnsi" w:hAnsiTheme="minorHAnsi" w:cstheme="minorHAnsi"/>
        </w:rPr>
        <w:t xml:space="preserve">). </w:t>
      </w:r>
    </w:p>
    <w:p w14:paraId="1D2AEEE5" w14:textId="0A65999C" w:rsidR="001D1700" w:rsidRDefault="001D1700">
      <w:pPr>
        <w:spacing w:after="160" w:line="259" w:lineRule="auto"/>
        <w:rPr>
          <w:b/>
          <w:bCs/>
          <w:sz w:val="28"/>
          <w:szCs w:val="28"/>
        </w:rPr>
      </w:pPr>
    </w:p>
    <w:tbl>
      <w:tblPr>
        <w:tblStyle w:val="TableGrid"/>
        <w:tblW w:w="9184" w:type="dxa"/>
        <w:tblLook w:val="04A0" w:firstRow="1" w:lastRow="0" w:firstColumn="1" w:lastColumn="0" w:noHBand="0" w:noVBand="1"/>
      </w:tblPr>
      <w:tblGrid>
        <w:gridCol w:w="1075"/>
        <w:gridCol w:w="2610"/>
        <w:gridCol w:w="1167"/>
        <w:gridCol w:w="1055"/>
        <w:gridCol w:w="1055"/>
        <w:gridCol w:w="1167"/>
        <w:gridCol w:w="1055"/>
      </w:tblGrid>
      <w:tr w:rsidR="00560DDD" w:rsidRPr="005C29EE" w14:paraId="0E032A09" w14:textId="77777777" w:rsidTr="00560DDD">
        <w:trPr>
          <w:trHeight w:val="300"/>
        </w:trPr>
        <w:tc>
          <w:tcPr>
            <w:tcW w:w="9184" w:type="dxa"/>
            <w:gridSpan w:val="7"/>
            <w:noWrap/>
          </w:tcPr>
          <w:p w14:paraId="397664BB" w14:textId="6DACA4CC" w:rsidR="00560DDD" w:rsidRPr="005C29EE" w:rsidRDefault="00560DDD" w:rsidP="00560DDD">
            <w:pPr>
              <w:jc w:val="center"/>
              <w:rPr>
                <w:rFonts w:asciiTheme="minorHAnsi" w:hAnsiTheme="minorHAnsi" w:cstheme="minorHAnsi"/>
                <w:color w:val="000000"/>
                <w:sz w:val="22"/>
                <w:szCs w:val="22"/>
              </w:rPr>
            </w:pPr>
            <w:r>
              <w:rPr>
                <w:rFonts w:asciiTheme="minorHAnsi" w:hAnsiTheme="minorHAnsi" w:cstheme="minorHAnsi"/>
                <w:color w:val="000000"/>
                <w:sz w:val="22"/>
                <w:szCs w:val="22"/>
              </w:rPr>
              <w:t>Imidacloprid</w:t>
            </w:r>
          </w:p>
        </w:tc>
      </w:tr>
      <w:tr w:rsidR="005C29EE" w:rsidRPr="005C29EE" w14:paraId="3D5E0534" w14:textId="77777777" w:rsidTr="00560DDD">
        <w:trPr>
          <w:trHeight w:val="300"/>
        </w:trPr>
        <w:tc>
          <w:tcPr>
            <w:tcW w:w="1075" w:type="dxa"/>
            <w:noWrap/>
            <w:hideMark/>
          </w:tcPr>
          <w:p w14:paraId="1630F80B"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Site ID</w:t>
            </w:r>
          </w:p>
        </w:tc>
        <w:tc>
          <w:tcPr>
            <w:tcW w:w="2610" w:type="dxa"/>
            <w:noWrap/>
            <w:hideMark/>
          </w:tcPr>
          <w:p w14:paraId="6FA871D8"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Sample Location</w:t>
            </w:r>
          </w:p>
        </w:tc>
        <w:tc>
          <w:tcPr>
            <w:tcW w:w="1167" w:type="dxa"/>
            <w:noWrap/>
            <w:hideMark/>
          </w:tcPr>
          <w:p w14:paraId="2C245FFC"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7/29-8/26/2021</w:t>
            </w:r>
          </w:p>
        </w:tc>
        <w:tc>
          <w:tcPr>
            <w:tcW w:w="1055" w:type="dxa"/>
            <w:noWrap/>
            <w:hideMark/>
          </w:tcPr>
          <w:p w14:paraId="0A830B69"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8/26-10/14/21</w:t>
            </w:r>
          </w:p>
        </w:tc>
        <w:tc>
          <w:tcPr>
            <w:tcW w:w="1055" w:type="dxa"/>
            <w:noWrap/>
            <w:hideMark/>
          </w:tcPr>
          <w:p w14:paraId="60596BD9"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4/5-5/3/2022</w:t>
            </w:r>
          </w:p>
        </w:tc>
        <w:tc>
          <w:tcPr>
            <w:tcW w:w="1167" w:type="dxa"/>
            <w:noWrap/>
            <w:hideMark/>
          </w:tcPr>
          <w:p w14:paraId="618B4038"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5/3-6/14/2022</w:t>
            </w:r>
          </w:p>
        </w:tc>
        <w:tc>
          <w:tcPr>
            <w:tcW w:w="1055" w:type="dxa"/>
            <w:noWrap/>
            <w:hideMark/>
          </w:tcPr>
          <w:p w14:paraId="362B7CC3"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6/14-7/7/2022</w:t>
            </w:r>
          </w:p>
        </w:tc>
      </w:tr>
      <w:tr w:rsidR="005C29EE" w:rsidRPr="005C29EE" w14:paraId="513BAC97" w14:textId="77777777" w:rsidTr="00560DDD">
        <w:trPr>
          <w:trHeight w:val="300"/>
        </w:trPr>
        <w:tc>
          <w:tcPr>
            <w:tcW w:w="1075" w:type="dxa"/>
            <w:noWrap/>
            <w:hideMark/>
          </w:tcPr>
          <w:p w14:paraId="5AFA76DA"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SG-0030</w:t>
            </w:r>
          </w:p>
        </w:tc>
        <w:tc>
          <w:tcPr>
            <w:tcW w:w="2610" w:type="dxa"/>
            <w:noWrap/>
            <w:hideMark/>
          </w:tcPr>
          <w:p w14:paraId="55AE76AA"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Saginaw - S. Railway</w:t>
            </w:r>
          </w:p>
        </w:tc>
        <w:tc>
          <w:tcPr>
            <w:tcW w:w="1167" w:type="dxa"/>
            <w:noWrap/>
            <w:hideMark/>
          </w:tcPr>
          <w:p w14:paraId="210B400F"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81.67</w:t>
            </w:r>
          </w:p>
        </w:tc>
        <w:tc>
          <w:tcPr>
            <w:tcW w:w="1055" w:type="dxa"/>
            <w:noWrap/>
            <w:hideMark/>
          </w:tcPr>
          <w:p w14:paraId="47A5534B"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46.33</w:t>
            </w:r>
          </w:p>
        </w:tc>
        <w:tc>
          <w:tcPr>
            <w:tcW w:w="1055" w:type="dxa"/>
            <w:noWrap/>
            <w:hideMark/>
          </w:tcPr>
          <w:p w14:paraId="2C7947E7"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3.60</w:t>
            </w:r>
          </w:p>
        </w:tc>
        <w:tc>
          <w:tcPr>
            <w:tcW w:w="1167" w:type="dxa"/>
            <w:noWrap/>
            <w:hideMark/>
          </w:tcPr>
          <w:p w14:paraId="43C832B9"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18.33</w:t>
            </w:r>
          </w:p>
        </w:tc>
        <w:tc>
          <w:tcPr>
            <w:tcW w:w="1055" w:type="dxa"/>
            <w:noWrap/>
            <w:hideMark/>
          </w:tcPr>
          <w:p w14:paraId="724EB9D2"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24.67</w:t>
            </w:r>
          </w:p>
        </w:tc>
      </w:tr>
      <w:tr w:rsidR="005C29EE" w:rsidRPr="005C29EE" w14:paraId="29449DD5" w14:textId="77777777" w:rsidTr="00560DDD">
        <w:trPr>
          <w:trHeight w:val="300"/>
        </w:trPr>
        <w:tc>
          <w:tcPr>
            <w:tcW w:w="1075" w:type="dxa"/>
            <w:noWrap/>
            <w:hideMark/>
          </w:tcPr>
          <w:p w14:paraId="79590E12"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SG-0040</w:t>
            </w:r>
          </w:p>
        </w:tc>
        <w:tc>
          <w:tcPr>
            <w:tcW w:w="2610" w:type="dxa"/>
            <w:noWrap/>
            <w:hideMark/>
          </w:tcPr>
          <w:p w14:paraId="687DB3FC"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Saginaw - Independence</w:t>
            </w:r>
          </w:p>
        </w:tc>
        <w:tc>
          <w:tcPr>
            <w:tcW w:w="1167" w:type="dxa"/>
            <w:noWrap/>
            <w:hideMark/>
          </w:tcPr>
          <w:p w14:paraId="396EB6AB"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85.33</w:t>
            </w:r>
          </w:p>
        </w:tc>
        <w:tc>
          <w:tcPr>
            <w:tcW w:w="1055" w:type="dxa"/>
            <w:noWrap/>
            <w:hideMark/>
          </w:tcPr>
          <w:p w14:paraId="67629C14"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48.00</w:t>
            </w:r>
          </w:p>
        </w:tc>
        <w:tc>
          <w:tcPr>
            <w:tcW w:w="1055" w:type="dxa"/>
            <w:noWrap/>
            <w:hideMark/>
          </w:tcPr>
          <w:p w14:paraId="4D0AA2ED"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4.80</w:t>
            </w:r>
          </w:p>
        </w:tc>
        <w:tc>
          <w:tcPr>
            <w:tcW w:w="1167" w:type="dxa"/>
            <w:noWrap/>
            <w:hideMark/>
          </w:tcPr>
          <w:p w14:paraId="2C193B03"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13.33</w:t>
            </w:r>
          </w:p>
        </w:tc>
        <w:tc>
          <w:tcPr>
            <w:tcW w:w="1055" w:type="dxa"/>
            <w:noWrap/>
            <w:hideMark/>
          </w:tcPr>
          <w:p w14:paraId="5EF99E8E"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24.00</w:t>
            </w:r>
          </w:p>
        </w:tc>
      </w:tr>
      <w:tr w:rsidR="005C29EE" w:rsidRPr="005C29EE" w14:paraId="5F13B76A" w14:textId="77777777" w:rsidTr="00560DDD">
        <w:trPr>
          <w:trHeight w:val="300"/>
        </w:trPr>
        <w:tc>
          <w:tcPr>
            <w:tcW w:w="1075" w:type="dxa"/>
            <w:noWrap/>
            <w:hideMark/>
          </w:tcPr>
          <w:p w14:paraId="4867AB9A"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SG-0052a</w:t>
            </w:r>
          </w:p>
        </w:tc>
        <w:tc>
          <w:tcPr>
            <w:tcW w:w="2610" w:type="dxa"/>
            <w:noWrap/>
            <w:hideMark/>
          </w:tcPr>
          <w:p w14:paraId="4C2F07C4"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Saginaw - Middle Ground</w:t>
            </w:r>
          </w:p>
        </w:tc>
        <w:tc>
          <w:tcPr>
            <w:tcW w:w="1167" w:type="dxa"/>
            <w:noWrap/>
            <w:hideMark/>
          </w:tcPr>
          <w:p w14:paraId="4349B55B"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68.00</w:t>
            </w:r>
          </w:p>
        </w:tc>
        <w:tc>
          <w:tcPr>
            <w:tcW w:w="1055" w:type="dxa"/>
            <w:noWrap/>
            <w:hideMark/>
          </w:tcPr>
          <w:p w14:paraId="7DBF4503"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47.67</w:t>
            </w:r>
          </w:p>
        </w:tc>
        <w:tc>
          <w:tcPr>
            <w:tcW w:w="1055" w:type="dxa"/>
            <w:noWrap/>
            <w:hideMark/>
          </w:tcPr>
          <w:p w14:paraId="2DC785F1"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3.63</w:t>
            </w:r>
          </w:p>
        </w:tc>
        <w:tc>
          <w:tcPr>
            <w:tcW w:w="1167" w:type="dxa"/>
            <w:noWrap/>
            <w:hideMark/>
          </w:tcPr>
          <w:p w14:paraId="5A6A4025"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22.33</w:t>
            </w:r>
          </w:p>
        </w:tc>
        <w:tc>
          <w:tcPr>
            <w:tcW w:w="1055" w:type="dxa"/>
            <w:noWrap/>
            <w:hideMark/>
          </w:tcPr>
          <w:p w14:paraId="392BC43A"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13.00</w:t>
            </w:r>
          </w:p>
        </w:tc>
      </w:tr>
      <w:tr w:rsidR="005C29EE" w:rsidRPr="005C29EE" w14:paraId="7441A92C" w14:textId="77777777" w:rsidTr="00560DDD">
        <w:trPr>
          <w:trHeight w:val="300"/>
        </w:trPr>
        <w:tc>
          <w:tcPr>
            <w:tcW w:w="1075" w:type="dxa"/>
            <w:noWrap/>
            <w:hideMark/>
          </w:tcPr>
          <w:p w14:paraId="12704F41"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SG-0059</w:t>
            </w:r>
          </w:p>
        </w:tc>
        <w:tc>
          <w:tcPr>
            <w:tcW w:w="2610" w:type="dxa"/>
            <w:noWrap/>
            <w:hideMark/>
          </w:tcPr>
          <w:p w14:paraId="799D19BF"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Saginaw - Dutch Creek</w:t>
            </w:r>
          </w:p>
        </w:tc>
        <w:tc>
          <w:tcPr>
            <w:tcW w:w="1167" w:type="dxa"/>
            <w:noWrap/>
            <w:hideMark/>
          </w:tcPr>
          <w:p w14:paraId="1AF1A9E0"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81.00</w:t>
            </w:r>
          </w:p>
        </w:tc>
        <w:tc>
          <w:tcPr>
            <w:tcW w:w="1055" w:type="dxa"/>
            <w:noWrap/>
            <w:hideMark/>
          </w:tcPr>
          <w:p w14:paraId="440EC905"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63.67</w:t>
            </w:r>
          </w:p>
        </w:tc>
        <w:tc>
          <w:tcPr>
            <w:tcW w:w="1055" w:type="dxa"/>
            <w:noWrap/>
            <w:hideMark/>
          </w:tcPr>
          <w:p w14:paraId="0642AC12"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5.87</w:t>
            </w:r>
          </w:p>
        </w:tc>
        <w:tc>
          <w:tcPr>
            <w:tcW w:w="1167" w:type="dxa"/>
            <w:noWrap/>
            <w:hideMark/>
          </w:tcPr>
          <w:p w14:paraId="46CFED8E"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22.00</w:t>
            </w:r>
          </w:p>
        </w:tc>
        <w:tc>
          <w:tcPr>
            <w:tcW w:w="1055" w:type="dxa"/>
            <w:noWrap/>
            <w:hideMark/>
          </w:tcPr>
          <w:p w14:paraId="31D93136"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33.00</w:t>
            </w:r>
          </w:p>
        </w:tc>
      </w:tr>
      <w:tr w:rsidR="005C29EE" w:rsidRPr="005C29EE" w14:paraId="569711E1" w14:textId="77777777" w:rsidTr="00560DDD">
        <w:trPr>
          <w:trHeight w:val="300"/>
        </w:trPr>
        <w:tc>
          <w:tcPr>
            <w:tcW w:w="1075" w:type="dxa"/>
            <w:noWrap/>
            <w:hideMark/>
          </w:tcPr>
          <w:p w14:paraId="160404E8"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SG-0070</w:t>
            </w:r>
          </w:p>
        </w:tc>
        <w:tc>
          <w:tcPr>
            <w:tcW w:w="2610" w:type="dxa"/>
            <w:noWrap/>
            <w:hideMark/>
          </w:tcPr>
          <w:p w14:paraId="333CFEF1"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 xml:space="preserve">Saginaw - </w:t>
            </w:r>
            <w:proofErr w:type="spellStart"/>
            <w:r w:rsidRPr="005C29EE">
              <w:rPr>
                <w:rFonts w:asciiTheme="minorHAnsi" w:hAnsiTheme="minorHAnsi" w:cstheme="minorHAnsi"/>
                <w:color w:val="000000"/>
                <w:sz w:val="22"/>
                <w:szCs w:val="22"/>
              </w:rPr>
              <w:t>Zilwaukee</w:t>
            </w:r>
            <w:proofErr w:type="spellEnd"/>
          </w:p>
        </w:tc>
        <w:tc>
          <w:tcPr>
            <w:tcW w:w="1167" w:type="dxa"/>
            <w:noWrap/>
            <w:hideMark/>
          </w:tcPr>
          <w:p w14:paraId="460D220A"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63.33</w:t>
            </w:r>
          </w:p>
        </w:tc>
        <w:tc>
          <w:tcPr>
            <w:tcW w:w="1055" w:type="dxa"/>
            <w:noWrap/>
            <w:hideMark/>
          </w:tcPr>
          <w:p w14:paraId="00DFC635"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56.00</w:t>
            </w:r>
          </w:p>
        </w:tc>
        <w:tc>
          <w:tcPr>
            <w:tcW w:w="1055" w:type="dxa"/>
            <w:noWrap/>
            <w:hideMark/>
          </w:tcPr>
          <w:p w14:paraId="23C39A4D"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6.30</w:t>
            </w:r>
          </w:p>
        </w:tc>
        <w:tc>
          <w:tcPr>
            <w:tcW w:w="1167" w:type="dxa"/>
            <w:noWrap/>
            <w:hideMark/>
          </w:tcPr>
          <w:p w14:paraId="2203348C"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18.00</w:t>
            </w:r>
          </w:p>
        </w:tc>
        <w:tc>
          <w:tcPr>
            <w:tcW w:w="1055" w:type="dxa"/>
            <w:noWrap/>
            <w:hideMark/>
          </w:tcPr>
          <w:p w14:paraId="7003A327"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18.00</w:t>
            </w:r>
          </w:p>
        </w:tc>
      </w:tr>
      <w:tr w:rsidR="005C29EE" w:rsidRPr="005C29EE" w14:paraId="292F5301" w14:textId="77777777" w:rsidTr="00560DDD">
        <w:trPr>
          <w:trHeight w:val="300"/>
        </w:trPr>
        <w:tc>
          <w:tcPr>
            <w:tcW w:w="1075" w:type="dxa"/>
            <w:noWrap/>
            <w:hideMark/>
          </w:tcPr>
          <w:p w14:paraId="7C95CCF6"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DC-0010</w:t>
            </w:r>
          </w:p>
        </w:tc>
        <w:tc>
          <w:tcPr>
            <w:tcW w:w="2610" w:type="dxa"/>
            <w:noWrap/>
            <w:hideMark/>
          </w:tcPr>
          <w:p w14:paraId="19E4EC9C"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Dutch Creek - Ziegler</w:t>
            </w:r>
          </w:p>
        </w:tc>
        <w:tc>
          <w:tcPr>
            <w:tcW w:w="1167" w:type="dxa"/>
            <w:noWrap/>
            <w:hideMark/>
          </w:tcPr>
          <w:p w14:paraId="7E55DE3B"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180.00</w:t>
            </w:r>
          </w:p>
        </w:tc>
        <w:tc>
          <w:tcPr>
            <w:tcW w:w="1055" w:type="dxa"/>
            <w:noWrap/>
            <w:hideMark/>
          </w:tcPr>
          <w:p w14:paraId="3F3B7B2A" w14:textId="77777777" w:rsidR="005C29EE" w:rsidRPr="005C29EE" w:rsidRDefault="005C29EE">
            <w:pPr>
              <w:jc w:val="right"/>
              <w:rPr>
                <w:rFonts w:asciiTheme="minorHAnsi" w:hAnsiTheme="minorHAnsi" w:cstheme="minorHAnsi"/>
                <w:sz w:val="22"/>
                <w:szCs w:val="22"/>
              </w:rPr>
            </w:pPr>
          </w:p>
        </w:tc>
        <w:tc>
          <w:tcPr>
            <w:tcW w:w="1055" w:type="dxa"/>
            <w:noWrap/>
            <w:hideMark/>
          </w:tcPr>
          <w:p w14:paraId="67F0CC4D"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3.40</w:t>
            </w:r>
          </w:p>
        </w:tc>
        <w:tc>
          <w:tcPr>
            <w:tcW w:w="1167" w:type="dxa"/>
            <w:noWrap/>
            <w:hideMark/>
          </w:tcPr>
          <w:p w14:paraId="1BDAA235"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20.33</w:t>
            </w:r>
          </w:p>
        </w:tc>
        <w:tc>
          <w:tcPr>
            <w:tcW w:w="1055" w:type="dxa"/>
            <w:noWrap/>
            <w:hideMark/>
          </w:tcPr>
          <w:p w14:paraId="2D8D84E0"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15.33</w:t>
            </w:r>
          </w:p>
        </w:tc>
      </w:tr>
      <w:tr w:rsidR="005C29EE" w:rsidRPr="005C29EE" w14:paraId="0D24BCF9" w14:textId="77777777" w:rsidTr="00560DDD">
        <w:trPr>
          <w:trHeight w:val="300"/>
        </w:trPr>
        <w:tc>
          <w:tcPr>
            <w:tcW w:w="1075" w:type="dxa"/>
            <w:noWrap/>
            <w:hideMark/>
          </w:tcPr>
          <w:p w14:paraId="179007BC"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SG-0110</w:t>
            </w:r>
          </w:p>
        </w:tc>
        <w:tc>
          <w:tcPr>
            <w:tcW w:w="2610" w:type="dxa"/>
            <w:noWrap/>
            <w:hideMark/>
          </w:tcPr>
          <w:p w14:paraId="0B857DE2"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Saginaw - W Center</w:t>
            </w:r>
          </w:p>
        </w:tc>
        <w:tc>
          <w:tcPr>
            <w:tcW w:w="1167" w:type="dxa"/>
            <w:noWrap/>
            <w:hideMark/>
          </w:tcPr>
          <w:p w14:paraId="1B3AFEA0"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44.67</w:t>
            </w:r>
          </w:p>
        </w:tc>
        <w:tc>
          <w:tcPr>
            <w:tcW w:w="1055" w:type="dxa"/>
            <w:noWrap/>
            <w:hideMark/>
          </w:tcPr>
          <w:p w14:paraId="41470A74"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59.33</w:t>
            </w:r>
          </w:p>
        </w:tc>
        <w:tc>
          <w:tcPr>
            <w:tcW w:w="1055" w:type="dxa"/>
            <w:noWrap/>
            <w:hideMark/>
          </w:tcPr>
          <w:p w14:paraId="5D68E52C"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6.13</w:t>
            </w:r>
          </w:p>
        </w:tc>
        <w:tc>
          <w:tcPr>
            <w:tcW w:w="1167" w:type="dxa"/>
            <w:noWrap/>
            <w:hideMark/>
          </w:tcPr>
          <w:p w14:paraId="1C2CAB71"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30.33</w:t>
            </w:r>
          </w:p>
        </w:tc>
        <w:tc>
          <w:tcPr>
            <w:tcW w:w="1055" w:type="dxa"/>
            <w:noWrap/>
            <w:hideMark/>
          </w:tcPr>
          <w:p w14:paraId="78B9DB73"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4.57</w:t>
            </w:r>
          </w:p>
        </w:tc>
      </w:tr>
      <w:tr w:rsidR="005C29EE" w:rsidRPr="005C29EE" w14:paraId="67D95815" w14:textId="77777777" w:rsidTr="00560DDD">
        <w:trPr>
          <w:trHeight w:val="300"/>
        </w:trPr>
        <w:tc>
          <w:tcPr>
            <w:tcW w:w="1075" w:type="dxa"/>
            <w:noWrap/>
            <w:hideMark/>
          </w:tcPr>
          <w:p w14:paraId="5572490A"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FR-0015</w:t>
            </w:r>
          </w:p>
        </w:tc>
        <w:tc>
          <w:tcPr>
            <w:tcW w:w="2610" w:type="dxa"/>
            <w:noWrap/>
            <w:hideMark/>
          </w:tcPr>
          <w:p w14:paraId="1C68E166"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Flint - E Road</w:t>
            </w:r>
          </w:p>
        </w:tc>
        <w:tc>
          <w:tcPr>
            <w:tcW w:w="1167" w:type="dxa"/>
            <w:noWrap/>
            <w:hideMark/>
          </w:tcPr>
          <w:p w14:paraId="7E9BB495"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140.00</w:t>
            </w:r>
          </w:p>
        </w:tc>
        <w:tc>
          <w:tcPr>
            <w:tcW w:w="1055" w:type="dxa"/>
            <w:noWrap/>
            <w:hideMark/>
          </w:tcPr>
          <w:p w14:paraId="366BB09D"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77.67</w:t>
            </w:r>
          </w:p>
        </w:tc>
        <w:tc>
          <w:tcPr>
            <w:tcW w:w="1055" w:type="dxa"/>
            <w:noWrap/>
            <w:hideMark/>
          </w:tcPr>
          <w:p w14:paraId="5C6353DF"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10.33</w:t>
            </w:r>
          </w:p>
        </w:tc>
        <w:tc>
          <w:tcPr>
            <w:tcW w:w="1167" w:type="dxa"/>
            <w:noWrap/>
            <w:hideMark/>
          </w:tcPr>
          <w:p w14:paraId="69956DDF"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25.33</w:t>
            </w:r>
          </w:p>
        </w:tc>
        <w:tc>
          <w:tcPr>
            <w:tcW w:w="1055" w:type="dxa"/>
            <w:noWrap/>
            <w:hideMark/>
          </w:tcPr>
          <w:p w14:paraId="24A4F861"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42.67</w:t>
            </w:r>
          </w:p>
        </w:tc>
      </w:tr>
      <w:tr w:rsidR="005C29EE" w:rsidRPr="005C29EE" w14:paraId="08C7AFCA" w14:textId="77777777" w:rsidTr="00560DDD">
        <w:trPr>
          <w:trHeight w:val="300"/>
        </w:trPr>
        <w:tc>
          <w:tcPr>
            <w:tcW w:w="1075" w:type="dxa"/>
            <w:noWrap/>
            <w:hideMark/>
          </w:tcPr>
          <w:p w14:paraId="18151C56"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SG-0010</w:t>
            </w:r>
          </w:p>
        </w:tc>
        <w:tc>
          <w:tcPr>
            <w:tcW w:w="2610" w:type="dxa"/>
            <w:noWrap/>
            <w:hideMark/>
          </w:tcPr>
          <w:p w14:paraId="7CECC8A2"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Tittabawassee - S Center</w:t>
            </w:r>
          </w:p>
        </w:tc>
        <w:tc>
          <w:tcPr>
            <w:tcW w:w="1167" w:type="dxa"/>
            <w:noWrap/>
            <w:hideMark/>
          </w:tcPr>
          <w:p w14:paraId="22D9F44D"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13.33</w:t>
            </w:r>
          </w:p>
        </w:tc>
        <w:tc>
          <w:tcPr>
            <w:tcW w:w="1055" w:type="dxa"/>
            <w:noWrap/>
            <w:hideMark/>
          </w:tcPr>
          <w:p w14:paraId="1E7DF4C8"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24.67</w:t>
            </w:r>
          </w:p>
        </w:tc>
        <w:tc>
          <w:tcPr>
            <w:tcW w:w="1055" w:type="dxa"/>
            <w:noWrap/>
            <w:hideMark/>
          </w:tcPr>
          <w:p w14:paraId="61246915"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2.40</w:t>
            </w:r>
          </w:p>
        </w:tc>
        <w:tc>
          <w:tcPr>
            <w:tcW w:w="1167" w:type="dxa"/>
            <w:noWrap/>
            <w:hideMark/>
          </w:tcPr>
          <w:p w14:paraId="4CE02EF5"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6.10</w:t>
            </w:r>
          </w:p>
        </w:tc>
        <w:tc>
          <w:tcPr>
            <w:tcW w:w="1055" w:type="dxa"/>
            <w:noWrap/>
            <w:hideMark/>
          </w:tcPr>
          <w:p w14:paraId="4F764F29"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20.67</w:t>
            </w:r>
          </w:p>
        </w:tc>
      </w:tr>
      <w:tr w:rsidR="005C29EE" w:rsidRPr="005C29EE" w14:paraId="5583B84D" w14:textId="77777777" w:rsidTr="00560DDD">
        <w:trPr>
          <w:trHeight w:val="300"/>
        </w:trPr>
        <w:tc>
          <w:tcPr>
            <w:tcW w:w="1075" w:type="dxa"/>
            <w:noWrap/>
            <w:hideMark/>
          </w:tcPr>
          <w:p w14:paraId="6FAF8E54"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CR-0010</w:t>
            </w:r>
          </w:p>
        </w:tc>
        <w:tc>
          <w:tcPr>
            <w:tcW w:w="2610" w:type="dxa"/>
            <w:noWrap/>
            <w:hideMark/>
          </w:tcPr>
          <w:p w14:paraId="3CF42454"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Cass - E Road</w:t>
            </w:r>
          </w:p>
        </w:tc>
        <w:tc>
          <w:tcPr>
            <w:tcW w:w="1167" w:type="dxa"/>
            <w:noWrap/>
            <w:hideMark/>
          </w:tcPr>
          <w:p w14:paraId="7D226F12"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32.67</w:t>
            </w:r>
          </w:p>
        </w:tc>
        <w:tc>
          <w:tcPr>
            <w:tcW w:w="1055" w:type="dxa"/>
            <w:noWrap/>
            <w:hideMark/>
          </w:tcPr>
          <w:p w14:paraId="2D0C0D76"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27.67</w:t>
            </w:r>
          </w:p>
        </w:tc>
        <w:tc>
          <w:tcPr>
            <w:tcW w:w="1055" w:type="dxa"/>
            <w:noWrap/>
            <w:hideMark/>
          </w:tcPr>
          <w:p w14:paraId="426D2E86"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3.67</w:t>
            </w:r>
          </w:p>
        </w:tc>
        <w:tc>
          <w:tcPr>
            <w:tcW w:w="1167" w:type="dxa"/>
            <w:noWrap/>
            <w:hideMark/>
          </w:tcPr>
          <w:p w14:paraId="719EAF88"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13.33</w:t>
            </w:r>
          </w:p>
        </w:tc>
        <w:tc>
          <w:tcPr>
            <w:tcW w:w="1055" w:type="dxa"/>
            <w:noWrap/>
            <w:hideMark/>
          </w:tcPr>
          <w:p w14:paraId="6FC0E0FA"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46.67</w:t>
            </w:r>
          </w:p>
        </w:tc>
      </w:tr>
      <w:tr w:rsidR="005C29EE" w:rsidRPr="005C29EE" w14:paraId="34BFB303" w14:textId="77777777" w:rsidTr="00560DDD">
        <w:trPr>
          <w:trHeight w:val="300"/>
        </w:trPr>
        <w:tc>
          <w:tcPr>
            <w:tcW w:w="1075" w:type="dxa"/>
            <w:noWrap/>
            <w:hideMark/>
          </w:tcPr>
          <w:p w14:paraId="394247F3"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BD-0110</w:t>
            </w:r>
          </w:p>
        </w:tc>
        <w:tc>
          <w:tcPr>
            <w:tcW w:w="2610" w:type="dxa"/>
            <w:noWrap/>
            <w:hideMark/>
          </w:tcPr>
          <w:p w14:paraId="3ECF1749"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Bad River</w:t>
            </w:r>
          </w:p>
        </w:tc>
        <w:tc>
          <w:tcPr>
            <w:tcW w:w="1167" w:type="dxa"/>
            <w:noWrap/>
            <w:hideMark/>
          </w:tcPr>
          <w:p w14:paraId="29BD157A"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8.60</w:t>
            </w:r>
          </w:p>
        </w:tc>
        <w:tc>
          <w:tcPr>
            <w:tcW w:w="1055" w:type="dxa"/>
            <w:noWrap/>
            <w:hideMark/>
          </w:tcPr>
          <w:p w14:paraId="55EDA783"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39.00</w:t>
            </w:r>
          </w:p>
        </w:tc>
        <w:tc>
          <w:tcPr>
            <w:tcW w:w="1055" w:type="dxa"/>
            <w:noWrap/>
            <w:hideMark/>
          </w:tcPr>
          <w:p w14:paraId="19401D4A"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6.40</w:t>
            </w:r>
          </w:p>
        </w:tc>
        <w:tc>
          <w:tcPr>
            <w:tcW w:w="1167" w:type="dxa"/>
            <w:noWrap/>
            <w:hideMark/>
          </w:tcPr>
          <w:p w14:paraId="4BB06B69"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32.33</w:t>
            </w:r>
          </w:p>
        </w:tc>
        <w:tc>
          <w:tcPr>
            <w:tcW w:w="1055" w:type="dxa"/>
            <w:noWrap/>
            <w:hideMark/>
          </w:tcPr>
          <w:p w14:paraId="4A157894"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21.00</w:t>
            </w:r>
          </w:p>
        </w:tc>
      </w:tr>
      <w:tr w:rsidR="005C29EE" w:rsidRPr="005C29EE" w14:paraId="3118818C" w14:textId="77777777" w:rsidTr="00560DDD">
        <w:trPr>
          <w:trHeight w:val="300"/>
        </w:trPr>
        <w:tc>
          <w:tcPr>
            <w:tcW w:w="1075" w:type="dxa"/>
            <w:noWrap/>
            <w:hideMark/>
          </w:tcPr>
          <w:p w14:paraId="39434D7C"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SW-0010</w:t>
            </w:r>
          </w:p>
        </w:tc>
        <w:tc>
          <w:tcPr>
            <w:tcW w:w="2610" w:type="dxa"/>
            <w:noWrap/>
            <w:hideMark/>
          </w:tcPr>
          <w:p w14:paraId="66006E41"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Shiawassee - Fergus</w:t>
            </w:r>
          </w:p>
        </w:tc>
        <w:tc>
          <w:tcPr>
            <w:tcW w:w="1167" w:type="dxa"/>
            <w:noWrap/>
            <w:hideMark/>
          </w:tcPr>
          <w:p w14:paraId="39929625"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15.33</w:t>
            </w:r>
          </w:p>
        </w:tc>
        <w:tc>
          <w:tcPr>
            <w:tcW w:w="1055" w:type="dxa"/>
            <w:noWrap/>
            <w:hideMark/>
          </w:tcPr>
          <w:p w14:paraId="4796DDCF"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19.33</w:t>
            </w:r>
          </w:p>
        </w:tc>
        <w:tc>
          <w:tcPr>
            <w:tcW w:w="1055" w:type="dxa"/>
            <w:noWrap/>
            <w:hideMark/>
          </w:tcPr>
          <w:p w14:paraId="01C83C46"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8.13</w:t>
            </w:r>
          </w:p>
        </w:tc>
        <w:tc>
          <w:tcPr>
            <w:tcW w:w="1167" w:type="dxa"/>
            <w:noWrap/>
            <w:hideMark/>
          </w:tcPr>
          <w:p w14:paraId="79BCF662"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25.33</w:t>
            </w:r>
          </w:p>
        </w:tc>
        <w:tc>
          <w:tcPr>
            <w:tcW w:w="1055" w:type="dxa"/>
            <w:noWrap/>
            <w:hideMark/>
          </w:tcPr>
          <w:p w14:paraId="61450D34" w14:textId="77777777" w:rsidR="005C29EE" w:rsidRPr="005C29EE" w:rsidRDefault="005C29EE">
            <w:pPr>
              <w:jc w:val="right"/>
              <w:rPr>
                <w:rFonts w:asciiTheme="minorHAnsi" w:hAnsiTheme="minorHAnsi" w:cstheme="minorHAnsi"/>
                <w:color w:val="000000"/>
                <w:sz w:val="22"/>
                <w:szCs w:val="22"/>
              </w:rPr>
            </w:pPr>
          </w:p>
        </w:tc>
      </w:tr>
      <w:tr w:rsidR="005C29EE" w:rsidRPr="005C29EE" w14:paraId="4C2D0D1B" w14:textId="77777777" w:rsidTr="00560DDD">
        <w:trPr>
          <w:trHeight w:val="300"/>
        </w:trPr>
        <w:tc>
          <w:tcPr>
            <w:tcW w:w="1075" w:type="dxa"/>
            <w:noWrap/>
            <w:hideMark/>
          </w:tcPr>
          <w:p w14:paraId="142EA2CA"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PR-0010</w:t>
            </w:r>
          </w:p>
        </w:tc>
        <w:tc>
          <w:tcPr>
            <w:tcW w:w="2610" w:type="dxa"/>
            <w:noWrap/>
            <w:hideMark/>
          </w:tcPr>
          <w:p w14:paraId="5C27EB6F"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Pine - E Pine River</w:t>
            </w:r>
          </w:p>
        </w:tc>
        <w:tc>
          <w:tcPr>
            <w:tcW w:w="1167" w:type="dxa"/>
            <w:noWrap/>
            <w:hideMark/>
          </w:tcPr>
          <w:p w14:paraId="027FE92E"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11.67</w:t>
            </w:r>
          </w:p>
        </w:tc>
        <w:tc>
          <w:tcPr>
            <w:tcW w:w="1055" w:type="dxa"/>
            <w:noWrap/>
            <w:hideMark/>
          </w:tcPr>
          <w:p w14:paraId="002133C0"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16.00</w:t>
            </w:r>
          </w:p>
        </w:tc>
        <w:tc>
          <w:tcPr>
            <w:tcW w:w="1055" w:type="dxa"/>
            <w:noWrap/>
            <w:hideMark/>
          </w:tcPr>
          <w:p w14:paraId="14CAFC69"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4.40</w:t>
            </w:r>
          </w:p>
        </w:tc>
        <w:tc>
          <w:tcPr>
            <w:tcW w:w="1167" w:type="dxa"/>
            <w:noWrap/>
            <w:hideMark/>
          </w:tcPr>
          <w:p w14:paraId="4A420056"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10.00</w:t>
            </w:r>
          </w:p>
        </w:tc>
        <w:tc>
          <w:tcPr>
            <w:tcW w:w="1055" w:type="dxa"/>
            <w:noWrap/>
            <w:hideMark/>
          </w:tcPr>
          <w:p w14:paraId="6113B5A9"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64.00</w:t>
            </w:r>
          </w:p>
        </w:tc>
      </w:tr>
      <w:tr w:rsidR="005C29EE" w:rsidRPr="005C29EE" w14:paraId="54190F83" w14:textId="77777777" w:rsidTr="00560DDD">
        <w:trPr>
          <w:trHeight w:val="320"/>
        </w:trPr>
        <w:tc>
          <w:tcPr>
            <w:tcW w:w="1075" w:type="dxa"/>
            <w:noWrap/>
            <w:hideMark/>
          </w:tcPr>
          <w:p w14:paraId="775C902F"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CP-0020</w:t>
            </w:r>
          </w:p>
        </w:tc>
        <w:tc>
          <w:tcPr>
            <w:tcW w:w="2610" w:type="dxa"/>
            <w:noWrap/>
            <w:hideMark/>
          </w:tcPr>
          <w:p w14:paraId="351450F0" w14:textId="77777777" w:rsidR="005C29EE" w:rsidRPr="005C29EE" w:rsidRDefault="005C29EE">
            <w:pPr>
              <w:rPr>
                <w:rFonts w:asciiTheme="minorHAnsi" w:hAnsiTheme="minorHAnsi" w:cstheme="minorHAnsi"/>
                <w:color w:val="000000"/>
                <w:sz w:val="22"/>
                <w:szCs w:val="22"/>
              </w:rPr>
            </w:pPr>
            <w:r w:rsidRPr="005C29EE">
              <w:rPr>
                <w:rFonts w:asciiTheme="minorHAnsi" w:hAnsiTheme="minorHAnsi" w:cstheme="minorHAnsi"/>
                <w:color w:val="000000"/>
                <w:sz w:val="22"/>
                <w:szCs w:val="22"/>
              </w:rPr>
              <w:t>Chippewa - E Chippewa River</w:t>
            </w:r>
          </w:p>
        </w:tc>
        <w:tc>
          <w:tcPr>
            <w:tcW w:w="1167" w:type="dxa"/>
            <w:noWrap/>
            <w:hideMark/>
          </w:tcPr>
          <w:p w14:paraId="6771D662" w14:textId="77777777" w:rsidR="005C29EE" w:rsidRPr="005C29EE" w:rsidRDefault="005C29EE">
            <w:pPr>
              <w:jc w:val="right"/>
              <w:rPr>
                <w:rFonts w:asciiTheme="minorHAnsi" w:hAnsiTheme="minorHAnsi" w:cstheme="minorHAnsi"/>
                <w:sz w:val="22"/>
                <w:szCs w:val="22"/>
              </w:rPr>
            </w:pPr>
            <w:r w:rsidRPr="005C29EE">
              <w:rPr>
                <w:rFonts w:asciiTheme="minorHAnsi" w:hAnsiTheme="minorHAnsi" w:cstheme="minorHAnsi"/>
                <w:sz w:val="22"/>
                <w:szCs w:val="22"/>
              </w:rPr>
              <w:t>7.87</w:t>
            </w:r>
          </w:p>
        </w:tc>
        <w:tc>
          <w:tcPr>
            <w:tcW w:w="1055" w:type="dxa"/>
            <w:noWrap/>
            <w:hideMark/>
          </w:tcPr>
          <w:p w14:paraId="153A6D95" w14:textId="77777777" w:rsidR="005C29EE" w:rsidRPr="005C29EE" w:rsidRDefault="005C29EE">
            <w:pPr>
              <w:jc w:val="right"/>
              <w:rPr>
                <w:rFonts w:asciiTheme="minorHAnsi" w:hAnsiTheme="minorHAnsi" w:cstheme="minorHAnsi"/>
                <w:sz w:val="22"/>
                <w:szCs w:val="22"/>
              </w:rPr>
            </w:pPr>
          </w:p>
        </w:tc>
        <w:tc>
          <w:tcPr>
            <w:tcW w:w="1055" w:type="dxa"/>
            <w:noWrap/>
            <w:hideMark/>
          </w:tcPr>
          <w:p w14:paraId="7D8AA9E4"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3.47</w:t>
            </w:r>
          </w:p>
        </w:tc>
        <w:tc>
          <w:tcPr>
            <w:tcW w:w="1167" w:type="dxa"/>
            <w:noWrap/>
            <w:hideMark/>
          </w:tcPr>
          <w:p w14:paraId="4BA49BF2"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8.43</w:t>
            </w:r>
          </w:p>
        </w:tc>
        <w:tc>
          <w:tcPr>
            <w:tcW w:w="1055" w:type="dxa"/>
            <w:noWrap/>
            <w:hideMark/>
          </w:tcPr>
          <w:p w14:paraId="04FF602B" w14:textId="77777777" w:rsidR="005C29EE" w:rsidRPr="005C29EE" w:rsidRDefault="005C29EE">
            <w:pPr>
              <w:jc w:val="right"/>
              <w:rPr>
                <w:rFonts w:asciiTheme="minorHAnsi" w:hAnsiTheme="minorHAnsi" w:cstheme="minorHAnsi"/>
                <w:color w:val="000000"/>
                <w:sz w:val="22"/>
                <w:szCs w:val="22"/>
              </w:rPr>
            </w:pPr>
            <w:r w:rsidRPr="005C29EE">
              <w:rPr>
                <w:rFonts w:asciiTheme="minorHAnsi" w:hAnsiTheme="minorHAnsi" w:cstheme="minorHAnsi"/>
                <w:color w:val="000000"/>
                <w:sz w:val="22"/>
                <w:szCs w:val="22"/>
              </w:rPr>
              <w:t>10.53</w:t>
            </w:r>
          </w:p>
        </w:tc>
      </w:tr>
    </w:tbl>
    <w:p w14:paraId="7973B4A7" w14:textId="77777777" w:rsidR="005C29EE" w:rsidRDefault="005C29EE">
      <w:pPr>
        <w:spacing w:after="160" w:line="259" w:lineRule="auto"/>
        <w:rPr>
          <w:b/>
          <w:bCs/>
          <w:sz w:val="28"/>
          <w:szCs w:val="28"/>
        </w:rPr>
      </w:pPr>
    </w:p>
    <w:tbl>
      <w:tblPr>
        <w:tblStyle w:val="TableGrid"/>
        <w:tblW w:w="9175" w:type="dxa"/>
        <w:tblLook w:val="04A0" w:firstRow="1" w:lastRow="0" w:firstColumn="1" w:lastColumn="0" w:noHBand="0" w:noVBand="1"/>
      </w:tblPr>
      <w:tblGrid>
        <w:gridCol w:w="1075"/>
        <w:gridCol w:w="2520"/>
        <w:gridCol w:w="1170"/>
        <w:gridCol w:w="1055"/>
        <w:gridCol w:w="1055"/>
        <w:gridCol w:w="1167"/>
        <w:gridCol w:w="1133"/>
      </w:tblGrid>
      <w:tr w:rsidR="00560DDD" w:rsidRPr="00560DDD" w14:paraId="3D1AAF5F" w14:textId="77777777" w:rsidTr="00560DDD">
        <w:trPr>
          <w:trHeight w:val="300"/>
        </w:trPr>
        <w:tc>
          <w:tcPr>
            <w:tcW w:w="9175" w:type="dxa"/>
            <w:gridSpan w:val="7"/>
            <w:noWrap/>
          </w:tcPr>
          <w:p w14:paraId="27532E0F" w14:textId="38247C68" w:rsidR="00560DDD" w:rsidRPr="00560DDD" w:rsidRDefault="00560DDD" w:rsidP="00560DDD">
            <w:pPr>
              <w:jc w:val="center"/>
              <w:rPr>
                <w:rFonts w:ascii="Calibri" w:hAnsi="Calibri" w:cs="Calibri"/>
                <w:color w:val="000000"/>
                <w:sz w:val="22"/>
                <w:szCs w:val="22"/>
              </w:rPr>
            </w:pPr>
            <w:r>
              <w:rPr>
                <w:rFonts w:ascii="Calibri" w:hAnsi="Calibri" w:cs="Calibri"/>
                <w:color w:val="000000"/>
                <w:sz w:val="22"/>
                <w:szCs w:val="22"/>
              </w:rPr>
              <w:t>Clothianidin</w:t>
            </w:r>
          </w:p>
        </w:tc>
      </w:tr>
      <w:tr w:rsidR="00560DDD" w:rsidRPr="00560DDD" w14:paraId="28D7EFD6" w14:textId="77777777" w:rsidTr="00560DDD">
        <w:trPr>
          <w:trHeight w:val="300"/>
        </w:trPr>
        <w:tc>
          <w:tcPr>
            <w:tcW w:w="1075" w:type="dxa"/>
            <w:noWrap/>
            <w:hideMark/>
          </w:tcPr>
          <w:p w14:paraId="45997467"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Site ID</w:t>
            </w:r>
          </w:p>
        </w:tc>
        <w:tc>
          <w:tcPr>
            <w:tcW w:w="2520" w:type="dxa"/>
            <w:noWrap/>
            <w:hideMark/>
          </w:tcPr>
          <w:p w14:paraId="2B136697"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Sample Location</w:t>
            </w:r>
          </w:p>
        </w:tc>
        <w:tc>
          <w:tcPr>
            <w:tcW w:w="1170" w:type="dxa"/>
            <w:noWrap/>
            <w:hideMark/>
          </w:tcPr>
          <w:p w14:paraId="22537A29"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7/29-8/26/2021</w:t>
            </w:r>
          </w:p>
        </w:tc>
        <w:tc>
          <w:tcPr>
            <w:tcW w:w="1055" w:type="dxa"/>
            <w:noWrap/>
            <w:hideMark/>
          </w:tcPr>
          <w:p w14:paraId="77823F6C"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8/26-10/14/21</w:t>
            </w:r>
          </w:p>
        </w:tc>
        <w:tc>
          <w:tcPr>
            <w:tcW w:w="1055" w:type="dxa"/>
            <w:noWrap/>
            <w:hideMark/>
          </w:tcPr>
          <w:p w14:paraId="5AC80BD7"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4/5-5/3/2022</w:t>
            </w:r>
          </w:p>
        </w:tc>
        <w:tc>
          <w:tcPr>
            <w:tcW w:w="1167" w:type="dxa"/>
            <w:noWrap/>
            <w:hideMark/>
          </w:tcPr>
          <w:p w14:paraId="477B2FD1"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5/3-6/14/2022</w:t>
            </w:r>
          </w:p>
        </w:tc>
        <w:tc>
          <w:tcPr>
            <w:tcW w:w="1133" w:type="dxa"/>
            <w:noWrap/>
            <w:hideMark/>
          </w:tcPr>
          <w:p w14:paraId="5BE6304D"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6/14-7/7/2022</w:t>
            </w:r>
          </w:p>
        </w:tc>
      </w:tr>
      <w:tr w:rsidR="00560DDD" w:rsidRPr="00560DDD" w14:paraId="728D4CE6" w14:textId="77777777" w:rsidTr="00560DDD">
        <w:trPr>
          <w:trHeight w:val="300"/>
        </w:trPr>
        <w:tc>
          <w:tcPr>
            <w:tcW w:w="1075" w:type="dxa"/>
            <w:noWrap/>
            <w:hideMark/>
          </w:tcPr>
          <w:p w14:paraId="7F18B3DD"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SG-0030</w:t>
            </w:r>
          </w:p>
        </w:tc>
        <w:tc>
          <w:tcPr>
            <w:tcW w:w="2520" w:type="dxa"/>
            <w:noWrap/>
            <w:hideMark/>
          </w:tcPr>
          <w:p w14:paraId="71B91E4B"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Saginaw - S. Railway</w:t>
            </w:r>
          </w:p>
        </w:tc>
        <w:tc>
          <w:tcPr>
            <w:tcW w:w="1170" w:type="dxa"/>
            <w:noWrap/>
            <w:hideMark/>
          </w:tcPr>
          <w:p w14:paraId="65CC0A92"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16.33</w:t>
            </w:r>
          </w:p>
        </w:tc>
        <w:tc>
          <w:tcPr>
            <w:tcW w:w="1055" w:type="dxa"/>
            <w:noWrap/>
            <w:hideMark/>
          </w:tcPr>
          <w:p w14:paraId="5FBE6F75"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58.67</w:t>
            </w:r>
          </w:p>
        </w:tc>
        <w:tc>
          <w:tcPr>
            <w:tcW w:w="1055" w:type="dxa"/>
            <w:noWrap/>
            <w:hideMark/>
          </w:tcPr>
          <w:p w14:paraId="27C6D557"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11.67</w:t>
            </w:r>
          </w:p>
        </w:tc>
        <w:tc>
          <w:tcPr>
            <w:tcW w:w="1167" w:type="dxa"/>
            <w:noWrap/>
            <w:hideMark/>
          </w:tcPr>
          <w:p w14:paraId="11F32B6C"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32.67</w:t>
            </w:r>
          </w:p>
        </w:tc>
        <w:tc>
          <w:tcPr>
            <w:tcW w:w="1133" w:type="dxa"/>
            <w:noWrap/>
            <w:hideMark/>
          </w:tcPr>
          <w:p w14:paraId="38D58648"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22.67</w:t>
            </w:r>
          </w:p>
        </w:tc>
      </w:tr>
      <w:tr w:rsidR="00560DDD" w:rsidRPr="00560DDD" w14:paraId="23828276" w14:textId="77777777" w:rsidTr="00560DDD">
        <w:trPr>
          <w:trHeight w:val="300"/>
        </w:trPr>
        <w:tc>
          <w:tcPr>
            <w:tcW w:w="1075" w:type="dxa"/>
            <w:noWrap/>
            <w:hideMark/>
          </w:tcPr>
          <w:p w14:paraId="31CBFE1B"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SG-0040</w:t>
            </w:r>
          </w:p>
        </w:tc>
        <w:tc>
          <w:tcPr>
            <w:tcW w:w="2520" w:type="dxa"/>
            <w:noWrap/>
            <w:hideMark/>
          </w:tcPr>
          <w:p w14:paraId="79E010AC"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Saginaw - Independence</w:t>
            </w:r>
          </w:p>
        </w:tc>
        <w:tc>
          <w:tcPr>
            <w:tcW w:w="1170" w:type="dxa"/>
            <w:noWrap/>
            <w:hideMark/>
          </w:tcPr>
          <w:p w14:paraId="23EC7F89"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16</w:t>
            </w:r>
          </w:p>
        </w:tc>
        <w:tc>
          <w:tcPr>
            <w:tcW w:w="1055" w:type="dxa"/>
            <w:noWrap/>
            <w:hideMark/>
          </w:tcPr>
          <w:p w14:paraId="42E577B9"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55.67</w:t>
            </w:r>
          </w:p>
        </w:tc>
        <w:tc>
          <w:tcPr>
            <w:tcW w:w="1055" w:type="dxa"/>
            <w:noWrap/>
            <w:hideMark/>
          </w:tcPr>
          <w:p w14:paraId="782EBC96"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10.73</w:t>
            </w:r>
          </w:p>
        </w:tc>
        <w:tc>
          <w:tcPr>
            <w:tcW w:w="1167" w:type="dxa"/>
            <w:noWrap/>
            <w:hideMark/>
          </w:tcPr>
          <w:p w14:paraId="3405B22A"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24.67</w:t>
            </w:r>
          </w:p>
        </w:tc>
        <w:tc>
          <w:tcPr>
            <w:tcW w:w="1133" w:type="dxa"/>
            <w:noWrap/>
            <w:hideMark/>
          </w:tcPr>
          <w:p w14:paraId="5990CFD8"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5.80</w:t>
            </w:r>
          </w:p>
        </w:tc>
      </w:tr>
      <w:tr w:rsidR="00560DDD" w:rsidRPr="00560DDD" w14:paraId="153348A4" w14:textId="77777777" w:rsidTr="00560DDD">
        <w:trPr>
          <w:trHeight w:val="300"/>
        </w:trPr>
        <w:tc>
          <w:tcPr>
            <w:tcW w:w="1075" w:type="dxa"/>
            <w:noWrap/>
            <w:hideMark/>
          </w:tcPr>
          <w:p w14:paraId="60D3BF68"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SG-0052a</w:t>
            </w:r>
          </w:p>
        </w:tc>
        <w:tc>
          <w:tcPr>
            <w:tcW w:w="2520" w:type="dxa"/>
            <w:noWrap/>
            <w:hideMark/>
          </w:tcPr>
          <w:p w14:paraId="3662F11E"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Saginaw - Middle Ground</w:t>
            </w:r>
          </w:p>
        </w:tc>
        <w:tc>
          <w:tcPr>
            <w:tcW w:w="1170" w:type="dxa"/>
            <w:noWrap/>
            <w:hideMark/>
          </w:tcPr>
          <w:p w14:paraId="0CC8DACD"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15.67</w:t>
            </w:r>
          </w:p>
        </w:tc>
        <w:tc>
          <w:tcPr>
            <w:tcW w:w="1055" w:type="dxa"/>
            <w:noWrap/>
            <w:hideMark/>
          </w:tcPr>
          <w:p w14:paraId="107EA838"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62.67</w:t>
            </w:r>
          </w:p>
        </w:tc>
        <w:tc>
          <w:tcPr>
            <w:tcW w:w="1055" w:type="dxa"/>
            <w:noWrap/>
            <w:hideMark/>
          </w:tcPr>
          <w:p w14:paraId="6608133B"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9.03</w:t>
            </w:r>
          </w:p>
        </w:tc>
        <w:tc>
          <w:tcPr>
            <w:tcW w:w="1167" w:type="dxa"/>
            <w:noWrap/>
            <w:hideMark/>
          </w:tcPr>
          <w:p w14:paraId="5ED6A2B0"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36.33</w:t>
            </w:r>
          </w:p>
        </w:tc>
        <w:tc>
          <w:tcPr>
            <w:tcW w:w="1133" w:type="dxa"/>
            <w:noWrap/>
            <w:hideMark/>
          </w:tcPr>
          <w:p w14:paraId="6B2C151F"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11.67</w:t>
            </w:r>
          </w:p>
        </w:tc>
      </w:tr>
      <w:tr w:rsidR="00560DDD" w:rsidRPr="00560DDD" w14:paraId="45E28383" w14:textId="77777777" w:rsidTr="00560DDD">
        <w:trPr>
          <w:trHeight w:val="300"/>
        </w:trPr>
        <w:tc>
          <w:tcPr>
            <w:tcW w:w="1075" w:type="dxa"/>
            <w:noWrap/>
            <w:hideMark/>
          </w:tcPr>
          <w:p w14:paraId="6B767126"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SG-0059</w:t>
            </w:r>
          </w:p>
        </w:tc>
        <w:tc>
          <w:tcPr>
            <w:tcW w:w="2520" w:type="dxa"/>
            <w:noWrap/>
            <w:hideMark/>
          </w:tcPr>
          <w:p w14:paraId="39DFBA23"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Saginaw - Dutch Creek</w:t>
            </w:r>
          </w:p>
        </w:tc>
        <w:tc>
          <w:tcPr>
            <w:tcW w:w="1170" w:type="dxa"/>
            <w:noWrap/>
            <w:hideMark/>
          </w:tcPr>
          <w:p w14:paraId="56F4A9F4"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20.33</w:t>
            </w:r>
          </w:p>
        </w:tc>
        <w:tc>
          <w:tcPr>
            <w:tcW w:w="1055" w:type="dxa"/>
            <w:noWrap/>
            <w:hideMark/>
          </w:tcPr>
          <w:p w14:paraId="0328DC4C"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97.33</w:t>
            </w:r>
          </w:p>
        </w:tc>
        <w:tc>
          <w:tcPr>
            <w:tcW w:w="1055" w:type="dxa"/>
            <w:noWrap/>
            <w:hideMark/>
          </w:tcPr>
          <w:p w14:paraId="5197FD3D"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14.33</w:t>
            </w:r>
          </w:p>
        </w:tc>
        <w:tc>
          <w:tcPr>
            <w:tcW w:w="1167" w:type="dxa"/>
            <w:noWrap/>
            <w:hideMark/>
          </w:tcPr>
          <w:p w14:paraId="4EDAFEC1"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38.33</w:t>
            </w:r>
          </w:p>
        </w:tc>
        <w:tc>
          <w:tcPr>
            <w:tcW w:w="1133" w:type="dxa"/>
            <w:noWrap/>
            <w:hideMark/>
          </w:tcPr>
          <w:p w14:paraId="426C0AAE"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26.67</w:t>
            </w:r>
          </w:p>
        </w:tc>
      </w:tr>
      <w:tr w:rsidR="00560DDD" w:rsidRPr="00560DDD" w14:paraId="30DF569B" w14:textId="77777777" w:rsidTr="00560DDD">
        <w:trPr>
          <w:trHeight w:val="300"/>
        </w:trPr>
        <w:tc>
          <w:tcPr>
            <w:tcW w:w="1075" w:type="dxa"/>
            <w:noWrap/>
            <w:hideMark/>
          </w:tcPr>
          <w:p w14:paraId="1DDC0B50"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SG-0070</w:t>
            </w:r>
          </w:p>
        </w:tc>
        <w:tc>
          <w:tcPr>
            <w:tcW w:w="2520" w:type="dxa"/>
            <w:noWrap/>
            <w:hideMark/>
          </w:tcPr>
          <w:p w14:paraId="1DAAC3EC"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 xml:space="preserve">Saginaw - </w:t>
            </w:r>
            <w:proofErr w:type="spellStart"/>
            <w:r w:rsidRPr="00560DDD">
              <w:rPr>
                <w:rFonts w:ascii="Calibri" w:hAnsi="Calibri" w:cs="Calibri"/>
                <w:color w:val="000000"/>
                <w:sz w:val="22"/>
                <w:szCs w:val="22"/>
              </w:rPr>
              <w:t>Zilwaukee</w:t>
            </w:r>
            <w:proofErr w:type="spellEnd"/>
          </w:p>
        </w:tc>
        <w:tc>
          <w:tcPr>
            <w:tcW w:w="1170" w:type="dxa"/>
            <w:noWrap/>
            <w:hideMark/>
          </w:tcPr>
          <w:p w14:paraId="3B2AEFA1"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12</w:t>
            </w:r>
          </w:p>
        </w:tc>
        <w:tc>
          <w:tcPr>
            <w:tcW w:w="1055" w:type="dxa"/>
            <w:noWrap/>
            <w:hideMark/>
          </w:tcPr>
          <w:p w14:paraId="7937C47C"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73.67</w:t>
            </w:r>
          </w:p>
        </w:tc>
        <w:tc>
          <w:tcPr>
            <w:tcW w:w="1055" w:type="dxa"/>
            <w:noWrap/>
            <w:hideMark/>
          </w:tcPr>
          <w:p w14:paraId="6B79B072"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10.87</w:t>
            </w:r>
          </w:p>
        </w:tc>
        <w:tc>
          <w:tcPr>
            <w:tcW w:w="1167" w:type="dxa"/>
            <w:noWrap/>
            <w:hideMark/>
          </w:tcPr>
          <w:p w14:paraId="3672F8BB"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28.33</w:t>
            </w:r>
          </w:p>
        </w:tc>
        <w:tc>
          <w:tcPr>
            <w:tcW w:w="1133" w:type="dxa"/>
            <w:noWrap/>
            <w:hideMark/>
          </w:tcPr>
          <w:p w14:paraId="73BCE663"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16.00</w:t>
            </w:r>
          </w:p>
        </w:tc>
      </w:tr>
      <w:tr w:rsidR="00560DDD" w:rsidRPr="00560DDD" w14:paraId="019F8265" w14:textId="77777777" w:rsidTr="00560DDD">
        <w:trPr>
          <w:trHeight w:val="300"/>
        </w:trPr>
        <w:tc>
          <w:tcPr>
            <w:tcW w:w="1075" w:type="dxa"/>
            <w:noWrap/>
            <w:hideMark/>
          </w:tcPr>
          <w:p w14:paraId="030A4EDB"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DC-0010</w:t>
            </w:r>
          </w:p>
        </w:tc>
        <w:tc>
          <w:tcPr>
            <w:tcW w:w="2520" w:type="dxa"/>
            <w:noWrap/>
            <w:hideMark/>
          </w:tcPr>
          <w:p w14:paraId="3D7FD32B"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Dutch Creek - Ziegler</w:t>
            </w:r>
          </w:p>
        </w:tc>
        <w:tc>
          <w:tcPr>
            <w:tcW w:w="1170" w:type="dxa"/>
            <w:noWrap/>
            <w:hideMark/>
          </w:tcPr>
          <w:p w14:paraId="6BD4E785"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65.33</w:t>
            </w:r>
          </w:p>
        </w:tc>
        <w:tc>
          <w:tcPr>
            <w:tcW w:w="1055" w:type="dxa"/>
            <w:noWrap/>
            <w:hideMark/>
          </w:tcPr>
          <w:p w14:paraId="61C2D46C" w14:textId="77777777" w:rsidR="00560DDD" w:rsidRPr="00560DDD" w:rsidRDefault="00560DDD">
            <w:pPr>
              <w:jc w:val="right"/>
              <w:rPr>
                <w:rFonts w:ascii="Calibri" w:hAnsi="Calibri" w:cs="Calibri"/>
                <w:color w:val="000000"/>
                <w:sz w:val="22"/>
                <w:szCs w:val="22"/>
              </w:rPr>
            </w:pPr>
          </w:p>
        </w:tc>
        <w:tc>
          <w:tcPr>
            <w:tcW w:w="1055" w:type="dxa"/>
            <w:noWrap/>
            <w:hideMark/>
          </w:tcPr>
          <w:p w14:paraId="0A5C1DDC"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15.33</w:t>
            </w:r>
          </w:p>
        </w:tc>
        <w:tc>
          <w:tcPr>
            <w:tcW w:w="1167" w:type="dxa"/>
            <w:noWrap/>
            <w:hideMark/>
          </w:tcPr>
          <w:p w14:paraId="0AF2469C"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50.67</w:t>
            </w:r>
          </w:p>
        </w:tc>
        <w:tc>
          <w:tcPr>
            <w:tcW w:w="1133" w:type="dxa"/>
            <w:noWrap/>
            <w:hideMark/>
          </w:tcPr>
          <w:p w14:paraId="0B8B7F4E"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20.67</w:t>
            </w:r>
          </w:p>
        </w:tc>
      </w:tr>
      <w:tr w:rsidR="00560DDD" w:rsidRPr="00560DDD" w14:paraId="432313DA" w14:textId="77777777" w:rsidTr="00560DDD">
        <w:trPr>
          <w:trHeight w:val="300"/>
        </w:trPr>
        <w:tc>
          <w:tcPr>
            <w:tcW w:w="1075" w:type="dxa"/>
            <w:noWrap/>
            <w:hideMark/>
          </w:tcPr>
          <w:p w14:paraId="5F5A12DD"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SG-0110</w:t>
            </w:r>
          </w:p>
        </w:tc>
        <w:tc>
          <w:tcPr>
            <w:tcW w:w="2520" w:type="dxa"/>
            <w:noWrap/>
            <w:hideMark/>
          </w:tcPr>
          <w:p w14:paraId="1D928EA4"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Saginaw - W Center</w:t>
            </w:r>
          </w:p>
        </w:tc>
        <w:tc>
          <w:tcPr>
            <w:tcW w:w="1170" w:type="dxa"/>
            <w:noWrap/>
            <w:hideMark/>
          </w:tcPr>
          <w:p w14:paraId="1A76ED2B"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12.33</w:t>
            </w:r>
          </w:p>
        </w:tc>
        <w:tc>
          <w:tcPr>
            <w:tcW w:w="1055" w:type="dxa"/>
            <w:noWrap/>
            <w:hideMark/>
          </w:tcPr>
          <w:p w14:paraId="5F7537F3"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102.33</w:t>
            </w:r>
          </w:p>
        </w:tc>
        <w:tc>
          <w:tcPr>
            <w:tcW w:w="1055" w:type="dxa"/>
            <w:noWrap/>
            <w:hideMark/>
          </w:tcPr>
          <w:p w14:paraId="2EF0615C"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13.67</w:t>
            </w:r>
          </w:p>
        </w:tc>
        <w:tc>
          <w:tcPr>
            <w:tcW w:w="1167" w:type="dxa"/>
            <w:noWrap/>
            <w:hideMark/>
          </w:tcPr>
          <w:p w14:paraId="56D3D878"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46.67</w:t>
            </w:r>
          </w:p>
        </w:tc>
        <w:tc>
          <w:tcPr>
            <w:tcW w:w="1133" w:type="dxa"/>
            <w:noWrap/>
            <w:hideMark/>
          </w:tcPr>
          <w:p w14:paraId="18244977"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4.47</w:t>
            </w:r>
          </w:p>
        </w:tc>
      </w:tr>
      <w:tr w:rsidR="00560DDD" w:rsidRPr="00560DDD" w14:paraId="2BD9E4EE" w14:textId="77777777" w:rsidTr="00560DDD">
        <w:trPr>
          <w:trHeight w:val="300"/>
        </w:trPr>
        <w:tc>
          <w:tcPr>
            <w:tcW w:w="1075" w:type="dxa"/>
            <w:noWrap/>
            <w:hideMark/>
          </w:tcPr>
          <w:p w14:paraId="33BD5FD2"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SG-0010</w:t>
            </w:r>
          </w:p>
        </w:tc>
        <w:tc>
          <w:tcPr>
            <w:tcW w:w="2520" w:type="dxa"/>
            <w:noWrap/>
            <w:hideMark/>
          </w:tcPr>
          <w:p w14:paraId="0311DC07"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Tittabawassee - S Center</w:t>
            </w:r>
          </w:p>
        </w:tc>
        <w:tc>
          <w:tcPr>
            <w:tcW w:w="1170" w:type="dxa"/>
            <w:noWrap/>
            <w:hideMark/>
          </w:tcPr>
          <w:p w14:paraId="5F3298C3"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4.8</w:t>
            </w:r>
          </w:p>
        </w:tc>
        <w:tc>
          <w:tcPr>
            <w:tcW w:w="1055" w:type="dxa"/>
            <w:noWrap/>
            <w:hideMark/>
          </w:tcPr>
          <w:p w14:paraId="331B4EBA"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29.00</w:t>
            </w:r>
          </w:p>
        </w:tc>
        <w:tc>
          <w:tcPr>
            <w:tcW w:w="1055" w:type="dxa"/>
            <w:noWrap/>
            <w:hideMark/>
          </w:tcPr>
          <w:p w14:paraId="39A816E7"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6.47</w:t>
            </w:r>
          </w:p>
        </w:tc>
        <w:tc>
          <w:tcPr>
            <w:tcW w:w="1167" w:type="dxa"/>
            <w:noWrap/>
            <w:hideMark/>
          </w:tcPr>
          <w:p w14:paraId="008373E3"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15.00</w:t>
            </w:r>
          </w:p>
        </w:tc>
        <w:tc>
          <w:tcPr>
            <w:tcW w:w="1133" w:type="dxa"/>
            <w:noWrap/>
            <w:hideMark/>
          </w:tcPr>
          <w:p w14:paraId="4E018862"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10.33</w:t>
            </w:r>
          </w:p>
        </w:tc>
      </w:tr>
      <w:tr w:rsidR="00560DDD" w:rsidRPr="00560DDD" w14:paraId="7CE065A2" w14:textId="77777777" w:rsidTr="00560DDD">
        <w:trPr>
          <w:trHeight w:val="300"/>
        </w:trPr>
        <w:tc>
          <w:tcPr>
            <w:tcW w:w="1075" w:type="dxa"/>
            <w:noWrap/>
            <w:hideMark/>
          </w:tcPr>
          <w:p w14:paraId="61304EC8"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CR-0010</w:t>
            </w:r>
          </w:p>
        </w:tc>
        <w:tc>
          <w:tcPr>
            <w:tcW w:w="2520" w:type="dxa"/>
            <w:noWrap/>
            <w:hideMark/>
          </w:tcPr>
          <w:p w14:paraId="154B4412"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Cass - E Road</w:t>
            </w:r>
          </w:p>
        </w:tc>
        <w:tc>
          <w:tcPr>
            <w:tcW w:w="1170" w:type="dxa"/>
            <w:noWrap/>
            <w:hideMark/>
          </w:tcPr>
          <w:p w14:paraId="037F3238"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30</w:t>
            </w:r>
          </w:p>
        </w:tc>
        <w:tc>
          <w:tcPr>
            <w:tcW w:w="1055" w:type="dxa"/>
            <w:noWrap/>
            <w:hideMark/>
          </w:tcPr>
          <w:p w14:paraId="41B6535A"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83.00</w:t>
            </w:r>
          </w:p>
        </w:tc>
        <w:tc>
          <w:tcPr>
            <w:tcW w:w="1055" w:type="dxa"/>
            <w:noWrap/>
            <w:hideMark/>
          </w:tcPr>
          <w:p w14:paraId="0AA888B4"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17.50</w:t>
            </w:r>
          </w:p>
        </w:tc>
        <w:tc>
          <w:tcPr>
            <w:tcW w:w="1167" w:type="dxa"/>
            <w:noWrap/>
            <w:hideMark/>
          </w:tcPr>
          <w:p w14:paraId="7E910F2B"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42.67</w:t>
            </w:r>
          </w:p>
        </w:tc>
        <w:tc>
          <w:tcPr>
            <w:tcW w:w="1133" w:type="dxa"/>
            <w:noWrap/>
            <w:hideMark/>
          </w:tcPr>
          <w:p w14:paraId="1DFFE427"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54.67</w:t>
            </w:r>
          </w:p>
        </w:tc>
      </w:tr>
      <w:tr w:rsidR="00560DDD" w:rsidRPr="00560DDD" w14:paraId="16687355" w14:textId="77777777" w:rsidTr="00560DDD">
        <w:trPr>
          <w:trHeight w:val="300"/>
        </w:trPr>
        <w:tc>
          <w:tcPr>
            <w:tcW w:w="1075" w:type="dxa"/>
            <w:noWrap/>
            <w:hideMark/>
          </w:tcPr>
          <w:p w14:paraId="47A80444"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FR-0015</w:t>
            </w:r>
          </w:p>
        </w:tc>
        <w:tc>
          <w:tcPr>
            <w:tcW w:w="2520" w:type="dxa"/>
            <w:noWrap/>
            <w:hideMark/>
          </w:tcPr>
          <w:p w14:paraId="13B88DD5"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Flint - E Road</w:t>
            </w:r>
          </w:p>
        </w:tc>
        <w:tc>
          <w:tcPr>
            <w:tcW w:w="1170" w:type="dxa"/>
            <w:noWrap/>
            <w:hideMark/>
          </w:tcPr>
          <w:p w14:paraId="2A25D1CA"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18</w:t>
            </w:r>
          </w:p>
        </w:tc>
        <w:tc>
          <w:tcPr>
            <w:tcW w:w="1055" w:type="dxa"/>
            <w:noWrap/>
            <w:hideMark/>
          </w:tcPr>
          <w:p w14:paraId="07EDE8B6"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38.67</w:t>
            </w:r>
          </w:p>
        </w:tc>
        <w:tc>
          <w:tcPr>
            <w:tcW w:w="1055" w:type="dxa"/>
            <w:noWrap/>
            <w:hideMark/>
          </w:tcPr>
          <w:p w14:paraId="4D0535AE"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12.00</w:t>
            </w:r>
          </w:p>
        </w:tc>
        <w:tc>
          <w:tcPr>
            <w:tcW w:w="1167" w:type="dxa"/>
            <w:noWrap/>
            <w:hideMark/>
          </w:tcPr>
          <w:p w14:paraId="5BE92A74"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11.43</w:t>
            </w:r>
          </w:p>
        </w:tc>
        <w:tc>
          <w:tcPr>
            <w:tcW w:w="1133" w:type="dxa"/>
            <w:noWrap/>
            <w:hideMark/>
          </w:tcPr>
          <w:p w14:paraId="1B0E809B"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11.17</w:t>
            </w:r>
          </w:p>
        </w:tc>
      </w:tr>
      <w:tr w:rsidR="00560DDD" w:rsidRPr="00560DDD" w14:paraId="2F14D506" w14:textId="77777777" w:rsidTr="00560DDD">
        <w:trPr>
          <w:trHeight w:val="300"/>
        </w:trPr>
        <w:tc>
          <w:tcPr>
            <w:tcW w:w="1075" w:type="dxa"/>
            <w:noWrap/>
            <w:hideMark/>
          </w:tcPr>
          <w:p w14:paraId="401D401F"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BD-0110</w:t>
            </w:r>
          </w:p>
        </w:tc>
        <w:tc>
          <w:tcPr>
            <w:tcW w:w="2520" w:type="dxa"/>
            <w:noWrap/>
            <w:hideMark/>
          </w:tcPr>
          <w:p w14:paraId="3D31C09A"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Bad River</w:t>
            </w:r>
          </w:p>
        </w:tc>
        <w:tc>
          <w:tcPr>
            <w:tcW w:w="1170" w:type="dxa"/>
            <w:noWrap/>
            <w:hideMark/>
          </w:tcPr>
          <w:p w14:paraId="38B69788"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40.33</w:t>
            </w:r>
          </w:p>
        </w:tc>
        <w:tc>
          <w:tcPr>
            <w:tcW w:w="1055" w:type="dxa"/>
            <w:noWrap/>
            <w:hideMark/>
          </w:tcPr>
          <w:p w14:paraId="4FE0101A"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253.33</w:t>
            </w:r>
          </w:p>
        </w:tc>
        <w:tc>
          <w:tcPr>
            <w:tcW w:w="1055" w:type="dxa"/>
            <w:noWrap/>
            <w:hideMark/>
          </w:tcPr>
          <w:p w14:paraId="61D68B29"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43.00</w:t>
            </w:r>
          </w:p>
        </w:tc>
        <w:tc>
          <w:tcPr>
            <w:tcW w:w="1167" w:type="dxa"/>
            <w:noWrap/>
            <w:hideMark/>
          </w:tcPr>
          <w:p w14:paraId="7EA59C4D"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156.67</w:t>
            </w:r>
          </w:p>
        </w:tc>
        <w:tc>
          <w:tcPr>
            <w:tcW w:w="1133" w:type="dxa"/>
            <w:noWrap/>
            <w:hideMark/>
          </w:tcPr>
          <w:p w14:paraId="326A3234"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176.67</w:t>
            </w:r>
          </w:p>
        </w:tc>
      </w:tr>
      <w:tr w:rsidR="00560DDD" w:rsidRPr="00560DDD" w14:paraId="1B0FD6FF" w14:textId="77777777" w:rsidTr="00560DDD">
        <w:trPr>
          <w:trHeight w:val="300"/>
        </w:trPr>
        <w:tc>
          <w:tcPr>
            <w:tcW w:w="1075" w:type="dxa"/>
            <w:noWrap/>
            <w:hideMark/>
          </w:tcPr>
          <w:p w14:paraId="4D3D22BE"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SW-0010</w:t>
            </w:r>
          </w:p>
        </w:tc>
        <w:tc>
          <w:tcPr>
            <w:tcW w:w="2520" w:type="dxa"/>
            <w:noWrap/>
            <w:hideMark/>
          </w:tcPr>
          <w:p w14:paraId="3D6AAB84"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Shiawassee - Fergus</w:t>
            </w:r>
          </w:p>
        </w:tc>
        <w:tc>
          <w:tcPr>
            <w:tcW w:w="1170" w:type="dxa"/>
            <w:noWrap/>
            <w:hideMark/>
          </w:tcPr>
          <w:p w14:paraId="4042AE49"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6.6</w:t>
            </w:r>
          </w:p>
        </w:tc>
        <w:tc>
          <w:tcPr>
            <w:tcW w:w="1055" w:type="dxa"/>
            <w:noWrap/>
            <w:hideMark/>
          </w:tcPr>
          <w:p w14:paraId="5924FD5C"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17.00</w:t>
            </w:r>
          </w:p>
        </w:tc>
        <w:tc>
          <w:tcPr>
            <w:tcW w:w="1055" w:type="dxa"/>
            <w:noWrap/>
            <w:hideMark/>
          </w:tcPr>
          <w:p w14:paraId="7B18A043"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11.70</w:t>
            </w:r>
          </w:p>
        </w:tc>
        <w:tc>
          <w:tcPr>
            <w:tcW w:w="1167" w:type="dxa"/>
            <w:noWrap/>
            <w:hideMark/>
          </w:tcPr>
          <w:p w14:paraId="7AC9357A"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24.67</w:t>
            </w:r>
          </w:p>
        </w:tc>
        <w:tc>
          <w:tcPr>
            <w:tcW w:w="1133" w:type="dxa"/>
            <w:noWrap/>
            <w:hideMark/>
          </w:tcPr>
          <w:p w14:paraId="1415955D" w14:textId="77777777" w:rsidR="00560DDD" w:rsidRPr="00560DDD" w:rsidRDefault="00560DDD">
            <w:pPr>
              <w:jc w:val="right"/>
              <w:rPr>
                <w:rFonts w:ascii="Calibri" w:hAnsi="Calibri" w:cs="Calibri"/>
                <w:color w:val="000000"/>
                <w:sz w:val="22"/>
                <w:szCs w:val="22"/>
              </w:rPr>
            </w:pPr>
          </w:p>
        </w:tc>
      </w:tr>
      <w:tr w:rsidR="00560DDD" w:rsidRPr="00560DDD" w14:paraId="63912404" w14:textId="77777777" w:rsidTr="00560DDD">
        <w:trPr>
          <w:trHeight w:val="300"/>
        </w:trPr>
        <w:tc>
          <w:tcPr>
            <w:tcW w:w="1075" w:type="dxa"/>
            <w:noWrap/>
            <w:hideMark/>
          </w:tcPr>
          <w:p w14:paraId="49B7AFAE"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PR-0010</w:t>
            </w:r>
          </w:p>
        </w:tc>
        <w:tc>
          <w:tcPr>
            <w:tcW w:w="2520" w:type="dxa"/>
            <w:noWrap/>
            <w:hideMark/>
          </w:tcPr>
          <w:p w14:paraId="26DB8526"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Pine - E Pine River</w:t>
            </w:r>
          </w:p>
        </w:tc>
        <w:tc>
          <w:tcPr>
            <w:tcW w:w="1170" w:type="dxa"/>
            <w:noWrap/>
            <w:hideMark/>
          </w:tcPr>
          <w:p w14:paraId="4E8FBB9A"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9.4</w:t>
            </w:r>
          </w:p>
        </w:tc>
        <w:tc>
          <w:tcPr>
            <w:tcW w:w="1055" w:type="dxa"/>
            <w:noWrap/>
            <w:hideMark/>
          </w:tcPr>
          <w:p w14:paraId="7B1CD0A5"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75.00</w:t>
            </w:r>
          </w:p>
        </w:tc>
        <w:tc>
          <w:tcPr>
            <w:tcW w:w="1055" w:type="dxa"/>
            <w:noWrap/>
            <w:hideMark/>
          </w:tcPr>
          <w:p w14:paraId="1B7D31A5"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21.00</w:t>
            </w:r>
          </w:p>
        </w:tc>
        <w:tc>
          <w:tcPr>
            <w:tcW w:w="1167" w:type="dxa"/>
            <w:noWrap/>
            <w:hideMark/>
          </w:tcPr>
          <w:p w14:paraId="2CE64967"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44.33</w:t>
            </w:r>
          </w:p>
        </w:tc>
        <w:tc>
          <w:tcPr>
            <w:tcW w:w="1133" w:type="dxa"/>
            <w:noWrap/>
            <w:hideMark/>
          </w:tcPr>
          <w:p w14:paraId="199AD2AE"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28.67</w:t>
            </w:r>
          </w:p>
        </w:tc>
      </w:tr>
      <w:tr w:rsidR="00560DDD" w:rsidRPr="00560DDD" w14:paraId="2076AB28" w14:textId="77777777" w:rsidTr="00560DDD">
        <w:trPr>
          <w:trHeight w:val="300"/>
        </w:trPr>
        <w:tc>
          <w:tcPr>
            <w:tcW w:w="1075" w:type="dxa"/>
            <w:noWrap/>
            <w:hideMark/>
          </w:tcPr>
          <w:p w14:paraId="521FA03E"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CP-0020</w:t>
            </w:r>
          </w:p>
        </w:tc>
        <w:tc>
          <w:tcPr>
            <w:tcW w:w="2520" w:type="dxa"/>
            <w:noWrap/>
            <w:hideMark/>
          </w:tcPr>
          <w:p w14:paraId="22534EDB" w14:textId="77777777" w:rsidR="00560DDD" w:rsidRPr="00560DDD" w:rsidRDefault="00560DDD">
            <w:pPr>
              <w:rPr>
                <w:rFonts w:ascii="Calibri" w:hAnsi="Calibri" w:cs="Calibri"/>
                <w:color w:val="000000"/>
                <w:sz w:val="22"/>
                <w:szCs w:val="22"/>
              </w:rPr>
            </w:pPr>
            <w:r w:rsidRPr="00560DDD">
              <w:rPr>
                <w:rFonts w:ascii="Calibri" w:hAnsi="Calibri" w:cs="Calibri"/>
                <w:color w:val="000000"/>
                <w:sz w:val="22"/>
                <w:szCs w:val="22"/>
              </w:rPr>
              <w:t>Chippewa - E Chippewa River</w:t>
            </w:r>
          </w:p>
        </w:tc>
        <w:tc>
          <w:tcPr>
            <w:tcW w:w="1170" w:type="dxa"/>
            <w:noWrap/>
            <w:hideMark/>
          </w:tcPr>
          <w:p w14:paraId="7104E359"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3.77</w:t>
            </w:r>
          </w:p>
        </w:tc>
        <w:tc>
          <w:tcPr>
            <w:tcW w:w="1055" w:type="dxa"/>
            <w:noWrap/>
            <w:hideMark/>
          </w:tcPr>
          <w:p w14:paraId="6392CB96" w14:textId="77777777" w:rsidR="00560DDD" w:rsidRPr="00560DDD" w:rsidRDefault="00560DDD">
            <w:pPr>
              <w:jc w:val="right"/>
              <w:rPr>
                <w:rFonts w:ascii="Calibri" w:hAnsi="Calibri" w:cs="Calibri"/>
                <w:color w:val="000000"/>
                <w:sz w:val="22"/>
                <w:szCs w:val="22"/>
              </w:rPr>
            </w:pPr>
          </w:p>
        </w:tc>
        <w:tc>
          <w:tcPr>
            <w:tcW w:w="1055" w:type="dxa"/>
            <w:noWrap/>
            <w:hideMark/>
          </w:tcPr>
          <w:p w14:paraId="119915E2"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13.60</w:t>
            </w:r>
          </w:p>
        </w:tc>
        <w:tc>
          <w:tcPr>
            <w:tcW w:w="1167" w:type="dxa"/>
            <w:noWrap/>
            <w:hideMark/>
          </w:tcPr>
          <w:p w14:paraId="38E93128"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27.00</w:t>
            </w:r>
          </w:p>
        </w:tc>
        <w:tc>
          <w:tcPr>
            <w:tcW w:w="1133" w:type="dxa"/>
            <w:noWrap/>
            <w:hideMark/>
          </w:tcPr>
          <w:p w14:paraId="650F8BE5" w14:textId="77777777" w:rsidR="00560DDD" w:rsidRPr="00560DDD" w:rsidRDefault="00560DDD">
            <w:pPr>
              <w:jc w:val="right"/>
              <w:rPr>
                <w:rFonts w:ascii="Calibri" w:hAnsi="Calibri" w:cs="Calibri"/>
                <w:color w:val="000000"/>
                <w:sz w:val="22"/>
                <w:szCs w:val="22"/>
              </w:rPr>
            </w:pPr>
            <w:r w:rsidRPr="00560DDD">
              <w:rPr>
                <w:rFonts w:ascii="Calibri" w:hAnsi="Calibri" w:cs="Calibri"/>
                <w:color w:val="000000"/>
                <w:sz w:val="22"/>
                <w:szCs w:val="22"/>
              </w:rPr>
              <w:t>8.90</w:t>
            </w:r>
          </w:p>
        </w:tc>
      </w:tr>
    </w:tbl>
    <w:p w14:paraId="5D70914C" w14:textId="77777777" w:rsidR="00560DDD" w:rsidRDefault="00560DDD">
      <w:pPr>
        <w:spacing w:after="160" w:line="259" w:lineRule="auto"/>
        <w:rPr>
          <w:b/>
          <w:bCs/>
          <w:sz w:val="28"/>
          <w:szCs w:val="28"/>
        </w:rPr>
      </w:pPr>
    </w:p>
    <w:tbl>
      <w:tblPr>
        <w:tblStyle w:val="TableGrid"/>
        <w:tblW w:w="9175" w:type="dxa"/>
        <w:tblLook w:val="04A0" w:firstRow="1" w:lastRow="0" w:firstColumn="1" w:lastColumn="0" w:noHBand="0" w:noVBand="1"/>
      </w:tblPr>
      <w:tblGrid>
        <w:gridCol w:w="1075"/>
        <w:gridCol w:w="2520"/>
        <w:gridCol w:w="1170"/>
        <w:gridCol w:w="1055"/>
        <w:gridCol w:w="1055"/>
        <w:gridCol w:w="1167"/>
        <w:gridCol w:w="1133"/>
      </w:tblGrid>
      <w:tr w:rsidR="00560DDD" w:rsidRPr="00560DDD" w14:paraId="345B7336" w14:textId="77777777" w:rsidTr="00407743">
        <w:trPr>
          <w:trHeight w:val="300"/>
        </w:trPr>
        <w:tc>
          <w:tcPr>
            <w:tcW w:w="9175" w:type="dxa"/>
            <w:gridSpan w:val="7"/>
            <w:noWrap/>
          </w:tcPr>
          <w:p w14:paraId="5AACDB07" w14:textId="1B6F43E0" w:rsidR="00560DDD" w:rsidRPr="00560DDD" w:rsidRDefault="00560DDD" w:rsidP="00560DDD">
            <w:pPr>
              <w:jc w:val="center"/>
              <w:rPr>
                <w:rFonts w:asciiTheme="minorHAnsi" w:hAnsiTheme="minorHAnsi" w:cstheme="minorHAnsi"/>
                <w:color w:val="000000"/>
                <w:sz w:val="22"/>
                <w:szCs w:val="22"/>
              </w:rPr>
            </w:pPr>
            <w:r>
              <w:rPr>
                <w:rFonts w:asciiTheme="minorHAnsi" w:hAnsiTheme="minorHAnsi" w:cstheme="minorHAnsi"/>
                <w:color w:val="000000"/>
                <w:sz w:val="22"/>
                <w:szCs w:val="22"/>
              </w:rPr>
              <w:lastRenderedPageBreak/>
              <w:t>Thiamethoxam</w:t>
            </w:r>
          </w:p>
        </w:tc>
      </w:tr>
      <w:tr w:rsidR="00560DDD" w:rsidRPr="00560DDD" w14:paraId="29E8A7A8" w14:textId="77777777" w:rsidTr="00560DDD">
        <w:trPr>
          <w:trHeight w:val="300"/>
        </w:trPr>
        <w:tc>
          <w:tcPr>
            <w:tcW w:w="1075" w:type="dxa"/>
            <w:noWrap/>
            <w:hideMark/>
          </w:tcPr>
          <w:p w14:paraId="1A80431E"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Site ID</w:t>
            </w:r>
          </w:p>
        </w:tc>
        <w:tc>
          <w:tcPr>
            <w:tcW w:w="2520" w:type="dxa"/>
            <w:noWrap/>
            <w:hideMark/>
          </w:tcPr>
          <w:p w14:paraId="459B8F85"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Sample Location</w:t>
            </w:r>
          </w:p>
        </w:tc>
        <w:tc>
          <w:tcPr>
            <w:tcW w:w="1170" w:type="dxa"/>
            <w:noWrap/>
            <w:hideMark/>
          </w:tcPr>
          <w:p w14:paraId="7BDDAEF0"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7/29-8/26/2021</w:t>
            </w:r>
          </w:p>
        </w:tc>
        <w:tc>
          <w:tcPr>
            <w:tcW w:w="1055" w:type="dxa"/>
            <w:noWrap/>
            <w:hideMark/>
          </w:tcPr>
          <w:p w14:paraId="028D344A"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8/26-10/14/21</w:t>
            </w:r>
          </w:p>
        </w:tc>
        <w:tc>
          <w:tcPr>
            <w:tcW w:w="1055" w:type="dxa"/>
            <w:noWrap/>
            <w:hideMark/>
          </w:tcPr>
          <w:p w14:paraId="7E1B9B2C"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4/5-5/3/2022</w:t>
            </w:r>
          </w:p>
        </w:tc>
        <w:tc>
          <w:tcPr>
            <w:tcW w:w="1167" w:type="dxa"/>
            <w:noWrap/>
            <w:hideMark/>
          </w:tcPr>
          <w:p w14:paraId="041CF235"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5/3-6/14/2022</w:t>
            </w:r>
          </w:p>
        </w:tc>
        <w:tc>
          <w:tcPr>
            <w:tcW w:w="1133" w:type="dxa"/>
            <w:noWrap/>
            <w:hideMark/>
          </w:tcPr>
          <w:p w14:paraId="6584922D"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6/14-7/7/2022</w:t>
            </w:r>
          </w:p>
        </w:tc>
      </w:tr>
      <w:tr w:rsidR="00560DDD" w:rsidRPr="00560DDD" w14:paraId="375ECBDB" w14:textId="77777777" w:rsidTr="00560DDD">
        <w:trPr>
          <w:trHeight w:val="300"/>
        </w:trPr>
        <w:tc>
          <w:tcPr>
            <w:tcW w:w="1075" w:type="dxa"/>
            <w:noWrap/>
            <w:hideMark/>
          </w:tcPr>
          <w:p w14:paraId="5D74B3AB"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SG-0030</w:t>
            </w:r>
          </w:p>
        </w:tc>
        <w:tc>
          <w:tcPr>
            <w:tcW w:w="2520" w:type="dxa"/>
            <w:noWrap/>
            <w:hideMark/>
          </w:tcPr>
          <w:p w14:paraId="611D8694"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Saginaw - S. Railway</w:t>
            </w:r>
          </w:p>
        </w:tc>
        <w:tc>
          <w:tcPr>
            <w:tcW w:w="1170" w:type="dxa"/>
            <w:noWrap/>
            <w:hideMark/>
          </w:tcPr>
          <w:p w14:paraId="44C0C557"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3.43</w:t>
            </w:r>
          </w:p>
        </w:tc>
        <w:tc>
          <w:tcPr>
            <w:tcW w:w="1055" w:type="dxa"/>
            <w:noWrap/>
            <w:hideMark/>
          </w:tcPr>
          <w:p w14:paraId="325F71D3"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19.67</w:t>
            </w:r>
          </w:p>
        </w:tc>
        <w:tc>
          <w:tcPr>
            <w:tcW w:w="1055" w:type="dxa"/>
            <w:noWrap/>
            <w:hideMark/>
          </w:tcPr>
          <w:p w14:paraId="129E6F9E"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4.17</w:t>
            </w:r>
          </w:p>
        </w:tc>
        <w:tc>
          <w:tcPr>
            <w:tcW w:w="1167" w:type="dxa"/>
            <w:noWrap/>
            <w:hideMark/>
          </w:tcPr>
          <w:p w14:paraId="632CAA35"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9.70</w:t>
            </w:r>
          </w:p>
        </w:tc>
        <w:tc>
          <w:tcPr>
            <w:tcW w:w="1133" w:type="dxa"/>
            <w:noWrap/>
            <w:hideMark/>
          </w:tcPr>
          <w:p w14:paraId="438A9ABB"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6.33</w:t>
            </w:r>
          </w:p>
        </w:tc>
      </w:tr>
      <w:tr w:rsidR="00560DDD" w:rsidRPr="00560DDD" w14:paraId="24D6D7EC" w14:textId="77777777" w:rsidTr="00560DDD">
        <w:trPr>
          <w:trHeight w:val="300"/>
        </w:trPr>
        <w:tc>
          <w:tcPr>
            <w:tcW w:w="1075" w:type="dxa"/>
            <w:noWrap/>
            <w:hideMark/>
          </w:tcPr>
          <w:p w14:paraId="4ABF54D1"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SG-0040</w:t>
            </w:r>
          </w:p>
        </w:tc>
        <w:tc>
          <w:tcPr>
            <w:tcW w:w="2520" w:type="dxa"/>
            <w:noWrap/>
            <w:hideMark/>
          </w:tcPr>
          <w:p w14:paraId="2925C1F9"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Saginaw - Independence</w:t>
            </w:r>
          </w:p>
        </w:tc>
        <w:tc>
          <w:tcPr>
            <w:tcW w:w="1170" w:type="dxa"/>
            <w:noWrap/>
            <w:hideMark/>
          </w:tcPr>
          <w:p w14:paraId="288F4473"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3</w:t>
            </w:r>
          </w:p>
        </w:tc>
        <w:tc>
          <w:tcPr>
            <w:tcW w:w="1055" w:type="dxa"/>
            <w:noWrap/>
            <w:hideMark/>
          </w:tcPr>
          <w:p w14:paraId="1B41C533"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17.33</w:t>
            </w:r>
          </w:p>
        </w:tc>
        <w:tc>
          <w:tcPr>
            <w:tcW w:w="1055" w:type="dxa"/>
            <w:noWrap/>
            <w:hideMark/>
          </w:tcPr>
          <w:p w14:paraId="4536EBB3"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3.33</w:t>
            </w:r>
          </w:p>
        </w:tc>
        <w:tc>
          <w:tcPr>
            <w:tcW w:w="1167" w:type="dxa"/>
            <w:noWrap/>
            <w:hideMark/>
          </w:tcPr>
          <w:p w14:paraId="66FD1861"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7.17</w:t>
            </w:r>
          </w:p>
        </w:tc>
        <w:tc>
          <w:tcPr>
            <w:tcW w:w="1133" w:type="dxa"/>
            <w:noWrap/>
            <w:hideMark/>
          </w:tcPr>
          <w:p w14:paraId="169D1FBA"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5.80</w:t>
            </w:r>
          </w:p>
        </w:tc>
      </w:tr>
      <w:tr w:rsidR="00560DDD" w:rsidRPr="00560DDD" w14:paraId="1CFFF2EB" w14:textId="77777777" w:rsidTr="00560DDD">
        <w:trPr>
          <w:trHeight w:val="300"/>
        </w:trPr>
        <w:tc>
          <w:tcPr>
            <w:tcW w:w="1075" w:type="dxa"/>
            <w:noWrap/>
            <w:hideMark/>
          </w:tcPr>
          <w:p w14:paraId="612638CC"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SG-0052a</w:t>
            </w:r>
          </w:p>
        </w:tc>
        <w:tc>
          <w:tcPr>
            <w:tcW w:w="2520" w:type="dxa"/>
            <w:noWrap/>
            <w:hideMark/>
          </w:tcPr>
          <w:p w14:paraId="125DCF91"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Saginaw - Middle Ground</w:t>
            </w:r>
          </w:p>
        </w:tc>
        <w:tc>
          <w:tcPr>
            <w:tcW w:w="1170" w:type="dxa"/>
            <w:noWrap/>
            <w:hideMark/>
          </w:tcPr>
          <w:p w14:paraId="33F09EE8"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3.27</w:t>
            </w:r>
          </w:p>
        </w:tc>
        <w:tc>
          <w:tcPr>
            <w:tcW w:w="1055" w:type="dxa"/>
            <w:noWrap/>
            <w:hideMark/>
          </w:tcPr>
          <w:p w14:paraId="310CEAB9"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17.33</w:t>
            </w:r>
          </w:p>
        </w:tc>
        <w:tc>
          <w:tcPr>
            <w:tcW w:w="1055" w:type="dxa"/>
            <w:noWrap/>
            <w:hideMark/>
          </w:tcPr>
          <w:p w14:paraId="579576C6"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3.03</w:t>
            </w:r>
          </w:p>
        </w:tc>
        <w:tc>
          <w:tcPr>
            <w:tcW w:w="1167" w:type="dxa"/>
            <w:noWrap/>
            <w:hideMark/>
          </w:tcPr>
          <w:p w14:paraId="1BFA7348"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10.67</w:t>
            </w:r>
          </w:p>
        </w:tc>
        <w:tc>
          <w:tcPr>
            <w:tcW w:w="1133" w:type="dxa"/>
            <w:noWrap/>
            <w:hideMark/>
          </w:tcPr>
          <w:p w14:paraId="72255377"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3.10</w:t>
            </w:r>
          </w:p>
        </w:tc>
      </w:tr>
      <w:tr w:rsidR="00560DDD" w:rsidRPr="00560DDD" w14:paraId="45872DE9" w14:textId="77777777" w:rsidTr="00560DDD">
        <w:trPr>
          <w:trHeight w:val="300"/>
        </w:trPr>
        <w:tc>
          <w:tcPr>
            <w:tcW w:w="1075" w:type="dxa"/>
            <w:noWrap/>
            <w:hideMark/>
          </w:tcPr>
          <w:p w14:paraId="2216F06C"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SG-0059</w:t>
            </w:r>
          </w:p>
        </w:tc>
        <w:tc>
          <w:tcPr>
            <w:tcW w:w="2520" w:type="dxa"/>
            <w:noWrap/>
            <w:hideMark/>
          </w:tcPr>
          <w:p w14:paraId="65122AE9"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Saginaw - Dutch Creek</w:t>
            </w:r>
          </w:p>
        </w:tc>
        <w:tc>
          <w:tcPr>
            <w:tcW w:w="1170" w:type="dxa"/>
            <w:noWrap/>
            <w:hideMark/>
          </w:tcPr>
          <w:p w14:paraId="05051805"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4.3</w:t>
            </w:r>
          </w:p>
        </w:tc>
        <w:tc>
          <w:tcPr>
            <w:tcW w:w="1055" w:type="dxa"/>
            <w:noWrap/>
            <w:hideMark/>
          </w:tcPr>
          <w:p w14:paraId="2F773675"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22.67</w:t>
            </w:r>
          </w:p>
        </w:tc>
        <w:tc>
          <w:tcPr>
            <w:tcW w:w="1055" w:type="dxa"/>
            <w:noWrap/>
            <w:hideMark/>
          </w:tcPr>
          <w:p w14:paraId="0B70FAA7"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4.47</w:t>
            </w:r>
          </w:p>
        </w:tc>
        <w:tc>
          <w:tcPr>
            <w:tcW w:w="1167" w:type="dxa"/>
            <w:noWrap/>
            <w:hideMark/>
          </w:tcPr>
          <w:p w14:paraId="084C8B79"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11.33</w:t>
            </w:r>
          </w:p>
        </w:tc>
        <w:tc>
          <w:tcPr>
            <w:tcW w:w="1133" w:type="dxa"/>
            <w:noWrap/>
            <w:hideMark/>
          </w:tcPr>
          <w:p w14:paraId="7B8F5A46"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6.87</w:t>
            </w:r>
          </w:p>
        </w:tc>
      </w:tr>
      <w:tr w:rsidR="00560DDD" w:rsidRPr="00560DDD" w14:paraId="460649C5" w14:textId="77777777" w:rsidTr="00560DDD">
        <w:trPr>
          <w:trHeight w:val="300"/>
        </w:trPr>
        <w:tc>
          <w:tcPr>
            <w:tcW w:w="1075" w:type="dxa"/>
            <w:noWrap/>
            <w:hideMark/>
          </w:tcPr>
          <w:p w14:paraId="6DF90E7F"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SG-0070</w:t>
            </w:r>
          </w:p>
        </w:tc>
        <w:tc>
          <w:tcPr>
            <w:tcW w:w="2520" w:type="dxa"/>
            <w:noWrap/>
            <w:hideMark/>
          </w:tcPr>
          <w:p w14:paraId="06AE0996"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 xml:space="preserve">Saginaw - </w:t>
            </w:r>
            <w:proofErr w:type="spellStart"/>
            <w:r w:rsidRPr="00560DDD">
              <w:rPr>
                <w:rFonts w:asciiTheme="minorHAnsi" w:hAnsiTheme="minorHAnsi" w:cstheme="minorHAnsi"/>
                <w:color w:val="000000"/>
                <w:sz w:val="22"/>
                <w:szCs w:val="22"/>
              </w:rPr>
              <w:t>Zilwaukee</w:t>
            </w:r>
            <w:proofErr w:type="spellEnd"/>
          </w:p>
        </w:tc>
        <w:tc>
          <w:tcPr>
            <w:tcW w:w="1170" w:type="dxa"/>
            <w:noWrap/>
            <w:hideMark/>
          </w:tcPr>
          <w:p w14:paraId="5DB28540"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3.37</w:t>
            </w:r>
          </w:p>
        </w:tc>
        <w:tc>
          <w:tcPr>
            <w:tcW w:w="1055" w:type="dxa"/>
            <w:noWrap/>
            <w:hideMark/>
          </w:tcPr>
          <w:p w14:paraId="24AEC636"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21.67</w:t>
            </w:r>
          </w:p>
        </w:tc>
        <w:tc>
          <w:tcPr>
            <w:tcW w:w="1055" w:type="dxa"/>
            <w:noWrap/>
            <w:hideMark/>
          </w:tcPr>
          <w:p w14:paraId="5FF6D6EA"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4.00</w:t>
            </w:r>
          </w:p>
        </w:tc>
        <w:tc>
          <w:tcPr>
            <w:tcW w:w="1167" w:type="dxa"/>
            <w:noWrap/>
            <w:hideMark/>
          </w:tcPr>
          <w:p w14:paraId="1B9FABEC"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10.67</w:t>
            </w:r>
          </w:p>
        </w:tc>
        <w:tc>
          <w:tcPr>
            <w:tcW w:w="1133" w:type="dxa"/>
            <w:noWrap/>
            <w:hideMark/>
          </w:tcPr>
          <w:p w14:paraId="57933933"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4.20</w:t>
            </w:r>
          </w:p>
        </w:tc>
      </w:tr>
      <w:tr w:rsidR="00560DDD" w:rsidRPr="00560DDD" w14:paraId="53BD31FB" w14:textId="77777777" w:rsidTr="00560DDD">
        <w:trPr>
          <w:trHeight w:val="300"/>
        </w:trPr>
        <w:tc>
          <w:tcPr>
            <w:tcW w:w="1075" w:type="dxa"/>
            <w:noWrap/>
            <w:hideMark/>
          </w:tcPr>
          <w:p w14:paraId="7A48E826"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DC-0010</w:t>
            </w:r>
          </w:p>
        </w:tc>
        <w:tc>
          <w:tcPr>
            <w:tcW w:w="2520" w:type="dxa"/>
            <w:noWrap/>
            <w:hideMark/>
          </w:tcPr>
          <w:p w14:paraId="59FEF4FC"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Dutch Creek - Ziegler</w:t>
            </w:r>
          </w:p>
        </w:tc>
        <w:tc>
          <w:tcPr>
            <w:tcW w:w="1170" w:type="dxa"/>
            <w:noWrap/>
            <w:hideMark/>
          </w:tcPr>
          <w:p w14:paraId="25095911"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27.33</w:t>
            </w:r>
          </w:p>
        </w:tc>
        <w:tc>
          <w:tcPr>
            <w:tcW w:w="1055" w:type="dxa"/>
            <w:noWrap/>
            <w:hideMark/>
          </w:tcPr>
          <w:p w14:paraId="72AA9BC4" w14:textId="77777777" w:rsidR="00560DDD" w:rsidRPr="00560DDD" w:rsidRDefault="00560DDD">
            <w:pPr>
              <w:jc w:val="right"/>
              <w:rPr>
                <w:rFonts w:asciiTheme="minorHAnsi" w:hAnsiTheme="minorHAnsi" w:cstheme="minorHAnsi"/>
                <w:color w:val="000000"/>
                <w:sz w:val="22"/>
                <w:szCs w:val="22"/>
              </w:rPr>
            </w:pPr>
          </w:p>
        </w:tc>
        <w:tc>
          <w:tcPr>
            <w:tcW w:w="1055" w:type="dxa"/>
            <w:noWrap/>
            <w:hideMark/>
          </w:tcPr>
          <w:p w14:paraId="1626B00F"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2.03</w:t>
            </w:r>
          </w:p>
        </w:tc>
        <w:tc>
          <w:tcPr>
            <w:tcW w:w="1167" w:type="dxa"/>
            <w:noWrap/>
            <w:hideMark/>
          </w:tcPr>
          <w:p w14:paraId="653CDAAE"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10.73</w:t>
            </w:r>
          </w:p>
        </w:tc>
        <w:tc>
          <w:tcPr>
            <w:tcW w:w="1133" w:type="dxa"/>
            <w:noWrap/>
            <w:hideMark/>
          </w:tcPr>
          <w:p w14:paraId="6A9E3DFE"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4.60</w:t>
            </w:r>
          </w:p>
        </w:tc>
      </w:tr>
      <w:tr w:rsidR="00560DDD" w:rsidRPr="00560DDD" w14:paraId="7DAB165D" w14:textId="77777777" w:rsidTr="00560DDD">
        <w:trPr>
          <w:trHeight w:val="300"/>
        </w:trPr>
        <w:tc>
          <w:tcPr>
            <w:tcW w:w="1075" w:type="dxa"/>
            <w:noWrap/>
            <w:hideMark/>
          </w:tcPr>
          <w:p w14:paraId="1C335BED"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SG-0110</w:t>
            </w:r>
          </w:p>
        </w:tc>
        <w:tc>
          <w:tcPr>
            <w:tcW w:w="2520" w:type="dxa"/>
            <w:noWrap/>
            <w:hideMark/>
          </w:tcPr>
          <w:p w14:paraId="795A6298"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Saginaw - W Center</w:t>
            </w:r>
          </w:p>
        </w:tc>
        <w:tc>
          <w:tcPr>
            <w:tcW w:w="1170" w:type="dxa"/>
            <w:noWrap/>
            <w:hideMark/>
          </w:tcPr>
          <w:p w14:paraId="1B8556B5"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2.6</w:t>
            </w:r>
          </w:p>
        </w:tc>
        <w:tc>
          <w:tcPr>
            <w:tcW w:w="1055" w:type="dxa"/>
            <w:noWrap/>
            <w:hideMark/>
          </w:tcPr>
          <w:p w14:paraId="655C3066"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23.00</w:t>
            </w:r>
          </w:p>
        </w:tc>
        <w:tc>
          <w:tcPr>
            <w:tcW w:w="1055" w:type="dxa"/>
            <w:noWrap/>
            <w:hideMark/>
          </w:tcPr>
          <w:p w14:paraId="1CB9A04F"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3.90</w:t>
            </w:r>
          </w:p>
        </w:tc>
        <w:tc>
          <w:tcPr>
            <w:tcW w:w="1167" w:type="dxa"/>
            <w:noWrap/>
            <w:hideMark/>
          </w:tcPr>
          <w:p w14:paraId="1847B5B7"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15.67</w:t>
            </w:r>
          </w:p>
        </w:tc>
        <w:tc>
          <w:tcPr>
            <w:tcW w:w="1133" w:type="dxa"/>
            <w:noWrap/>
            <w:hideMark/>
          </w:tcPr>
          <w:p w14:paraId="1212FE1B"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1.06</w:t>
            </w:r>
          </w:p>
        </w:tc>
      </w:tr>
      <w:tr w:rsidR="00560DDD" w:rsidRPr="00560DDD" w14:paraId="1958B97F" w14:textId="77777777" w:rsidTr="00560DDD">
        <w:trPr>
          <w:trHeight w:val="300"/>
        </w:trPr>
        <w:tc>
          <w:tcPr>
            <w:tcW w:w="1075" w:type="dxa"/>
            <w:noWrap/>
            <w:hideMark/>
          </w:tcPr>
          <w:p w14:paraId="2785F5B5"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SG-0010</w:t>
            </w:r>
          </w:p>
        </w:tc>
        <w:tc>
          <w:tcPr>
            <w:tcW w:w="2520" w:type="dxa"/>
            <w:noWrap/>
            <w:hideMark/>
          </w:tcPr>
          <w:p w14:paraId="592FE769"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Tittabawassee - S Center</w:t>
            </w:r>
          </w:p>
        </w:tc>
        <w:tc>
          <w:tcPr>
            <w:tcW w:w="1170" w:type="dxa"/>
            <w:noWrap/>
            <w:hideMark/>
          </w:tcPr>
          <w:p w14:paraId="1DCD8C00"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4.33</w:t>
            </w:r>
          </w:p>
        </w:tc>
        <w:tc>
          <w:tcPr>
            <w:tcW w:w="1055" w:type="dxa"/>
            <w:noWrap/>
            <w:hideMark/>
          </w:tcPr>
          <w:p w14:paraId="7180A235"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8.17</w:t>
            </w:r>
          </w:p>
        </w:tc>
        <w:tc>
          <w:tcPr>
            <w:tcW w:w="1055" w:type="dxa"/>
            <w:noWrap/>
            <w:hideMark/>
          </w:tcPr>
          <w:p w14:paraId="6EDBACA8"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1.28</w:t>
            </w:r>
          </w:p>
        </w:tc>
        <w:tc>
          <w:tcPr>
            <w:tcW w:w="1167" w:type="dxa"/>
            <w:noWrap/>
            <w:hideMark/>
          </w:tcPr>
          <w:p w14:paraId="7C7BAE53"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4.03</w:t>
            </w:r>
          </w:p>
        </w:tc>
        <w:tc>
          <w:tcPr>
            <w:tcW w:w="1133" w:type="dxa"/>
            <w:noWrap/>
            <w:hideMark/>
          </w:tcPr>
          <w:p w14:paraId="2FDBABC0"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2.43</w:t>
            </w:r>
          </w:p>
        </w:tc>
      </w:tr>
      <w:tr w:rsidR="00560DDD" w:rsidRPr="00560DDD" w14:paraId="1AE2420C" w14:textId="77777777" w:rsidTr="00560DDD">
        <w:trPr>
          <w:trHeight w:val="300"/>
        </w:trPr>
        <w:tc>
          <w:tcPr>
            <w:tcW w:w="1075" w:type="dxa"/>
            <w:noWrap/>
            <w:hideMark/>
          </w:tcPr>
          <w:p w14:paraId="7BD10151"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CR-0010</w:t>
            </w:r>
          </w:p>
        </w:tc>
        <w:tc>
          <w:tcPr>
            <w:tcW w:w="2520" w:type="dxa"/>
            <w:noWrap/>
            <w:hideMark/>
          </w:tcPr>
          <w:p w14:paraId="1C2C8BDF"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Cass - E Road</w:t>
            </w:r>
          </w:p>
        </w:tc>
        <w:tc>
          <w:tcPr>
            <w:tcW w:w="1170" w:type="dxa"/>
            <w:noWrap/>
            <w:hideMark/>
          </w:tcPr>
          <w:p w14:paraId="73FE9ED5"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10.47</w:t>
            </w:r>
          </w:p>
        </w:tc>
        <w:tc>
          <w:tcPr>
            <w:tcW w:w="1055" w:type="dxa"/>
            <w:noWrap/>
            <w:hideMark/>
          </w:tcPr>
          <w:p w14:paraId="0A2053C2"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11.07</w:t>
            </w:r>
          </w:p>
        </w:tc>
        <w:tc>
          <w:tcPr>
            <w:tcW w:w="1055" w:type="dxa"/>
            <w:noWrap/>
            <w:hideMark/>
          </w:tcPr>
          <w:p w14:paraId="1539EF0E"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4.69</w:t>
            </w:r>
          </w:p>
        </w:tc>
        <w:tc>
          <w:tcPr>
            <w:tcW w:w="1167" w:type="dxa"/>
            <w:noWrap/>
            <w:hideMark/>
          </w:tcPr>
          <w:p w14:paraId="6A949AB0"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14.67</w:t>
            </w:r>
          </w:p>
        </w:tc>
        <w:tc>
          <w:tcPr>
            <w:tcW w:w="1133" w:type="dxa"/>
            <w:noWrap/>
            <w:hideMark/>
          </w:tcPr>
          <w:p w14:paraId="61FF5164"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11.43</w:t>
            </w:r>
          </w:p>
        </w:tc>
      </w:tr>
      <w:tr w:rsidR="00560DDD" w:rsidRPr="00560DDD" w14:paraId="77F230AE" w14:textId="77777777" w:rsidTr="00560DDD">
        <w:trPr>
          <w:trHeight w:val="300"/>
        </w:trPr>
        <w:tc>
          <w:tcPr>
            <w:tcW w:w="1075" w:type="dxa"/>
            <w:noWrap/>
            <w:hideMark/>
          </w:tcPr>
          <w:p w14:paraId="750C7C3B"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FR-0015</w:t>
            </w:r>
          </w:p>
        </w:tc>
        <w:tc>
          <w:tcPr>
            <w:tcW w:w="2520" w:type="dxa"/>
            <w:noWrap/>
            <w:hideMark/>
          </w:tcPr>
          <w:p w14:paraId="7B06D446"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Flint - E Road</w:t>
            </w:r>
          </w:p>
        </w:tc>
        <w:tc>
          <w:tcPr>
            <w:tcW w:w="1170" w:type="dxa"/>
            <w:noWrap/>
            <w:hideMark/>
          </w:tcPr>
          <w:p w14:paraId="500A708C"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2.67</w:t>
            </w:r>
          </w:p>
        </w:tc>
        <w:tc>
          <w:tcPr>
            <w:tcW w:w="1055" w:type="dxa"/>
            <w:noWrap/>
            <w:hideMark/>
          </w:tcPr>
          <w:p w14:paraId="3B8C9316"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6.50</w:t>
            </w:r>
          </w:p>
        </w:tc>
        <w:tc>
          <w:tcPr>
            <w:tcW w:w="1055" w:type="dxa"/>
            <w:noWrap/>
            <w:hideMark/>
          </w:tcPr>
          <w:p w14:paraId="1AF37FDF"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4.50</w:t>
            </w:r>
          </w:p>
        </w:tc>
        <w:tc>
          <w:tcPr>
            <w:tcW w:w="1167" w:type="dxa"/>
            <w:noWrap/>
            <w:hideMark/>
          </w:tcPr>
          <w:p w14:paraId="0A7D4F6D"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2.07</w:t>
            </w:r>
          </w:p>
        </w:tc>
        <w:tc>
          <w:tcPr>
            <w:tcW w:w="1133" w:type="dxa"/>
            <w:noWrap/>
            <w:hideMark/>
          </w:tcPr>
          <w:p w14:paraId="045CD208"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3.07</w:t>
            </w:r>
          </w:p>
        </w:tc>
      </w:tr>
      <w:tr w:rsidR="00560DDD" w:rsidRPr="00560DDD" w14:paraId="3DDCF98F" w14:textId="77777777" w:rsidTr="00560DDD">
        <w:trPr>
          <w:trHeight w:val="300"/>
        </w:trPr>
        <w:tc>
          <w:tcPr>
            <w:tcW w:w="1075" w:type="dxa"/>
            <w:noWrap/>
            <w:hideMark/>
          </w:tcPr>
          <w:p w14:paraId="214270C2"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BD-0110</w:t>
            </w:r>
          </w:p>
        </w:tc>
        <w:tc>
          <w:tcPr>
            <w:tcW w:w="2520" w:type="dxa"/>
            <w:noWrap/>
            <w:hideMark/>
          </w:tcPr>
          <w:p w14:paraId="0CEC8B89"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Bad River</w:t>
            </w:r>
          </w:p>
        </w:tc>
        <w:tc>
          <w:tcPr>
            <w:tcW w:w="1170" w:type="dxa"/>
            <w:noWrap/>
            <w:hideMark/>
          </w:tcPr>
          <w:p w14:paraId="69B1BE10"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6.47</w:t>
            </w:r>
          </w:p>
        </w:tc>
        <w:tc>
          <w:tcPr>
            <w:tcW w:w="1055" w:type="dxa"/>
            <w:noWrap/>
            <w:hideMark/>
          </w:tcPr>
          <w:p w14:paraId="62D56DF6"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22.00</w:t>
            </w:r>
          </w:p>
        </w:tc>
        <w:tc>
          <w:tcPr>
            <w:tcW w:w="1055" w:type="dxa"/>
            <w:noWrap/>
            <w:hideMark/>
          </w:tcPr>
          <w:p w14:paraId="30E863C4"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7.07</w:t>
            </w:r>
          </w:p>
        </w:tc>
        <w:tc>
          <w:tcPr>
            <w:tcW w:w="1167" w:type="dxa"/>
            <w:noWrap/>
            <w:hideMark/>
          </w:tcPr>
          <w:p w14:paraId="5E48112C"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20.33</w:t>
            </w:r>
          </w:p>
        </w:tc>
        <w:tc>
          <w:tcPr>
            <w:tcW w:w="1133" w:type="dxa"/>
            <w:noWrap/>
            <w:hideMark/>
          </w:tcPr>
          <w:p w14:paraId="0DC79CF4"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24.33</w:t>
            </w:r>
          </w:p>
        </w:tc>
      </w:tr>
      <w:tr w:rsidR="00560DDD" w:rsidRPr="00560DDD" w14:paraId="5ABE31F7" w14:textId="77777777" w:rsidTr="00560DDD">
        <w:trPr>
          <w:trHeight w:val="300"/>
        </w:trPr>
        <w:tc>
          <w:tcPr>
            <w:tcW w:w="1075" w:type="dxa"/>
            <w:noWrap/>
            <w:hideMark/>
          </w:tcPr>
          <w:p w14:paraId="615EB046"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SW-0010</w:t>
            </w:r>
          </w:p>
        </w:tc>
        <w:tc>
          <w:tcPr>
            <w:tcW w:w="2520" w:type="dxa"/>
            <w:noWrap/>
            <w:hideMark/>
          </w:tcPr>
          <w:p w14:paraId="089D58A8"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Shiawassee - Fergus</w:t>
            </w:r>
          </w:p>
        </w:tc>
        <w:tc>
          <w:tcPr>
            <w:tcW w:w="1170" w:type="dxa"/>
            <w:noWrap/>
            <w:hideMark/>
          </w:tcPr>
          <w:p w14:paraId="175ED5BD"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1.43</w:t>
            </w:r>
          </w:p>
        </w:tc>
        <w:tc>
          <w:tcPr>
            <w:tcW w:w="1055" w:type="dxa"/>
            <w:noWrap/>
            <w:hideMark/>
          </w:tcPr>
          <w:p w14:paraId="2C3A69AF"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2.77</w:t>
            </w:r>
          </w:p>
        </w:tc>
        <w:tc>
          <w:tcPr>
            <w:tcW w:w="1055" w:type="dxa"/>
            <w:noWrap/>
            <w:hideMark/>
          </w:tcPr>
          <w:p w14:paraId="57F536FD"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1.53</w:t>
            </w:r>
          </w:p>
        </w:tc>
        <w:tc>
          <w:tcPr>
            <w:tcW w:w="1167" w:type="dxa"/>
            <w:noWrap/>
            <w:hideMark/>
          </w:tcPr>
          <w:p w14:paraId="754B6EA2"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14.33</w:t>
            </w:r>
          </w:p>
        </w:tc>
        <w:tc>
          <w:tcPr>
            <w:tcW w:w="1133" w:type="dxa"/>
            <w:noWrap/>
            <w:hideMark/>
          </w:tcPr>
          <w:p w14:paraId="69E03E2D" w14:textId="77777777" w:rsidR="00560DDD" w:rsidRPr="00560DDD" w:rsidRDefault="00560DDD">
            <w:pPr>
              <w:jc w:val="right"/>
              <w:rPr>
                <w:rFonts w:asciiTheme="minorHAnsi" w:hAnsiTheme="minorHAnsi" w:cstheme="minorHAnsi"/>
                <w:color w:val="000000"/>
                <w:sz w:val="22"/>
                <w:szCs w:val="22"/>
              </w:rPr>
            </w:pPr>
          </w:p>
        </w:tc>
      </w:tr>
      <w:tr w:rsidR="00560DDD" w:rsidRPr="00560DDD" w14:paraId="57913B3D" w14:textId="77777777" w:rsidTr="00560DDD">
        <w:trPr>
          <w:trHeight w:val="300"/>
        </w:trPr>
        <w:tc>
          <w:tcPr>
            <w:tcW w:w="1075" w:type="dxa"/>
            <w:noWrap/>
            <w:hideMark/>
          </w:tcPr>
          <w:p w14:paraId="4D8FC6F8"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PR-0010</w:t>
            </w:r>
          </w:p>
        </w:tc>
        <w:tc>
          <w:tcPr>
            <w:tcW w:w="2520" w:type="dxa"/>
            <w:noWrap/>
            <w:hideMark/>
          </w:tcPr>
          <w:p w14:paraId="1FD0E3B3"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Pine - E Pine River</w:t>
            </w:r>
          </w:p>
        </w:tc>
        <w:tc>
          <w:tcPr>
            <w:tcW w:w="1170" w:type="dxa"/>
            <w:noWrap/>
            <w:hideMark/>
          </w:tcPr>
          <w:p w14:paraId="2BBC0812"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2.87</w:t>
            </w:r>
          </w:p>
        </w:tc>
        <w:tc>
          <w:tcPr>
            <w:tcW w:w="1055" w:type="dxa"/>
            <w:noWrap/>
            <w:hideMark/>
          </w:tcPr>
          <w:p w14:paraId="678E5D4C"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28.33</w:t>
            </w:r>
          </w:p>
        </w:tc>
        <w:tc>
          <w:tcPr>
            <w:tcW w:w="1055" w:type="dxa"/>
            <w:noWrap/>
            <w:hideMark/>
          </w:tcPr>
          <w:p w14:paraId="5B9E26BE"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6.60</w:t>
            </w:r>
          </w:p>
        </w:tc>
        <w:tc>
          <w:tcPr>
            <w:tcW w:w="1167" w:type="dxa"/>
            <w:noWrap/>
            <w:hideMark/>
          </w:tcPr>
          <w:p w14:paraId="5D4123B5"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13.00</w:t>
            </w:r>
          </w:p>
        </w:tc>
        <w:tc>
          <w:tcPr>
            <w:tcW w:w="1133" w:type="dxa"/>
            <w:noWrap/>
            <w:hideMark/>
          </w:tcPr>
          <w:p w14:paraId="2703CB0B"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11.63</w:t>
            </w:r>
          </w:p>
        </w:tc>
      </w:tr>
      <w:tr w:rsidR="00560DDD" w:rsidRPr="00560DDD" w14:paraId="06CEC55E" w14:textId="77777777" w:rsidTr="00560DDD">
        <w:trPr>
          <w:trHeight w:val="300"/>
        </w:trPr>
        <w:tc>
          <w:tcPr>
            <w:tcW w:w="1075" w:type="dxa"/>
            <w:noWrap/>
            <w:hideMark/>
          </w:tcPr>
          <w:p w14:paraId="799A6F9E"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CP-0020</w:t>
            </w:r>
          </w:p>
        </w:tc>
        <w:tc>
          <w:tcPr>
            <w:tcW w:w="2520" w:type="dxa"/>
            <w:noWrap/>
            <w:hideMark/>
          </w:tcPr>
          <w:p w14:paraId="34B90625" w14:textId="77777777" w:rsidR="00560DDD" w:rsidRPr="00560DDD" w:rsidRDefault="00560DDD">
            <w:pPr>
              <w:rPr>
                <w:rFonts w:asciiTheme="minorHAnsi" w:hAnsiTheme="minorHAnsi" w:cstheme="minorHAnsi"/>
                <w:color w:val="000000"/>
                <w:sz w:val="22"/>
                <w:szCs w:val="22"/>
              </w:rPr>
            </w:pPr>
            <w:r w:rsidRPr="00560DDD">
              <w:rPr>
                <w:rFonts w:asciiTheme="minorHAnsi" w:hAnsiTheme="minorHAnsi" w:cstheme="minorHAnsi"/>
                <w:color w:val="000000"/>
                <w:sz w:val="22"/>
                <w:szCs w:val="22"/>
              </w:rPr>
              <w:t>Chippewa - E Chippewa River</w:t>
            </w:r>
          </w:p>
        </w:tc>
        <w:tc>
          <w:tcPr>
            <w:tcW w:w="1170" w:type="dxa"/>
            <w:noWrap/>
            <w:hideMark/>
          </w:tcPr>
          <w:p w14:paraId="392D9C1F"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0.86</w:t>
            </w:r>
          </w:p>
        </w:tc>
        <w:tc>
          <w:tcPr>
            <w:tcW w:w="1055" w:type="dxa"/>
            <w:noWrap/>
            <w:hideMark/>
          </w:tcPr>
          <w:p w14:paraId="25CB3392" w14:textId="77777777" w:rsidR="00560DDD" w:rsidRPr="00560DDD" w:rsidRDefault="00560DDD">
            <w:pPr>
              <w:jc w:val="right"/>
              <w:rPr>
                <w:rFonts w:asciiTheme="minorHAnsi" w:hAnsiTheme="minorHAnsi" w:cstheme="minorHAnsi"/>
                <w:color w:val="000000"/>
                <w:sz w:val="22"/>
                <w:szCs w:val="22"/>
              </w:rPr>
            </w:pPr>
          </w:p>
        </w:tc>
        <w:tc>
          <w:tcPr>
            <w:tcW w:w="1055" w:type="dxa"/>
            <w:noWrap/>
            <w:hideMark/>
          </w:tcPr>
          <w:p w14:paraId="7F862780"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1.53</w:t>
            </w:r>
          </w:p>
        </w:tc>
        <w:tc>
          <w:tcPr>
            <w:tcW w:w="1167" w:type="dxa"/>
            <w:noWrap/>
            <w:hideMark/>
          </w:tcPr>
          <w:p w14:paraId="58A653EF"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2.77</w:t>
            </w:r>
          </w:p>
        </w:tc>
        <w:tc>
          <w:tcPr>
            <w:tcW w:w="1133" w:type="dxa"/>
            <w:noWrap/>
            <w:hideMark/>
          </w:tcPr>
          <w:p w14:paraId="7FEECA2B" w14:textId="77777777" w:rsidR="00560DDD" w:rsidRPr="00560DDD" w:rsidRDefault="00560DDD">
            <w:pPr>
              <w:jc w:val="right"/>
              <w:rPr>
                <w:rFonts w:asciiTheme="minorHAnsi" w:hAnsiTheme="minorHAnsi" w:cstheme="minorHAnsi"/>
                <w:color w:val="000000"/>
                <w:sz w:val="22"/>
                <w:szCs w:val="22"/>
              </w:rPr>
            </w:pPr>
            <w:r w:rsidRPr="00560DDD">
              <w:rPr>
                <w:rFonts w:asciiTheme="minorHAnsi" w:hAnsiTheme="minorHAnsi" w:cstheme="minorHAnsi"/>
                <w:color w:val="000000"/>
                <w:sz w:val="22"/>
                <w:szCs w:val="22"/>
              </w:rPr>
              <w:t>1.03</w:t>
            </w:r>
          </w:p>
        </w:tc>
      </w:tr>
    </w:tbl>
    <w:p w14:paraId="084D3646" w14:textId="77777777" w:rsidR="00560DDD" w:rsidRPr="00560DDD" w:rsidRDefault="00560DDD">
      <w:pPr>
        <w:spacing w:after="160" w:line="259" w:lineRule="auto"/>
        <w:rPr>
          <w:sz w:val="28"/>
          <w:szCs w:val="28"/>
        </w:rPr>
      </w:pPr>
    </w:p>
    <w:p w14:paraId="278EE992" w14:textId="77777777" w:rsidR="00183D17" w:rsidRDefault="00183D17">
      <w:pPr>
        <w:spacing w:after="160" w:line="259" w:lineRule="auto"/>
        <w:rPr>
          <w:b/>
          <w:bCs/>
          <w:sz w:val="28"/>
          <w:szCs w:val="28"/>
        </w:rPr>
      </w:pPr>
    </w:p>
    <w:p w14:paraId="02B3F9AE" w14:textId="77777777" w:rsidR="00183D17" w:rsidRDefault="00183D17">
      <w:pPr>
        <w:spacing w:after="160" w:line="259" w:lineRule="auto"/>
        <w:rPr>
          <w:b/>
          <w:bCs/>
          <w:sz w:val="28"/>
          <w:szCs w:val="28"/>
        </w:rPr>
      </w:pPr>
      <w:r>
        <w:rPr>
          <w:b/>
          <w:bCs/>
          <w:sz w:val="28"/>
          <w:szCs w:val="28"/>
        </w:rPr>
        <w:br w:type="page"/>
      </w:r>
    </w:p>
    <w:p w14:paraId="671009CF" w14:textId="30A345A8" w:rsidR="008D5C56" w:rsidRPr="00900D0C" w:rsidRDefault="00225705" w:rsidP="00900D0C">
      <w:pPr>
        <w:rPr>
          <w:b/>
          <w:bCs/>
          <w:sz w:val="28"/>
          <w:szCs w:val="28"/>
        </w:rPr>
      </w:pPr>
      <w:r w:rsidRPr="00900D0C">
        <w:rPr>
          <w:b/>
          <w:bCs/>
          <w:sz w:val="28"/>
          <w:szCs w:val="28"/>
        </w:rPr>
        <w:lastRenderedPageBreak/>
        <w:t xml:space="preserve">Development of Aquatic Life </w:t>
      </w:r>
      <w:r w:rsidR="00A74B3A" w:rsidRPr="00900D0C">
        <w:rPr>
          <w:b/>
          <w:bCs/>
          <w:sz w:val="28"/>
          <w:szCs w:val="28"/>
        </w:rPr>
        <w:t>Values</w:t>
      </w:r>
      <w:r w:rsidRPr="00900D0C">
        <w:rPr>
          <w:b/>
          <w:bCs/>
          <w:sz w:val="28"/>
          <w:szCs w:val="28"/>
        </w:rPr>
        <w:t xml:space="preserve"> for</w:t>
      </w:r>
      <w:r w:rsidR="003D1A06" w:rsidRPr="00900D0C">
        <w:rPr>
          <w:b/>
          <w:bCs/>
          <w:sz w:val="28"/>
          <w:szCs w:val="28"/>
        </w:rPr>
        <w:t xml:space="preserve"> </w:t>
      </w:r>
      <w:r w:rsidR="00583363" w:rsidRPr="00900D0C">
        <w:rPr>
          <w:b/>
          <w:bCs/>
          <w:sz w:val="28"/>
          <w:szCs w:val="28"/>
        </w:rPr>
        <w:t>Imidacloprid</w:t>
      </w:r>
      <w:r w:rsidR="00243827" w:rsidRPr="00900D0C">
        <w:rPr>
          <w:b/>
          <w:bCs/>
          <w:sz w:val="28"/>
          <w:szCs w:val="28"/>
        </w:rPr>
        <w:t xml:space="preserve"> (CAS </w:t>
      </w:r>
      <w:r w:rsidR="00D21F00" w:rsidRPr="00900D0C">
        <w:rPr>
          <w:b/>
          <w:bCs/>
          <w:sz w:val="28"/>
          <w:szCs w:val="28"/>
        </w:rPr>
        <w:t>138261-41-3</w:t>
      </w:r>
      <w:r w:rsidR="00873E31" w:rsidRPr="00900D0C">
        <w:rPr>
          <w:b/>
          <w:bCs/>
          <w:sz w:val="28"/>
          <w:szCs w:val="28"/>
        </w:rPr>
        <w:t>)</w:t>
      </w:r>
    </w:p>
    <w:p w14:paraId="6D553019" w14:textId="2C4E5362" w:rsidR="00243827" w:rsidRPr="000E3EDB" w:rsidRDefault="006F42EF" w:rsidP="00900D0C">
      <w:r w:rsidRPr="000E3EDB">
        <w:t xml:space="preserve">Date: </w:t>
      </w:r>
      <w:r w:rsidR="00900D0C">
        <w:t>November 16, 2021</w:t>
      </w:r>
    </w:p>
    <w:p w14:paraId="7823307B" w14:textId="1E2318D3" w:rsidR="00243827" w:rsidRPr="000E3EDB" w:rsidRDefault="00243827" w:rsidP="00900D0C">
      <w:r w:rsidRPr="000E3EDB">
        <w:t xml:space="preserve">By: </w:t>
      </w:r>
      <w:r w:rsidR="005A7192" w:rsidRPr="000E3EDB">
        <w:t>Sara Nedrich</w:t>
      </w:r>
    </w:p>
    <w:p w14:paraId="62BEB7A4" w14:textId="77777777" w:rsidR="003A6CD5" w:rsidRDefault="003A6CD5" w:rsidP="00B311D9">
      <w:pPr>
        <w:rPr>
          <w:b/>
          <w:bCs/>
        </w:rPr>
      </w:pPr>
    </w:p>
    <w:p w14:paraId="541E224D" w14:textId="63522E15" w:rsidR="001C51CA" w:rsidRPr="00406BE7" w:rsidRDefault="00BF045D" w:rsidP="00B311D9">
      <w:pPr>
        <w:rPr>
          <w:b/>
          <w:bCs/>
        </w:rPr>
      </w:pPr>
      <w:r>
        <w:rPr>
          <w:b/>
          <w:bCs/>
        </w:rPr>
        <w:t xml:space="preserve">Literature </w:t>
      </w:r>
      <w:r w:rsidR="00406BE7">
        <w:rPr>
          <w:b/>
          <w:bCs/>
        </w:rPr>
        <w:t>Search Overview</w:t>
      </w:r>
    </w:p>
    <w:p w14:paraId="326A0749" w14:textId="44805C0B" w:rsidR="002A46E7" w:rsidRPr="00647601" w:rsidRDefault="00243827" w:rsidP="00B311D9">
      <w:r w:rsidRPr="000E3EDB">
        <w:t xml:space="preserve">A </w:t>
      </w:r>
      <w:proofErr w:type="spellStart"/>
      <w:r w:rsidR="004E00E5">
        <w:t>Scifinder</w:t>
      </w:r>
      <w:proofErr w:type="spellEnd"/>
      <w:r w:rsidRPr="000E3EDB">
        <w:t xml:space="preserve"> literature search was conducted on </w:t>
      </w:r>
      <w:r w:rsidR="008A7844" w:rsidRPr="000E3EDB">
        <w:t xml:space="preserve">August </w:t>
      </w:r>
      <w:r w:rsidR="008A7844">
        <w:t>25</w:t>
      </w:r>
      <w:r w:rsidR="008A7844" w:rsidRPr="000E3EDB">
        <w:rPr>
          <w:vertAlign w:val="superscript"/>
        </w:rPr>
        <w:t>th</w:t>
      </w:r>
      <w:r w:rsidR="008A7844" w:rsidRPr="000E3EDB">
        <w:t>, 2021,</w:t>
      </w:r>
      <w:r w:rsidR="008A7844">
        <w:t xml:space="preserve"> and</w:t>
      </w:r>
      <w:r w:rsidRPr="000E3EDB">
        <w:t xml:space="preserve"> included a </w:t>
      </w:r>
      <w:r w:rsidR="005A7192" w:rsidRPr="000E3EDB">
        <w:t>reference search</w:t>
      </w:r>
      <w:r w:rsidRPr="000E3EDB">
        <w:t xml:space="preserve"> </w:t>
      </w:r>
      <w:r w:rsidR="005A7192" w:rsidRPr="000E3EDB">
        <w:t xml:space="preserve">via </w:t>
      </w:r>
      <w:r w:rsidR="00F1093B">
        <w:t>CAS</w:t>
      </w:r>
      <w:r w:rsidR="005A7192" w:rsidRPr="000E3EDB">
        <w:t xml:space="preserve"> </w:t>
      </w:r>
      <w:r w:rsidR="002C2028">
        <w:t>‘138261-41-3’</w:t>
      </w:r>
      <w:r w:rsidR="00FB7ABD" w:rsidRPr="000E3EDB">
        <w:t>.</w:t>
      </w:r>
      <w:r w:rsidRPr="000E3EDB">
        <w:t xml:space="preserve"> </w:t>
      </w:r>
      <w:r w:rsidR="000E3EDB" w:rsidRPr="000E3EDB">
        <w:t xml:space="preserve">The search terms were refined by language (English), and search terms ‘Aquatic’ AND one of the following: ‘LC50’, ‘EC50’, ‘chronic’, or ‘acute’.  The </w:t>
      </w:r>
      <w:r w:rsidR="000E3EDB" w:rsidRPr="005B3B76">
        <w:t xml:space="preserve">resulting </w:t>
      </w:r>
      <w:r w:rsidR="00B67B09">
        <w:t>1</w:t>
      </w:r>
      <w:r w:rsidR="005B3B76" w:rsidRPr="005B3B76">
        <w:t>2</w:t>
      </w:r>
      <w:r w:rsidR="00B67B09">
        <w:t>3</w:t>
      </w:r>
      <w:r w:rsidR="000E3EDB" w:rsidRPr="005B3B76">
        <w:t xml:space="preserve"> abstracts were </w:t>
      </w:r>
      <w:r w:rsidR="002B2A3A" w:rsidRPr="00647601">
        <w:t>reviewed</w:t>
      </w:r>
      <w:r w:rsidR="00AA0DF6" w:rsidRPr="00647601">
        <w:t xml:space="preserve"> (Appendix A)</w:t>
      </w:r>
      <w:r w:rsidR="002B2A3A" w:rsidRPr="00647601">
        <w:t>,</w:t>
      </w:r>
      <w:r w:rsidR="000E3EDB" w:rsidRPr="00647601">
        <w:t xml:space="preserve"> </w:t>
      </w:r>
      <w:r w:rsidR="007C5382" w:rsidRPr="00647601">
        <w:t xml:space="preserve">and </w:t>
      </w:r>
      <w:r w:rsidR="00B15302" w:rsidRPr="00647601">
        <w:t>48</w:t>
      </w:r>
      <w:r w:rsidR="002E612E" w:rsidRPr="00647601">
        <w:t xml:space="preserve"> articles were</w:t>
      </w:r>
      <w:r w:rsidR="007C5382" w:rsidRPr="00647601">
        <w:t xml:space="preserve"> s</w:t>
      </w:r>
      <w:r w:rsidR="004325FE" w:rsidRPr="00647601">
        <w:t>ufficiently relevant to be s</w:t>
      </w:r>
      <w:r w:rsidR="007C5382" w:rsidRPr="00647601">
        <w:t>elect</w:t>
      </w:r>
      <w:r w:rsidR="004325FE" w:rsidRPr="00647601">
        <w:t xml:space="preserve">ed for </w:t>
      </w:r>
      <w:r w:rsidR="00773A3A" w:rsidRPr="00647601">
        <w:t xml:space="preserve">full article </w:t>
      </w:r>
      <w:r w:rsidR="004325FE" w:rsidRPr="00647601">
        <w:t xml:space="preserve">review. </w:t>
      </w:r>
    </w:p>
    <w:p w14:paraId="07C8122B" w14:textId="77777777" w:rsidR="00B311D9" w:rsidRPr="00647601" w:rsidRDefault="00B311D9" w:rsidP="00B311D9"/>
    <w:p w14:paraId="03A6729E" w14:textId="34EAACE2" w:rsidR="00484A68" w:rsidRPr="00647601" w:rsidRDefault="002A46E7" w:rsidP="00BD6219">
      <w:r w:rsidRPr="00647601">
        <w:t xml:space="preserve">An </w:t>
      </w:r>
      <w:r w:rsidR="00323256" w:rsidRPr="00647601">
        <w:t xml:space="preserve">ECOTOX search from </w:t>
      </w:r>
      <w:r w:rsidR="00992973" w:rsidRPr="00647601">
        <w:t>was conducted on August 25</w:t>
      </w:r>
      <w:r w:rsidR="00992973" w:rsidRPr="00647601">
        <w:rPr>
          <w:vertAlign w:val="superscript"/>
        </w:rPr>
        <w:t>th</w:t>
      </w:r>
      <w:r w:rsidR="00992973" w:rsidRPr="00647601">
        <w:t>, 2021,</w:t>
      </w:r>
      <w:r w:rsidR="00323256" w:rsidRPr="00647601">
        <w:t xml:space="preserve"> for CAS # </w:t>
      </w:r>
      <w:r w:rsidR="002B2A3A" w:rsidRPr="00647601">
        <w:t>138261-41-3</w:t>
      </w:r>
      <w:r w:rsidR="00F74546" w:rsidRPr="00647601">
        <w:t>,</w:t>
      </w:r>
      <w:r w:rsidR="005B76D9" w:rsidRPr="00647601">
        <w:t xml:space="preserve"> with an</w:t>
      </w:r>
      <w:r w:rsidR="00F74546" w:rsidRPr="00647601">
        <w:t>y</w:t>
      </w:r>
      <w:r w:rsidR="005B76D9" w:rsidRPr="00647601">
        <w:t xml:space="preserve"> </w:t>
      </w:r>
      <w:r w:rsidR="00022268" w:rsidRPr="00647601">
        <w:t xml:space="preserve">studies including </w:t>
      </w:r>
      <w:r w:rsidR="005B76D9" w:rsidRPr="00647601">
        <w:t>aqueous</w:t>
      </w:r>
      <w:r w:rsidR="00F74546" w:rsidRPr="00647601">
        <w:t xml:space="preserve"> (salt or freshwater)</w:t>
      </w:r>
      <w:r w:rsidR="005B76D9" w:rsidRPr="00647601">
        <w:t xml:space="preserve"> or unreported exposure media</w:t>
      </w:r>
      <w:r w:rsidR="00022268" w:rsidRPr="00647601">
        <w:t>. This search</w:t>
      </w:r>
      <w:r w:rsidR="002B2A3A" w:rsidRPr="00647601">
        <w:t xml:space="preserve"> </w:t>
      </w:r>
      <w:r w:rsidR="00C34C27" w:rsidRPr="00647601">
        <w:t xml:space="preserve">yielded </w:t>
      </w:r>
      <w:r w:rsidR="00AE371D" w:rsidRPr="00647601">
        <w:t>210 references</w:t>
      </w:r>
      <w:r w:rsidR="00323256" w:rsidRPr="00647601">
        <w:t>.</w:t>
      </w:r>
      <w:r w:rsidR="005D437E" w:rsidRPr="00647601">
        <w:t xml:space="preserve"> </w:t>
      </w:r>
      <w:r w:rsidR="00022268" w:rsidRPr="00647601">
        <w:t xml:space="preserve">The output </w:t>
      </w:r>
      <w:r w:rsidR="002563F3" w:rsidRPr="00647601">
        <w:t xml:space="preserve">was sorted to exclude any saltwater or non-lab (mesocosm) studies. This left </w:t>
      </w:r>
      <w:r w:rsidR="00A259FD" w:rsidRPr="00647601">
        <w:t xml:space="preserve">a total of </w:t>
      </w:r>
      <w:r w:rsidR="008C26E8" w:rsidRPr="00647601">
        <w:t>12</w:t>
      </w:r>
      <w:r w:rsidR="009366C6" w:rsidRPr="00647601">
        <w:t>4</w:t>
      </w:r>
      <w:r w:rsidR="00A259FD" w:rsidRPr="00647601">
        <w:t xml:space="preserve"> new abstract</w:t>
      </w:r>
      <w:r w:rsidR="008C26E8" w:rsidRPr="00647601">
        <w:t>s</w:t>
      </w:r>
      <w:r w:rsidR="00A259FD" w:rsidRPr="00647601">
        <w:t xml:space="preserve"> to review</w:t>
      </w:r>
      <w:r w:rsidR="00690F10" w:rsidRPr="00647601">
        <w:t xml:space="preserve"> (Appendix B)</w:t>
      </w:r>
      <w:r w:rsidR="00A259FD" w:rsidRPr="00647601">
        <w:t xml:space="preserve">, which were not previously discovered in the </w:t>
      </w:r>
      <w:proofErr w:type="spellStart"/>
      <w:r w:rsidR="00A259FD" w:rsidRPr="00647601">
        <w:t>Scifinder</w:t>
      </w:r>
      <w:proofErr w:type="spellEnd"/>
      <w:r w:rsidR="00A259FD" w:rsidRPr="00647601">
        <w:t xml:space="preserve"> search. </w:t>
      </w:r>
      <w:r w:rsidR="00443D36" w:rsidRPr="00647601">
        <w:t>The additional abstracts</w:t>
      </w:r>
      <w:r w:rsidR="003B61B8" w:rsidRPr="00647601">
        <w:t xml:space="preserve"> and ECOTOX data</w:t>
      </w:r>
      <w:r w:rsidR="00443D36" w:rsidRPr="00647601">
        <w:t xml:space="preserve"> were reviewed</w:t>
      </w:r>
      <w:r w:rsidR="000A2786" w:rsidRPr="00647601">
        <w:t>,</w:t>
      </w:r>
      <w:r w:rsidR="00443D36" w:rsidRPr="00647601">
        <w:t xml:space="preserve"> and </w:t>
      </w:r>
      <w:r w:rsidR="0035026A" w:rsidRPr="00647601">
        <w:t>48</w:t>
      </w:r>
      <w:r w:rsidR="00443D36" w:rsidRPr="00647601">
        <w:t xml:space="preserve"> were sufficiently relevant to be selected for </w:t>
      </w:r>
      <w:r w:rsidR="00773A3A" w:rsidRPr="00647601">
        <w:t>full article review.</w:t>
      </w:r>
    </w:p>
    <w:p w14:paraId="649D8D3B" w14:textId="7D6ED93B" w:rsidR="00886CAE" w:rsidRPr="00647601" w:rsidRDefault="00886CAE" w:rsidP="00CB35CD"/>
    <w:p w14:paraId="2090B242" w14:textId="5F574DA7" w:rsidR="00C6423B" w:rsidRPr="00647601" w:rsidRDefault="00C6423B" w:rsidP="00CB35CD">
      <w:r w:rsidRPr="00647601">
        <w:t xml:space="preserve">The full article review </w:t>
      </w:r>
      <w:r w:rsidR="00461D9C" w:rsidRPr="00647601">
        <w:t xml:space="preserve">resulted in </w:t>
      </w:r>
      <w:r w:rsidR="00CA1D69" w:rsidRPr="00647601">
        <w:t>16</w:t>
      </w:r>
      <w:r w:rsidR="00461D9C" w:rsidRPr="00647601">
        <w:t xml:space="preserve"> articles of </w:t>
      </w:r>
      <w:r w:rsidR="00877AF7" w:rsidRPr="00647601">
        <w:t>acceptable</w:t>
      </w:r>
      <w:r w:rsidR="00461D9C" w:rsidRPr="00647601">
        <w:t xml:space="preserve"> data quality to </w:t>
      </w:r>
      <w:r w:rsidR="00EE7911" w:rsidRPr="00647601">
        <w:t xml:space="preserve">be used in calculation of aquatic life values for imidacloprid. </w:t>
      </w:r>
      <w:r w:rsidR="00FA7A97" w:rsidRPr="00647601">
        <w:t xml:space="preserve">These articles were classed as type 1 (accept without reservations) or type 2 (accept with reservations). </w:t>
      </w:r>
      <w:r w:rsidR="004D5CE0" w:rsidRPr="00647601">
        <w:t xml:space="preserve">Table 1 includes a list of </w:t>
      </w:r>
      <w:r w:rsidR="00496378" w:rsidRPr="00647601">
        <w:t xml:space="preserve">the acceptable studies and information </w:t>
      </w:r>
      <w:r w:rsidR="0051560C" w:rsidRPr="00647601">
        <w:t>on any reservations</w:t>
      </w:r>
      <w:r w:rsidR="00324BD6" w:rsidRPr="00647601">
        <w:t>. The articles that were reviewed in full and rejected were grouped into several ‘rejection</w:t>
      </w:r>
      <w:r w:rsidR="00A25242" w:rsidRPr="00647601">
        <w:t>’</w:t>
      </w:r>
      <w:r w:rsidR="00324BD6" w:rsidRPr="00647601">
        <w:t xml:space="preserve"> </w:t>
      </w:r>
      <w:r w:rsidR="00A25242" w:rsidRPr="00647601">
        <w:t>classes</w:t>
      </w:r>
      <w:r w:rsidR="00957EA2" w:rsidRPr="00647601">
        <w:t xml:space="preserve"> as described in T</w:t>
      </w:r>
      <w:r w:rsidR="00507427" w:rsidRPr="00647601">
        <w:t xml:space="preserve">able 2. </w:t>
      </w:r>
    </w:p>
    <w:p w14:paraId="5C24D148" w14:textId="77777777" w:rsidR="00CB35CD" w:rsidRDefault="00CB35CD" w:rsidP="00CB35CD"/>
    <w:p w14:paraId="68C2548D" w14:textId="77777777" w:rsidR="0090720D" w:rsidRDefault="0090720D" w:rsidP="0090720D">
      <w:pPr>
        <w:rPr>
          <w:b/>
          <w:bCs/>
        </w:rPr>
      </w:pPr>
      <w:r>
        <w:rPr>
          <w:b/>
          <w:bCs/>
        </w:rPr>
        <w:t>Summary of Acceptable Studies</w:t>
      </w:r>
    </w:p>
    <w:p w14:paraId="1BCBE7CE" w14:textId="2D253E6A" w:rsidR="0029528C" w:rsidRDefault="00E15FAD" w:rsidP="0090720D">
      <w:r>
        <w:t>Acute data</w:t>
      </w:r>
      <w:r w:rsidR="004253DA">
        <w:t xml:space="preserve"> indicate that mayflies, chironomids, and</w:t>
      </w:r>
      <w:r w:rsidR="00FA4705">
        <w:t xml:space="preserve"> caddisflies are the most sensitive species to imidacloprid </w:t>
      </w:r>
      <w:r w:rsidR="00416A8E">
        <w:fldChar w:fldCharType="begin" w:fldLock="1"/>
      </w:r>
      <w:r w:rsidR="001F5F96">
        <w:instrText>ADDIN CSL_CITATION {"citationItems":[{"id":"ITEM-1","itemData":{"DOI":"10.1002/etc.4386","ISSN":"15528618","PMID":"30724382","abstract":"Receiving waters from agricultural areas can contain multiple pesticides such as the neonicotinoid imidacloprid and the fungicide tebuconazole, leading to the potential for aquatic life to be exposed to such mixtures. In the present study, the effects of tebuconazole were tested alone and in binary mixtures with imidacloprid on 4 aquatic invertebrates: Chironomus dilutus, Hyalella azteca, Lumbriculus variegatus, and Neocloeon triangulifer. Acute (96-h) median lethal concentrations (LC50s) were derived for individual compounds and used to design a binary mixture study to determine cumulative effects. The LC50s showed that imidacloprid was more potent than tebuconazole by 1 to 3 orders of magnitude for the 4 species. Lethality data from mixture experiments were analyzed using MIXTOX to determine deviations from independent action, followed by the model deviation ratio (MDR) technique to determine the biological significance and reproducibility of observed mixture effects. MIXTOX showed that the cumulative toxicities of imidacloprid–tebuconazole differed between the species: for C. dilutus there was no deviation from independent action; however, for H. azteca the mixture was antagonistic (specifically dose ratio–dependent), and for N. triangulifer it was synergistic. The MDR method showed that only observations with H. azteca significantly deviated from independent action. Because of the lack of evidence of a clear deviation from independent action and the much greater potency of imidacloprid, the weight of evidence indicates that the presence of tebuconazole is unlikely to appreciably increase the hazard from imidacloprid exposure to aquatic invertebrates. Environ Toxicol Chem 2019;00:1–17. © 2019 SETAC.","author":[{"dropping-particle":"","family":"Raby","given":"Melanie","non-dropping-particle":"","parse-names":false,"suffix":""},{"dropping-particle":"","family":"Maloney","given":"Erin","non-dropping-particle":"","parse-names":false,"suffix":""},{"dropping-particle":"","family":"Poirier","given":"David G.","non-dropping-particle":"","parse-names":false,"suffix":""},{"dropping-particle":"","family":"Sibley","given":"Paul K.","non-dropping-particle":"","parse-names":false,"suffix":""}],"container-title":"Environmental Toxicology and Chemistry","id":"ITEM-1","issue":"5","issued":{"date-parts":[["2019"]]},"note":"Accept with reservations. \n\nAfter review of methods, h. azteca and C. dilutus are fed; hexagenia and l. variegatus are not fed\nDid not state control results but method requires &amp;gt;90% survival.\n\n\nN. Triangulifer present in MI\nhttps://explorer.natureserve.org/Taxon/ELEMENT_GLOBAL.2.114344/Centroptilum_triangulifer","page":"1093-1103","title":"Acute effects of binary mixtures of imidacloprid and tebuconazole on 4 freshwater invertebrates","type":"article-journal","volume":"38"},"uris":["http://www.mendeley.com/documents/?uuid=4036eb34-a706-4574-bc40-df3b4ad03bf9"]},{"id":"ITEM-2","itemData":{"DOI":"10.1002/etc.3878","ISSN":"15528618","PMID":"28636110","abstract":"Extensive agricultural use of neonicotinoid insecticide products has resulted in the presence of neonicotinoid mixtures in surface waters worldwide. Although many aquatic insect species are known to be sensitive to neonicotinoids, the impact of neonicotinoid mixtures is poorly understood. In the present study, the cumulative toxicities of binary and ternary mixtures of select neonicotinoids (imidacloprid, clothianidin, and thiamethoxam) were characterized under acute (96-h) exposure scenarios using the larval midge Chironomus dilutus as a representative aquatic insect species. Using the MIXTOX approach, predictive parametric models were fitted and statistically compared with observed toxicity in subsequent mixture tests. Single-compound toxicity tests yielded median lethal concentration (LC50) values of 4.63, 5.93, and 55.34 μg/L for imidacloprid, clothianidin, and thiamethoxam, respectively. Because of the similar modes of action of neonicotinoids, concentration-additive cumulative mixture toxicity was the predicted model. However, we found that imidacloprid–clothianidin mixtures demonstrated response-additive dose-level–dependent synergism, clothianidin–thiamethoxam mixtures demonstrated concentration-additive synergism, and imidacloprid–thiamethoxam mixtures demonstrated response-additive dose-ratio–dependent synergism, with toxicity shifting from antagonism to synergism as the relative concentration of thiamethoxam increased. Imidacloprid–clothianidin–thiamethoxam ternary mixtures demonstrated response-additive synergism. These results indicate that, under acute exposure scenarios, the toxicity of neonicotinoid mixtures to C. dilutus cannot be predicted using the common assumption of additive joint activity. Indeed, the overarching trend of synergistic deviation emphasizes the need for further research into the ecotoxicological effects of neonicotinoid insecticide mixtures in field settings, the development of better toxicity models for neonicotinoid mixture exposures, and the consideration of mixture effects when setting water quality guidelines for this class of pesticides. Environ Toxicol Chem 2017;36:3091–3101. © 2017 SETAC.","author":[{"dropping-particle":"","family":"Maloney","given":"Erin M.","non-dropping-particle":"","parse-names":false,"suffix":""},{"dropping-particle":"","family":"Morrissey","given":"Christy A.","non-dropping-particle":"","parse-names":false,"suffix":""},{"dropping-particle":"V.","family":"Headley","given":"John","non-dropping-particle":"","parse-names":false,"suffix":""},{"dropping-particle":"","family":"Peru","given":"Kerry M.","non-dropping-particle":"","parse-names":false,"suffix":""},{"dropping-particle":"","family":"Liber","given":"Karsten","non-dropping-particle":"","parse-names":false,"suffix":""}],"container-title":"Environmental Toxicology and Chemistry","id":"ITEM-2","issue":"11","issued":{"date-parts":[["2017"]]},"note":"Possible REJECT - chironomids were fed :(. Want to verify this isn't the lowest acute number before rejecting outright. \n\nIncludes acute LC50 for imidacloprid, clothianidin, and thiamethoxam\n\nPassed initial screen - double check methods highlighted in pink\n\nLC50 = 4.63 ug/L for IMI\nLC50 = 5.93 ug/L for CLO\nLC50 = 55.34 ug/L for THIA","page":"3091-3101","title":"Cumulative toxicity of neonicotinoid insecticide mixtures to Chironomus dilutus under acute exposure scenarios","type":"article-journal","volume":"36"},"uris":["http://www.mendeley.com/documents/?uuid=5791fe5f-5180-4776-aa4f-fa97fdb3ccca"]},{"id":"ITEM-3","itemData":{"DOI":"10.1007/s00244-007-9073-6","ISBN":"0024400790736","ISSN":"00904341","PMID":"18214581","abstract":"The toxicity of imidacloprid, a nicotinic mimic insecticide, to the aquatic invertebrates Chironomus tentans and Hyalella azteca, was first evaluated in static 96-hour tests using both technical material (99.2% pure) and Admire®, a commercially available formulated product (240 g a.i. L-1). The 96-h lethal concentration (LC)50 values for technical imidacloprid and Admire® were 65.43 and 17.44 μg/L, respectively, for H. azteca, and 5.75 and 5.40 μg/L, respectively, for C. tentans. Admire® was subsequently used in 28-day chronic tests with both species. Exposure scenarios consisted of a constant- and a pulse-exposure regime. The pulse exposure lasted for four days, after which time the animals were transferred to clean water for the remaining 24 days of the study. Assessments were made on both day 10 and day 28. In the C. tentans under constant exposure, larval growth on day 10 was significantly reduced at 3.57 μg/L imidacloprid, the lowest-observed-effect concentration (LOEC). The no-observed-effect concentration (NOEC) and LOEC for the 28-day exposure duration (adult survival and emergence) were 1.14 and greater than 1.14 μg/L, respectively; the associated LC50 and LC25 were 0.91 and 0.59 μg/L, respectively. The LOEC for the pulse treatment was greater than 3.47 μg/L, but the day 10 LC25 was 3.03 μg/L. In the H. azteca tests, the day 10 and 28 constant exposure, as well as the day 28 pulse exposure, LOEC (survival) values were similar at 11.95, 11.46, and 11.93 μg/L, respectively. The day 10 and 28 constant exposure effective concentration (EC)25s (dry weight) were also similar, at 6.22 and 8.72 μg/L, respectively, but were higher than the pulse-exposure day 10 LOEC and EC25 (dry weight) values of 3.53 and 2.22 μg/L, respectively. Overall, C. tentans was more sensitive to acute and chronic imidacloprid exposure, but less sensitive to a single pulse, than H. azteca. Chronic, low-level exposure to imidacloprid may therefore reduce invertebrate survival and growth, but organisms are able to recover from short-term pulse exposure to similar imidacloprid concentrations if the stressor is removed after four days. © 2008 Springer Science+Business Media, LLC.","author":[{"dropping-particle":"","family":"Stoughton","given":"Sarah J.","non-dropping-particle":"","parse-names":false,"suffix":""},{"dropping-particle":"","family":"Liber","given":"Karsten","non-dropping-particle":"","parse-names":false,"suffix":""},{"dropping-particle":"","family":"Culp","given":"Joseph","non-dropping-particle":"","parse-names":false,"suffix":""},{"dropping-particle":"","family":"Cessna","given":"Allan","non-dropping-particle":"","parse-names":false,"suffix":""}],"container-title":"Archives of Environmental Contamination and Toxicology","id":"ITEM-3","issue":"4","issued":{"date-parts":[["2008"]]},"note":"Accept with reservations - C. dilutus acute dataset. Orgs were fed. \n\nReject - for chronic studies and fed hyalella acute study \nHonorable mention - compares Admire with pure product\nShows no difference for C. dilutus and shows admire more toxic for H. azteca\n\nC, tentans = C. dilutus, citation: (https://bugguide.net/node/view/710434#1256693)\n\nEmail response from Karsten Liber on 8/30/21:\nThank you for your interest and request, but unfortunately I no longer have access to the raw data so I cannot review the control data.  However, we follow federal testing protocols and I’m reasonably sure in saying that if control organisms didn’t meet protocol requirements, the test would have been rerun. \nIn addition, I can confirm that all toxicity endpoints (e.g., LC50s) were calculated based on measured imidacloprid concentrations.","page":"662-673","title":"Acute and chronic toxicity of imidacloprid to the aquatic invertebrates Chironomus tentans and Hyalella azteca under constant- and pulse-exposure conditions","type":"article-journal","volume":"54"},"uris":["http://www.mendeley.com/documents/?uuid=a77c0e81-c9ff-4b62-9167-1644400cb3ec"]},{"id":"ITEM-4","itemData":{"DOI":"10.1002/etc.4088","ISSN":"15528618","PMID":"29336495","abstract":"Neonicotinoids are a group of insecticides commonly used in agriculture. Due to their high water solubility, neonicotinoids can be transported to surface waters and have the potential to be toxic to aquatic life. The present study assessed and compared the acute (48- or 96-h) toxicity of 6 neonicotinoids (acetamiprid, clothianidin, dinotefuran, imidacloprid, thiacloprid, and thiamethoxam) to 21 laboratory-cultured and field-collected aquatic invertebrates spanning 10 aquatic arthropod orders. Test conditions mimicked species’ habitat, with lentic taxa exposed under static conditions, and lotic taxa exposed under recirculating systems. Median lethal concentrations (LC50s) and median effect concentrations (EC50s; immobility) were calculated and used to construct separate lethal- and immobilization-derived species sensitivity distributions for each neonicotinoid, from which 5th percentile hazard concentrations (HC5s) were calculated. The results showed that the most sensitive invertebrates were insects from the orders Ephemeroptera (Neocloeon triangulifer) and Diptera (Chironomus dilutus), whereas cladocerans (Daphnia magna, Ceriodaphnia dubia) were the least sensitive. The HC5s were compared with neonicotinoid environmental concentrations from Ontario (Canada) monitoring studies. For all neonicotinoids except imidacloprid, the resulting hazard quotients indicated little to no hazard in terms of acute toxicity to aquatic communities in Ontario freshwater streams. For the neonicotinoid imidacloprid, a moderate hazard was found when only invertebrate immobilization, and not lethality, data were considered. Environ Toxicol Chem 2018;37:1430–1445. © 2018 SETAC.","author":[{"dropping-particle":"","family":"Raby","given":"Melanie","non-dropping-particle":"","parse-names":false,"suffix":""},{"dropping-particle":"","family":"Nowierski","given":"Monica","non-dropping-particle":"","parse-names":false,"suffix":""},{"dropping-particle":"","family":"Perlov","given":"Dmitri","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K.","non-dropping-particle":"","parse-names":false,"suffix":""}],"container-title":"Environmental Toxicology and Chemistry","id":"ITEM-4","issue":"5","issued":{"date-parts":[["2018"]]},"note":"Accept without reservations. \n\nHas 6 different neonicts. Acet, cloth, dino, imidaclop, thiaclop, thiamethox","page":"1430-1445","title":"Acute toxicity of 6 neonicotinoid insecticides to freshwater invertebrates","type":"article-journal","volume":"37"},"uris":["http://www.mendeley.com/documents/?uuid=482b230e-29a7-4d0b-bdf7-a79811b2a5ec"]},{"id":"ITEM-5","itemData":{"DOI":"10.1002/etc.3152","ISSN":"15528618","PMID":"26419398","abstract":"Mayfly nymphs are among the most sensitive taxa to neonicotinoids. The present study presents the acute and chronic toxicity of 3 neonicotinoids (imidacloprid, thiacloprid, and thiamethoxam) to a mayfly species (Cloeon dipterum) and some notes on the seasonality of the toxicity of imidacloprid to C. dipterum and 5 other invertebrate species. Imidacloprid and thiamethoxam showed equal acute and chronic toxicity to a winter generation of C. dipterum, whereas thiacloprid was approximately twice as toxic. The acute and chronic toxicity of imidacloprid was much higher for the C. dipterum summer generation than for the winter one. The acute toxicity differs by a factor of 20 for the 96-h 50% effective concentration (EC50) and by a factor of 5.4 for the chronic 28-d EC50. Temperature had only a slight effect on the sensitivity of C. dipterum to imidacloprid because we only found a factor of 1.7 difference in the 96-h EC50 between tests performed at 10°C and 18°C. The difference in sensitivity between summer and overwintering generations was also found for 3 other insect species. The results indicate that if the use and environmental fate of the 3 neonicotinoids are comparable, replacing imidacloprid by another neonicotinoid might not reduce the environmental impact on the mayfly nymph C. dipterum. The results also show the importance of reporting which generation is tested because sensitivity values of insects in the summer might be underestimated by the experiments performed with neonicotinoids and an overwintering population.","author":[{"dropping-particle":"","family":"Brink","given":"Paul J.","non-dropping-particle":"Van den","parse-names":false,"suffix":""},{"dropping-particle":"","family":"Smeden","given":"Jasper M.","non-dropping-particle":"Van","parse-names":false,"suffix":""},{"dropping-particle":"","family":"Bekele","given":"Robel S.","non-dropping-particle":"","parse-names":false,"suffix":""},{"dropping-particle":"","family":"Dierick","given":"Wiebe","non-dropping-particle":"","parse-names":false,"suffix":""},{"dropping-particle":"","family":"Gelder","given":"Daphne M.","non-dropping-particle":"De","parse-names":false,"suffix":""},{"dropping-particle":"","family":"Noteboom","given":"Maarten","non-dropping-particle":"","parse-names":false,"suffix":""},{"dropping-particle":"","family":"Roessink","given":"Ivo","non-dropping-particle":"","parse-names":false,"suffix":""}],"container-title":"Environmental Toxicology and Chemistry","id":"ITEM-5","issue":"1","issued":{"date-parts":[["2016"]]},"note":"Accept without reservation. Also has numbers for thiamethoxam and thiacloprid. \n\nCan only use Cloeon dipterum data - only resident MI species. All others are European variants.\nUnfed chronic mayfly study","page":"128-133","title":"Acute and chronic toxicity of neonicotinoids to nymphs of a mayfly species and some notes on seasonal differences","type":"article-journal","volume":"35"},"uris":["http://www.mendeley.com/documents/?uuid=6d392404-a82b-428b-89ef-0ae9573fd738"]},{"id":"ITEM-6","itemData":{"DOI":"10.1016/j.envpol.2018.03.004","ISSN":"18736424","PMID":"29544197","abstract":"Neonicotinoid insecticides are environmentally persistent and highly water-soluble, and thus are prone to leaching into surface waters where they may negatively affect non-target aquatic insects. Most of the research to date has focused on imidacloprid, and few data are available regarding the effects of other neonicotinoids or their proposed replacements (butenolide insecticides). The objective of this study was to assess the toxicity of six neonicotinoids (imidacloprid, thiamethoxam, acetamiprid, clothianidin, thiacloprid, and dinotefuran) and one butenolide (flupyradifurone) to Hexagenia spp. (mayfly larvae). Acute (96-h), water-only tests were conducted, and survival and behaviour (number of surviving mayflies inhabiting artificial burrows) were assessed. Acute sublethal tests were also conducted with imidacloprid, acetamiprid, and thiacloprid, and in addition to survival and behaviour, mobility (ability to burrow into sediment) and recovery (survival and growth following 21 d in clean sediment) were measured. Sublethal effects occurred at much lower concentrations than survival: 96-h LC50s ranged from 780 μg/L (acetamiprid) to &gt;10,000 μg/L (dinotefuran), whereas 96-h EC50s ranged from 4.0 μg/L (acetamiprid) to 630 μg/L (thiamethoxam). Flupyradifurone was intermediate in toxicity, with a 96-h LC50 of 2000 μg/L and a 96-h EC50 of 81 μg/L. Behaviour and mobility were impaired significantly and to a similar degree in sublethal exposures to 10 μg/L imidacloprid, acetamiprid, and thiacloprid, and survival and growth following the recovery period were significantly lower in mayflies exposed to 10 μg/L acetamiprid and thiacloprid, respectively. A suite of effects on mayfly swimming behaviour/ability and respiration were also observed, but not quantified, following exposures to imidacloprid, acetamiprid, and thiacloprid at 1 μg/L and higher. Imidacloprid concentrations measured in North American surface waters have been found to meet or exceed those causing toxicity to Hexagenia, indicating that environmental concentrations may adversely affect Hexagenia and similarly sensitive non-target aquatic species. The sublethal toxicity of neonicotinoids to Hexagenia varies 160-fold, with imidacloprid, acetamiprid, and thiacloprid being the most toxic.","author":[{"dropping-particle":"","family":"Bartlett","given":"Adrienne J.","non-dropping-particle":"","parse-names":false,"suffix":""},{"dropping-particle":"","family":"Hedges","given":"Amanda M.","non-dropping-particle":"","parse-names":false,"suffix":""},{"dropping-particle":"","family":"Intini","given":"Kyna D.","non-dropping-particle":"","parse-names":false,"suffix":""},{"dropping-particle":"","family":"Brown","given":"Lisa R.","non-dropping-particle":"","parse-names":false,"suffix":""},{"dropping-particle":"","family":"Maisonneuve","given":"France J.","non-dropping-particle":"","parse-names":false,"suffix":""},{"dropping-particle":"","family":"Robinson","given":"Stacey A.","non-dropping-particle":"","parse-names":false,"suffix":""},{"dropping-particle":"","family":"Gillis","given":"Patricia L.","non-dropping-particle":"","parse-names":false,"suffix":""},{"dropping-particle":"","family":"Solla","given":"Shane R.","non-dropping-particle":"de","parse-names":false,"suffix":""}],"container-title":"Environmental Pollution","id":"ITEM-6","issued":{"date-parts":[["2018"]]},"note":"Accept with reservations. \n\nOnly reservation is that their number seems high as compared to other studies. They did not typical feeding I think, using ground Tetra-min flakes as opposed to diatoms. I also did not double check WQ data, but it is cited in supplemental table 2. \n\nThis paper can be used for thia, acetami, clothian, thiaclop, and dinotefuran as well\n\nI would compare this to other mayfly studies before accepting results. See pink note.","page":"63-75","publisher":"Elsevier Ltd","title":"Lethal and sublethal toxicity of neonicotinoid and butenolide insecticides to the mayfly, Hexagenia spp.","type":"article-journal","volume":"238"},"uris":["http://www.mendeley.com/documents/?uuid=c9281d26-5dd5-4c05-8139-50816c940165"]}],"mendeley":{"formattedCitation":"(Bartlett et al., 2018; Maloney et al., 2017; Raby et al., 2019, 2018a; Stoughton et al., 2008; Van den Brink et al., 2016)","plainTextFormattedCitation":"(Bartlett et al., 2018; Maloney et al., 2017; Raby et al., 2019, 2018a; Stoughton et al., 2008; Van den Brink et al., 2016)","previouslyFormattedCitation":"(Bartlett et al., 2018; Maloney et al., 2017; Raby et al., 2019, 2018a; Stoughton et al., 2008; Van den Brink et al., 2016)"},"properties":{"noteIndex":0},"schema":"https://github.com/citation-style-language/schema/raw/master/csl-citation.json"}</w:instrText>
      </w:r>
      <w:r w:rsidR="00416A8E">
        <w:fldChar w:fldCharType="separate"/>
      </w:r>
      <w:r w:rsidR="00416A8E" w:rsidRPr="00416A8E">
        <w:rPr>
          <w:noProof/>
        </w:rPr>
        <w:t>(Bartlett et al., 2018; Maloney et al., 2017; Raby et al., 2019, 2018a; Stoughton et al., 2008; Van den Brink et al., 2016)</w:t>
      </w:r>
      <w:r w:rsidR="00416A8E">
        <w:fldChar w:fldCharType="end"/>
      </w:r>
      <w:r w:rsidR="00FA4705">
        <w:t xml:space="preserve">. </w:t>
      </w:r>
      <w:r w:rsidR="00EF603F">
        <w:t>Data for five gen</w:t>
      </w:r>
      <w:r w:rsidR="0061000D">
        <w:t>era</w:t>
      </w:r>
      <w:r w:rsidR="00EF603F">
        <w:t xml:space="preserve"> of mayflies were included in the final acute value calculations, one genus of caddisfly (</w:t>
      </w:r>
      <w:proofErr w:type="spellStart"/>
      <w:r w:rsidR="00EF603F">
        <w:rPr>
          <w:i/>
          <w:iCs/>
        </w:rPr>
        <w:t>Micrasema</w:t>
      </w:r>
      <w:proofErr w:type="spellEnd"/>
      <w:r w:rsidR="00EF603F">
        <w:rPr>
          <w:i/>
          <w:iCs/>
        </w:rPr>
        <w:t xml:space="preserve"> sp.</w:t>
      </w:r>
      <w:r w:rsidR="00EF603F">
        <w:t>) and one species of chironomid (</w:t>
      </w:r>
      <w:r w:rsidR="0061000D">
        <w:rPr>
          <w:i/>
          <w:iCs/>
        </w:rPr>
        <w:t xml:space="preserve">C. </w:t>
      </w:r>
      <w:proofErr w:type="spellStart"/>
      <w:r w:rsidR="0061000D">
        <w:rPr>
          <w:i/>
          <w:iCs/>
        </w:rPr>
        <w:t>dilutus</w:t>
      </w:r>
      <w:proofErr w:type="spellEnd"/>
      <w:r w:rsidR="0061000D">
        <w:t xml:space="preserve">). The most sensitive species was a mayfly, </w:t>
      </w:r>
      <w:r w:rsidR="0061000D">
        <w:rPr>
          <w:i/>
          <w:iCs/>
        </w:rPr>
        <w:t>N. triangulifer</w:t>
      </w:r>
      <w:r w:rsidR="0061000D">
        <w:t xml:space="preserve">, </w:t>
      </w:r>
      <w:r w:rsidR="00C95D20">
        <w:t xml:space="preserve">while the least sensitive mayfly included was </w:t>
      </w:r>
      <w:proofErr w:type="spellStart"/>
      <w:r w:rsidR="00C95D20">
        <w:rPr>
          <w:i/>
          <w:iCs/>
        </w:rPr>
        <w:t>Hexagenia</w:t>
      </w:r>
      <w:proofErr w:type="spellEnd"/>
      <w:r w:rsidR="00C95D20">
        <w:rPr>
          <w:i/>
          <w:iCs/>
        </w:rPr>
        <w:t xml:space="preserve"> sp.</w:t>
      </w:r>
      <w:r w:rsidR="00C95D20" w:rsidRPr="00C44A89">
        <w:t xml:space="preserve"> (LC50 = </w:t>
      </w:r>
      <w:r w:rsidR="00C44A89" w:rsidRPr="00C44A89">
        <w:t xml:space="preserve">3.11 vs. </w:t>
      </w:r>
      <w:r w:rsidR="00C44A89">
        <w:t>9</w:t>
      </w:r>
      <w:r w:rsidR="00C44A89" w:rsidRPr="00C44A89">
        <w:t xml:space="preserve">00 </w:t>
      </w:r>
      <w:r w:rsidR="00600386">
        <w:rPr>
          <w:rFonts w:cstheme="minorHAnsi"/>
        </w:rPr>
        <w:t>µ</w:t>
      </w:r>
      <w:r w:rsidR="00D75195">
        <w:t>g L</w:t>
      </w:r>
      <w:r w:rsidR="00D75195" w:rsidRPr="00D75195">
        <w:rPr>
          <w:vertAlign w:val="superscript"/>
        </w:rPr>
        <w:t>-1</w:t>
      </w:r>
      <w:r w:rsidR="00C44A89" w:rsidRPr="00C44A89">
        <w:t xml:space="preserve">, respectively). </w:t>
      </w:r>
    </w:p>
    <w:p w14:paraId="1650BA7E" w14:textId="21041A82" w:rsidR="00F54F12" w:rsidRPr="00C95D20" w:rsidRDefault="00CE4374" w:rsidP="0090720D">
      <w:r>
        <w:t xml:space="preserve">All 96-hr acute </w:t>
      </w:r>
      <w:r w:rsidR="00D81934">
        <w:t xml:space="preserve">chironomid studies reviewed </w:t>
      </w:r>
      <w:r>
        <w:t xml:space="preserve">included fed organisms. </w:t>
      </w:r>
      <w:r w:rsidR="00AF23EE">
        <w:t>Feeding</w:t>
      </w:r>
      <w:r w:rsidR="00C27B67">
        <w:t xml:space="preserve"> an organism during</w:t>
      </w:r>
      <w:r w:rsidR="00AF23EE">
        <w:t xml:space="preserve"> an acute toxicity test is generally not recommended as it</w:t>
      </w:r>
      <w:r w:rsidR="00C27B67">
        <w:t xml:space="preserve"> may </w:t>
      </w:r>
      <w:r w:rsidR="00B21BD1">
        <w:t>decrease sensitivity to the contaminant being studied</w:t>
      </w:r>
      <w:r w:rsidR="00C90EB2">
        <w:t xml:space="preserve">. If additional chironomid studies become available where feeding was not conducted, </w:t>
      </w:r>
      <w:r w:rsidR="0012754D">
        <w:t>the aquatic life value may be updated</w:t>
      </w:r>
      <w:r w:rsidR="00AF23EE">
        <w:t xml:space="preserve"> at that time</w:t>
      </w:r>
      <w:r w:rsidR="0012754D">
        <w:t>.</w:t>
      </w:r>
    </w:p>
    <w:p w14:paraId="4E8FE5E7" w14:textId="71ADBE2A" w:rsidR="0090720D" w:rsidRDefault="00E15FAD" w:rsidP="0090720D">
      <w:r>
        <w:t>Acute data</w:t>
      </w:r>
      <w:r w:rsidR="003439FE">
        <w:t xml:space="preserve"> indicates m</w:t>
      </w:r>
      <w:r w:rsidR="008C66FF">
        <w:t xml:space="preserve">oderately sensitive species include </w:t>
      </w:r>
      <w:r w:rsidR="003439FE">
        <w:t xml:space="preserve">oligochaetes, amphipods, </w:t>
      </w:r>
      <w:r w:rsidR="00A56D22">
        <w:t>is</w:t>
      </w:r>
      <w:r w:rsidR="00387AF2">
        <w:t>opods, and beetles</w:t>
      </w:r>
      <w:r w:rsidR="00720D62">
        <w:t xml:space="preserve">, with LC50’s ranging from 33 </w:t>
      </w:r>
      <w:r w:rsidR="00C63778">
        <w:t>–</w:t>
      </w:r>
      <w:r w:rsidR="00720D62">
        <w:t xml:space="preserve"> </w:t>
      </w:r>
      <w:r w:rsidR="00C63778">
        <w:t xml:space="preserve">320 </w:t>
      </w:r>
      <w:r w:rsidR="00C25CB8">
        <w:rPr>
          <w:rFonts w:cstheme="minorHAnsi"/>
        </w:rPr>
        <w:t>µ</w:t>
      </w:r>
      <w:r w:rsidR="00C25CB8">
        <w:t>g L</w:t>
      </w:r>
      <w:r w:rsidR="00C25CB8" w:rsidRPr="00D75195">
        <w:rPr>
          <w:vertAlign w:val="superscript"/>
        </w:rPr>
        <w:t>-1</w:t>
      </w:r>
      <w:r w:rsidR="00C25CB8">
        <w:t xml:space="preserve"> i</w:t>
      </w:r>
      <w:r w:rsidR="00C63778">
        <w:t>midacloprid</w:t>
      </w:r>
      <w:r w:rsidR="001F5F96">
        <w:t xml:space="preserve"> </w:t>
      </w:r>
      <w:r w:rsidR="001F5F96">
        <w:fldChar w:fldCharType="begin" w:fldLock="1"/>
      </w:r>
      <w:r w:rsidR="00157DCC">
        <w:instrText>ADDIN CSL_CITATION {"citationItems":[{"id":"ITEM-1","itemData":{"DOI":"10.1002/etc.4088","ISSN":"15528618","PMID":"29336495","abstract":"Neonicotinoids are a group of insecticides commonly used in agriculture. Due to their high water solubility, neonicotinoids can be transported to surface waters and have the potential to be toxic to aquatic life. The present study assessed and compared the acute (48- or 96-h) toxicity of 6 neonicotinoids (acetamiprid, clothianidin, dinotefuran, imidacloprid, thiacloprid, and thiamethoxam) to 21 laboratory-cultured and field-collected aquatic invertebrates spanning 10 aquatic arthropod orders. Test conditions mimicked species’ habitat, with lentic taxa exposed under static conditions, and lotic taxa exposed under recirculating systems. Median lethal concentrations (LC50s) and median effect concentrations (EC50s; immobility) were calculated and used to construct separate lethal- and immobilization-derived species sensitivity distributions for each neonicotinoid, from which 5th percentile hazard concentrations (HC5s) were calculated. The results showed that the most sensitive invertebrates were insects from the orders Ephemeroptera (Neocloeon triangulifer) and Diptera (Chironomus dilutus), whereas cladocerans (Daphnia magna, Ceriodaphnia dubia) were the least sensitive. The HC5s were compared with neonicotinoid environmental concentrations from Ontario (Canada) monitoring studies. For all neonicotinoids except imidacloprid, the resulting hazard quotients indicated little to no hazard in terms of acute toxicity to aquatic communities in Ontario freshwater streams. For the neonicotinoid imidacloprid, a moderate hazard was found when only invertebrate immobilization, and not lethality, data were considered. Environ Toxicol Chem 2018;37:1430–1445. © 2018 SETAC.","author":[{"dropping-particle":"","family":"Raby","given":"Melanie","non-dropping-particle":"","parse-names":false,"suffix":""},{"dropping-particle":"","family":"Nowierski","given":"Monica","non-dropping-particle":"","parse-names":false,"suffix":""},{"dropping-particle":"","family":"Perlov","given":"Dmitri","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K.","non-dropping-particle":"","parse-names":false,"suffix":""}],"container-title":"Environmental Toxicology and Chemistry","id":"ITEM-1","issue":"5","issued":{"date-parts":[["2018"]]},"note":"Accept without reservations. \n\nHas 6 different neonicts. Acet, cloth, dino, imidaclop, thiaclop, thiamethox","page":"1430-1445","title":"Acute toxicity of 6 neonicotinoid insecticides to freshwater invertebrates","type":"article-journal","volume":"37"},"uris":["http://www.mendeley.com/documents/?uuid=482b230e-29a7-4d0b-bdf7-a79811b2a5ec"]},{"id":"ITEM-2","itemData":{"DOI":"10.1007/s00244-014-0086-7","ISSN":"14320703","PMID":"25298152","abstract":"Two species, the fathead minnow Pimephales promelas and the amphipod Hyalella azteca, were tested to examine acute toxicity to two insecticides, cyfluthrin and imidacloprid individually and as a mixture. Cyfluthrin was acutely toxic to P. promelas and H. azteca with EC50 values and 95 % confidence intervals of 0.31 μg L&lt;sup&gt;-1&lt;/sup&gt; (0.26-0.35 μg L&lt;sup&gt;-1&lt;/sup&gt;) and 0.0015 μg L&lt;sup&gt;-1&lt;/sup&gt; (0.0011-0.0018 μg L&lt;sup&gt;-1&lt;/sup&gt;), respectively. Imidacloprid was not acutely toxic to P. promelas at water concentrations ranging from 1 to 5000 μg L&lt;sup&gt;-1&lt;/sup&gt;, whereas it was toxic to H. azteca with a EC50 value of 33.5 μg L&lt;sup&gt;-1&lt;/sup&gt; (23.3-47.4 μg L&lt;sup&gt;-1&lt;/sup&gt;). For the P. promelas mixture test, imidacloprid was added at a single concentration to a geometric series of cyfluthrin concentrations bracketing the EC50 value. A synergistic ratio (SR) of 1.9 was found for P. promelas, which was calculated using the cyfluthrin-only exposure and mixture-exposure data. Because cyfluthrin and imidacloprid were toxic to H. azteca, the mixture test was designed based on an equipotent toxic unit method. Results from the mixture test indicated a model deviation ratio (MDR) of 1.7 or 2.7 depending on the model. Mixture test results from the simultaneous exposure to cyfluthrin and imidacloprid with both species indicated a greater than expected toxic response because the SR or MDR values were &gt;1. Because these two insecticides are commonly used together in the same product formulations, nontarget species could be more affected due to their greater-than-additive toxicity observed in the current study.","author":[{"dropping-particle":"","family":"Lanteigne","given":"Michelle","non-dropping-particle":"","parse-names":false,"suffix":""},{"dropping-particle":"","family":"Whiting","given":"Sara A.","non-dropping-particle":"","parse-names":false,"suffix":""},{"dropping-particle":"","family":"Lydy","given":"Michael J.","non-dropping-particle":"","parse-names":false,"suffix":""}],"container-title":"Archives of Environmental Contamination and Toxicology","id":"ITEM-2","issue":"2","issued":{"date-parts":[["2015"]]},"note":"Accept without reservations. This is like the perfect study \n\nVerify methods, \n\nP. promelas not usable - did not show mortality at concentrations for single chemical test.","page":"354-361","title":"Mixture Toxicity of Imidacloprid and Cyfluthrin to Two Non-target Species, the Fathead Minnow Pimephales promelas and the Amphipod Hyalella azteca","type":"article-journal","volume":"68"},"uris":["http://www.mendeley.com/documents/?uuid=dc707b8e-2257-467e-8f1b-0e87f1422eae"]},{"id":"ITEM-3","itemData":{"DOI":"10.1016/j.aquatox.2016.07.011","ISSN":"18791514","PMID":"27471044","abstract":"Neonicotinoid insecticide usage has increased globally in recent decades. Neonicotinoids, such as imidacloprid, are potent insect neurotoxicants that may pose a threat to non-target aquatic organisms, such as aquatic insects. In nature, insects typically live in thermally fluctuating conditions, which may significantly alter both contaminant exposures and affects. Here we investigate the relationship between temperature and time-to-effect for imidacloprid toxicity with the aquatic insect Isonychia bicolor, a lotic mayfly. Additionally, we examined the mechanisms driving temperature-enhanced toxicity including metabolic rate, imidacloprid uptake rate, and tissue bioconcentration. Experiments included acute toxicity tests utilizing sublethal endpoints and mortality, as well as respirometry and radiotracer assays with [14C] imidacloprid. Further, we conducted additional uptake experiments with a suite of aquatic invertebrates (including I. bicolor, Neocloeon triangulifer, Macaffertium modestum, Pteronarcys proteus, Acroneuria carolinensis, and Pleuroceridae sp) to confirm and contextualize our findings from initial experiments. The 96 h EC50 (immobility) for I. bicolor at 15 °C was 5.81 μg/L which was approximately 3.2 fold lower than concentrations associated with 50% mortality. Assays examining the impact of temperature were conducted at 15, 18, 21, and 24 °C and demonstrated that time-to-effect for sublethal impairment and immobility was significantly decreased with increasing temperature. Uptake experiments with [14C] imidacloprid revealed that initial uptake rates were significantly increased with increasing temperature for I. bicolor, as were oxygen consumption rates. Further, in the separate experiment with multiple species across temperatures 15, 20, and 25 °C, we found that all the aquatic insects tested had significantly increased imidacloprid uptake with increasing temperatures, with N. triangulifer accumulating the most imidacloprid on a mass-specific basis. Our acute toxicity results highlight the importance of evaluating sublethal endpoints, as profound impairments of motor function were evident far before mortality. Further, we demonstrate that temperature is a powerful modulator of sublethal toxicity within a range of environmentally relevant temperatures, impacting both uptake rates and metabolic rates of I. bicolor. Finally, we show that temperature alters imidacloprid uptake across a range of species, highlighting the physiological varia…","author":[{"dropping-particle":"","family":"Camp","given":"A. A.","non-dropping-particle":"","parse-names":false,"suffix":""},{"dropping-particle":"","family":"Buchwalter","given":"D. B.","non-dropping-particle":"","parse-names":false,"suffix":""}],"container-title":"Aquatic Toxicology","id":"ITEM-3","issue":"February 2018","issued":{"date-parts":[["2016"]]},"note":"Accept with Reservations. WQ not measured at end of test, but 100% control survival. \n\nNo info on water quality but they had 100% survival in control, so it doesn't get much better than that. I should probably email the author to see if I can get it just to cross t's and dot i's.\n\nResponse from author on 10/13/21:\nWe made reconstituted water and checked the pH and conductivity.  We aerate the water so that it is 100% saturation.  These measurements were made before the test began but were not monitored during the test.","page":"49-57","publisher":"Elsevier B.V.","title":"Can't take the heat: Temperature-enhanced toxicity in the mayfly Isonychia bicolor exposed to the neonicotinoid insecticide imidacloprid","type":"article-journal","volume":"178"},"uris":["http://www.mendeley.com/documents/?uuid=a4ebd302-a4bc-4497-8470-f06a539af06f"]}],"mendeley":{"formattedCitation":"(Camp and Buchwalter, 2016; Lanteigne et al., 2015; Raby et al., 2018a)","plainTextFormattedCitation":"(Camp and Buchwalter, 2016; Lanteigne et al., 2015; Raby et al., 2018a)","previouslyFormattedCitation":"(Camp and Buchwalter, 2016; Lanteigne et al., 2015; Raby et al., 2018a)"},"properties":{"noteIndex":0},"schema":"https://github.com/citation-style-language/schema/raw/master/csl-citation.json"}</w:instrText>
      </w:r>
      <w:r w:rsidR="001F5F96">
        <w:fldChar w:fldCharType="separate"/>
      </w:r>
      <w:r w:rsidR="001F5F96" w:rsidRPr="001F5F96">
        <w:rPr>
          <w:noProof/>
        </w:rPr>
        <w:t>(Camp and Buchwalter, 2016; Lanteigne et al., 2015; Raby et al., 2018a)</w:t>
      </w:r>
      <w:r w:rsidR="001F5F96">
        <w:fldChar w:fldCharType="end"/>
      </w:r>
      <w:r w:rsidR="00C63778">
        <w:t xml:space="preserve">. </w:t>
      </w:r>
      <w:r w:rsidR="00EC4B0B">
        <w:t>Other included studies indicate salamander</w:t>
      </w:r>
      <w:r w:rsidR="00CF1109">
        <w:t>s, water flea, and trout have a high tolerance for imidacloprid in the environment</w:t>
      </w:r>
      <w:r w:rsidR="00C63778">
        <w:t xml:space="preserve"> (LC50’s &gt; 6.75 </w:t>
      </w:r>
      <w:r w:rsidR="00C25CB8">
        <w:rPr>
          <w:rFonts w:cstheme="minorHAnsi"/>
        </w:rPr>
        <w:t>m</w:t>
      </w:r>
      <w:r w:rsidR="00C25CB8">
        <w:t>g L</w:t>
      </w:r>
      <w:r w:rsidR="00C25CB8" w:rsidRPr="00D75195">
        <w:rPr>
          <w:vertAlign w:val="superscript"/>
        </w:rPr>
        <w:t>-1</w:t>
      </w:r>
      <w:r w:rsidR="00C63778">
        <w:t>)</w:t>
      </w:r>
      <w:r w:rsidR="001F5F96">
        <w:t xml:space="preserve"> </w:t>
      </w:r>
      <w:r w:rsidR="00157DCC">
        <w:fldChar w:fldCharType="begin" w:fldLock="1"/>
      </w:r>
      <w:r w:rsidR="003B1C72">
        <w:instrText>ADDIN CSL_CITATION {"citationItems":[{"id":"ITEM-1","itemData":{"DOI":"10.1007/s00244-021-00840-4","ISBN":"0123456789","ISSN":"14320703","PMID":"33880625","abstract":"This research investigated the adverse effects of neonicotinoids on the Northwestern salamander (Ambystoma gracile; NWS) after acute and subchronic exposures during early aquatic life stages via whole organism (i.e., growth, development) and molecular (i.e., gene expression) level endpoints. In a 96-h exposure, NWS larvae were exposed to four imidacloprid concentrations (250, 750, 2250, 6750 µg/L) and a water control treatment, and no effects on survival, body weight, snout-vent length (SVL), and total body length were observed. However, a significant 1.70- and 2.33-fold decrease in thyroid receptor β (TRβ) mRNA expression levels were detected in the larvae exposed to 750 and 2250 µg/L imidacloprid, respectively, compared with the larvae in the water control. In subsequent subchronic experiments, NWS larvae were exposed for 35 days to imidacloprid alone and an equal part mixture of neonicotinoids (imidacloprid, clothianidin, and thiamethoxam (ICT)) at three concentrations (10, 100 and 1000 µg total neonicotinoids/L) and a water control. In these experiments, there were no effects on larval survival, body weight, SVL, and total body length. However, advanced development of larvae in the 100 µg/L imidacloprid treatment was observed compared with the control after 35-day imidacloprid exposure, providing some evidence of disruption of the thyroid endocrine axis at an environmentally relevant concentration. Ultimately, there is a paucity of studies conducted examining the sensitivity of salamanders to pollutants; thus, this study reports novel findings that will contribute to understanding the sensitivity of a Caudate amphibian model to a common environmental pollutant.","author":[{"dropping-particle":"","family":"Danis","given":"Blake E.G.","non-dropping-particle":"","parse-names":false,"suffix":""},{"dropping-particle":"","family":"Marlatt","given":"Vicki L.","non-dropping-particle":"","parse-names":false,"suffix":""}],"container-title":"Archives of Environmental Contamination and Toxicology","id":"ITEM-1","issue":"4","issued":{"date-parts":[["2021"]]},"note":"Accept with reservations. No dose response curve established. \n\nThis paper indicates imidacloprid has no acute/chronic toxicity below 6750 ug/L or 6.75 mg/L. \n\nThis paper will not influence aquatic life value, but should be included to show we reviewed a salamander species.","page":"691-707","publisher":"Springer US","title":"Investigating Acute and Subchronic Effects of Neonicotinoids on Northwestern Salamander Larvae","type":"article-journal","volume":"80"},"uris":["http://www.mendeley.com/documents/?uuid=903af3d2-fcbc-41a4-adf7-caa5b58ba40a"]},{"id":"ITEM-2","itemData":{"author":[{"dropping-particle":"","family":"Grau","given":"R","non-dropping-particle":"","parse-names":false,"suffix":""}],"id":"ITEM-2","issued":{"date-parts":[["1988"]]},"note":"Accept with reservations. \n\ntest chamber dimensions not included\nused nominal not measured\n\nLab history:\nBaychem Corporation became\nMobay Corporation became","publisher-place":"Kansas City, Missouri","title":"Acute toxicity of NTN 33893 technical to rainbow trout (Salmo gairdneri)","type":"report"},"uris":["http://www.mendeley.com/documents/?uuid=369b2db1-f756-4ce6-bbad-ca586452548a"]},{"id":"ITEM-3","itemData":{"DOI":"10.1016/j.ecoenv.2017.10.042","ISSN":"10902414","PMID":"29096261","abstract":"Cycloxaprid (CYC) and guadipyr (GUA) are two new and promising neonicotinoid insecticides whose effects on Daphnia magna are as yet unknown. In this study, the acute toxicities of CYC and GUA to D. magna, including immobilization and embryo-hatching inhibition, and their effects on antioxidant enzymes and related gene expression were determined after a 48-h exposure. Imidacloprid (IMI) was evaluated at the same time as a reference agent. The 48-h EC50 values of IMI, GUA, and CYC for neonate immobilization were 13.0–16.5 mg/L and for embryo hatching were 11.3–16.2 mg/L. The specific activity of the enzymes superoxide dismutase (SOD) and catalase (CAT) were interfered by IMI, but not by GUA and CYC, while the activity of acetylcholinesterase (AChE) was significantly increased by IMI, but inhibited by GUA and CYC. The relative expressions of the Sod-Cu/Zn, Sod-Mn, Cat, and Ache genes were usually inhibited by IMI, GUA, and CYC, except for Cat by CYC, Ache by GUA, and Sods by IMI. For vitellogenin genes with a SOD-like domain (Vtg1/2-sod), relative expression was increased by IMI and inhibited by GUA and CYC, indicating that IMI, GUA, and CYC have potential toxicity toward reproduction. CYC and GUA are highly active against IMI-resistant pests, and considering the similar toxicity of IMI to D. magna, CYC and GUA are suitable for use in future integrated pest management systems.","author":[{"dropping-particle":"","family":"Qi","given":"Suzhen","non-dropping-particle":"","parse-names":false,"suffix":""},{"dropping-particle":"","family":"Wang","given":"Donghui","non-dropping-particle":"","parse-names":false,"suffix":""},{"dropping-particle":"","family":"Zhu","given":"Lizhen","non-dropping-particle":"","parse-names":false,"suffix":""},{"dropping-particle":"","family":"Teng","given":"Miaomiao","non-dropping-particle":"","parse-names":false,"suffix":""},{"dropping-particle":"","family":"Wang","given":"Chengju","non-dropping-particle":"","parse-names":false,"suffix":""},{"dropping-particle":"","family":"Xue","given":"Xiaofeng","non-dropping-particle":"","parse-names":false,"suffix":""},{"dropping-particle":"","family":"Wu","given":"Liming","non-dropping-particle":"","parse-names":false,"suffix":""}],"container-title":"Ecotoxicology and Environmental Safety","id":"ITEM-3","issue":"September 2017","issued":{"date-parts":[["2018"]]},"note":"Accept with reservations. \n\nDoes not say how frequetnlt water quality was collected. \nNumber is much lower than other Daphnid studies - no discussion of this in paper.\nDoesn't say if nominal or measured conc. were used.","page":"352-358","publisher":"Elsevier Inc.","title":"Neonicotinoid insecticides imidacloprid, guadipyr, and cycloxaprid induce acute oxidative stress in Daphnia magna","type":"article-journal","volume":"148"},"uris":["http://www.mendeley.com/documents/?uuid=73ef71f2-3fae-4eef-bd0c-36bed03f1b37"]},{"id":"ITEM-4","itemData":{"DOI":"10.1002/etc.2979","ISSN":"15528618","PMID":"25760814","abstract":"Behavior is increasingly reported as a sensitive and early indicator of toxicant stress in aquatic organisms. However, the systematic understanding of behavioral effects and comparisons between effect profiles is hampered because the available studies are limited to few chemicals and differ in the exposure conditions and effect parameters examined. The aims of the present study were 1) to explore behavioral responses of Daphnia magna exposed to different toxicants, 2) to compare behavioral effect profiles with regard to chemical modes of action, and 3) to determine the sensitivity and response time of behavioral parameters in a new multi-cell exposure system named Multi-DaphTrack compared with currently utilized tests. Twelve compounds covering different modes of toxic action were selected to sample a wide range of potential effect profiles. Acute standard immobilization tests and 48h of behavioral tracking were performed in the customized Multi-DaphTrack system and a single-cell commercialized biological early warning system. Contrasting behavioral profiles were observed for average speed (i.e., intensity, time of effect onset, effect duration), but no distinct behavioral profiles could be drawn from the chemical mode of action. Most compounds tested in the Multi-DaphTrack system induced an early and significant average speed increase at concentrations near or below the 10% effective concentration (48h) of the acute immobilization test, demonstrating that the Multi-DaphTrack system is fast and sensitive. To conclude, behavior endpoints could be used as an alternative or complement to the current acute standard test or chemical analysis for the predictive evaluation of ecotoxic effects of effluents or water bodies.","author":[{"dropping-particle":"","family":"Chevalier","given":"Julie","non-dropping-particle":"","parse-names":false,"suffix":""},{"dropping-particle":"","family":"Harscoët","given":"Elodie","non-dropping-particle":"","parse-names":false,"suffix":""},{"dropping-particle":"","family":"Keller","given":"Merlin","non-dropping-particle":"","parse-names":false,"suffix":""},{"dropping-particle":"","family":"Pandard","given":"Pascal","non-dropping-particle":"","parse-names":false,"suffix":""},{"dropping-particle":"","family":"Cachot","given":"Jérôme","non-dropping-particle":"","parse-names":false,"suffix":""},{"dropping-particle":"","family":"Grote","given":"Matthias","non-dropping-particle":"","parse-names":false,"suffix":""}],"container-title":"Environmental Toxicology and Chemistry","id":"ITEM-4","issue":"8","issued":{"date-parts":[["2015"]]},"note":"Accept with reservations. Tested in M4 media, no WQ reported. 100% survival in control. \n\nNeed to double check methods - seem a little different than usual daph test. OECD methods check out.\n\nDaphnia EC50 for immobility (acute) = 93.88 mg/L","page":"1760-1769","title":"Exploration of Daphnia behavioral effect profiles induced by a broad range of toxicants with different modes of action","type":"article-journal","volume":"34"},"uris":["http://www.mendeley.com/documents/?uuid=f8b09b0a-7f43-455d-a6cf-473849cb66b8"]},{"id":"ITEM-5","itemData":{"DOI":"10.1002/etc.198","ISSN":"07307268","PMID":"20821624","abstract":"Complex mixtures makes the assessment of environmental hazards difficult due to possible antagonistic or synergistic interactions that can occur between chemicals, or even more complex effect patterns like dose-level or dose-ratio-dependent responses. The aim of the present work was to investigate the acute and sublethal responses of Daphnia magna Straus exposed to four single chemical compounds (imidacloprid, thiacloprid, nickel chloride, and chlorpyrifos) and three binary chemical mixtures. In the immobilization and feeding inhibition bioassays, chlorpyrifos was the most toxic to D. magna, followed by nickel chloride, and imidacloprid and thiacloprid, which showed similar levels of toxicity. The MIXTOX was used to evaluate mixture toxicity. Observed data was compared with the expected mixture effects predicted by concentration addition (CA) and independent action (IA) models; deviations for synergistic/antagonistic interactions, dose-level and dose-ratio dependency were also used. In the mixture toxicity assessment, several patterns of response were obtained depending on the mixture but also on the endpoint tested. For imidacloprid and thiacloprid, deviations for synergism were observed in acute exposures (immobilization), and antagonism for feeding rates at sublethal concentrations. For imidacloprid and chlorpyrifos, antagonism was found in both exposures. In the nickel and chlorpyrifos case study, deviations for synergism were observed in the acute exposure; a dose-ratio deviation was observed in the feeding inhibition test, with a pattern for antagonism, except for where nickel exerts more than 60% of the mixture toxicity. © 2010 SETAC.","author":[{"dropping-particle":"","family":"Loureiro","given":"Susana","non-dropping-particle":"","parse-names":false,"suffix":""},{"dropping-particle":"","family":"Svendsen","given":"Claus","non-dropping-particle":"","parse-names":false,"suffix":""},{"dropping-particle":"","family":"Ferreira","given":"Abel L.G.","non-dropping-particle":"","parse-names":false,"suffix":""},{"dropping-particle":"","family":"Pinheiro","given":"Clara","non-dropping-particle":"","parse-names":false,"suffix":""},{"dropping-particle":"","family":"Ribeiro","given":"Fabianne","non-dropping-particle":"","parse-names":false,"suffix":""},{"dropping-particle":"","family":"Soares","given":"Amadeu M.V.M.","non-dropping-particle":"","parse-names":false,"suffix":""}],"container-title":"Environmental Toxicology and Chemistry","id":"ITEM-5","issue":"8","issued":{"date-parts":[["2010"]]},"note":"Accept with reservations. WQ data collected but not reported. control survival &amp;gt;90%.\n\nHas IMI and THIA numbers for daphnia magna, 48-hr test\n97 mg/L IMI\n88 Thia\n\nNew Chlorpyrifos numbers - could be used to update 2003 FAV","page":"1716-1726","title":"Toxicity of three binary mixtures to daphnia magna: Comparing chemical modes of action and deviations from conceptual models","type":"article-journal","volume":"29"},"uris":["http://www.mendeley.com/documents/?uuid=3928a50f-5b5b-463b-a946-893e48dc5242"]}],"mendeley":{"formattedCitation":"(Chevalier et al., 2015; Danis and Marlatt, 2021; Grau, 1988; Loureiro et al., 2010; Qi et al., 2018)","plainTextFormattedCitation":"(Chevalier et al., 2015; Danis and Marlatt, 2021; Grau, 1988; Loureiro et al., 2010; Qi et al., 2018)","previouslyFormattedCitation":"(Chevalier et al., 2015; Danis and Marlatt, 2021; Grau, 1988; Loureiro et al., 2010; Qi et al., 2018)"},"properties":{"noteIndex":0},"schema":"https://github.com/citation-style-language/schema/raw/master/csl-citation.json"}</w:instrText>
      </w:r>
      <w:r w:rsidR="00157DCC">
        <w:fldChar w:fldCharType="separate"/>
      </w:r>
      <w:r w:rsidR="00157DCC" w:rsidRPr="00157DCC">
        <w:rPr>
          <w:noProof/>
        </w:rPr>
        <w:t>(Chevalier et al., 2015; Danis and Marlatt, 2021; Grau, 1988; Loureiro et al., 2010; Qi et al., 2018)</w:t>
      </w:r>
      <w:r w:rsidR="00157DCC">
        <w:fldChar w:fldCharType="end"/>
      </w:r>
      <w:r w:rsidR="00C63778">
        <w:t xml:space="preserve">. </w:t>
      </w:r>
    </w:p>
    <w:p w14:paraId="0173B307" w14:textId="5D89CF62" w:rsidR="0090720D" w:rsidRDefault="00A1130B" w:rsidP="0090720D">
      <w:r>
        <w:t xml:space="preserve">Chronic data </w:t>
      </w:r>
      <w:r w:rsidR="008D0EB1">
        <w:t>is more limited but shows</w:t>
      </w:r>
      <w:r>
        <w:t xml:space="preserve"> similar species sensitivities</w:t>
      </w:r>
      <w:r w:rsidR="000D2F6E">
        <w:t xml:space="preserve"> </w:t>
      </w:r>
      <w:r w:rsidR="00992C14">
        <w:t>as</w:t>
      </w:r>
      <w:r w:rsidR="000D2F6E">
        <w:t xml:space="preserve"> the acute tests. Two studies were included in development of the Tier II </w:t>
      </w:r>
      <w:r w:rsidR="00C25CB8">
        <w:t>f</w:t>
      </w:r>
      <w:r w:rsidR="00F4084C">
        <w:t xml:space="preserve">inal </w:t>
      </w:r>
      <w:r w:rsidR="00C25CB8">
        <w:t>c</w:t>
      </w:r>
      <w:r w:rsidR="00F4084C">
        <w:t xml:space="preserve">hronic </w:t>
      </w:r>
      <w:r w:rsidR="00C25CB8">
        <w:t>v</w:t>
      </w:r>
      <w:r w:rsidR="00F4084C">
        <w:t>alue (</w:t>
      </w:r>
      <w:r w:rsidR="000D2F6E">
        <w:t>FCV</w:t>
      </w:r>
      <w:r w:rsidR="00F4084C">
        <w:t>)</w:t>
      </w:r>
      <w:r w:rsidR="000D2F6E">
        <w:t xml:space="preserve">, including a </w:t>
      </w:r>
      <w:r w:rsidR="000D2F6E" w:rsidRPr="009100F6">
        <w:rPr>
          <w:i/>
          <w:iCs/>
        </w:rPr>
        <w:t xml:space="preserve">C. </w:t>
      </w:r>
      <w:proofErr w:type="spellStart"/>
      <w:r w:rsidR="000D2F6E" w:rsidRPr="009100F6">
        <w:rPr>
          <w:i/>
          <w:iCs/>
        </w:rPr>
        <w:t>dilutus</w:t>
      </w:r>
      <w:proofErr w:type="spellEnd"/>
      <w:r w:rsidR="000D2F6E">
        <w:t xml:space="preserve"> and </w:t>
      </w:r>
      <w:r w:rsidR="000D2F6E" w:rsidRPr="009100F6">
        <w:rPr>
          <w:i/>
          <w:iCs/>
        </w:rPr>
        <w:t>D. magna</w:t>
      </w:r>
      <w:r w:rsidR="000D2F6E">
        <w:t xml:space="preserve"> </w:t>
      </w:r>
      <w:r w:rsidR="009100F6">
        <w:t xml:space="preserve">study </w:t>
      </w:r>
      <w:r w:rsidR="009100F6">
        <w:fldChar w:fldCharType="begin" w:fldLock="1"/>
      </w:r>
      <w:r w:rsidR="00E9661B">
        <w:instrText>ADDIN CSL_CITATION {"citationItems":[{"id":"ITEM-1","itemData":{"DOI":"10.1002/etc.4234","ISSN":"15528618","PMID":"30055027","abstract":"Neonicotinoid insecticides are frequently detected in surface waters near agricultural areas, leading to a potential for chronic exposure to sensitive aquatic species. The midge Chironomus dilutus and the mayfly Neocloeon triangulifer have been shown to be acutely sensitive to neonicotinoids. Previous studies have established chronic effects of some neonicotinoids on C. dilutus, but reproduction has not been studied. Toxic effects have not been assessed using N. triangulifer. We present the results of chronic, static-renewal tests for 6 neonicotinoids (acetamiprid, clothianidin, dinotefuran, imidacloprid, thiacloprid, and thiamethoxam) with C. dilutus (≤56-d in length) and N. triangulifer (≤32-d in length). Emergence was generally the most sensitive endpoint for both species across all neonicotinoids. Effect concentrations, 10% (EC10s; emergence) were 0.03 to 1.1 μg L −1 for acetamiprid, clothianidin, imidacloprid, and thiacloprid. Dinotefuran and thiamethoxam were less potent, with EC10s (C. dilutus) or median effect concentrations (EC50s; N. triangulifer) of 2.2 to 11.2 μg L −1 . Hazard was assessed through comparison of neonicotinoid environmental concentrations from agricultural surface waters in Ontario (Canada) with either the 5th percentile hazard concentration (for imidacloprid) or species-specific EC10s from the present study (for all remaining neonicotinoids). The resulting hazard quotients (HQs) indicated little to no hazard (HQ &lt;1) in terms of chronic toxicity for acetamiprid, dinotefuran, thiacloprid, or thiamethoxam. A moderate hazard (HQ &gt;1) was found for emergence of N. triangulifer for clothianidin, and a high hazard (HQ = 74) was found for imidacloprid. Environ Toxicol Chem 2018;37:2727–2739. © 2018 SETAC.","author":[{"dropping-particle":"","family":"Raby","given":"Melanie","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K.","non-dropping-particle":"","parse-names":false,"suffix":""}],"container-title":"Environmental Toxicology and Chemistry","id":"ITEM-1","issue":"10","issued":{"date-parts":[["2018"]]},"note":"Accept.\n\nDoes all 6 neonicts.\n\nEmergence is endpoint, LC50 is 0.24 ug/L C. dilutus\nEmergence LC50 1.75 ug/L for N. triangulifer\n\nEC10 c. dilutus = 0.13 ug/L\nEC10 n. triangulifer = 1.12 ug/L","page":"2727-2739","title":"Chronic toxicity of 6 neonicotinoid insecticides to Chironomus dilutus and Neocloeon triangulifer","type":"article-journal","volume":"37"},"uris":["http://www.mendeley.com/documents/?uuid=8b13766a-cb6b-4549-aecc-56b5ad9a1519"]},{"id":"ITEM-2","itemData":{"DOI":"10.1016/j.ecoenv.2018.07.086","ISSN":"10902414","PMID":"30056337","abstract":"Neonicotinoid insecticides are a group of plant protectants frequently detected in surface waters at low concentrations. Aquatic invertebrates therefore have the potential to be exposed chronically to low concentrations of neonicotinoids. The cladocerans Daphnia magna and Ceriodaphnia dubia are among the most commonly used invertebrate test species in aquatic toxicology. Both species are known to be acutely insensitive to neonicotinoids, and while chronic toxicity has been characterized for D. magna, little research has been conducted with C. dubia. In the present study we conducted 7-d static-renewal life cycle tests for 6 neonicotinoids (acetamiprid, clothianidin, dinotefuran, imidacloprid, thiacloprid, and thiamethoxam) with C. dubia, and a 21-d test with imidacloprid with D. magna. 7-d LC50s for C. dubia ranged from 8.42 mg L−1 for imidacloprid to &gt; 100 mg L−1 for clothianidin; 7-d reproduction EC50s were 2.98 for thiacloprid, to &gt; 67 mg L−1 for dinotefuran. D. magna were less sensitive than C. dubia to imidacloprid, by 4-fold for lethality and 1.5-fold for reproduction; however, acute-to-chronic ratios (ACRs) were similar. ACRs, based on 48-h acute LC50s and 7- or 21-d chronic reproduction EC10s, ranged from 5.4 for acetamiprid to 53.0 for imidacloprid (mean 36.6, CV = 51%). Chronic toxicity values for both species were orders of magnitude greater than concentrations reported in the environment, and thus hazard to these cladocerans is negligible.","author":[{"dropping-particle":"","family":"Raby","given":"Melanie","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K.","non-dropping-particle":"","parse-names":false,"suffix":""}],"container-title":"Ecotoxicology and Environmental Safety","id":"ITEM-2","issue":"March","issued":{"date-parts":[["2018"]]},"note":"Reject. Ceriodaphnia dubia\nAccept. Daphnia magna number for chronic\n\nCan probably use daphnia results but not ceriodaphnia because test duration was only 6-days\n\nI can also use provided ACR for daphnia magna.","page":"238-244","publisher":"Elsevier Inc.","title":"Relative chronic sensitivity of neonicotinoid insecticides to Ceriodaphnia dubia and Daphnia magna","type":"article-journal","volume":"163"},"uris":["http://www.mendeley.com/documents/?uuid=b5d0a326-f57a-46af-8ef0-5388fed89ad3"]}],"mendeley":{"formattedCitation":"(Raby et al., 2018b, 2018c)","plainTextFormattedCitation":"(Raby et al., 2018b, 2018c)","previouslyFormattedCitation":"(Raby et al., 2018b, 2018c)"},"properties":{"noteIndex":0},"schema":"https://github.com/citation-style-language/schema/raw/master/csl-citation.json"}</w:instrText>
      </w:r>
      <w:r w:rsidR="009100F6">
        <w:fldChar w:fldCharType="separate"/>
      </w:r>
      <w:r w:rsidR="009100F6" w:rsidRPr="009100F6">
        <w:rPr>
          <w:noProof/>
        </w:rPr>
        <w:t>(Raby et al., 2018b, 2018c)</w:t>
      </w:r>
      <w:r w:rsidR="009100F6">
        <w:fldChar w:fldCharType="end"/>
      </w:r>
      <w:r w:rsidR="009100F6">
        <w:t xml:space="preserve">. The most sensitive endpoint observed for </w:t>
      </w:r>
      <w:r w:rsidR="009100F6" w:rsidRPr="00E57752">
        <w:rPr>
          <w:i/>
          <w:iCs/>
        </w:rPr>
        <w:t xml:space="preserve">C. </w:t>
      </w:r>
      <w:proofErr w:type="spellStart"/>
      <w:r w:rsidR="009100F6" w:rsidRPr="00E57752">
        <w:rPr>
          <w:i/>
          <w:iCs/>
        </w:rPr>
        <w:t>dilutus</w:t>
      </w:r>
      <w:proofErr w:type="spellEnd"/>
      <w:r w:rsidR="009100F6">
        <w:t xml:space="preserve"> was emergence</w:t>
      </w:r>
      <w:r w:rsidR="00873E86">
        <w:t xml:space="preserve"> (</w:t>
      </w:r>
      <w:r w:rsidR="008D0EB1">
        <w:t xml:space="preserve">MATC = 0.13 </w:t>
      </w:r>
      <w:r w:rsidR="00C25CB8">
        <w:rPr>
          <w:rFonts w:cstheme="minorHAnsi"/>
        </w:rPr>
        <w:t>µ</w:t>
      </w:r>
      <w:r w:rsidR="00C25CB8">
        <w:t>g L</w:t>
      </w:r>
      <w:r w:rsidR="00C25CB8" w:rsidRPr="00D75195">
        <w:rPr>
          <w:vertAlign w:val="superscript"/>
        </w:rPr>
        <w:t>-1</w:t>
      </w:r>
      <w:r w:rsidR="008D0EB1">
        <w:t>)</w:t>
      </w:r>
      <w:r w:rsidR="00E57752">
        <w:t xml:space="preserve"> and for </w:t>
      </w:r>
      <w:r w:rsidR="00E57752" w:rsidRPr="00E57752">
        <w:rPr>
          <w:i/>
          <w:iCs/>
        </w:rPr>
        <w:t>D. magna</w:t>
      </w:r>
      <w:r w:rsidR="00E57752">
        <w:t xml:space="preserve"> was reproduction</w:t>
      </w:r>
      <w:r w:rsidR="008D0EB1">
        <w:t xml:space="preserve"> (MATC = 2.16 </w:t>
      </w:r>
      <w:r w:rsidR="00C25CB8">
        <w:rPr>
          <w:rFonts w:cstheme="minorHAnsi"/>
        </w:rPr>
        <w:t>m</w:t>
      </w:r>
      <w:r w:rsidR="00C25CB8">
        <w:t>g L</w:t>
      </w:r>
      <w:r w:rsidR="00C25CB8" w:rsidRPr="00D75195">
        <w:rPr>
          <w:vertAlign w:val="superscript"/>
        </w:rPr>
        <w:t>-1</w:t>
      </w:r>
      <w:r w:rsidR="008D0EB1">
        <w:t>)</w:t>
      </w:r>
      <w:r w:rsidR="00E57752">
        <w:t xml:space="preserve">. </w:t>
      </w:r>
      <w:r w:rsidR="00B04771">
        <w:t xml:space="preserve">The </w:t>
      </w:r>
      <w:r w:rsidR="002471A2">
        <w:t>chronic sensitivity</w:t>
      </w:r>
      <w:r w:rsidR="00B04771">
        <w:t xml:space="preserve"> of </w:t>
      </w:r>
      <w:r w:rsidR="00457163" w:rsidRPr="00021C50">
        <w:rPr>
          <w:i/>
          <w:iCs/>
        </w:rPr>
        <w:t xml:space="preserve">C. </w:t>
      </w:r>
      <w:proofErr w:type="spellStart"/>
      <w:r w:rsidR="00457163" w:rsidRPr="00021C50">
        <w:rPr>
          <w:i/>
          <w:iCs/>
        </w:rPr>
        <w:t>dilutus</w:t>
      </w:r>
      <w:proofErr w:type="spellEnd"/>
      <w:r w:rsidR="00457163">
        <w:t xml:space="preserve"> and </w:t>
      </w:r>
      <w:r w:rsidR="00C677B1">
        <w:t xml:space="preserve">relative </w:t>
      </w:r>
      <w:r w:rsidR="00457163">
        <w:t xml:space="preserve">insensitivity of </w:t>
      </w:r>
      <w:r w:rsidR="00457163" w:rsidRPr="00021C50">
        <w:rPr>
          <w:i/>
          <w:iCs/>
        </w:rPr>
        <w:t>D. magna</w:t>
      </w:r>
      <w:r w:rsidR="00457163">
        <w:t xml:space="preserve"> was </w:t>
      </w:r>
      <w:r w:rsidR="002471A2">
        <w:lastRenderedPageBreak/>
        <w:t xml:space="preserve">confirmed in two other acceptable studies which </w:t>
      </w:r>
      <w:r w:rsidR="00344297">
        <w:t xml:space="preserve">lacked sufficient data to </w:t>
      </w:r>
      <w:r w:rsidR="00F4084C">
        <w:t>develop accep</w:t>
      </w:r>
      <w:r w:rsidR="00C64F4D">
        <w:t>table acute-to-chronic ratios (</w:t>
      </w:r>
      <w:r w:rsidR="00F4084C">
        <w:t>ACRs</w:t>
      </w:r>
      <w:r w:rsidR="00C64F4D">
        <w:t>)</w:t>
      </w:r>
      <w:r w:rsidR="00F4084C">
        <w:t xml:space="preserve"> </w:t>
      </w:r>
      <w:r w:rsidR="00012F56">
        <w:fldChar w:fldCharType="begin" w:fldLock="1"/>
      </w:r>
      <w:r w:rsidR="00A8247C">
        <w:instrText>ADDIN CSL_CITATION {"citationItems":[{"id":"ITEM-1","itemData":{"DOI":"10.1016/j.ecoenv.2010.07.010","ISSN":"01476513","PMID":"20843551","abstract":"The environment is constantly exposed to a cocktail of contaminants mainly due to human activities. Because polluted ecosystems are characterized by an amalgam of chemical compounds, the objective of the present study was to assess the joint effect of chemical mixtures to the life-history traits of Daphnia magna Straus. For that a binary mixture of two neonicotinoid insecticides, imidacloprid and thiacloprid, and another one of imidacloprid with nickel chloride were tested. Theoretical models have been developed and applied in studies with chemical mixtures, predicting toxicity based on their modes of action: concentration addition (CA) and independent joint action (IA) models. Still there are cases where deviations are observed (e.g. synergistic or antagonistic behaviors, dose ratio or level dependency). In this study, the effects of the individual compounds and their mixtures were studied in a chronic test where reproduction, survival and body length were evaluated in D. magna. Regarding single compound effects, it was observed that the most toxic was nickel chloride followed by thiacloprid and imidacloprid. For the mixture exposure of imidacloprid and thiacloprid, a synergistic pattern was observed in the sublethal doses used for the number of neonates produced, while for the body length the best fit was shown with the CA model. In the mixture exposure of imidacloprid and nickel, no deviation from the IA was observed for the neonate production data; for the body length parameter, a synergistic pattern was observed in low doses of the chemicals while an antagonistic pattern was observed. © 2010 Elsevier Inc.","author":[{"dropping-particle":"","family":"Pavlaki","given":"Maria D.","non-dropping-particle":"","parse-names":false,"suffix":""},{"dropping-particle":"","family":"Pereira","given":"Ricardo","non-dropping-particle":"","parse-names":false,"suffix":""},{"dropping-particle":"","family":"Loureiro","given":"Susana","non-dropping-particle":"","parse-names":false,"suffix":""},{"dropping-particle":"","family":"Soares","given":"Amadeu M.V.M.","non-dropping-particle":"","parse-names":false,"suffix":""}],"container-title":"Ecotoxicology and Environmental Safety","id":"ITEM-1","issue":"1","issued":{"date-parts":[["2011"]]},"note":"Accept with reservations. WQ data collected but not published - control survival was 100%. \n\nHas Thia data too. Can be used to calculate ACR (see note below).","page":"99-110","publisher":"Elsevier","title":"Effects of binary mixtures on the life traits of Daphnia magna","type":"article-journal","volume":"74"},"uris":["http://www.mendeley.com/documents/?uuid=d8849578-945b-4c86-ba3c-3024de951b98"]},{"id":"ITEM-2","itemData":{"DOI":"10.1002/etc.3536","ISSN":"15528618","PMID":"27329202","abstract":"Nontarget aquatic insects are susceptible to chronic neonicotinoid insecticide exposure during the early stages of development from repeated runoff events and prolonged persistence of these chemicals. Investigations on the chronic toxicity of neonicotinoids to aquatic invertebrates have been limited to a few species and under different laboratory conditions that often preclude direct comparisons of the relative toxicity of different compounds. In the present study, full life-cycle toxicity tests using Chironomus dilutus were performed to compare the toxicity of 3 commonly used neonicotinoids: imidacloprid, clothianidin, and thiamethoxam. Test conditions followed a static-renewal exposure protocol in which lethal and sublethal endpoints were assessed on days 14 and 40. Reduced emergence success, advanced emergence timing, and male-biased sex ratios were sensitive responses to low-level neonicotinoid exposure. The 14-d median lethal concentrations for imidacloprid, clothianidin, and thiamethoxam were 1.52 μg/L, 2.41 μg/L, and 23.60 μg/L, respectively. The 40-d median effect concentrations (emergence) for imidacloprid, clothianidin, and thiamethoxam were 0.39 μg/L, 0.28 μg/L, and 4.13 μg/L, respectively. Toxic equivalence relative to imidacloprid was estimated through a 3-point response average of equivalencies calculated at 20%, 50%, and 90% lethal and effect concentrations. Relative to imidacloprid (toxic equivalency factor [TEF] = 1.0), chronic (lethality) 14-d TEFs for clothianidin and thiamethoxam were 1.05 and 0.14, respectively, and chronic (emergence inhibition) 40-d TEFs were 1.62 and 0.11, respectively. These population-relevant endpoints and TEFs suggest that imidacloprid and clothianidin exert comparable chronic toxicity to C. dilutus, whereas thiamethoxam induced comparable effects only at concentrations an order of magnitude higher. However, the authors caution that under field conditions, thiamethoxam readily degrades to clothianidin, thereby likely enhancing toxicity. Environ Toxicol Chem 2017;36:372–382. © 2016 SETAC.","author":[{"dropping-particle":"","family":"Cavallaro","given":"Michael C.","non-dropping-particle":"","parse-names":false,"suffix":""},{"dropping-particle":"","family":"Morrissey","given":"Christy A.","non-dropping-particle":"","parse-names":false,"suffix":""},{"dropping-particle":"V.","family":"Headley","given":"John","non-dropping-particle":"","parse-names":false,"suffix":""},{"dropping-particle":"","family":"Peru","given":"Kerry M.","non-dropping-particle":"","parse-names":false,"suffix":""},{"dropping-particle":"","family":"Liber","given":"Karsten","non-dropping-particle":"","parse-names":false,"suffix":""}],"container-title":"Environmental Toxicology and Chemistry","id":"ITEM-2","issue":"2","issued":{"date-parts":[["2017"]]},"note":"This is a very good article. I think I can use 40 Day LC50's. Not sure about sex ratio endpoint...","page":"372-382","title":"Comparative chronic toxicity of imidacloprid, clothianidin, and thiamethoxam to Chironomus dilutus and estimation of toxic equivalency factors","type":"article-journal","volume":"36"},"uris":["http://www.mendeley.com/documents/?uuid=87131076-391f-403a-9b71-c43d9ba4cf93"]}],"mendeley":{"formattedCitation":"(Cavallaro et al., 2017; Pavlaki et al., 2011)","plainTextFormattedCitation":"(Cavallaro et al., 2017; Pavlaki et al., 2011)","previouslyFormattedCitation":"(Cavallaro et al., 2017; Pavlaki et al., 2011)"},"properties":{"noteIndex":0},"schema":"https://github.com/citation-style-language/schema/raw/master/csl-citation.json"}</w:instrText>
      </w:r>
      <w:r w:rsidR="00012F56">
        <w:fldChar w:fldCharType="separate"/>
      </w:r>
      <w:r w:rsidR="00012F56" w:rsidRPr="00012F56">
        <w:rPr>
          <w:noProof/>
        </w:rPr>
        <w:t>(Cavallaro et al., 2017; Pavlaki et al., 2011)</w:t>
      </w:r>
      <w:r w:rsidR="00012F56">
        <w:fldChar w:fldCharType="end"/>
      </w:r>
      <w:r w:rsidR="00012F56">
        <w:t>.</w:t>
      </w:r>
    </w:p>
    <w:p w14:paraId="171A6A84" w14:textId="77777777" w:rsidR="0090720D" w:rsidRPr="005D6ECE" w:rsidRDefault="0090720D" w:rsidP="0090720D">
      <w:pPr>
        <w:pStyle w:val="ListParagraph"/>
        <w:rPr>
          <w:sz w:val="24"/>
          <w:szCs w:val="24"/>
        </w:rPr>
      </w:pPr>
    </w:p>
    <w:p w14:paraId="6B750B10" w14:textId="1BAF688B" w:rsidR="0090720D" w:rsidRPr="004144AB" w:rsidRDefault="0090720D" w:rsidP="0090720D">
      <w:pPr>
        <w:rPr>
          <w:b/>
          <w:bCs/>
        </w:rPr>
      </w:pPr>
      <w:r>
        <w:rPr>
          <w:b/>
          <w:bCs/>
        </w:rPr>
        <w:t>Honorable Mention</w:t>
      </w:r>
      <w:r w:rsidR="00697A12">
        <w:rPr>
          <w:b/>
          <w:bCs/>
        </w:rPr>
        <w:t>s for Select</w:t>
      </w:r>
      <w:r>
        <w:rPr>
          <w:b/>
          <w:bCs/>
        </w:rPr>
        <w:t xml:space="preserve"> Unacceptable Studies</w:t>
      </w:r>
    </w:p>
    <w:p w14:paraId="0183AA0D" w14:textId="7D4FB538" w:rsidR="00E970BD" w:rsidRDefault="00AC70FE" w:rsidP="00AC70FE">
      <w:r>
        <w:t xml:space="preserve">Several otherwise </w:t>
      </w:r>
      <w:r w:rsidR="00BB3789">
        <w:t>a</w:t>
      </w:r>
      <w:r w:rsidR="0022020C">
        <w:t>cceptable</w:t>
      </w:r>
      <w:r w:rsidR="00BB3789">
        <w:t xml:space="preserve"> studies were rejected due to the use of a formulation or pesticide product with active ingredient as opposed to reagent grade imidacloprid. </w:t>
      </w:r>
      <w:r w:rsidR="008318F1">
        <w:t>Results for two</w:t>
      </w:r>
      <w:r w:rsidR="00502246">
        <w:t xml:space="preserve"> imidacloprid pesticides, Admire and </w:t>
      </w:r>
      <w:proofErr w:type="spellStart"/>
      <w:r w:rsidR="00502246">
        <w:t>Confidor</w:t>
      </w:r>
      <w:proofErr w:type="spellEnd"/>
      <w:r w:rsidR="00502246">
        <w:t>, were</w:t>
      </w:r>
      <w:r w:rsidR="008318F1">
        <w:t xml:space="preserve"> </w:t>
      </w:r>
      <w:r w:rsidR="006008C0">
        <w:t>included in toxicity tests in direct</w:t>
      </w:r>
      <w:r w:rsidR="008318F1">
        <w:t xml:space="preserve"> compar</w:t>
      </w:r>
      <w:r w:rsidR="006008C0">
        <w:t>ison</w:t>
      </w:r>
      <w:r w:rsidR="008318F1">
        <w:t xml:space="preserve"> to reagent grade imidacloprid</w:t>
      </w:r>
      <w:r w:rsidR="00886FBF">
        <w:t>. These studies</w:t>
      </w:r>
      <w:r w:rsidR="008318F1">
        <w:t xml:space="preserve"> found</w:t>
      </w:r>
      <w:r w:rsidR="00886FBF">
        <w:t xml:space="preserve"> pesticide mixtures</w:t>
      </w:r>
      <w:r w:rsidR="008318F1">
        <w:t xml:space="preserve"> </w:t>
      </w:r>
      <w:r w:rsidR="0049145F">
        <w:t>have greater toxicity</w:t>
      </w:r>
      <w:r w:rsidR="00886FBF">
        <w:t xml:space="preserve"> than reagent grade imidacloprid</w:t>
      </w:r>
      <w:r w:rsidR="00581717">
        <w:t>;</w:t>
      </w:r>
      <w:r w:rsidR="00C36DB3">
        <w:t xml:space="preserve"> although</w:t>
      </w:r>
      <w:r w:rsidR="00581717">
        <w:t>,</w:t>
      </w:r>
      <w:r w:rsidR="00C36DB3">
        <w:t xml:space="preserve"> differences </w:t>
      </w:r>
      <w:r w:rsidR="00704888">
        <w:t>for one of the three tested species was not statistically significant</w:t>
      </w:r>
      <w:r w:rsidR="00C36DB3">
        <w:t xml:space="preserve"> </w:t>
      </w:r>
      <w:r w:rsidR="003B1C72">
        <w:fldChar w:fldCharType="begin" w:fldLock="1"/>
      </w:r>
      <w:r w:rsidR="007F5379">
        <w:instrText>ADDIN CSL_CITATION {"citationItems":[{"id":"ITEM-1","itemData":{"DOI":"10.1016/j.chemosphere.2009.05.002","ISSN":"00456535","PMID":"19505710","abstract":"The use of a very effective insecticide against sucking pests, neonicotinoid imidacloprid, has been increasing extensively. For this reason elevated concentrations are expected in aquatic environment. Despite this fact, there is still a lack of data available on its possible risk for the environment. In this study, the potential hazards of imidacloprid and its commercial product Confidor SL 200 to aquatic environment were identified by the acute and chronic toxicity assessment using bacteria Vibrio fischeri, algae Desmodesmus subspicatus, crustacean Daphnia magna, fish Danio rerio and the ready biodegradability determination. We found out, that imidacloprid was not highly toxic to tested organisms in comparison to some other environmental pollutants tested in the same experimental set-up. Among the organisms tested, water flea D. magna proved to be the most sensitive species after a short-term (48 h EC50 = 56.6 mg L-1) and long-term exposure (21 d NOEC = 1.25 mg L-1). On the contrary, the intensified toxicity of Confidor SL 200 in comparison to analytical grade imidacloprid was observed in the case of algae and slight increase of its toxicity was detected testing daphnids and fish. The activities of cholinesterase, catalase and glutathione S-transferase of daphnids were not early biomarkers of exposure to imidacloprid and its commercial product. Imidacloprid was found persistent in water samples and not readily biodegradable in aquatic environment. Due to increased future predicted use of commercial products containing imidacloprid and the findings of this work, we recommend additional toxicity and biodegradability studies of other commercial products with imidacloprid as an active constituent. © 2009 Elsevier Ltd. All rights reserved.","author":[{"dropping-particle":"","family":"Tišler","given":"Tatjana","non-dropping-particle":"","parse-names":false,"suffix":""},{"dropping-particle":"","family":"Jemec","given":"Anita","non-dropping-particle":"","parse-names":false,"suffix":""},{"dropping-particle":"","family":"Mozetič","given":"Branka","non-dropping-particle":"","parse-names":false,"suffix":""},{"dropping-particle":"","family":"Trebše","given":"Polonca","non-dropping-particle":"","parse-names":false,"suffix":""}],"container-title":"Chemosphere","id":"ITEM-1","issue":"7","issued":{"date-parts":[["2009"]]},"note":"Reject - use formulation not pure product. ISO method unavailable. \n\nthis paper shows Confidor SL 200 (pesticide product) can actually be slightly more toxic than pure IMI due to solvents. Solvents acutally look more toxic than the IMI and makes IMI more toxic.\n\nI will need to show Dennis table 1 and ask him what I can do with this information...","page":"907-914","title":"Hazard identification of imidacloprid to aquatic environment","type":"article-journal","volume":"76"},"uris":["http://www.mendeley.com/documents/?uuid=e16c0de0-c47a-4364-94dc-504be15198b0"]},{"id":"ITEM-2","itemData":{"DOI":"10.1007/s00244-007-9073-6","ISBN":"0024400790736","ISSN":"00904341","PMID":"18214581","abstract":"The toxicity of imidacloprid, a nicotinic mimic insecticide, to the aquatic invertebrates Chironomus tentans and Hyalella azteca, was first evaluated in static 96-hour tests using both technical material (99.2% pure) and Admire®, a commercially available formulated product (240 g a.i. L-1). The 96-h lethal concentration (LC)50 values for technical imidacloprid and Admire® were 65.43 and 17.44 μg/L, respectively, for H. azteca, and 5.75 and 5.40 μg/L, respectively, for C. tentans. Admire® was subsequently used in 28-day chronic tests with both species. Exposure scenarios consisted of a constant- and a pulse-exposure regime. The pulse exposure lasted for four days, after which time the animals were transferred to clean water for the remaining 24 days of the study. Assessments were made on both day 10 and day 28. In the C. tentans under constant exposure, larval growth on day 10 was significantly reduced at 3.57 μg/L imidacloprid, the lowest-observed-effect concentration (LOEC). The no-observed-effect concentration (NOEC) and LOEC for the 28-day exposure duration (adult survival and emergence) were 1.14 and greater than 1.14 μg/L, respectively; the associated LC50 and LC25 were 0.91 and 0.59 μg/L, respectively. The LOEC for the pulse treatment was greater than 3.47 μg/L, but the day 10 LC25 was 3.03 μg/L. In the H. azteca tests, the day 10 and 28 constant exposure, as well as the day 28 pulse exposure, LOEC (survival) values were similar at 11.95, 11.46, and 11.93 μg/L, respectively. The day 10 and 28 constant exposure effective concentration (EC)25s (dry weight) were also similar, at 6.22 and 8.72 μg/L, respectively, but were higher than the pulse-exposure day 10 LOEC and EC25 (dry weight) values of 3.53 and 2.22 μg/L, respectively. Overall, C. tentans was more sensitive to acute and chronic imidacloprid exposure, but less sensitive to a single pulse, than H. azteca. Chronic, low-level exposure to imidacloprid may therefore reduce invertebrate survival and growth, but organisms are able to recover from short-term pulse exposure to similar imidacloprid concentrations if the stressor is removed after four days. © 2008 Springer Science+Business Media, LLC.","author":[{"dropping-particle":"","family":"Stoughton","given":"Sarah J.","non-dropping-particle":"","parse-names":false,"suffix":""},{"dropping-particle":"","family":"Liber","given":"Karsten","non-dropping-particle":"","parse-names":false,"suffix":""},{"dropping-particle":"","family":"Culp","given":"Joseph","non-dropping-particle":"","parse-names":false,"suffix":""},{"dropping-particle":"","family":"Cessna","given":"Allan","non-dropping-particle":"","parse-names":false,"suffix":""}],"container-title":"Archives of Environmental Contamination and Toxicology","id":"ITEM-2","issue":"4","issued":{"date-parts":[["2008"]]},"note":"Accept with reservations - C. dilutus acute dataset. Orgs were fed. \n\nReject - for chronic studies and fed hyalella acute study \nHonorable mention - compares Admire with pure product\nShows no difference for C. dilutus and shows admire more toxic for H. azteca\n\nC, tentans = C. dilutus, citation: (https://bugguide.net/node/view/710434#1256693)\n\nEmail response from Karsten Liber on 8/30/21:\nThank you for your interest and request, but unfortunately I no longer have access to the raw data so I cannot review the control data.  However, we follow federal testing protocols and I’m reasonably sure in saying that if control organisms didn’t meet protocol requirements, the test would have been rerun. \nIn addition, I can confirm that all toxicity endpoints (e.g., LC50s) were calculated based on measured imidacloprid concentrations.","page":"662-673","title":"Acute and chronic toxicity of imidacloprid to the aquatic invertebrates Chironomus tentans and Hyalella azteca under constant- and pulse-exposure conditions","type":"article-journal","volume":"54"},"uris":["http://www.mendeley.com/documents/?uuid=a77c0e81-c9ff-4b62-9167-1644400cb3ec"]}],"mendeley":{"formattedCitation":"(Stoughton et al., 2008; Tišler et al., 2009)","plainTextFormattedCitation":"(Stoughton et al., 2008; Tišler et al., 2009)","previouslyFormattedCitation":"(Stoughton et al., 2008; Tišler et al., 2009)"},"properties":{"noteIndex":0},"schema":"https://github.com/citation-style-language/schema/raw/master/csl-citation.json"}</w:instrText>
      </w:r>
      <w:r w:rsidR="003B1C72">
        <w:fldChar w:fldCharType="separate"/>
      </w:r>
      <w:r w:rsidR="003B1C72" w:rsidRPr="003B1C72">
        <w:rPr>
          <w:noProof/>
        </w:rPr>
        <w:t>(Stoughton et al., 2008; Tišler et al., 2009)</w:t>
      </w:r>
      <w:r w:rsidR="003B1C72">
        <w:fldChar w:fldCharType="end"/>
      </w:r>
      <w:r w:rsidR="003B1C72">
        <w:t>.</w:t>
      </w:r>
      <w:r w:rsidR="00581717">
        <w:t xml:space="preserve"> Several acute studies report mayfly LC50’s </w:t>
      </w:r>
      <w:r w:rsidR="003400AA">
        <w:t xml:space="preserve">below 2 </w:t>
      </w:r>
      <w:r w:rsidR="009937FD">
        <w:rPr>
          <w:rFonts w:cstheme="minorHAnsi"/>
        </w:rPr>
        <w:t>µ</w:t>
      </w:r>
      <w:r w:rsidR="009937FD">
        <w:t>g L</w:t>
      </w:r>
      <w:r w:rsidR="009937FD" w:rsidRPr="00D75195">
        <w:rPr>
          <w:vertAlign w:val="superscript"/>
        </w:rPr>
        <w:t>-1</w:t>
      </w:r>
      <w:r w:rsidR="009937FD">
        <w:t xml:space="preserve"> </w:t>
      </w:r>
      <w:r w:rsidR="003400AA">
        <w:t xml:space="preserve">(as low as 0.65 </w:t>
      </w:r>
      <w:r w:rsidR="009937FD">
        <w:rPr>
          <w:rFonts w:cstheme="minorHAnsi"/>
        </w:rPr>
        <w:t>µ</w:t>
      </w:r>
      <w:r w:rsidR="009937FD">
        <w:t>g L</w:t>
      </w:r>
      <w:r w:rsidR="009937FD" w:rsidRPr="00D75195">
        <w:rPr>
          <w:vertAlign w:val="superscript"/>
        </w:rPr>
        <w:t>-1</w:t>
      </w:r>
      <w:r w:rsidR="003400AA">
        <w:t>)</w:t>
      </w:r>
      <w:r w:rsidR="00410635">
        <w:t>, all of which used pesticide formulations as opposed to reagent grade imidacloprid and could not be used in derivation of the aquatic life values</w:t>
      </w:r>
      <w:r w:rsidR="00D73517">
        <w:t xml:space="preserve"> </w:t>
      </w:r>
      <w:r w:rsidR="007F5379">
        <w:fldChar w:fldCharType="begin" w:fldLock="1"/>
      </w:r>
      <w:r w:rsidR="00AE0556">
        <w:instrText>ADDIN CSL_CITATION {"citationItems":[{"id":"ITEM-1","itemData":{"DOI":"10.1897/07-015R.1","ISSN":"07307268","PMID":"17702348","abstract":"The present study examined the effects of pulse exposures of the insecticide imidacloprid on the mayfly, Epeorus longimanus Eaton (Family Heptageniidae), and on an aquatic oligochaete, Lumbriculus variegatus Müller (Family Lumbriculidae). Pulse exposures of imidacloprid are particularly relevant for examination, because this insecticide is relatively soluble (510 mg/L) and is most likely to be at effect concentrations during runoff events. Experiments examined the recovery of organisms after a 24-h pulse exposure to imidacloprid over an environmentally realistic range of concentrations (0, 0.1, 0.5, 1, 5, and 10 μg/L). Effects on feeding were measured by quantifying the algal biomass consumed by mayflies or foodstuffs egested by oligochaetes. Imidacloprid was highly toxic, with low 24-h median lethal concentrations (LC50s) in early mayfly instars (24-h LC50, 2.1 ± 0.8 μg/L) and larger, later mayfly instars (24-h LC50, 2.1 ± 0.5 μg/L; 96-h LC50, 0.65 ± 0.15 μg/L.). Short (24-h) pulses of imidacloprid in excess of 1 μg/L caused feeding inhibition, whereas recovery (4 d) varied, depending on the number of days after contaminant exposure. In contrast to mayflies, oligochaetes were relatively insensitive to imidacloprid during the short (24-h) pulse; however, immobility of oligochaetes was observed during a 4-d, continuous-exposure experiment, with 96-h median effective concentrations of 6.2 ± 1.4 μg/L. Overall, imidacloprid reduced the survivorship, feeding, and egestion of mayflies and oligochaetes at concentrations greater than 0.5 but less than 10 μg/L. Inhibited feeding and egestion indicate physiological and behavioral responses to this insecticide. © 2007 SETAC.","author":[{"dropping-particle":"","family":"Alexander","given":"Alexa C.","non-dropping-particle":"","parse-names":false,"suffix":""},{"dropping-particle":"","family":"Culp","given":"Joseph M.","non-dropping-particle":"","parse-names":false,"suffix":""},{"dropping-particle":"","family":"Liber","given":"Karsten","non-dropping-particle":"","parse-names":false,"suffix":""},{"dropping-particle":"","family":"Cessna","given":"Allan J.","non-dropping-particle":"","parse-names":false,"suffix":""}],"container-title":"Environmental Toxicology and Chemistry","id":"ITEM-1","issue":"8","issued":{"date-parts":[["2007"]]},"note":"Reject - Admire not technical grade. Honorable mention\n\nI like mayfly dta. Some reservations about chironomid data. Used pesticide and not pure product. \nLumbriculous datapoint 96-hr EC50 = 6.5 ug/L.. lower than Raby paper\n\n10/13/21 Response from Author:\nThat is a paper I haven't thought about in some time! Yes, as I recall we did spot measurements of DO, pH etc at the time and all were at acceptable levels.  Our DO was often at saturation for example for the mayflies because the water was moving throughout the experiment.  We were following standard protocols throughout as we're a federal laboratory developing guidance for Environment Canada, and our internal standard operating protocols required that survivorship in the controls was at least 90%.   Does that help?","page":"1726-1732","title":"Effects of insecticide exposure on feeding inhibition in mayflies and oligochaetes","type":"article-journal","volume":"26"},"uris":["http://www.mendeley.com/documents/?uuid=f68040fd-27af-491a-a09e-7b02aa8b4609"]},{"id":"ITEM-2","itemData":{"DOI":"10.1016/j.scitotenv.2021.147167","ISSN":"18791026","PMID":"34088063","abstract":"This study aimed to investigate the effect of imidacloprid on structural (invertebrates and primary producers) and functional (organic matter decomposition and physicochemical parameters) characteristics of tropical freshwaters using acute single species and mesocosm studies performed in Ethiopia. The recovery of affected endpoints was also studied by using a mesocosm study period of 21 weeks. Our acute toxicity test showed that Cloeon dipterum (96-h EC50 = 1.5 μg/L) and Caenis horaria (96-h EC50 = 1.9 μg/L) are relatively sensitive arthropods to imidacloprid. The mesocosm experiment evaluated the effects of four applications of imidacloprid with a weekly interval and the results showed that the macroinvertebrate and zooplankton community structure changed significantly due to imidacloprid contamination in mesocosms repeatedly dosed with ≥0.1 and ≥ 0.01 μg/L, respectively (time weighted average concentrations of 112 days (TWA112d) of ≥0.124 and ≥ ≈0.02 μg/L, respectively). The largest responses were found for C. dipterum, C. horaria, Brachionus sp. and Filinia sp. Chlorophyll-a concentrations of periphyton and phytoplankton significantly increased in the ≥0.1 μg/L treatments levels which are indirect effects as a result of the release of grazing pressure. A significant, but quantitatively small, decrease of organic matter decomposition rate was observed in mesocosms treated with repeated doses of 1 μg/L (TWA112d of 2.09 μg/L). No recovery was observed for the macroinvertebrates community during the study period of 21 weeks, but zooplankton recovered after 9 weeks. We observed spatio-temporal related toxicity differences between tropical and temperate aquatic taxa, with tropical taxa generally being more sensitive. This suggests that use of temperate toxicity data for the risk assessment of imidacloprid in tropical region is not recommended.","author":[{"dropping-particle":"","family":"Merga","given":"Lemessa B.","non-dropping-particle":"","parse-names":false,"suffix":""},{"dropping-particle":"","family":"Brink","given":"Paul J.","non-dropping-particle":"Van den","parse-names":false,"suffix":""}],"container-title":"Science of the Total Environment","id":"ITEM-2","issued":{"date-parts":[["2021"]]},"note":"Reject - Formulation IMI not technical grade. Honorable mention\n\nReservations are use of an &amp;quot;imidacloprid formulatiion&amp;quot;. Not sure what that means, however, their results are comparable to other studies for these species. \n\nCorixidae control results not great, but after review of supplemental data, I feel comfortable using this result. No other data available for this class of organism. \n\nOrganisms were not fed during experiment.","page":"147167","publisher":"The Authors","title":"Ecological effects of imidacloprid on a tropical freshwater ecosystem and subsequent recovery dynamics","type":"article-journal","volume":"784"},"uris":["http://www.mendeley.com/documents/?uuid=a1449b85-3a76-4f09-a05b-96df7034d562"]},{"id":"ITEM-3","itemData":{"DOI":"10.1002/etc.2201","ISSN":"07307268","PMID":"23444274","abstract":"The present study evaluated the acute and chronic toxicity of imidacloprid to a range of freshwater arthropods. Mayfly and caddisfly species were most sensitive to short-term imidacloprid exposures (10 tests), whereas the mayflies showed by far the most sensitive response to long-term exposure of all seven arthropod species tested (28-d EC10 values of approximately 0.03μg/L). The results indicated a high aquatic risk of chronic exposure of imidacloprid to mayflies. © 2013 SETAC.","author":[{"dropping-particle":"","family":"Roessink","given":"Ivo","non-dropping-particle":"","parse-names":false,"suffix":""},{"dropping-particle":"","family":"Merga","given":"Lemessa B.","non-dropping-particle":"","parse-names":false,"suffix":""},{"dropping-particle":"","family":"Zweers","given":"Hans J.","non-dropping-particle":"","parse-names":false,"suffix":""},{"dropping-particle":"","family":"Brink","given":"Paul J.","non-dropping-particle":"Van den","parse-names":false,"suffix":""}],"container-title":"Environmental Toxicology and Chemistry","id":"ITEM-3","issue":"5","issued":{"date-parts":[["2013"]]},"note":"Reject - honorable mention - is use of pesticide, not pure IMI. \n\nCan use data for three species listed in Table 3 96-hr EC50 (mortality + immobilization)\nNotonecta spp. 18.2 ug/L\nLimnephilidae 1.79 ug/L\nCloeon dipterum 1.02 ug/L\n\n28-day chronic EC50 (mortality and immobilization) see table 4\nCloeon dipterum 0.123 ug/L\n\nACR is 336 for Cloeon dipterum","page":"1096-1100","title":"The neonicotinoid imidacloprid shows high chronic toxicity to mayfly nymphs","type":"article-journal","volume":"32"},"uris":["http://www.mendeley.com/documents/?uuid=2f5639c5-f26e-4957-9d94-269136cef002"]}],"mendeley":{"formattedCitation":"(Alexander et al., 2007; Merga and Van den Brink, 2021; Roessink et al., 2013)","plainTextFormattedCitation":"(Alexander et al., 2007; Merga and Van den Brink, 2021; Roessink et al., 2013)","previouslyFormattedCitation":"(Alexander et al., 2007; Merga and Van den Brink, 2021; Roessink et al., 2013)"},"properties":{"noteIndex":0},"schema":"https://github.com/citation-style-language/schema/raw/master/csl-citation.json"}</w:instrText>
      </w:r>
      <w:r w:rsidR="007F5379">
        <w:fldChar w:fldCharType="separate"/>
      </w:r>
      <w:r w:rsidR="007F5379" w:rsidRPr="007F5379">
        <w:rPr>
          <w:noProof/>
        </w:rPr>
        <w:t>(Alexander et al., 2007; Merga and Van den Brink, 2021; Roessink et al., 2013)</w:t>
      </w:r>
      <w:r w:rsidR="007F5379">
        <w:fldChar w:fldCharType="end"/>
      </w:r>
      <w:r w:rsidR="007F5379">
        <w:t>.</w:t>
      </w:r>
      <w:r w:rsidR="0028281C">
        <w:t xml:space="preserve"> </w:t>
      </w:r>
    </w:p>
    <w:p w14:paraId="4515A8D8" w14:textId="12B8DA31" w:rsidR="00857260" w:rsidRPr="001B65E8" w:rsidRDefault="00E970BD" w:rsidP="00AC70FE">
      <w:r>
        <w:t>Other g</w:t>
      </w:r>
      <w:r w:rsidR="00B4525C">
        <w:t>enera</w:t>
      </w:r>
      <w:r w:rsidR="0028281C">
        <w:t xml:space="preserve"> that </w:t>
      </w:r>
      <w:r w:rsidR="001C1DA0">
        <w:t>showed high sensitivity but had studies</w:t>
      </w:r>
      <w:r w:rsidR="0028281C">
        <w:t xml:space="preserve"> </w:t>
      </w:r>
      <w:r w:rsidR="001C1DA0">
        <w:t>rejected for various reasons</w:t>
      </w:r>
      <w:r w:rsidR="008B69B4">
        <w:t xml:space="preserve"> (see Table 2)</w:t>
      </w:r>
      <w:r w:rsidR="001C1DA0">
        <w:t xml:space="preserve"> included</w:t>
      </w:r>
      <w:r w:rsidR="007A4B14">
        <w:t xml:space="preserve"> </w:t>
      </w:r>
      <w:proofErr w:type="spellStart"/>
      <w:r w:rsidR="002A2389" w:rsidRPr="001C1DA0">
        <w:rPr>
          <w:i/>
          <w:iCs/>
        </w:rPr>
        <w:t>Lim</w:t>
      </w:r>
      <w:r w:rsidR="00BF4269" w:rsidRPr="001C1DA0">
        <w:rPr>
          <w:i/>
          <w:iCs/>
        </w:rPr>
        <w:t>nephilidae</w:t>
      </w:r>
      <w:proofErr w:type="spellEnd"/>
      <w:r w:rsidR="00BF4269" w:rsidRPr="001C1DA0">
        <w:rPr>
          <w:i/>
          <w:iCs/>
        </w:rPr>
        <w:t xml:space="preserve"> sp. </w:t>
      </w:r>
      <w:r w:rsidR="001C1DA0">
        <w:t xml:space="preserve">(caddisfly, </w:t>
      </w:r>
      <w:r w:rsidR="00CD7BC3">
        <w:t>E</w:t>
      </w:r>
      <w:r w:rsidR="001C1DA0">
        <w:t xml:space="preserve">C50 = </w:t>
      </w:r>
      <w:r w:rsidR="00A90EF2">
        <w:t xml:space="preserve">1.79 </w:t>
      </w:r>
      <w:r w:rsidR="00A65D84">
        <w:rPr>
          <w:rFonts w:cstheme="minorHAnsi"/>
        </w:rPr>
        <w:t>µ</w:t>
      </w:r>
      <w:r w:rsidR="00A65D84">
        <w:t>g L</w:t>
      </w:r>
      <w:r w:rsidR="00A65D84" w:rsidRPr="00D75195">
        <w:rPr>
          <w:vertAlign w:val="superscript"/>
        </w:rPr>
        <w:t>-1</w:t>
      </w:r>
      <w:r w:rsidR="00A90EF2">
        <w:t xml:space="preserve">), </w:t>
      </w:r>
      <w:proofErr w:type="spellStart"/>
      <w:r w:rsidR="00711A76">
        <w:rPr>
          <w:i/>
          <w:iCs/>
        </w:rPr>
        <w:t>Cypridopsis</w:t>
      </w:r>
      <w:proofErr w:type="spellEnd"/>
      <w:r w:rsidR="00711A76">
        <w:rPr>
          <w:i/>
          <w:iCs/>
        </w:rPr>
        <w:t xml:space="preserve"> </w:t>
      </w:r>
      <w:proofErr w:type="spellStart"/>
      <w:r w:rsidR="00711A76">
        <w:rPr>
          <w:i/>
          <w:iCs/>
        </w:rPr>
        <w:t>vidua</w:t>
      </w:r>
      <w:proofErr w:type="spellEnd"/>
      <w:r w:rsidR="00711A76">
        <w:t xml:space="preserve"> (ostracod, </w:t>
      </w:r>
      <w:r w:rsidR="00CD7BC3">
        <w:t>E</w:t>
      </w:r>
      <w:r w:rsidR="00711A76">
        <w:t xml:space="preserve">C50 = 3 </w:t>
      </w:r>
      <w:r w:rsidR="00A65D84">
        <w:rPr>
          <w:rFonts w:cstheme="minorHAnsi"/>
        </w:rPr>
        <w:t>µ</w:t>
      </w:r>
      <w:r w:rsidR="00A65D84">
        <w:t>g L</w:t>
      </w:r>
      <w:r w:rsidR="00A65D84" w:rsidRPr="00D75195">
        <w:rPr>
          <w:vertAlign w:val="superscript"/>
        </w:rPr>
        <w:t>-1</w:t>
      </w:r>
      <w:r w:rsidR="00711A76">
        <w:t>)</w:t>
      </w:r>
      <w:r w:rsidR="007A09E8">
        <w:t xml:space="preserve">, </w:t>
      </w:r>
      <w:proofErr w:type="spellStart"/>
      <w:r w:rsidR="00A25957">
        <w:rPr>
          <w:i/>
          <w:iCs/>
        </w:rPr>
        <w:t>Corixidae</w:t>
      </w:r>
      <w:proofErr w:type="spellEnd"/>
      <w:r w:rsidR="00A25957">
        <w:rPr>
          <w:i/>
          <w:iCs/>
        </w:rPr>
        <w:t xml:space="preserve"> sp. </w:t>
      </w:r>
      <w:r w:rsidR="00A25957">
        <w:t>(water boatmen,</w:t>
      </w:r>
      <w:r w:rsidR="00A25957" w:rsidRPr="001C1DA0">
        <w:t xml:space="preserve"> </w:t>
      </w:r>
      <w:r w:rsidR="00A25957">
        <w:t>E</w:t>
      </w:r>
      <w:r w:rsidR="00A25957" w:rsidRPr="001C1DA0">
        <w:t xml:space="preserve">C50 = 3.6 </w:t>
      </w:r>
      <w:r w:rsidR="00A65D84">
        <w:rPr>
          <w:rFonts w:cstheme="minorHAnsi"/>
        </w:rPr>
        <w:t>µ</w:t>
      </w:r>
      <w:r w:rsidR="00A65D84">
        <w:t>g L</w:t>
      </w:r>
      <w:r w:rsidR="00A65D84" w:rsidRPr="00D75195">
        <w:rPr>
          <w:vertAlign w:val="superscript"/>
        </w:rPr>
        <w:t>-1</w:t>
      </w:r>
      <w:r w:rsidR="00A25957" w:rsidRPr="001C1DA0">
        <w:t>)</w:t>
      </w:r>
      <w:r w:rsidR="00A25957">
        <w:rPr>
          <w:i/>
          <w:iCs/>
        </w:rPr>
        <w:t>,</w:t>
      </w:r>
      <w:r w:rsidR="00A25957" w:rsidRPr="001C1DA0">
        <w:rPr>
          <w:i/>
          <w:iCs/>
        </w:rPr>
        <w:t xml:space="preserve"> </w:t>
      </w:r>
      <w:proofErr w:type="spellStart"/>
      <w:r w:rsidR="007A09E8">
        <w:rPr>
          <w:i/>
          <w:iCs/>
        </w:rPr>
        <w:t>Simulium</w:t>
      </w:r>
      <w:proofErr w:type="spellEnd"/>
      <w:r w:rsidR="007A09E8">
        <w:rPr>
          <w:i/>
          <w:iCs/>
        </w:rPr>
        <w:t xml:space="preserve"> </w:t>
      </w:r>
      <w:proofErr w:type="spellStart"/>
      <w:r w:rsidR="007A09E8">
        <w:rPr>
          <w:i/>
          <w:iCs/>
        </w:rPr>
        <w:t>latigonium</w:t>
      </w:r>
      <w:proofErr w:type="spellEnd"/>
      <w:r w:rsidR="007A09E8">
        <w:t xml:space="preserve"> (midge, LC50 = 3.73 </w:t>
      </w:r>
      <w:r w:rsidR="00A65D84">
        <w:rPr>
          <w:rFonts w:cstheme="minorHAnsi"/>
        </w:rPr>
        <w:t>µ</w:t>
      </w:r>
      <w:r w:rsidR="00A65D84">
        <w:t>g L</w:t>
      </w:r>
      <w:r w:rsidR="00A65D84" w:rsidRPr="00D75195">
        <w:rPr>
          <w:vertAlign w:val="superscript"/>
        </w:rPr>
        <w:t>-1</w:t>
      </w:r>
      <w:r w:rsidR="007A09E8">
        <w:t xml:space="preserve">), </w:t>
      </w:r>
      <w:r w:rsidR="00857260">
        <w:t xml:space="preserve">and </w:t>
      </w:r>
      <w:proofErr w:type="spellStart"/>
      <w:r w:rsidR="00857260" w:rsidRPr="00857260">
        <w:rPr>
          <w:i/>
          <w:iCs/>
        </w:rPr>
        <w:t>Cheumatpsyche</w:t>
      </w:r>
      <w:proofErr w:type="spellEnd"/>
      <w:r w:rsidR="00857260" w:rsidRPr="00857260">
        <w:rPr>
          <w:i/>
          <w:iCs/>
        </w:rPr>
        <w:t xml:space="preserve"> </w:t>
      </w:r>
      <w:proofErr w:type="spellStart"/>
      <w:r w:rsidR="00857260" w:rsidRPr="00857260">
        <w:rPr>
          <w:i/>
          <w:iCs/>
        </w:rPr>
        <w:t>brevilineata</w:t>
      </w:r>
      <w:proofErr w:type="spellEnd"/>
      <w:r w:rsidR="00857260">
        <w:t xml:space="preserve"> (caddisfly, </w:t>
      </w:r>
      <w:r w:rsidR="00CD7BC3">
        <w:t>E</w:t>
      </w:r>
      <w:r w:rsidR="00857260">
        <w:t xml:space="preserve">C50 = 4.22 </w:t>
      </w:r>
      <w:r w:rsidR="00A65D84">
        <w:rPr>
          <w:rFonts w:cstheme="minorHAnsi"/>
        </w:rPr>
        <w:t>µ</w:t>
      </w:r>
      <w:r w:rsidR="00A65D84">
        <w:t>g L</w:t>
      </w:r>
      <w:r w:rsidR="00A65D84" w:rsidRPr="00D75195">
        <w:rPr>
          <w:vertAlign w:val="superscript"/>
        </w:rPr>
        <w:t>-1</w:t>
      </w:r>
      <w:r w:rsidR="00D00ECA">
        <w:t>)</w:t>
      </w:r>
      <w:r w:rsidR="00AE0556">
        <w:t xml:space="preserve"> </w:t>
      </w:r>
      <w:r w:rsidR="00AE0556">
        <w:fldChar w:fldCharType="begin" w:fldLock="1"/>
      </w:r>
      <w:r w:rsidR="005B21B8">
        <w:instrText>ADDIN CSL_CITATION {"citationItems":[{"id":"ITEM-1","itemData":{"DOI":"10.1016/j.scitotenv.2021.147167","ISSN":"18791026","PMID":"34088063","abstract":"This study aimed to investigate the effect of imidacloprid on structural (invertebrates and primary producers) and functional (organic matter decomposition and physicochemical parameters) characteristics of tropical freshwaters using acute single species and mesocosm studies performed in Ethiopia. The recovery of affected endpoints was also studied by using a mesocosm study period of 21 weeks. Our acute toxicity test showed that Cloeon dipterum (96-h EC50 = 1.5 μg/L) and Caenis horaria (96-h EC50 = 1.9 μg/L) are relatively sensitive arthropods to imidacloprid. The mesocosm experiment evaluated the effects of four applications of imidacloprid with a weekly interval and the results showed that the macroinvertebrate and zooplankton community structure changed significantly due to imidacloprid contamination in mesocosms repeatedly dosed with ≥0.1 and ≥ 0.01 μg/L, respectively (time weighted average concentrations of 112 days (TWA112d) of ≥0.124 and ≥ ≈0.02 μg/L, respectively). The largest responses were found for C. dipterum, C. horaria, Brachionus sp. and Filinia sp. Chlorophyll-a concentrations of periphyton and phytoplankton significantly increased in the ≥0.1 μg/L treatments levels which are indirect effects as a result of the release of grazing pressure. A significant, but quantitatively small, decrease of organic matter decomposition rate was observed in mesocosms treated with repeated doses of 1 μg/L (TWA112d of 2.09 μg/L). No recovery was observed for the macroinvertebrates community during the study period of 21 weeks, but zooplankton recovered after 9 weeks. We observed spatio-temporal related toxicity differences between tropical and temperate aquatic taxa, with tropical taxa generally being more sensitive. This suggests that use of temperate toxicity data for the risk assessment of imidacloprid in tropical region is not recommended.","author":[{"dropping-particle":"","family":"Merga","given":"Lemessa B.","non-dropping-particle":"","parse-names":false,"suffix":""},{"dropping-particle":"","family":"Brink","given":"Paul J.","non-dropping-particle":"Van den","parse-names":false,"suffix":""}],"container-title":"Science of the Total Environment","id":"ITEM-1","issued":{"date-parts":[["2021"]]},"note":"Reject - Formulation IMI not technical grade. Honorable mention\n\nReservations are use of an &amp;quot;imidacloprid formulatiion&amp;quot;. Not sure what that means, however, their results are comparable to other studies for these species. \n\nCorixidae control results not great, but after review of supplemental data, I feel comfortable using this result. No other data available for this class of organism. \n\nOrganisms were not fed during experiment.","page":"147167","publisher":"The Authors","title":"Ecological effects of imidacloprid on a tropical freshwater ecosystem and subsequent recovery dynamics","type":"article-journal","volume":"784"},"uris":["http://www.mendeley.com/documents/?uuid=a1449b85-3a76-4f09-a05b-96df7034d562"]},{"id":"ITEM-2","itemData":{"DOI":"10.1002/etc.2201","ISSN":"07307268","PMID":"23444274","abstract":"The present study evaluated the acute and chronic toxicity of imidacloprid to a range of freshwater arthropods. Mayfly and caddisfly species were most sensitive to short-term imidacloprid exposures (10 tests), whereas the mayflies showed by far the most sensitive response to long-term exposure of all seven arthropod species tested (28-d EC10 values of approximately 0.03μg/L). The results indicated a high aquatic risk of chronic exposure of imidacloprid to mayflies. © 2013 SETAC.","author":[{"dropping-particle":"","family":"Roessink","given":"Ivo","non-dropping-particle":"","parse-names":false,"suffix":""},{"dropping-particle":"","family":"Merga","given":"Lemessa B.","non-dropping-particle":"","parse-names":false,"suffix":""},{"dropping-particle":"","family":"Zweers","given":"Hans J.","non-dropping-particle":"","parse-names":false,"suffix":""},{"dropping-particle":"","family":"Brink","given":"Paul J.","non-dropping-particle":"Van den","parse-names":false,"suffix":""}],"container-title":"Environmental Toxicology and Chemistry","id":"ITEM-2","issue":"5","issued":{"date-parts":[["2013"]]},"note":"Reject - honorable mention - is use of pesticide, not pure IMI. \n\nCan use data for three species listed in Table 3 96-hr EC50 (mortality + immobilization)\nNotonecta spp. 18.2 ug/L\nLimnephilidae 1.79 ug/L\nCloeon dipterum 1.02 ug/L\n\n28-day chronic EC50 (mortality and immobilization) see table 4\nCloeon dipterum 0.123 ug/L\n\nACR is 336 for Cloeon dipterum","page":"1096-1100","title":"The neonicotinoid imidacloprid shows high chronic toxicity to mayfly nymphs","type":"article-journal","volume":"32"},"uris":["http://www.mendeley.com/documents/?uuid=2f5639c5-f26e-4957-9d94-269136cef002"]},{"id":"ITEM-3","itemData":{"DOI":"10.1007/s00244-007-9104-3","ISSN":"00904341","PMID":"18180861","abstract":"Downstream drift of lotic macroinvertebrates induced by toxicants is a well-known ecologically relevant phenomenon. However, little is known about which toxicants can initiate drift, and potential drift-initiating effects of contaminants are not taken into account in ecotoxicological risk assessment. The aim of the present study was to evaluate potential drift-initiating action of 11 pesticides having different target groups and modes of action. Sublethal concentrations of the pesticides were tested in stream microcosms with amphipods (Gammarus pulex), blackfly larvae (Simulium latigonium), and mayfly larvae (Baetis rhodani). The results show that 6 out of 11 pesticides tested can initiate drift of macroinvertebrates at sublethal concentrations 7-22 times lower than acute LC50s (thiacloprid, imidacloprid, acetamiprid, iprodione, fenvalerate, and indoxacarb). All the toxicants that exhibited drift-initiating action are neurotoxic insecticides belonging to the groups of pyrethroids and neonicotinoids except the fungicide iprodione. The pesticides that did not initiate drift are fungicides (cyprodinil, prochloraz, and azoxystrobin), a juvenile-hormone mimic (fenoxycarb), and a pyrazole insecticide (tebufenpyrad) affecting cell energy production. Remarkably, for all the drift-initiating toxicants, drift of the tested animals was detected within 2 h after contamination. This shows that macroinvertebrate drift can be induced even by short-term pulse exposures to neurotoxic insecticides, at field-relevant concentrations. The present results imply that the possibility of drift-initiating effects of pesticides should be considered within the risk assessment framework for pesticides, as all neurotoxic substances that were investigated did initiate drift at sublethal concentrations. © 2008 Springer Science+Business Media, LLC.","author":[{"dropping-particle":"","family":"Beketov","given":"Mikhail A.","non-dropping-particle":"","parse-names":false,"suffix":""},{"dropping-particle":"","family":"Liess","given":"Matthias","non-dropping-particle":"","parse-names":false,"suffix":""}],"container-title":"Archives of Environmental Contamination and Toxicology","id":"ITEM-3","issue":"2","issued":{"date-parts":[["2008"]]},"note":"Reject with HONORABLE MENTION.\n\nReservations - see pink notes.\n\nRequested addtional data from corresponding author on 9/15 (no response). Sent reminder inquiry 10/13. \n\nCan't use Baetis rhodani data - mayfly.. control was less than 90% survival.\n\nAuthor reply:\n1. Age or life-stage of  \n- Gammarus pulex: Adult, 6-8 month old \n- Simulium latigonium: later larval stages, rather shortly before pupation (5-6).  \n- Baetis rhodani: later larval stages. \n  \n2. Water quality: \nM7 medium (OECD 1997). The main physicochemical parameters of the M7 medium were: pH 7.4, conductivity 600 lS/cm, carbonate hardness approximately 180 mg CaCO3/L.","page":"247-253","title":"Potential of 11 pesticides to initiate downstream drift of stream macroinvertebrates","type":"article-journal","volume":"55"},"uris":["http://www.mendeley.com/documents/?uuid=d98ef0a8-f366-43f7-a6fb-83d4d9dbb369"]},{"id":"ITEM-4","itemData":{"DOI":"10.1016/j.aquatox.2006.03.009","ISSN":"0166445X","PMID":"16690142","abstract":"The acute toxicity of imidacloprid, a neonicotinoid insecticide, and zinc pyrithione (Zpt), a biocide used in anti-dandruff shampoos and protective antifouling paints, to three species of ostracods and two waterfleas, including Daphnia magna, was determined and compared under light and dark conditions. Under normal laboratory conditions, UV light had no significant influence on the outcome of toxicity bioassays, although in the case of imidacloprid both EC50 and LC50 calculated values were twice as high under the light as in the dark. No influence of UV light was observed on bioassays conducted with Zpt, in spite of the fast aqueous photolysis exhibited by this compound. Imidacloprid 48-h LC50 for cladocerans (65-133 mg/L) were two orders of magnitude higher than for ostracods (301-715 μg/L); values of EC50 for cladocerans and ostracods were 2-6 mg/L and 3-16 μg/L, respectively. Toxicity of Zpt to both ostracod and cladoceran species appears to be similar, with 48-h LC50 in the range 137-524 and 75-197 μg/L for ostracods and cladocerans, respectively, and similar values for EC50s. The mortality endpoint (LC50), however, is not a reliable predictor of the effects of imidacloprid under field situations (e.g. rice paddies), because the paralysis effect induced by this insecticide takes place at much lower concentrations than those required to cause the death of the animals: regardless of the taxa, differences as large as 100- or 600-fold were observed between the EC50 and LC50 for the same exposures. As a consequence, immobilization tests and EC50 values are recommended for this class of compounds, while caution should be exercised in environmental risk assessments of this and possibly other related neonicotinoid insecticides with similar activity. © 2006 Elsevier B.V. All rights reserved.","author":[{"dropping-particle":"","family":"Sánchez-Bayo","given":"Francisco","non-dropping-particle":"","parse-names":false,"suffix":""},{"dropping-particle":"","family":"Goka","given":"Kouichi","non-dropping-particle":"","parse-names":false,"suffix":""}],"container-title":"Aquatic Toxicology","id":"ITEM-4","issue":"3","issued":{"date-parts":[["2006"]]},"note":"Reject - Daphnid older than 24 months\n\n48-hr ostracod data\nCypridopsis vidua has EC50 = 3 ug/L !!\nChydorus sphaericus is 832 ug/L - control morality &amp;gt;10% Don't use.\n\nNot sure if I can use ostracod endpoint since it was not a 96-hr acute test.","page":"262-271","title":"Influence of light in acute toxicity bioassays of imidacloprid and zinc pyrithione to zooplankton crustaceans","type":"article-journal","volume":"78"},"uris":["http://www.mendeley.com/documents/?uuid=2d46c0f8-0462-4e4f-93ee-763dfb2a86aa"]},{"id":"ITEM-5","itemData":{"DOI":"10.1584/jpestics.G08-26","ISSN":"1348589X","abstract":"A new insecticide bioassay for assessing the effects of acute insecticide toxicity on lotic insects was developed. It uses first-instar larvae of a net-spinning caddisfly, Cheumatopsyche brevilineata. The test method was suitable for 30 insecticides with a range of action mechanisms. Caddisfly larvae were much more sensitive than daphnids to neonicotinoids. The new bioassay is thus a useful and reliable method for assessing the impact of chemicals such as neonicotinoids, whose risks for lotic insects might be underestimated by the daphnid bioassay. © Pesticide Science Society of Japan.","author":[{"dropping-particle":"","family":"Yokoyama","given":"Atsushi","non-dropping-particle":"","parse-names":false,"suffix":""},{"dropping-particle":"","family":"Ohtsu","given":"Kazuhisa","non-dropping-particle":"","parse-names":false,"suffix":""},{"dropping-particle":"","family":"Iwafune","given":"Takashi","non-dropping-particle":"","parse-names":false,"suffix":""},{"dropping-particle":"","family":"Nagai","given":"Takashi","non-dropping-particle":"","parse-names":false,"suffix":""},{"dropping-particle":"","family":"Ishihara","given":"Satoru","non-dropping-particle":"","parse-names":false,"suffix":""},{"dropping-particle":"","family":"Kobara","given":"Yuso","non-dropping-particle":"","parse-names":false,"suffix":""},{"dropping-particle":"","family":"Horio","given":"Takeshi","non-dropping-particle":"","parse-names":false,"suffix":""},{"dropping-particle":"","family":"Endo","given":"Shozo","non-dropping-particle":"","parse-names":false,"suffix":""}],"container-title":"Journal of Pesticide Science","id":"ITEM-5","issue":"1","issued":{"date-parts":[["2009"]]},"note":"Reject with Honorable mention - Caddisfly data, genus resident but species is not. \n\nThis is a novel, new methodology. It assesses toxicity to a sensitive species that does not have a lot of other studies available.","page":"13-20","title":"A useful new insecticide bioassay using first-instar larvae of a net-spinning caddisfly, Cheumatopsyche brevilineata (Trichoptera: Hydropsychidae)","type":"article-journal","volume":"34"},"uris":["http://www.mendeley.com/documents/?uuid=81d28e74-9d2b-46e5-9a63-c4401fd02053"]}],"mendeley":{"formattedCitation":"(Beketov and Liess, 2008; Merga and Van den Brink, 2021; Roessink et al., 2013; Sánchez-Bayo and Goka, 2006; Yokoyama et al., 2009)","plainTextFormattedCitation":"(Beketov and Liess, 2008; Merga and Van den Brink, 2021; Roessink et al., 2013; Sánchez-Bayo and Goka, 2006; Yokoyama et al., 2009)","previouslyFormattedCitation":"(Beketov and Liess, 2008; Merga and Van den Brink, 2021; Roessink et al., 2013; Sánchez-Bayo and Goka, 2006; Yokoyama et al., 2009)"},"properties":{"noteIndex":0},"schema":"https://github.com/citation-style-language/schema/raw/master/csl-citation.json"}</w:instrText>
      </w:r>
      <w:r w:rsidR="00AE0556">
        <w:fldChar w:fldCharType="separate"/>
      </w:r>
      <w:r w:rsidR="00D00ECA" w:rsidRPr="00D00ECA">
        <w:rPr>
          <w:noProof/>
        </w:rPr>
        <w:t>(Beketov and Liess, 2008; Merga and Van den Brink, 2021; Roessink et al., 2013; Sánchez-Bayo and Goka, 2006; Yokoyama et al., 2009)</w:t>
      </w:r>
      <w:r w:rsidR="00AE0556">
        <w:fldChar w:fldCharType="end"/>
      </w:r>
      <w:r w:rsidR="00857260">
        <w:t xml:space="preserve">. </w:t>
      </w:r>
      <w:r w:rsidR="00434C4E">
        <w:t>The sensit</w:t>
      </w:r>
      <w:r w:rsidR="001B65E8">
        <w:t xml:space="preserve">ivity of ostracods </w:t>
      </w:r>
      <w:r w:rsidR="009B2D58">
        <w:t>was</w:t>
      </w:r>
      <w:r w:rsidR="001B65E8">
        <w:t xml:space="preserve"> further confirmed by a</w:t>
      </w:r>
      <w:r w:rsidR="001B5618">
        <w:t>nother rejected study with a</w:t>
      </w:r>
      <w:r w:rsidR="001B65E8">
        <w:t xml:space="preserve"> reported </w:t>
      </w:r>
      <w:r w:rsidR="00B05B0A">
        <w:t>6-day</w:t>
      </w:r>
      <w:r w:rsidR="001F0288">
        <w:t xml:space="preserve"> </w:t>
      </w:r>
      <w:r w:rsidR="001B65E8">
        <w:t xml:space="preserve">EC50 </w:t>
      </w:r>
      <w:r w:rsidR="009B2D58">
        <w:t xml:space="preserve">of 10 </w:t>
      </w:r>
      <w:r w:rsidR="00A75005">
        <w:rPr>
          <w:rFonts w:cstheme="minorHAnsi"/>
        </w:rPr>
        <w:t>µ</w:t>
      </w:r>
      <w:r w:rsidR="00A75005">
        <w:t>g L</w:t>
      </w:r>
      <w:r w:rsidR="00A75005" w:rsidRPr="00D75195">
        <w:rPr>
          <w:vertAlign w:val="superscript"/>
        </w:rPr>
        <w:t>-1</w:t>
      </w:r>
      <w:r w:rsidR="00A75005">
        <w:t xml:space="preserve"> f</w:t>
      </w:r>
      <w:r w:rsidR="001B65E8">
        <w:t xml:space="preserve">or </w:t>
      </w:r>
      <w:proofErr w:type="spellStart"/>
      <w:r w:rsidR="001B65E8">
        <w:rPr>
          <w:i/>
          <w:iCs/>
        </w:rPr>
        <w:t>Heterocypris</w:t>
      </w:r>
      <w:proofErr w:type="spellEnd"/>
      <w:r w:rsidR="001B65E8">
        <w:rPr>
          <w:i/>
          <w:iCs/>
        </w:rPr>
        <w:t xml:space="preserve"> </w:t>
      </w:r>
      <w:proofErr w:type="spellStart"/>
      <w:r w:rsidR="001B65E8">
        <w:rPr>
          <w:i/>
          <w:iCs/>
        </w:rPr>
        <w:t>incongruens</w:t>
      </w:r>
      <w:proofErr w:type="spellEnd"/>
      <w:r w:rsidR="001B65E8">
        <w:rPr>
          <w:i/>
          <w:iCs/>
        </w:rPr>
        <w:t xml:space="preserve"> </w:t>
      </w:r>
      <w:r w:rsidR="00B05B0A">
        <w:t xml:space="preserve">growth as reported </w:t>
      </w:r>
      <w:r w:rsidR="00D00ECA">
        <w:t xml:space="preserve">in Daam et al. 2013. </w:t>
      </w:r>
    </w:p>
    <w:p w14:paraId="57E794A9" w14:textId="3890D305" w:rsidR="0090720D" w:rsidRDefault="00A91E22" w:rsidP="0090720D">
      <w:r>
        <w:t xml:space="preserve">An adequate warm-water fish study was needed to calculate a tier I final acute value (FAV) as opposed to a tier II. </w:t>
      </w:r>
      <w:r w:rsidR="006207BD">
        <w:t xml:space="preserve">A few fish studies were </w:t>
      </w:r>
      <w:r>
        <w:t>rejected which</w:t>
      </w:r>
      <w:r w:rsidR="00393244">
        <w:t xml:space="preserve"> suggest fish are </w:t>
      </w:r>
      <w:r w:rsidR="00455069">
        <w:t>highly tolerant of imidacloprid</w:t>
      </w:r>
      <w:r>
        <w:t>. Represented s</w:t>
      </w:r>
      <w:r w:rsidR="006C44A1">
        <w:t>pecies</w:t>
      </w:r>
      <w:r w:rsidR="00455069">
        <w:t xml:space="preserve"> included </w:t>
      </w:r>
      <w:r w:rsidR="00E32FB5" w:rsidRPr="00A91E22">
        <w:rPr>
          <w:i/>
          <w:iCs/>
        </w:rPr>
        <w:t xml:space="preserve">Cyprinus </w:t>
      </w:r>
      <w:proofErr w:type="spellStart"/>
      <w:r w:rsidR="00E32FB5" w:rsidRPr="00A91E22">
        <w:rPr>
          <w:i/>
          <w:iCs/>
        </w:rPr>
        <w:t>carpio</w:t>
      </w:r>
      <w:proofErr w:type="spellEnd"/>
      <w:r w:rsidR="00E32FB5">
        <w:t xml:space="preserve"> (common carp), </w:t>
      </w:r>
      <w:r w:rsidR="002862E9" w:rsidRPr="002862E9">
        <w:rPr>
          <w:i/>
          <w:iCs/>
        </w:rPr>
        <w:t xml:space="preserve">Acipenser </w:t>
      </w:r>
      <w:proofErr w:type="spellStart"/>
      <w:r w:rsidR="002862E9" w:rsidRPr="002862E9">
        <w:rPr>
          <w:i/>
          <w:iCs/>
        </w:rPr>
        <w:t>transmontanus</w:t>
      </w:r>
      <w:proofErr w:type="spellEnd"/>
      <w:r w:rsidR="002862E9" w:rsidRPr="002862E9">
        <w:rPr>
          <w:i/>
          <w:iCs/>
        </w:rPr>
        <w:t xml:space="preserve"> </w:t>
      </w:r>
      <w:r w:rsidR="0011091B">
        <w:t>(white sturgeon)</w:t>
      </w:r>
      <w:r w:rsidR="00F942AD">
        <w:t xml:space="preserve">, </w:t>
      </w:r>
      <w:r w:rsidR="00885C77">
        <w:rPr>
          <w:i/>
          <w:iCs/>
        </w:rPr>
        <w:t xml:space="preserve">Danio rerio </w:t>
      </w:r>
      <w:r w:rsidR="00885C77">
        <w:t xml:space="preserve">(zebrafish), </w:t>
      </w:r>
      <w:r w:rsidR="00F942AD">
        <w:t xml:space="preserve">and </w:t>
      </w:r>
      <w:proofErr w:type="spellStart"/>
      <w:r w:rsidR="00C37A16">
        <w:rPr>
          <w:i/>
          <w:iCs/>
        </w:rPr>
        <w:t>Misgurnus</w:t>
      </w:r>
      <w:proofErr w:type="spellEnd"/>
      <w:r w:rsidR="00C37A16">
        <w:rPr>
          <w:i/>
          <w:iCs/>
        </w:rPr>
        <w:t xml:space="preserve"> </w:t>
      </w:r>
      <w:proofErr w:type="spellStart"/>
      <w:r w:rsidR="00C37A16">
        <w:rPr>
          <w:i/>
          <w:iCs/>
        </w:rPr>
        <w:t>anguillicaudatus</w:t>
      </w:r>
      <w:proofErr w:type="spellEnd"/>
      <w:r w:rsidR="00C37A16">
        <w:t xml:space="preserve"> (pond loach) </w:t>
      </w:r>
      <w:r w:rsidR="005B21B8">
        <w:fldChar w:fldCharType="begin" w:fldLock="1"/>
      </w:r>
      <w:r w:rsidR="00945050">
        <w:instrText>ADDIN CSL_CITATION {"citationItems":[{"id":"ITEM-1","itemData":{"DOI":"10.1002/etc.3090","ISSN":"15528618","PMID":"26351255","abstract":"The activities of 2 species of burrowing shrimp have a negative impact on the growth and survival of oysters reared on intertidal mudflats in Willapa Bay and Grays Harbor, Washington (USA). To maintain viable harvests, oyster growers proposed the application of the neonicotinoid insecticide imidacloprid onto harvested beds for the control of burrowing shrimp. In test applications, water column concentrations of imidacloprid were relatively low and dissipated rapidly. The foraging activities of the green sturgeon (listed in the US Endangered Species Act) could result in exposure to higher, more sustained imidacloprid concentrations within sediment porewater and from the consumption of contaminated shrimp. Controlled experiments were conducted using surrogate white sturgeon to determine acute and chronic effect concentrations, to examine overt effects at more environmentally realistic concentrations and durations of exposure, and to assess chemical depuration. The 96-h median lethal concentration was 124mgL-1, and the predicted 35-d no-observed-adverse-effect concentration was 0.7mgL-1. No overt effects were observed following environmentally relevant exposures. Imidacloprid half-life in plasma was greater than 32h. Measured concentrations of imidacloprid in porewater were significantly lower than the derived acute and chronic effect concentrations for white sturgeon. Exposure risk quotients were calculated using the effect concentrations and estimated environmental exposure. The resulting values were considerably below the level of concern for direct effects from either acute or chronic exposure to an endangered species.","author":[{"dropping-particle":"","family":"Frew","given":"John A.","non-dropping-particle":"","parse-names":false,"suffix":""},{"dropping-particle":"","family":"Grue","given":"Christian E.","non-dropping-particle":"","parse-names":false,"suffix":""}],"container-title":"Environmental Toxicology and Chemistry","id":"ITEM-1","issue":"11","issued":{"date-parts":[["2015"]]},"note":"REJECT - non resident species. Honorable mention b/c likely similar to Lake sturgeon","page":"2542-2548","title":"Assessing the risk to green sturgeon from application of imidacloprid to control burrowing shrimp in Willapa Bay, Washington-Part II: Controlled exposure studies","type":"article-journal","volume":"34"},"uris":["http://www.mendeley.com/documents/?uuid=7ca01fd5-f897-49b0-8886-4acf22a2e637"]},{"id":"ITEM-2","itemData":{"DOI":"10.1007/s13530-019-0410-8","ISSN":"22337784","abstract":"Objective: The objective of the present study was to elucidate the toxic effects of imidacloprid on the embryonic and larval stages of common carp (Cyprinus carpio). Methods: Each of the 1000 fertilized eggs and larvae were exposed to six different concentrations (0, 10, 30, 100, 300, and 1000 µg/L) of imidacloprid in 30 plastic bowls. Each of the control and treatment was maintained in five replicates. Results: Results showed that hatching rate of fertilized eggs and number of dead embryos and larvae significantly decreased with increasing imidacloprid concentrations. The 24-, 48-, and 72-h LC50 value of imidacloprid for common carp embryos were estimated to be 12,708.8, 611, and 274.9 µg/L, respectively and the 24-, 48-, 72-, and 96-h LC50 of imidacloprid for common carp larvae were estimated to be 93719, 21691, 2352.7, and 1292.6 µg/L, respectively. Furthermore, results showed several malformations of common carp embryos and larvae induced by the toxicity of imidacloprid when exposed to 300 and 1000 µg/L. Conclusion: The results suggest that the minimum concentration of 10 µg/L imidacloprid in the aquatic environment may have adverse effects on the embryonic and larval stages of common carp.","author":[{"dropping-particle":"","family":"Islam","given":"Md A.","non-dropping-particle":"","parse-names":false,"suffix":""},{"dropping-particle":"","family":"Hossen","given":"Md S.","non-dropping-particle":"","parse-names":false,"suffix":""},{"dropping-particle":"","family":"Sumon","given":"Kizar A.","non-dropping-particle":"","parse-names":false,"suffix":""},{"dropping-particle":"","family":"Rahman","given":"Mohammad M.","non-dropping-particle":"","parse-names":false,"suffix":""}],"container-title":"Toxicology and Environmental Health Sciences","id":"ITEM-2","issue":"3","issued":{"date-parts":[["2019"]]},"note":"Reject - Premier not technical grade. Honorable mention\n\nIt's the only carp study but not well done. Doesn't state if concentrations are nominal or measured. Have to use 72-hr larval data because it's more sensitive than 96-hr data. May need to drop it for 72 hr reason at later date. \n\nThis is interesting because embryonic stage is most sensitive, but only has 72 hr data. 96 hr data for larval stage is much higher. I think it makes sense to use embryo stage at 72 hr = 274.9 ug/L and even this would be under-conservative","page":"244-251","title":"Acute Toxicity of Imidacloprid on the Developmental Stages of Common Carp Cyprinus carpio","type":"article-journal","volume":"11"},"uris":["http://www.mendeley.com/documents/?uuid=89a13657-f60e-42c6-8382-726211099abb"]},{"id":"ITEM-3","itemData":{"DOI":"10.1016/j.etap.2016.05.030","ISSN":"18727077","PMID":"27299658","abstract":"The present investigation was aimed to assess the effects of imidacloprid on the survival, genetic materials, hepatic transaminase activity and histopathology of loach (Misgurnus anguillicaudatus). The values of LC50 (24, 48, 72 and 96 h) of imidacloprid were 167.7, 158.6, 147.9 and 145.8 mg/L, respectively, and the safety concentration was 42.55 mg/L. The erythrocyte micronuclei assays and the comet assay results showed that imidacloprid had genetic toxic effect on the loach erythrocytes. To assess the physiological and biochemical damage caused by imidacloprid, the activities of hepatic glutamic-pyruvic transaminase (GPT) and glutamic-oxalacetic transaminase (GOT) were measured and their values declined in treatment groups. Histological examination of testis revealed that imidacloprid treatment resulted in disorganized lobules and cysts structures. In the present work, we also investigated the joint toxicity of pesticides commonly used in paddy fields (imidacloprid and lambda-cyhalothrin) on M. anguillicaudatus, and confirmed that a synergistic effect existing in the binary mixtures. The results of our study provide relevant and comparable toxicity information that are useful for safety application of pesticides.","author":[{"dropping-particle":"","family":"Xia","given":"Xiaohua","non-dropping-particle":"","parse-names":false,"suffix":""},{"dropping-particle":"","family":"Xia","given":"Xiaopei","non-dropping-particle":"","parse-names":false,"suffix":""},{"dropping-particle":"","family":"Huo","given":"Weiran","non-dropping-particle":"","parse-names":false,"suffix":""},{"dropping-particle":"","family":"Dong","given":"Hui","non-dropping-particle":"","parse-names":false,"suffix":""},{"dropping-particle":"","family":"Zhang","given":"Linxia","non-dropping-particle":"","parse-names":false,"suffix":""},{"dropping-particle":"","family":"Chang","given":"Zhongjie","non-dropping-particle":"","parse-names":false,"suffix":""}],"container-title":"Environmental Toxicology and Pharmacology","id":"ITEM-3","issued":{"date-parts":[["2016"]]},"note":"Reject - honorable mention - is use of pesticide, not pure IMI. \n\nLoach LC50 96-hr was 145.8 mg/L","page":"132-139","publisher":"Elsevier B.V.","title":"Toxic effects of imidacloprid on adult loach (Misgurnus anguillicaudatus)","type":"article-journal","volume":"45"},"uris":["http://www.mendeley.com/documents/?uuid=b5ebf7ee-d786-48ea-af4a-4ba86508b476"]}],"mendeley":{"formattedCitation":"(Frew and Grue, 2015; Islam et al., 2019; Xia et al., 2016)","plainTextFormattedCitation":"(Frew and Grue, 2015; Islam et al., 2019; Xia et al., 2016)","previouslyFormattedCitation":"(Frew and Grue, 2015; Islam et al., 2019; Xia et al., 2016)"},"properties":{"noteIndex":0},"schema":"https://github.com/citation-style-language/schema/raw/master/csl-citation.json"}</w:instrText>
      </w:r>
      <w:r w:rsidR="005B21B8">
        <w:fldChar w:fldCharType="separate"/>
      </w:r>
      <w:r w:rsidR="005B21B8" w:rsidRPr="005B21B8">
        <w:rPr>
          <w:noProof/>
        </w:rPr>
        <w:t>(Frew and Grue, 2015; Islam et al., 2019; Xia et al., 2016)</w:t>
      </w:r>
      <w:r w:rsidR="005B21B8">
        <w:fldChar w:fldCharType="end"/>
      </w:r>
      <w:r w:rsidR="00C502BE">
        <w:t xml:space="preserve"> (Table 2)</w:t>
      </w:r>
      <w:r w:rsidR="00CD4100">
        <w:t>.</w:t>
      </w:r>
    </w:p>
    <w:p w14:paraId="7993CE81" w14:textId="23D4E254" w:rsidR="00B04771" w:rsidRDefault="00873E86" w:rsidP="0090720D">
      <w:r>
        <w:t>Two chronic studies were of acceptable data quality but were rejected for inclusion in development of an ACR. This included a mayfly study which produced an ACR that was an order of magnitude lower</w:t>
      </w:r>
      <w:r w:rsidR="006D3252">
        <w:t xml:space="preserve"> </w:t>
      </w:r>
      <w:r w:rsidR="001B293D">
        <w:t xml:space="preserve">than the </w:t>
      </w:r>
      <w:r w:rsidR="001B293D" w:rsidRPr="001B293D">
        <w:rPr>
          <w:i/>
          <w:iCs/>
        </w:rPr>
        <w:t xml:space="preserve">C. </w:t>
      </w:r>
      <w:proofErr w:type="spellStart"/>
      <w:r w:rsidR="001B293D" w:rsidRPr="001B293D">
        <w:rPr>
          <w:i/>
          <w:iCs/>
        </w:rPr>
        <w:t>dilutus</w:t>
      </w:r>
      <w:proofErr w:type="spellEnd"/>
      <w:r w:rsidR="001B293D" w:rsidRPr="001B293D">
        <w:rPr>
          <w:i/>
          <w:iCs/>
        </w:rPr>
        <w:t xml:space="preserve"> </w:t>
      </w:r>
      <w:r w:rsidR="001B293D">
        <w:t xml:space="preserve">and </w:t>
      </w:r>
      <w:r w:rsidR="001B293D" w:rsidRPr="001B293D">
        <w:rPr>
          <w:i/>
          <w:iCs/>
        </w:rPr>
        <w:t>D. magna</w:t>
      </w:r>
      <w:r w:rsidR="001B293D">
        <w:t xml:space="preserve"> ACRs</w:t>
      </w:r>
      <w:r w:rsidR="00E9661B">
        <w:t xml:space="preserve"> </w:t>
      </w:r>
      <w:r w:rsidR="00E9661B">
        <w:fldChar w:fldCharType="begin" w:fldLock="1"/>
      </w:r>
      <w:r w:rsidR="00730E75">
        <w:instrText>ADDIN CSL_CITATION {"citationItems":[{"id":"ITEM-1","itemData":{"DOI":"10.1002/etc.4234","ISSN":"15528618","PMID":"30055027","abstract":"Neonicotinoid insecticides are frequently detected in surface waters near agricultural areas, leading to a potential for chronic exposure to sensitive aquatic species. The midge Chironomus dilutus and the mayfly Neocloeon triangulifer have been shown to be acutely sensitive to neonicotinoids. Previous studies have established chronic effects of some neonicotinoids on C. dilutus, but reproduction has not been studied. Toxic effects have not been assessed using N. triangulifer. We present the results of chronic, static-renewal tests for 6 neonicotinoids (acetamiprid, clothianidin, dinotefuran, imidacloprid, thiacloprid, and thiamethoxam) with C. dilutus (≤56-d in length) and N. triangulifer (≤32-d in length). Emergence was generally the most sensitive endpoint for both species across all neonicotinoids. Effect concentrations, 10% (EC10s; emergence) were 0.03 to 1.1 μg L −1 for acetamiprid, clothianidin, imidacloprid, and thiacloprid. Dinotefuran and thiamethoxam were less potent, with EC10s (C. dilutus) or median effect concentrations (EC50s; N. triangulifer) of 2.2 to 11.2 μg L −1 . Hazard was assessed through comparison of neonicotinoid environmental concentrations from agricultural surface waters in Ontario (Canada) with either the 5th percentile hazard concentration (for imidacloprid) or species-specific EC10s from the present study (for all remaining neonicotinoids). The resulting hazard quotients (HQs) indicated little to no hazard (HQ &lt;1) in terms of chronic toxicity for acetamiprid, dinotefuran, thiacloprid, or thiamethoxam. A moderate hazard (HQ &gt;1) was found for emergence of N. triangulifer for clothianidin, and a high hazard (HQ = 74) was found for imidacloprid. Environ Toxicol Chem 2018;37:2727–2739. © 2018 SETAC.","author":[{"dropping-particle":"","family":"Raby","given":"Melanie","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K.","non-dropping-particle":"","parse-names":false,"suffix":""}],"container-title":"Environmental Toxicology and Chemistry","id":"ITEM-1","issue":"10","issued":{"date-parts":[["2018"]]},"note":"Accept.\n\nDoes all 6 neonicts.\n\nEmergence is endpoint, LC50 is 0.24 ug/L C. dilutus\nEmergence LC50 1.75 ug/L for N. triangulifer\n\nEC10 c. dilutus = 0.13 ug/L\nEC10 n. triangulifer = 1.12 ug/L","page":"2727-2739","title":"Chronic toxicity of 6 neonicotinoid insecticides to Chironomus dilutus and Neocloeon triangulifer","type":"article-journal","volume":"37"},"uris":["http://www.mendeley.com/documents/?uuid=8b13766a-cb6b-4549-aecc-56b5ad9a1519"]}],"mendeley":{"formattedCitation":"(Raby et al., 2018b)","plainTextFormattedCitation":"(Raby et al., 2018b)","previouslyFormattedCitation":"(Raby et al., 2018b)"},"properties":{"noteIndex":0},"schema":"https://github.com/citation-style-language/schema/raw/master/csl-citation.json"}</w:instrText>
      </w:r>
      <w:r w:rsidR="00E9661B">
        <w:fldChar w:fldCharType="separate"/>
      </w:r>
      <w:r w:rsidR="00E9661B" w:rsidRPr="00E9661B">
        <w:rPr>
          <w:noProof/>
        </w:rPr>
        <w:t>(Raby et al., 2018b)</w:t>
      </w:r>
      <w:r w:rsidR="00E9661B">
        <w:fldChar w:fldCharType="end"/>
      </w:r>
      <w:r w:rsidR="001B293D">
        <w:t xml:space="preserve">. </w:t>
      </w:r>
      <w:r w:rsidR="00E9661B">
        <w:t xml:space="preserve">The mayfly ACR was </w:t>
      </w:r>
      <w:r w:rsidR="00526237">
        <w:t xml:space="preserve">further </w:t>
      </w:r>
      <w:r w:rsidR="00E9661B">
        <w:t xml:space="preserve">compared to other rejected mayfly study ACR’s and found to be 1-2 orders of magnitude lower </w:t>
      </w:r>
      <w:r w:rsidR="003060F0">
        <w:t xml:space="preserve">due to a higher than expected </w:t>
      </w:r>
      <w:r w:rsidR="001842AF">
        <w:t>maximum acceptable toxicant concentration (</w:t>
      </w:r>
      <w:r w:rsidR="003060F0">
        <w:t>MATC</w:t>
      </w:r>
      <w:r w:rsidR="001842AF">
        <w:t>)</w:t>
      </w:r>
      <w:r w:rsidR="003060F0">
        <w:t xml:space="preserve"> of 1.5 </w:t>
      </w:r>
      <w:r w:rsidR="001842AF">
        <w:rPr>
          <w:rFonts w:cstheme="minorHAnsi"/>
        </w:rPr>
        <w:t>µ</w:t>
      </w:r>
      <w:r w:rsidR="001842AF">
        <w:t>g L</w:t>
      </w:r>
      <w:r w:rsidR="001842AF" w:rsidRPr="00D75195">
        <w:rPr>
          <w:vertAlign w:val="superscript"/>
        </w:rPr>
        <w:t>-1</w:t>
      </w:r>
      <w:r w:rsidR="001842AF" w:rsidRPr="001842AF">
        <w:t xml:space="preserve"> </w:t>
      </w:r>
      <w:r w:rsidR="00730E75">
        <w:fldChar w:fldCharType="begin" w:fldLock="1"/>
      </w:r>
      <w:r w:rsidR="00012F56">
        <w:instrText>ADDIN CSL_CITATION {"citationItems":[{"id":"ITEM-1","itemData":{"DOI":"10.1002/etc.3152","ISSN":"15528618","PMID":"26419398","abstract":"Mayfly nymphs are among the most sensitive taxa to neonicotinoids. The present study presents the acute and chronic toxicity of 3 neonicotinoids (imidacloprid, thiacloprid, and thiamethoxam) to a mayfly species (Cloeon dipterum) and some notes on the seasonality of the toxicity of imidacloprid to C. dipterum and 5 other invertebrate species. Imidacloprid and thiamethoxam showed equal acute and chronic toxicity to a winter generation of C. dipterum, whereas thiacloprid was approximately twice as toxic. The acute and chronic toxicity of imidacloprid was much higher for the C. dipterum summer generation than for the winter one. The acute toxicity differs by a factor of 20 for the 96-h 50% effective concentration (EC50) and by a factor of 5.4 for the chronic 28-d EC50. Temperature had only a slight effect on the sensitivity of C. dipterum to imidacloprid because we only found a factor of 1.7 difference in the 96-h EC50 between tests performed at 10°C and 18°C. The difference in sensitivity between summer and overwintering generations was also found for 3 other insect species. The results indicate that if the use and environmental fate of the 3 neonicotinoids are comparable, replacing imidacloprid by another neonicotinoid might not reduce the environmental impact on the mayfly nymph C. dipterum. The results also show the importance of reporting which generation is tested because sensitivity values of insects in the summer might be underestimated by the experiments performed with neonicotinoids and an overwintering population.","author":[{"dropping-particle":"","family":"Brink","given":"Paul J.","non-dropping-particle":"Van den","parse-names":false,"suffix":""},{"dropping-particle":"","family":"Smeden","given":"Jasper M.","non-dropping-particle":"Van","parse-names":false,"suffix":""},{"dropping-particle":"","family":"Bekele","given":"Robel S.","non-dropping-particle":"","parse-names":false,"suffix":""},{"dropping-particle":"","family":"Dierick","given":"Wiebe","non-dropping-particle":"","parse-names":false,"suffix":""},{"dropping-particle":"","family":"Gelder","given":"Daphne M.","non-dropping-particle":"De","parse-names":false,"suffix":""},{"dropping-particle":"","family":"Noteboom","given":"Maarten","non-dropping-particle":"","parse-names":false,"suffix":""},{"dropping-particle":"","family":"Roessink","given":"Ivo","non-dropping-particle":"","parse-names":false,"suffix":""}],"container-title":"Environmental Toxicology and Chemistry","id":"ITEM-1","issue":"1","issued":{"date-parts":[["2016"]]},"note":"Accept without reservation. Also has numbers for thiamethoxam and thiacloprid. \n\nCan only use Cloeon dipterum data - only resident MI species. All others are European variants.\nUnfed chronic mayfly study","page":"128-133","title":"Acute and chronic toxicity of neonicotinoids to nymphs of a mayfly species and some notes on seasonal differences","type":"article-journal","volume":"35"},"uris":["http://www.mendeley.com/documents/?uuid=6d392404-a82b-428b-89ef-0ae9573fd738"]},{"id":"ITEM-2","itemData":{"DOI":"10.1080/00288330.2019.1614961","ISSN":"11758805","abstract":"Increased temperatures and exposure to agricultural insecticides are increasingly threatening freshwater ecosystems worldwide. However, their combined effects are still poorly understood. We investigated the individual and interactive effects of water temperature and imidacloprid, the most widely used neonicotinoid insecticide, on larvae of two New Zealand mayflies, Deleatidium spp. and Coloburiscus humeralis. Ninety-six-hour bioassays with imidacloprid were performed at 9, 12, 15, 18, 21 and 24°C, in a full-factorial design. Mayfly survivorship and sub-lethal responses of impairment and moulting were recorded. We documented synergistically increased mayfly mortality and immobility with exposure to imidacloprid at higher temperatures, implying temperature-enhanced toxicity of imidacloprid. Survivorship of both mayflies was synergistically reduced by the combination of imidacloprid exposure and increasing temperatures. The same interaction also affected mobility of C. humeralis and moulting frequency of Deleatidium. Our findings suggest that developing a more thorough understanding of temperature-contaminant interactions may be important to allow better protection of aquatic ecosystems.","author":[{"dropping-particle":"","family":"Macaulay","given":"Samuel J.","non-dropping-particle":"","parse-names":false,"suffix":""},{"dropping-particle":"","family":"Buchwalter","given":"David B.","non-dropping-particle":"","parse-names":false,"suffix":""},{"dropping-particle":"","family":"Matthaei","given":"Christoph D.","non-dropping-particle":"","parse-names":false,"suffix":""}],"container-title":"New Zealand Journal of Marine and Freshwater Research","id":"ITEM-2","issue":"1","issued":{"date-parts":[["2020"]]},"note":"REJECT. Non-resident species. \n\nPending supplemental appendix S1 from author... \n\n\nCould use Deleatidium data only. \n\ncol not resident or proxy resident of Michigan","page":"115-130","publisher":"Taylor &amp; Francis","title":"Water temperature interacts with the insecticide imidacloprid to alter acute lethal and sublethal toxicity to mayfly larvae","type":"article-journal","volume":"54"},"uris":["http://www.mendeley.com/documents/?uuid=e8f7a485-9765-45ff-8908-5bdc1a4aab97"]},{"id":"ITEM-3","itemData":{"DOI":"10.1002/etc.2201","ISSN":"07307268","PMID":"23444274","abstract":"The present study evaluated the acute and chronic toxicity of imidacloprid to a range of freshwater arthropods. Mayfly and caddisfly species were most sensitive to short-term imidacloprid exposures (10 tests), whereas the mayflies showed by far the most sensitive response to long-term exposure of all seven arthropod species tested (28-d EC10 values of approximately 0.03μg/L). The results indicated a high aquatic risk of chronic exposure of imidacloprid to mayflies. © 2013 SETAC.","author":[{"dropping-particle":"","family":"Roessink","given":"Ivo","non-dropping-particle":"","parse-names":false,"suffix":""},{"dropping-particle":"","family":"Merga","given":"Lemessa B.","non-dropping-particle":"","parse-names":false,"suffix":""},{"dropping-particle":"","family":"Zweers","given":"Hans J.","non-dropping-particle":"","parse-names":false,"suffix":""},{"dropping-particle":"","family":"Brink","given":"Paul J.","non-dropping-particle":"Van den","parse-names":false,"suffix":""}],"container-title":"Environmental Toxicology and Chemistry","id":"ITEM-3","issue":"5","issued":{"date-parts":[["2013"]]},"note":"Reject - honorable mention - is use of pesticide, not pure IMI. \n\nCan use data for three species listed in Table 3 96-hr EC50 (mortality + immobilization)\nNotonecta spp. 18.2 ug/L\nLimnephilidae 1.79 ug/L\nCloeon dipterum 1.02 ug/L\n\n28-day chronic EC50 (mortality and immobilization) see table 4\nCloeon dipterum 0.123 ug/L\n\nACR is 336 for Cloeon dipterum","page":"1096-1100","title":"The neonicotinoid imidacloprid shows high chronic toxicity to mayfly nymphs","type":"article-journal","volume":"32"},"uris":["http://www.mendeley.com/documents/?uuid=2f5639c5-f26e-4957-9d94-269136cef002"]}],"mendeley":{"formattedCitation":"(Macaulay et al., 2020; Roessink et al., 2013; Van den Brink et al., 2016)","plainTextFormattedCitation":"(Macaulay et al., 2020; Roessink et al., 2013; Van den Brink et al., 2016)","previouslyFormattedCitation":"(Macaulay et al., 2020; Roessink et al., 2013; Van den Brink et al., 2016)"},"properties":{"noteIndex":0},"schema":"https://github.com/citation-style-language/schema/raw/master/csl-citation.json"}</w:instrText>
      </w:r>
      <w:r w:rsidR="00730E75">
        <w:fldChar w:fldCharType="separate"/>
      </w:r>
      <w:r w:rsidR="00730E75" w:rsidRPr="00730E75">
        <w:rPr>
          <w:noProof/>
        </w:rPr>
        <w:t>(Macaulay et al., 2020; Roessink et al., 2013; Van den Brink et al., 2016)</w:t>
      </w:r>
      <w:r w:rsidR="00730E75">
        <w:fldChar w:fldCharType="end"/>
      </w:r>
      <w:r w:rsidR="003060F0">
        <w:t xml:space="preserve">. </w:t>
      </w:r>
      <w:r w:rsidR="00C46B3A">
        <w:t xml:space="preserve">The MATCs of these studies ranged from </w:t>
      </w:r>
      <w:r w:rsidR="007D1B6E">
        <w:t xml:space="preserve">0.18 </w:t>
      </w:r>
      <w:r w:rsidR="00375F35">
        <w:t>–</w:t>
      </w:r>
      <w:r w:rsidR="007D1B6E">
        <w:t xml:space="preserve"> </w:t>
      </w:r>
      <w:r w:rsidR="00375F35">
        <w:t>0.55 ug/L</w:t>
      </w:r>
      <w:r w:rsidR="003E6DA4">
        <w:t xml:space="preserve"> with calculated ACRs of </w:t>
      </w:r>
      <w:r w:rsidR="00B17267">
        <w:t>18</w:t>
      </w:r>
      <w:r w:rsidR="003E6DA4">
        <w:t xml:space="preserve"> and 104</w:t>
      </w:r>
      <w:r w:rsidR="00375F35">
        <w:t xml:space="preserve"> for mayfly species exposed to formulations of imidacloprid. </w:t>
      </w:r>
    </w:p>
    <w:p w14:paraId="1A92AEF3" w14:textId="138EF550" w:rsidR="00E57B28" w:rsidRDefault="004F5D2F" w:rsidP="0090720D">
      <w:r>
        <w:t xml:space="preserve">Other rejected studies of interest showed moderate sensitivity of amphipod </w:t>
      </w:r>
      <w:r w:rsidRPr="00A8247C">
        <w:rPr>
          <w:i/>
          <w:iCs/>
        </w:rPr>
        <w:t xml:space="preserve">H. </w:t>
      </w:r>
      <w:r w:rsidR="00AA1700">
        <w:rPr>
          <w:i/>
          <w:iCs/>
        </w:rPr>
        <w:t>a</w:t>
      </w:r>
      <w:r w:rsidRPr="00A8247C">
        <w:rPr>
          <w:i/>
          <w:iCs/>
        </w:rPr>
        <w:t>zteca</w:t>
      </w:r>
      <w:r>
        <w:t xml:space="preserve"> </w:t>
      </w:r>
      <w:r w:rsidR="00A8247C">
        <w:t xml:space="preserve">and the mussel species </w:t>
      </w:r>
      <w:proofErr w:type="spellStart"/>
      <w:r w:rsidR="00A8247C" w:rsidRPr="00A8247C">
        <w:rPr>
          <w:i/>
          <w:iCs/>
        </w:rPr>
        <w:t>Planorbella</w:t>
      </w:r>
      <w:proofErr w:type="spellEnd"/>
      <w:r w:rsidR="00A8247C" w:rsidRPr="00A8247C">
        <w:rPr>
          <w:i/>
          <w:iCs/>
        </w:rPr>
        <w:t xml:space="preserve"> </w:t>
      </w:r>
      <w:proofErr w:type="spellStart"/>
      <w:r w:rsidR="00A8247C" w:rsidRPr="00A8247C">
        <w:rPr>
          <w:i/>
          <w:iCs/>
        </w:rPr>
        <w:t>pilsbryi</w:t>
      </w:r>
      <w:proofErr w:type="spellEnd"/>
      <w:r w:rsidR="00A8247C">
        <w:t>.</w:t>
      </w:r>
      <w:r w:rsidR="00163202">
        <w:t xml:space="preserve"> A 28-day EC50 for growth</w:t>
      </w:r>
      <w:r w:rsidR="00AA1700">
        <w:t xml:space="preserve"> (most sensitive endpoint) was reported at 4.3 </w:t>
      </w:r>
      <w:r w:rsidR="00A67C56">
        <w:rPr>
          <w:rFonts w:cstheme="minorHAnsi"/>
        </w:rPr>
        <w:t>µ</w:t>
      </w:r>
      <w:r w:rsidR="00A67C56">
        <w:t>g L</w:t>
      </w:r>
      <w:r w:rsidR="00A67C56" w:rsidRPr="00D75195">
        <w:rPr>
          <w:vertAlign w:val="superscript"/>
        </w:rPr>
        <w:t>-1</w:t>
      </w:r>
      <w:r w:rsidR="00A67C56">
        <w:t xml:space="preserve"> f</w:t>
      </w:r>
      <w:r w:rsidR="00AA1700">
        <w:t xml:space="preserve">or </w:t>
      </w:r>
      <w:r w:rsidR="00AA1700" w:rsidRPr="00AA1700">
        <w:rPr>
          <w:i/>
          <w:iCs/>
        </w:rPr>
        <w:t>H. azteca</w:t>
      </w:r>
      <w:r w:rsidR="00AA1700">
        <w:t xml:space="preserve"> with an EC10 of 0.029 </w:t>
      </w:r>
      <w:r w:rsidR="00A67C56">
        <w:rPr>
          <w:rFonts w:cstheme="minorHAnsi"/>
        </w:rPr>
        <w:t>µ</w:t>
      </w:r>
      <w:r w:rsidR="00A67C56">
        <w:t>g L</w:t>
      </w:r>
      <w:r w:rsidR="00A67C56" w:rsidRPr="00D75195">
        <w:rPr>
          <w:vertAlign w:val="superscript"/>
        </w:rPr>
        <w:t>-1</w:t>
      </w:r>
      <w:r w:rsidR="00AA1700">
        <w:t xml:space="preserve"> imidacloprid</w:t>
      </w:r>
      <w:r w:rsidR="004E1E30">
        <w:t xml:space="preserve"> </w:t>
      </w:r>
      <w:r w:rsidR="004E1E30">
        <w:fldChar w:fldCharType="begin" w:fldLock="1"/>
      </w:r>
      <w:r w:rsidR="004E1E30">
        <w:instrText>ADDIN CSL_CITATION {"citationItems":[{"id":"ITEM-1","itemData":{"DOI":"10.1016/j.ecoenv.2019.03.038","ISSN":"10902414","PMID":"30901639","abstract":"Neonicotinoids are the most widely used insecticides in the world. They are preferentially toxic to insects while displaying a low toxicity toward vertebrates, and this selective toxicity has resulted in the rapid and ubiquitous use of these compounds. However, neonicotinoids have been detected in agricultural surface waters and are known to cause adverse effects in non-target aquatic organisms. A wide range of toxicity has been reported for aquatic crustaceans, but most of the studies focus on the acute effects of imidacloprid, and few data are available regarding chronic effects of other neonicotinoids or neonicotinoid replacements (e.g., butenolides). The objective of this study was to assess the acute and chronic toxicity of six neonicotinoids (imidacloprid, thiamethoxam, acetamiprid, clothianidin, thiacloprid, and dinotefuran) and one butenolide (flupyradifurone) to the freshwater amphipod Hyalella azteca. Chronic (28-d), water-only, static-renewal tests were conducted. Survival was assessed weekly, and growth was measured at the end of the exposure. Effects of neonicotinoids varied depending on the compound. Acute (7-d) LC50s were 4.0, 4.7, 60, 68, 230, and 290 μg/L for clothianidin, acetamiprid, dinotefuran, thiacloprid, imidacloprid, and thiamethoxam, respectively. Chronic (28-d) survival and growth were reduced at similar concentrations to acute (7-d) survival for thiamethoxam, acetamiprid, clothianidin, and dinotefuran. However, chronic survival and growth of amphipods exposed to imidacloprid and thiacloprid were reduced at lower concentrations than acute survival, with respective 28-d LC50s of 90 and 44 μg/L, and EC50s of 4 and 3 μg/L. Flupyradifurone was intermediate in toxicity compared to the neonicotinoids: 7-d LC50, 28-d LC50, and 28-d EC50 were 26, 20, and 16 μg/L, respectively. The concentrations of imidacloprid and clothianidin reported for North American surface waters fall within the effect ranges observed in this study, indicating the potential for these compounds to cause adverse effects to indigenous populations of H. azteca.","author":[{"dropping-particle":"","family":"Bartlett","given":"Adrienne J.","non-dropping-particle":"","parse-names":false,"suffix":""},{"dropping-particle":"","family":"Hedges","given":"Amanda M.","non-dropping-particle":"","parse-names":false,"suffix":""},{"dropping-particle":"","family":"Intini","given":"Kyna D.","non-dropping-particle":"","parse-names":false,"suffix":""},{"dropping-particle":"","family":"Brown","given":"Lisa R.","non-dropping-particle":"","parse-names":false,"suffix":""},{"dropping-particle":"","family":"Maisonneuve","given":"France J.","non-dropping-particle":"","parse-names":false,"suffix":""},{"dropping-particle":"","family":"Robinson","given":"Stacey A.","non-dropping-particle":"","parse-names":false,"suffix":""},{"dropping-particle":"","family":"Gillis","given":"Patricia L.","non-dropping-particle":"","parse-names":false,"suffix":""},{"dropping-particle":"","family":"Solla","given":"Shane R.","non-dropping-particle":"de","parse-names":false,"suffix":""}],"container-title":"Ecotoxicology and Environmental Safety","id":"ITEM-1","issued":{"date-parts":[["2019"]]},"note":"ACCEPT -Chronic\nREJECT - Acute\n\nI have no reservations about this study except the 7-day acute. I think we have to use 4-day only. use of 28-day chronic should be fine. May be able to calculate ACR for hyalella as well. \n\nThis study includes acetamiprid, clothianidin, dinotefuran, flupyradifurone, thiacloprid, and thiamethoxam as well.","page":"215-223","title":"Acute and chronic toxicity of neonicotinoid and butenolide insecticides to the freshwater amphipod, Hyalella azteca","type":"article-journal","volume":"175"},"uris":["http://www.mendeley.com/documents/?uuid=5bf4a870-e4fa-447d-b9a2-28776617ab52"]}],"mendeley":{"formattedCitation":"(Bartlett et al., 2019)","plainTextFormattedCitation":"(Bartlett et al., 2019)","previouslyFormattedCitation":"(Bartlett et al., 2019)"},"properties":{"noteIndex":0},"schema":"https://github.com/citation-style-language/schema/raw/master/csl-citation.json"}</w:instrText>
      </w:r>
      <w:r w:rsidR="004E1E30">
        <w:fldChar w:fldCharType="separate"/>
      </w:r>
      <w:r w:rsidR="004E1E30" w:rsidRPr="004E1E30">
        <w:rPr>
          <w:noProof/>
        </w:rPr>
        <w:t>(Bartlett et al., 2019)</w:t>
      </w:r>
      <w:r w:rsidR="004E1E30">
        <w:fldChar w:fldCharType="end"/>
      </w:r>
      <w:r w:rsidR="00AA1700">
        <w:t xml:space="preserve">. The chronic mussel test </w:t>
      </w:r>
      <w:r w:rsidR="00BC2D9D">
        <w:t xml:space="preserve">of the </w:t>
      </w:r>
      <w:proofErr w:type="spellStart"/>
      <w:r w:rsidR="00BC2D9D">
        <w:t>glochida</w:t>
      </w:r>
      <w:proofErr w:type="spellEnd"/>
      <w:r w:rsidR="00BC2D9D">
        <w:t xml:space="preserve"> larval life stage found growth to be the most sensitive endpoint with a reported 28-d EC50 of 42 </w:t>
      </w:r>
      <w:r w:rsidR="00746405">
        <w:rPr>
          <w:rFonts w:cstheme="minorHAnsi"/>
        </w:rPr>
        <w:t>µ</w:t>
      </w:r>
      <w:r w:rsidR="00746405">
        <w:t>g L</w:t>
      </w:r>
      <w:r w:rsidR="00746405" w:rsidRPr="00D75195">
        <w:rPr>
          <w:vertAlign w:val="superscript"/>
        </w:rPr>
        <w:t>-1</w:t>
      </w:r>
      <w:r w:rsidR="00BC2D9D">
        <w:t xml:space="preserve"> (EC10 = </w:t>
      </w:r>
      <w:r w:rsidR="00DC0AA9">
        <w:t xml:space="preserve">15.4 </w:t>
      </w:r>
      <w:r w:rsidR="00746405">
        <w:rPr>
          <w:rFonts w:cstheme="minorHAnsi"/>
        </w:rPr>
        <w:t>µ</w:t>
      </w:r>
      <w:r w:rsidR="00746405">
        <w:t>g L</w:t>
      </w:r>
      <w:r w:rsidR="00746405" w:rsidRPr="00D75195">
        <w:rPr>
          <w:vertAlign w:val="superscript"/>
        </w:rPr>
        <w:t>-1</w:t>
      </w:r>
      <w:r w:rsidR="00DC0AA9">
        <w:t>)</w:t>
      </w:r>
      <w:r w:rsidR="004E1E30">
        <w:fldChar w:fldCharType="begin" w:fldLock="1"/>
      </w:r>
      <w:r w:rsidR="00D804BD">
        <w:instrText>ADDIN CSL_CITATION {"citationItems":[{"id":"ITEM-1","itemData":{"DOI":"10.1016/j.envpol.2016.07.022","ISSN":"18736424","PMID":"27450416","abstract":"Neonicotinoid insecticides can be transported from agricultural fields, where they are used as foliar sprays or seed treatments, to surface waters by surface or sub-surface runoff. Few studies have investigated the toxicity of neonicotinoid or the related butenolide insecticides to freshwater mollusk species. The current study examined the effect of neonicotinoid and butenolide exposures to the early-life stages of the ramshorn snail, Planorbella pilsbryi, and the wavy-rayed lampmussel, Lampsilis fasciola. Juvenile P. pilsbryi were exposed to imidacloprid, clothianidin, or thiamethoxam for 7 or 28 d and mortality, growth, and biomass production were measured. The viability of larval (glochidia) L. fasciola was monitored during a 48 h exposure to six neonicotinoids (imidacloprid, thiamethoxam, clothianidin, acetamiprid, thiacloprid, or dinotefuran), or a butenolide (flupyradifurone). The 7-d LC50s of P. pilsbryi for imidacloprid, clothianidin, and thiamethoxam were ≥4000 μg/L and the 28-d LC50s were ≥182 μg/L. Growth and biomass production were considerably more sensitive endpoints than mortality with EC50s ranging from 33.2 to 122.0 μg/L. The 48-h LC50s for the viability of glochidia were ≥456 μg/L for all seven insecticides tested. Our data indicate that neonicotinoid and butenolide insecticides pose less of a hazard with respect to mortality of the two species of mollusk compared to the potential hazard to other non-target aquatic insects.","author":[{"dropping-particle":"","family":"Prosser","given":"R. S.","non-dropping-particle":"","parse-names":false,"suffix":""},{"dropping-particle":"","family":"Solla","given":"S. R.","non-dropping-particle":"de","parse-names":false,"suffix":""},{"dropping-particle":"","family":"Holman","given":"E. A.M.","non-dropping-particle":"","parse-names":false,"suffix":""},{"dropping-particle":"","family":"Osborne","given":"R.","non-dropping-particle":"","parse-names":false,"suffix":""},{"dropping-particle":"","family":"Robinson","given":"S. A.","non-dropping-particle":"","parse-names":false,"suffix":""},{"dropping-particle":"","family":"Bartlett","given":"A. J.","non-dropping-particle":"","parse-names":false,"suffix":""},{"dropping-particle":"","family":"Maisonneuve","given":"F. J.","non-dropping-particle":"","parse-names":false,"suffix":""},{"dropping-particle":"","family":"Gillis","given":"P. L.","non-dropping-particle":"","parse-names":false,"suffix":""}],"container-title":"Environmental Pollution","id":"ITEM-1","issue":"July","issued":{"date-parts":[["2016"]]},"note":"Accept - no reservations! Can only use chronic Planobella as listed below. See table 3 and pink highlights for follow-up.\n\nPlanorbella pilsbryi - native to US generally:\nhttps://www.itis.gov/servlet/SingleRpt/SingleRpt?search_topic=TSN&amp;amp;search_value=76667#null\n\nLampsilis fasciola - native to continental US\nhttps://www.itis.gov/servlet/SingleRpt/SingleRpt?search_topic=TSN&amp;amp;search_value=79992#null\n\nQuestion for Dennis in pink notes below","page":"428-435","publisher":"Elsevier Ltd","title":"Sensitivity of the early-life stages of freshwater mollusks to neonicotinoid and butenolide insecticides","type":"article-journal","volume":"218"},"uris":["http://www.mendeley.com/documents/?uuid=d74810a0-9b92-4627-a3cf-04b0249bc100"]}],"mendeley":{"formattedCitation":"(Prosser et al., 2016)","plainTextFormattedCitation":"(Prosser et al., 2016)","previouslyFormattedCitation":"(Prosser et al., 2016)"},"properties":{"noteIndex":0},"schema":"https://github.com/citation-style-language/schema/raw/master/csl-citation.json"}</w:instrText>
      </w:r>
      <w:r w:rsidR="004E1E30">
        <w:fldChar w:fldCharType="separate"/>
      </w:r>
      <w:r w:rsidR="004E1E30" w:rsidRPr="004E1E30">
        <w:rPr>
          <w:noProof/>
        </w:rPr>
        <w:t>(Prosser et al., 2016)</w:t>
      </w:r>
      <w:r w:rsidR="004E1E30">
        <w:fldChar w:fldCharType="end"/>
      </w:r>
      <w:r w:rsidR="00DC0AA9">
        <w:t xml:space="preserve">. </w:t>
      </w:r>
    </w:p>
    <w:p w14:paraId="2AD0085C" w14:textId="54509F94" w:rsidR="00E526A0" w:rsidRDefault="00E526A0" w:rsidP="0090720D">
      <w:r>
        <w:t xml:space="preserve">Chronic studies suggest </w:t>
      </w:r>
      <w:r w:rsidR="00F43B81">
        <w:t>salmon</w:t>
      </w:r>
      <w:r>
        <w:t xml:space="preserve"> </w:t>
      </w:r>
      <w:r w:rsidR="00154B6E">
        <w:t>(</w:t>
      </w:r>
      <w:r w:rsidR="00154B6E" w:rsidRPr="00366BB5">
        <w:rPr>
          <w:i/>
          <w:iCs/>
        </w:rPr>
        <w:t>O. mykiss</w:t>
      </w:r>
      <w:r w:rsidR="00154B6E">
        <w:t>)</w:t>
      </w:r>
      <w:r w:rsidR="002E487C">
        <w:t xml:space="preserve"> and</w:t>
      </w:r>
      <w:r w:rsidR="00154B6E">
        <w:t xml:space="preserve"> salamanders (</w:t>
      </w:r>
      <w:r w:rsidR="002E487C" w:rsidRPr="00366BB5">
        <w:rPr>
          <w:i/>
          <w:iCs/>
        </w:rPr>
        <w:t>A. gracile</w:t>
      </w:r>
      <w:r w:rsidR="002E487C">
        <w:t>)</w:t>
      </w:r>
      <w:r w:rsidR="00154B6E">
        <w:t xml:space="preserve"> </w:t>
      </w:r>
      <w:r w:rsidR="002E487C">
        <w:t>are also highly tolerant of imidacloprid exposures wi</w:t>
      </w:r>
      <w:r w:rsidR="001960E5">
        <w:t xml:space="preserve">th an estimated </w:t>
      </w:r>
      <w:r w:rsidR="00330498">
        <w:t>lowest observed adverse effect concentration (</w:t>
      </w:r>
      <w:r w:rsidR="001960E5">
        <w:t>LOAEC</w:t>
      </w:r>
      <w:r w:rsidR="00330498">
        <w:t>)</w:t>
      </w:r>
      <w:r w:rsidR="001960E5">
        <w:t xml:space="preserve"> of 2.3 </w:t>
      </w:r>
      <w:r w:rsidR="00F43B81">
        <w:rPr>
          <w:rFonts w:cstheme="minorHAnsi"/>
        </w:rPr>
        <w:t>m</w:t>
      </w:r>
      <w:r w:rsidR="00F43B81">
        <w:t>g L</w:t>
      </w:r>
      <w:r w:rsidR="00F43B81" w:rsidRPr="00D75195">
        <w:rPr>
          <w:vertAlign w:val="superscript"/>
        </w:rPr>
        <w:t>-1</w:t>
      </w:r>
      <w:r w:rsidR="00F43B81">
        <w:t xml:space="preserve"> a</w:t>
      </w:r>
      <w:r w:rsidR="001960E5">
        <w:t xml:space="preserve">nd </w:t>
      </w:r>
      <w:r w:rsidR="00330498">
        <w:t xml:space="preserve">a 35-day EC50 for survival and growth of </w:t>
      </w:r>
      <w:r w:rsidR="00366BB5">
        <w:t xml:space="preserve">&gt;6.75 </w:t>
      </w:r>
      <w:r w:rsidR="00F43B81">
        <w:rPr>
          <w:rFonts w:cstheme="minorHAnsi"/>
        </w:rPr>
        <w:t>m</w:t>
      </w:r>
      <w:r w:rsidR="00F43B81">
        <w:t>g L</w:t>
      </w:r>
      <w:r w:rsidR="00F43B81" w:rsidRPr="00D75195">
        <w:rPr>
          <w:vertAlign w:val="superscript"/>
        </w:rPr>
        <w:t>-1</w:t>
      </w:r>
      <w:r w:rsidR="00366BB5">
        <w:t>, respectively</w:t>
      </w:r>
      <w:r w:rsidR="00D804BD">
        <w:t xml:space="preserve"> </w:t>
      </w:r>
      <w:r w:rsidR="00D804BD">
        <w:fldChar w:fldCharType="begin" w:fldLock="1"/>
      </w:r>
      <w:r w:rsidR="00804EF7">
        <w:instrText>ADDIN CSL_CITATION {"citationItems":[{"id":"ITEM-1","itemData":{"DOI":"10.1007/s00244-021-00840-4","ISBN":"0123456789","ISSN":"14320703","PMID":"33880625","abstract":"This research investigated the adverse effects of neonicotinoids on the Northwestern salamander (Ambystoma gracile; NWS) after acute and subchronic exposures during early aquatic life stages via whole organism (i.e., growth, development) and molecular (i.e., gene expression) level endpoints. In a 96-h exposure, NWS larvae were exposed to four imidacloprid concentrations (250, 750, 2250, 6750 µg/L) and a water control treatment, and no effects on survival, body weight, snout-vent length (SVL), and total body length were observed. However, a significant 1.70- and 2.33-fold decrease in thyroid receptor β (TRβ) mRNA expression levels were detected in the larvae exposed to 750 and 2250 µg/L imidacloprid, respectively, compared with the larvae in the water control. In subsequent subchronic experiments, NWS larvae were exposed for 35 days to imidacloprid alone and an equal part mixture of neonicotinoids (imidacloprid, clothianidin, and thiamethoxam (ICT)) at three concentrations (10, 100 and 1000 µg total neonicotinoids/L) and a water control. In these experiments, there were no effects on larval survival, body weight, SVL, and total body length. However, advanced development of larvae in the 100 µg/L imidacloprid treatment was observed compared with the control after 35-day imidacloprid exposure, providing some evidence of disruption of the thyroid endocrine axis at an environmentally relevant concentration. Ultimately, there is a paucity of studies conducted examining the sensitivity of salamanders to pollutants; thus, this study reports novel findings that will contribute to understanding the sensitivity of a Caudate amphibian model to a common environmental pollutant.","author":[{"dropping-particle":"","family":"Danis","given":"Blake E.G.","non-dropping-particle":"","parse-names":false,"suffix":""},{"dropping-particle":"","family":"Marlatt","given":"Vicki L.","non-dropping-particle":"","parse-names":false,"suffix":""}],"container-title":"Archives of Environmental Contamination and Toxicology","id":"ITEM-1","issue":"4","issued":{"date-parts":[["2021"]]},"note":"Accept with reservations. No dose response curve established. \n\nThis paper indicates imidacloprid has no acute/chronic toxicity below 6750 ug/L or 6.75 mg/L. \n\nThis paper will not influence aquatic life value, but should be included to show we reviewed a salamander species.","page":"691-707","publisher":"Springer US","title":"Investigating Acute and Subchronic Effects of Neonicotinoids on Northwestern Salamander Larvae","type":"article-journal","volume":"80"},"uris":["http://www.mendeley.com/documents/?uuid=903af3d2-fcbc-41a4-adf7-caa5b58ba40a"]},{"id":"ITEM-2","itemData":{"author":[{"dropping-particle":"","family":"Gagliano","given":"G.G.","non-dropping-particle":"","parse-names":false,"suffix":""},{"dropping-particle":"","family":"Roney","given":"D.J.","non-dropping-particle":"","parse-names":false,"suffix":""}],"id":"ITEM-2","issued":{"date-parts":[["1992"]]},"note":"Reject - Admire not technical grade. Honorable mention","publisher-place":"Kansas City, Missouri","title":"Early life stage toxicity of SENCOR Technical to the Rainbow Trout (Oncorhynchus mykiss) under flow-through conditions","type":"report"},"uris":["http://www.mendeley.com/documents/?uuid=4a3f732c-1bef-4b03-9e9b-5506d1f87368"]}],"mendeley":{"formattedCitation":"(Danis and Marlatt, 2021; Gagliano and Roney, 1992)","plainTextFormattedCitation":"(Danis and Marlatt, 2021; Gagliano and Roney, 1992)","previouslyFormattedCitation":"(Danis and Marlatt, 2021; Gagliano and Roney, 1992)"},"properties":{"noteIndex":0},"schema":"https://github.com/citation-style-language/schema/raw/master/csl-citation.json"}</w:instrText>
      </w:r>
      <w:r w:rsidR="00D804BD">
        <w:fldChar w:fldCharType="separate"/>
      </w:r>
      <w:r w:rsidR="00D804BD" w:rsidRPr="00D804BD">
        <w:rPr>
          <w:noProof/>
        </w:rPr>
        <w:t>(Danis and Marlatt, 2021; Gagliano and Roney, 1992)</w:t>
      </w:r>
      <w:r w:rsidR="00D804BD">
        <w:fldChar w:fldCharType="end"/>
      </w:r>
      <w:r w:rsidR="00366BB5">
        <w:t xml:space="preserve">. </w:t>
      </w:r>
    </w:p>
    <w:p w14:paraId="62504D15" w14:textId="77777777" w:rsidR="000900A6" w:rsidRDefault="000900A6" w:rsidP="0090720D"/>
    <w:p w14:paraId="6A3EECCF" w14:textId="01F8547B" w:rsidR="0090720D" w:rsidRPr="00FF0BA5" w:rsidRDefault="0090720D" w:rsidP="0090720D">
      <w:pPr>
        <w:rPr>
          <w:b/>
          <w:bCs/>
        </w:rPr>
      </w:pPr>
      <w:r w:rsidRPr="00FF0BA5">
        <w:rPr>
          <w:b/>
          <w:bCs/>
        </w:rPr>
        <w:lastRenderedPageBreak/>
        <w:t xml:space="preserve">Aquatic Life </w:t>
      </w:r>
      <w:r w:rsidR="00A74B3A">
        <w:rPr>
          <w:b/>
          <w:bCs/>
        </w:rPr>
        <w:t>Values</w:t>
      </w:r>
    </w:p>
    <w:p w14:paraId="4045BBE2" w14:textId="45949FC2" w:rsidR="000900A6" w:rsidRPr="000900A6" w:rsidRDefault="000B611B" w:rsidP="000900A6">
      <w:r>
        <w:t xml:space="preserve">Tier II </w:t>
      </w:r>
      <w:r w:rsidR="00FE568A">
        <w:t xml:space="preserve">aquatic life values </w:t>
      </w:r>
      <w:r>
        <w:t>were developed for imidacloprid</w:t>
      </w:r>
      <w:r w:rsidR="00A77425">
        <w:t xml:space="preserve">. Data lacking for development of Tier I values included </w:t>
      </w:r>
      <w:r w:rsidR="00362905">
        <w:t xml:space="preserve">an </w:t>
      </w:r>
      <w:r w:rsidR="00A77425">
        <w:t>acceptable fish stud</w:t>
      </w:r>
      <w:r w:rsidR="00362905">
        <w:t>y</w:t>
      </w:r>
      <w:r w:rsidR="00A77425">
        <w:t xml:space="preserve"> for acute and chronic endpoints. The </w:t>
      </w:r>
      <w:r w:rsidR="00FE568A">
        <w:t>t</w:t>
      </w:r>
      <w:r w:rsidR="00A77425">
        <w:t xml:space="preserve">ier II </w:t>
      </w:r>
      <w:r w:rsidR="00FE568A">
        <w:t>final acute value</w:t>
      </w:r>
      <w:r w:rsidR="00A77425">
        <w:t xml:space="preserve"> (FAV) </w:t>
      </w:r>
      <w:r w:rsidR="005E536F">
        <w:t xml:space="preserve">is 0.72 </w:t>
      </w:r>
      <w:r w:rsidR="006D514E">
        <w:rPr>
          <w:rFonts w:cstheme="minorHAnsi"/>
        </w:rPr>
        <w:t>µ</w:t>
      </w:r>
      <w:r w:rsidR="006D514E">
        <w:t>g L</w:t>
      </w:r>
      <w:r w:rsidR="006D514E" w:rsidRPr="00D75195">
        <w:rPr>
          <w:vertAlign w:val="superscript"/>
        </w:rPr>
        <w:t>-1</w:t>
      </w:r>
      <w:r w:rsidR="006D514E">
        <w:t xml:space="preserve"> a</w:t>
      </w:r>
      <w:r w:rsidR="005E536F">
        <w:t xml:space="preserve">nd the </w:t>
      </w:r>
      <w:r w:rsidR="00FE568A">
        <w:t>acute maximum v</w:t>
      </w:r>
      <w:r w:rsidR="005E536F">
        <w:t xml:space="preserve">alue (AMV) is 0.36 </w:t>
      </w:r>
      <w:r w:rsidR="006D514E">
        <w:rPr>
          <w:rFonts w:cstheme="minorHAnsi"/>
        </w:rPr>
        <w:t>µ</w:t>
      </w:r>
      <w:r w:rsidR="006D514E">
        <w:t>g L</w:t>
      </w:r>
      <w:r w:rsidR="006D514E" w:rsidRPr="00D75195">
        <w:rPr>
          <w:vertAlign w:val="superscript"/>
        </w:rPr>
        <w:t>-1</w:t>
      </w:r>
      <w:r w:rsidR="005E536F">
        <w:t xml:space="preserve">. The </w:t>
      </w:r>
      <w:r w:rsidR="00FE568A">
        <w:t>t</w:t>
      </w:r>
      <w:r w:rsidR="007C6DBA">
        <w:t xml:space="preserve">ier II FCV is </w:t>
      </w:r>
      <w:r w:rsidR="00A74B3A">
        <w:t xml:space="preserve">0.0285 </w:t>
      </w:r>
      <w:r w:rsidR="006D514E">
        <w:rPr>
          <w:rFonts w:cstheme="minorHAnsi"/>
        </w:rPr>
        <w:t>µ</w:t>
      </w:r>
      <w:r w:rsidR="006D514E">
        <w:t>g L</w:t>
      </w:r>
      <w:r w:rsidR="006D514E" w:rsidRPr="00D75195">
        <w:rPr>
          <w:vertAlign w:val="superscript"/>
        </w:rPr>
        <w:t>-1</w:t>
      </w:r>
      <w:r w:rsidR="00A74B3A">
        <w:t xml:space="preserve">. </w:t>
      </w:r>
    </w:p>
    <w:p w14:paraId="5EE916D4" w14:textId="77777777" w:rsidR="000900A6" w:rsidRDefault="000900A6" w:rsidP="000900A6">
      <w:pPr>
        <w:pStyle w:val="ListParagraph"/>
        <w:rPr>
          <w:sz w:val="24"/>
          <w:szCs w:val="24"/>
        </w:rPr>
      </w:pPr>
    </w:p>
    <w:p w14:paraId="0FCC9885" w14:textId="77777777" w:rsidR="003B2FD9" w:rsidRDefault="003B2FD9">
      <w:r>
        <w:br w:type="page"/>
      </w:r>
    </w:p>
    <w:p w14:paraId="0C1C8C89" w14:textId="211E96F9" w:rsidR="00513AD6" w:rsidRDefault="00513AD6">
      <w:r>
        <w:lastRenderedPageBreak/>
        <w:t xml:space="preserve">Table 1. </w:t>
      </w:r>
      <w:r w:rsidR="00507427">
        <w:t>Acceptable studies included in aquatic life value calculations</w:t>
      </w:r>
      <w:r w:rsidR="0037678D">
        <w:t xml:space="preserve"> (WQ = water quality).</w:t>
      </w:r>
    </w:p>
    <w:tbl>
      <w:tblPr>
        <w:tblStyle w:val="GridTable6Colorful"/>
        <w:tblW w:w="9535" w:type="dxa"/>
        <w:tblLook w:val="04A0" w:firstRow="1" w:lastRow="0" w:firstColumn="1" w:lastColumn="0" w:noHBand="0" w:noVBand="1"/>
      </w:tblPr>
      <w:tblGrid>
        <w:gridCol w:w="3235"/>
        <w:gridCol w:w="1170"/>
        <w:gridCol w:w="5130"/>
      </w:tblGrid>
      <w:tr w:rsidR="00C66196" w:rsidRPr="008B21A0" w14:paraId="23FEEE1C" w14:textId="77777777" w:rsidTr="008B21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199E528B" w14:textId="3DE345A5" w:rsidR="00C66196" w:rsidRPr="008B21A0" w:rsidRDefault="00C66196">
            <w:r w:rsidRPr="008B21A0">
              <w:t>Reference</w:t>
            </w:r>
          </w:p>
        </w:tc>
        <w:tc>
          <w:tcPr>
            <w:tcW w:w="1170" w:type="dxa"/>
          </w:tcPr>
          <w:p w14:paraId="5A975060" w14:textId="7271FE61" w:rsidR="00C66196" w:rsidRPr="008B21A0" w:rsidRDefault="0051560C">
            <w:pPr>
              <w:cnfStyle w:val="100000000000" w:firstRow="1" w:lastRow="0" w:firstColumn="0" w:lastColumn="0" w:oddVBand="0" w:evenVBand="0" w:oddHBand="0" w:evenHBand="0" w:firstRowFirstColumn="0" w:firstRowLastColumn="0" w:lastRowFirstColumn="0" w:lastRowLastColumn="0"/>
            </w:pPr>
            <w:r w:rsidRPr="008B21A0">
              <w:t>Type?</w:t>
            </w:r>
          </w:p>
        </w:tc>
        <w:tc>
          <w:tcPr>
            <w:tcW w:w="5130" w:type="dxa"/>
          </w:tcPr>
          <w:p w14:paraId="69D14B4D" w14:textId="71920FF9" w:rsidR="00C66196" w:rsidRPr="008B21A0" w:rsidRDefault="0051560C">
            <w:pPr>
              <w:cnfStyle w:val="100000000000" w:firstRow="1" w:lastRow="0" w:firstColumn="0" w:lastColumn="0" w:oddVBand="0" w:evenVBand="0" w:oddHBand="0" w:evenHBand="0" w:firstRowFirstColumn="0" w:firstRowLastColumn="0" w:lastRowFirstColumn="0" w:lastRowLastColumn="0"/>
            </w:pPr>
            <w:r w:rsidRPr="008B21A0">
              <w:t>Reservations (if any)</w:t>
            </w:r>
          </w:p>
        </w:tc>
      </w:tr>
      <w:tr w:rsidR="00C66196" w14:paraId="1FF9391F" w14:textId="77777777" w:rsidTr="008B21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6AAF30FC" w14:textId="67E67E43" w:rsidR="00C66196" w:rsidRPr="008B21A0" w:rsidRDefault="007C5C42">
            <w:pPr>
              <w:rPr>
                <w:b w:val="0"/>
                <w:bCs w:val="0"/>
              </w:rPr>
            </w:pPr>
            <w:r w:rsidRPr="008B21A0">
              <w:fldChar w:fldCharType="begin" w:fldLock="1"/>
            </w:r>
            <w:r w:rsidRPr="008B21A0">
              <w:rPr>
                <w:b w:val="0"/>
                <w:bCs w:val="0"/>
              </w:rPr>
              <w:instrText>ADDIN CSL_CITATION {"citationItems":[{"id":"ITEM-1","itemData":{"DOI":"10.1016/j.ecoenv.2019.03.038","ISSN":"10902414","PMID":"30901639","abstract":"Neonicotinoids are the most widely used insecticides in the world. They are preferentially toxic to insects while displaying a low toxicity toward vertebrates, and this selective toxicity has resulted in the rapid and ubiquitous use of these compounds. However, neonicotinoids have been detected in agricultural surface waters and are known to cause adverse effects in non-target aquatic organisms. A wide range of toxicity has been reported for aquatic crustaceans, but most of the studies focus on the acute effects of imidacloprid, and few data are available regarding chronic effects of other neonicotinoids or neonicotinoid replacements (e.g., butenolides). The objective of this study was to assess the acute and chronic toxicity of six neonicotinoids (imidacloprid, thiamethoxam, acetamiprid, clothianidin, thiacloprid, and dinotefuran) and one butenolide (flupyradifurone) to the freshwater amphipod Hyalella azteca. Chronic (28-d), water-only, static-renewal tests were conducted. Survival was assessed weekly, and growth was measured at the end of the exposure. Effects of neonicotinoids varied depending on the compound. Acute (7-d) LC50s were 4.0, 4.7, 60, 68, 230, and 290 μg/L for clothianidin, acetamiprid, dinotefuran, thiacloprid, imidacloprid, and thiamethoxam, respectively. Chronic (28-d) survival and growth were reduced at similar concentrations to acute (7-d) survival for thiamethoxam, acetamiprid, clothianidin, and dinotefuran. However, chronic survival and growth of amphipods exposed to imidacloprid and thiacloprid were reduced at lower concentrations than acute survival, with respective 28-d LC50s of 90 and 44 μg/L, and EC50s of 4 and 3 μg/L. Flupyradifurone was intermediate in toxicity compared to the neonicotinoids: 7-d LC50, 28-d LC50, and 28-d EC50 were 26, 20, and 16 μg/L, respectively. The concentrations of imidacloprid and clothianidin reported for North American surface waters fall within the effect ranges observed in this study, indicating the potential for these compounds to cause adverse effects to indigenous populations of H. azteca.","author":[{"dropping-particle":"","family":"Bartlett","given":"Adrienne J.","non-dropping-particle":"","parse-names":false,"suffix":""},{"dropping-particle":"","family":"Hedges","given":"Amanda M.","non-dropping-particle":"","parse-names":false,"suffix":""},{"dropping-particle":"","family":"Intini","given":"Kyna D.","non-dropping-particle":"","parse-names":false,"suffix":""},{"dropping-particle":"","family":"Brown","given":"Lisa R.","non-dropping-particle":"","parse-names":false,"suffix":""},{"dropping-particle":"","family":"Maisonneuve","given":"France J.","non-dropping-particle":"","parse-names":false,"suffix":""},{"dropping-particle":"","family":"Robinson","given":"Stacey A.","non-dropping-particle":"","parse-names":false,"suffix":""},{"dropping-particle":"","family":"Gillis","given":"Patricia L.","non-dropping-particle":"","parse-names":false,"suffix":""},{"dropping-particle":"","family":"Solla","given":"Shane R.","non-dropping-particle":"de","parse-names":false,"suffix":""}],"container-title":"Ecotoxicology and Environmental Safety","id":"ITEM-1","issued":{"date-parts":[["2019"]]},"note":"ACCEPT -Chronic\nREJECT - Acute\n\nI have no reservations about this study except the 7-day acute. I think we have to use 4-day only. use of 28-day chronic should be fine. May be able to calculate ACR for hyalella as well. \n\nThis study includes acetamiprid, clothianidin, dinotefuran, flupyradifurone, thiacloprid, and thiamethoxam as well.","page":"215-223","title":"Acute and chronic toxicity of neonicotinoid and butenolide insecticides to the freshwater amphipod, Hyalella azteca","type":"article-journal","volume":"175"},"uris":["http://www.mendeley.com/documents/?uuid=5bf4a870-e4fa-447d-b9a2-28776617ab52"]}],"mendeley":{"formattedCitation":"(Bartlett et al., 2019)","plainTextFormattedCitation":"(Bartlett et al., 2019)","previouslyFormattedCitation":"(Bartlett et al., 2019)"},"properties":{"noteIndex":0},"schema":"https://github.com/citation-style-language/schema/raw/master/csl-citation.json"}</w:instrText>
            </w:r>
            <w:r w:rsidRPr="008B21A0">
              <w:fldChar w:fldCharType="separate"/>
            </w:r>
            <w:r w:rsidRPr="008B21A0">
              <w:rPr>
                <w:b w:val="0"/>
                <w:bCs w:val="0"/>
                <w:noProof/>
              </w:rPr>
              <w:t>(Bartlett et al., 2019)</w:t>
            </w:r>
            <w:r w:rsidRPr="008B21A0">
              <w:fldChar w:fldCharType="end"/>
            </w:r>
          </w:p>
        </w:tc>
        <w:tc>
          <w:tcPr>
            <w:tcW w:w="1170" w:type="dxa"/>
          </w:tcPr>
          <w:p w14:paraId="1B82EB7B" w14:textId="75EC253E" w:rsidR="00C66196" w:rsidRPr="008B21A0" w:rsidRDefault="005A5795">
            <w:pPr>
              <w:cnfStyle w:val="000000100000" w:firstRow="0" w:lastRow="0" w:firstColumn="0" w:lastColumn="0" w:oddVBand="0" w:evenVBand="0" w:oddHBand="1" w:evenHBand="0" w:firstRowFirstColumn="0" w:firstRowLastColumn="0" w:lastRowFirstColumn="0" w:lastRowLastColumn="0"/>
            </w:pPr>
            <w:r>
              <w:t>Chronic</w:t>
            </w:r>
          </w:p>
        </w:tc>
        <w:tc>
          <w:tcPr>
            <w:tcW w:w="5130" w:type="dxa"/>
          </w:tcPr>
          <w:p w14:paraId="5DF72C8E" w14:textId="021D13CA" w:rsidR="00C66196" w:rsidRPr="008B21A0" w:rsidRDefault="00C66196">
            <w:pPr>
              <w:cnfStyle w:val="000000100000" w:firstRow="0" w:lastRow="0" w:firstColumn="0" w:lastColumn="0" w:oddVBand="0" w:evenVBand="0" w:oddHBand="1" w:evenHBand="0" w:firstRowFirstColumn="0" w:firstRowLastColumn="0" w:lastRowFirstColumn="0" w:lastRowLastColumn="0"/>
            </w:pPr>
          </w:p>
        </w:tc>
      </w:tr>
      <w:tr w:rsidR="00C66196" w14:paraId="5A8D76B3" w14:textId="77777777" w:rsidTr="008B21A0">
        <w:tc>
          <w:tcPr>
            <w:cnfStyle w:val="001000000000" w:firstRow="0" w:lastRow="0" w:firstColumn="1" w:lastColumn="0" w:oddVBand="0" w:evenVBand="0" w:oddHBand="0" w:evenHBand="0" w:firstRowFirstColumn="0" w:firstRowLastColumn="0" w:lastRowFirstColumn="0" w:lastRowLastColumn="0"/>
            <w:tcW w:w="3235" w:type="dxa"/>
          </w:tcPr>
          <w:p w14:paraId="5CD36865" w14:textId="28055F16" w:rsidR="00C66196" w:rsidRPr="008B21A0" w:rsidRDefault="007C5C42" w:rsidP="00EA006A">
            <w:pPr>
              <w:rPr>
                <w:b w:val="0"/>
                <w:bCs w:val="0"/>
              </w:rPr>
            </w:pPr>
            <w:r w:rsidRPr="008B21A0">
              <w:fldChar w:fldCharType="begin" w:fldLock="1"/>
            </w:r>
            <w:r w:rsidRPr="008B21A0">
              <w:rPr>
                <w:b w:val="0"/>
                <w:bCs w:val="0"/>
              </w:rPr>
              <w:instrText>ADDIN CSL_CITATION {"citationItems":[{"id":"ITEM-1","itemData":{"DOI":"10.1016/j.envpol.2018.03.004","ISSN":"18736424","PMID":"29544197","abstract":"Neonicotinoid insecticides are environmentally persistent and highly water-soluble, and thus are prone to leaching into surface waters where they may negatively affect non-target aquatic insects. Most of the research to date has focused on imidacloprid, and few data are available regarding the effects of other neonicotinoids or their proposed replacements (butenolide insecticides). The objective of this study was to assess the toxicity of six neonicotinoids (imidacloprid, thiamethoxam, acetamiprid, clothianidin, thiacloprid, and dinotefuran) and one butenolide (flupyradifurone) to Hexagenia spp. (mayfly larvae). Acute (96-h), water-only tests were conducted, and survival and behaviour (number of surviving mayflies inhabiting artificial burrows) were assessed. Acute sublethal tests were also conducted with imidacloprid, acetamiprid, and thiacloprid, and in addition to survival and behaviour, mobility (ability to burrow into sediment) and recovery (survival and growth following 21 d in clean sediment) were measured. Sublethal effects occurred at much lower concentrations than survival: 96-h LC50s ranged from 780 μg/L (acetamiprid) to &gt;10,000 μg/L (dinotefuran), whereas 96-h EC50s ranged from 4.0 μg/L (acetamiprid) to 630 μg/L (thiamethoxam). Flupyradifurone was intermediate in toxicity, with a 96-h LC50 of 2000 μg/L and a 96-h EC50 of 81 μg/L. Behaviour and mobility were impaired significantly and to a similar degree in sublethal exposures to 10 μg/L imidacloprid, acetamiprid, and thiacloprid, and survival and growth following the recovery period were significantly lower in mayflies exposed to 10 μg/L acetamiprid and thiacloprid, respectively. A suite of effects on mayfly swimming behaviour/ability and respiration were also observed, but not quantified, following exposures to imidacloprid, acetamiprid, and thiacloprid at 1 μg/L and higher. Imidacloprid concentrations measured in North American surface waters have been found to meet or exceed those causing toxicity to Hexagenia, indicating that environmental concentrations may adversely affect Hexagenia and similarly sensitive non-target aquatic species. The sublethal toxicity of neonicotinoids to Hexagenia varies 160-fold, with imidacloprid, acetamiprid, and thiacloprid being the most toxic.","author":[{"dropping-particle":"","family":"Bartlett","given":"Adrienne J.","non-dropping-particle":"","parse-names":false,"suffix":""},{"dropping-particle":"","family":"Hedges","given":"Amanda M.","non-dropping-particle":"","parse-names":false,"suffix":""},{"dropping-particle":"","family":"Intini","given":"Kyna D.","non-dropping-particle":"","parse-names":false,"suffix":""},{"dropping-particle":"","family":"Brown","given":"Lisa R.","non-dropping-particle":"","parse-names":false,"suffix":""},{"dropping-particle":"","family":"Maisonneuve","given":"France J.","non-dropping-particle":"","parse-names":false,"suffix":""},{"dropping-particle":"","family":"Robinson","given":"Stacey A.","non-dropping-particle":"","parse-names":false,"suffix":""},{"dropping-particle":"","family":"Gillis","given":"Patricia L.","non-dropping-particle":"","parse-names":false,"suffix":""},{"dropping-particle":"","family":"Solla","given":"Shane R.","non-dropping-particle":"de","parse-names":false,"suffix":""}],"container-title":"Environmental Pollution","id":"ITEM-1","issued":{"date-parts":[["2018"]]},"note":"Accept with reservations. \n\nOnly reservation is that their number seems high as compared to other studies. They did not typical feeding I think, using ground Tetra-min flakes as opposed to diatoms. I also did not double check WQ data, but it is cited in supplemental table 2. \n\nThis paper can be used for thia, acetami, clothian, thiaclop, and dinotefuran as well\n\nI would compare this to other mayfly studies before accepting results. See pink note.","page":"63-75","publisher":"Elsevier Ltd","title":"Lethal and sublethal toxicity of neonicotinoid and butenolide insecticides to the mayfly, Hexagenia spp.","type":"article-journal","volume":"238"},"uris":["http://www.mendeley.com/documents/?uuid=c9281d26-5dd5-4c05-8139-50816c940165"]}],"mendeley":{"formattedCitation":"(Bartlett et al., 2018)","plainTextFormattedCitation":"(Bartlett et al., 2018)","previouslyFormattedCitation":"(Bartlett et al., 2018)"},"properties":{"noteIndex":0},"schema":"https://github.com/citation-style-language/schema/raw/master/csl-citation.json"}</w:instrText>
            </w:r>
            <w:r w:rsidRPr="008B21A0">
              <w:fldChar w:fldCharType="separate"/>
            </w:r>
            <w:r w:rsidRPr="008B21A0">
              <w:rPr>
                <w:b w:val="0"/>
                <w:bCs w:val="0"/>
                <w:noProof/>
              </w:rPr>
              <w:t>(Bartlett et al., 2018)</w:t>
            </w:r>
            <w:r w:rsidRPr="008B21A0">
              <w:fldChar w:fldCharType="end"/>
            </w:r>
          </w:p>
        </w:tc>
        <w:tc>
          <w:tcPr>
            <w:tcW w:w="1170" w:type="dxa"/>
          </w:tcPr>
          <w:p w14:paraId="3558C043" w14:textId="759CBB9F" w:rsidR="00C66196" w:rsidRPr="008B21A0" w:rsidRDefault="00E740E8" w:rsidP="00EA006A">
            <w:pPr>
              <w:cnfStyle w:val="000000000000" w:firstRow="0" w:lastRow="0" w:firstColumn="0" w:lastColumn="0" w:oddVBand="0" w:evenVBand="0" w:oddHBand="0" w:evenHBand="0" w:firstRowFirstColumn="0" w:firstRowLastColumn="0" w:lastRowFirstColumn="0" w:lastRowLastColumn="0"/>
            </w:pPr>
            <w:r>
              <w:t>Acute</w:t>
            </w:r>
          </w:p>
        </w:tc>
        <w:tc>
          <w:tcPr>
            <w:tcW w:w="5130" w:type="dxa"/>
          </w:tcPr>
          <w:p w14:paraId="28D48E74" w14:textId="47E1AFB4" w:rsidR="00C66196" w:rsidRPr="008B21A0" w:rsidRDefault="001B2807" w:rsidP="00EA006A">
            <w:pPr>
              <w:cnfStyle w:val="000000000000" w:firstRow="0" w:lastRow="0" w:firstColumn="0" w:lastColumn="0" w:oddVBand="0" w:evenVBand="0" w:oddHBand="0" w:evenHBand="0" w:firstRowFirstColumn="0" w:firstRowLastColumn="0" w:lastRowFirstColumn="0" w:lastRowLastColumn="0"/>
            </w:pPr>
            <w:proofErr w:type="spellStart"/>
            <w:r w:rsidRPr="001B2807">
              <w:rPr>
                <w:i/>
                <w:iCs/>
              </w:rPr>
              <w:t>Hexagenia</w:t>
            </w:r>
            <w:proofErr w:type="spellEnd"/>
            <w:r w:rsidRPr="001B2807">
              <w:rPr>
                <w:i/>
                <w:iCs/>
              </w:rPr>
              <w:t xml:space="preserve"> </w:t>
            </w:r>
            <w:r w:rsidR="0061639F" w:rsidRPr="001B2807">
              <w:rPr>
                <w:i/>
                <w:iCs/>
              </w:rPr>
              <w:t>s</w:t>
            </w:r>
            <w:r w:rsidRPr="001B2807">
              <w:rPr>
                <w:i/>
                <w:iCs/>
              </w:rPr>
              <w:t>p</w:t>
            </w:r>
            <w:r>
              <w:t>.</w:t>
            </w:r>
            <w:r w:rsidR="0061639F">
              <w:t xml:space="preserve"> fed during toxicity test</w:t>
            </w:r>
          </w:p>
        </w:tc>
      </w:tr>
      <w:tr w:rsidR="004E4B93" w14:paraId="088AE63F" w14:textId="77777777" w:rsidTr="008B21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4C3D3AB5" w14:textId="334A89F1" w:rsidR="004E4B93" w:rsidRPr="008B21A0" w:rsidRDefault="007C5C42" w:rsidP="000A18C0">
            <w:pPr>
              <w:rPr>
                <w:b w:val="0"/>
                <w:bCs w:val="0"/>
              </w:rPr>
            </w:pPr>
            <w:r w:rsidRPr="008B21A0">
              <w:fldChar w:fldCharType="begin" w:fldLock="1"/>
            </w:r>
            <w:r w:rsidRPr="008B21A0">
              <w:rPr>
                <w:b w:val="0"/>
                <w:bCs w:val="0"/>
              </w:rPr>
              <w:instrText>ADDIN CSL_CITATION {"citationItems":[{"id":"ITEM-1","itemData":{"DOI":"10.1016/j.aquatox.2016.07.011","ISSN":"18791514","PMID":"27471044","abstract":"Neonicotinoid insecticide usage has increased globally in recent decades. Neonicotinoids, such as imidacloprid, are potent insect neurotoxicants that may pose a threat to non-target aquatic organisms, such as aquatic insects. In nature, insects typically live in thermally fluctuating conditions, which may significantly alter both contaminant exposures and affects. Here we investigate the relationship between temperature and time-to-effect for imidacloprid toxicity with the aquatic insect Isonychia bicolor, a lotic mayfly. Additionally, we examined the mechanisms driving temperature-enhanced toxicity including metabolic rate, imidacloprid uptake rate, and tissue bioconcentration. Experiments included acute toxicity tests utilizing sublethal endpoints and mortality, as well as respirometry and radiotracer assays with [14C] imidacloprid. Further, we conducted additional uptake experiments with a suite of aquatic invertebrates (including I. bicolor, Neocloeon triangulifer, Macaffertium modestum, Pteronarcys proteus, Acroneuria carolinensis, and Pleuroceridae sp) to confirm and contextualize our findings from initial experiments. The 96 h EC50 (immobility) for I. bicolor at 15 °C was 5.81 μg/L which was approximately 3.2 fold lower than concentrations associated with 50% mortality. Assays examining the impact of temperature were conducted at 15, 18, 21, and 24 °C and demonstrated that time-to-effect for sublethal impairment and immobility was significantly decreased with increasing temperature. Uptake experiments with [14C] imidacloprid revealed that initial uptake rates were significantly increased with increasing temperature for I. bicolor, as were oxygen consumption rates. Further, in the separate experiment with multiple species across temperatures 15, 20, and 25 °C, we found that all the aquatic insects tested had significantly increased imidacloprid uptake with increasing temperatures, with N. triangulifer accumulating the most imidacloprid on a mass-specific basis. Our acute toxicity results highlight the importance of evaluating sublethal endpoints, as profound impairments of motor function were evident far before mortality. Further, we demonstrate that temperature is a powerful modulator of sublethal toxicity within a range of environmentally relevant temperatures, impacting both uptake rates and metabolic rates of I. bicolor. Finally, we show that temperature alters imidacloprid uptake across a range of species, highlighting the physiological varia…","author":[{"dropping-particle":"","family":"Camp","given":"A. A.","non-dropping-particle":"","parse-names":false,"suffix":""},{"dropping-particle":"","family":"Buchwalter","given":"D. B.","non-dropping-particle":"","parse-names":false,"suffix":""}],"container-title":"Aquatic Toxicology","id":"ITEM-1","issue":"February 2018","issued":{"date-parts":[["2016"]]},"note":"Accept with Reservations. WQ not measured at end of test, but 100% control survival. \n\nNo info on water quality but they had 100% survival in control, so it doesn't get much better than that. I should probably email the author to see if I can get it just to cross t's and dot i's.\n\nResponse from author on 10/13/21:\nWe made reconstituted water and checked the pH and conductivity.  We aerate the water so that it is 100% saturation.  These measurements were made before the test began but were not monitored during the test.","page":"49-57","publisher":"Elsevier B.V.","title":"Can't take the heat: Temperature-enhanced toxicity in the mayfly Isonychia bicolor exposed to the neonicotinoid insecticide imidacloprid","type":"article-journal","volume":"178"},"uris":["http://www.mendeley.com/documents/?uuid=a4ebd302-a4bc-4497-8470-f06a539af06f"]}],"mendeley":{"formattedCitation":"(Camp and Buchwalter, 2016)","plainTextFormattedCitation":"(Camp and Buchwalter, 2016)","previouslyFormattedCitation":"(Camp and Buchwalter, 2016)"},"properties":{"noteIndex":0},"schema":"https://github.com/citation-style-language/schema/raw/master/csl-citation.json"}</w:instrText>
            </w:r>
            <w:r w:rsidRPr="008B21A0">
              <w:fldChar w:fldCharType="separate"/>
            </w:r>
            <w:r w:rsidRPr="008B21A0">
              <w:rPr>
                <w:b w:val="0"/>
                <w:bCs w:val="0"/>
                <w:noProof/>
              </w:rPr>
              <w:t>(Camp and Buchwalter, 2016)</w:t>
            </w:r>
            <w:r w:rsidRPr="008B21A0">
              <w:fldChar w:fldCharType="end"/>
            </w:r>
          </w:p>
        </w:tc>
        <w:tc>
          <w:tcPr>
            <w:tcW w:w="1170" w:type="dxa"/>
          </w:tcPr>
          <w:p w14:paraId="6401FE8E" w14:textId="6ADBDF6A" w:rsidR="004E4B93" w:rsidRPr="008B21A0" w:rsidRDefault="00B01D5A" w:rsidP="000A18C0">
            <w:pPr>
              <w:cnfStyle w:val="000000100000" w:firstRow="0" w:lastRow="0" w:firstColumn="0" w:lastColumn="0" w:oddVBand="0" w:evenVBand="0" w:oddHBand="1" w:evenHBand="0" w:firstRowFirstColumn="0" w:firstRowLastColumn="0" w:lastRowFirstColumn="0" w:lastRowLastColumn="0"/>
            </w:pPr>
            <w:r>
              <w:t>Acute</w:t>
            </w:r>
          </w:p>
        </w:tc>
        <w:tc>
          <w:tcPr>
            <w:tcW w:w="5130" w:type="dxa"/>
          </w:tcPr>
          <w:p w14:paraId="3B8F6E65" w14:textId="2558F7BA" w:rsidR="004E4B93" w:rsidRPr="008B21A0" w:rsidRDefault="00B01D5A" w:rsidP="000A18C0">
            <w:pPr>
              <w:cnfStyle w:val="000000100000" w:firstRow="0" w:lastRow="0" w:firstColumn="0" w:lastColumn="0" w:oddVBand="0" w:evenVBand="0" w:oddHBand="1" w:evenHBand="0" w:firstRowFirstColumn="0" w:firstRowLastColumn="0" w:lastRowFirstColumn="0" w:lastRowLastColumn="0"/>
            </w:pPr>
            <w:r>
              <w:t xml:space="preserve">End of test </w:t>
            </w:r>
            <w:r w:rsidR="009043EE">
              <w:t>WQ not reported – control survival 100%</w:t>
            </w:r>
          </w:p>
        </w:tc>
      </w:tr>
      <w:tr w:rsidR="004E4B93" w14:paraId="37D4D51D" w14:textId="77777777" w:rsidTr="008B21A0">
        <w:tc>
          <w:tcPr>
            <w:cnfStyle w:val="001000000000" w:firstRow="0" w:lastRow="0" w:firstColumn="1" w:lastColumn="0" w:oddVBand="0" w:evenVBand="0" w:oddHBand="0" w:evenHBand="0" w:firstRowFirstColumn="0" w:firstRowLastColumn="0" w:lastRowFirstColumn="0" w:lastRowLastColumn="0"/>
            <w:tcW w:w="3235" w:type="dxa"/>
          </w:tcPr>
          <w:p w14:paraId="4F078041" w14:textId="35619E4B" w:rsidR="004E4B93" w:rsidRPr="008B21A0" w:rsidRDefault="00F37F1E" w:rsidP="000A18C0">
            <w:pPr>
              <w:rPr>
                <w:b w:val="0"/>
                <w:bCs w:val="0"/>
              </w:rPr>
            </w:pPr>
            <w:r w:rsidRPr="008B21A0">
              <w:fldChar w:fldCharType="begin" w:fldLock="1"/>
            </w:r>
            <w:r w:rsidR="008B21A0">
              <w:rPr>
                <w:b w:val="0"/>
                <w:bCs w:val="0"/>
              </w:rPr>
              <w:instrText>ADDIN CSL_CITATION {"citationItems":[{"id":"ITEM-1","itemData":{"DOI":"10.1002/etc.2979","ISSN":"15528618","PMID":"25760814","abstract":"Behavior is increasingly reported as a sensitive and early indicator of toxicant stress in aquatic organisms. However, the systematic understanding of behavioral effects and comparisons between effect profiles is hampered because the available studies are limited to few chemicals and differ in the exposure conditions and effect parameters examined. The aims of the present study were 1) to explore behavioral responses of Daphnia magna exposed to different toxicants, 2) to compare behavioral effect profiles with regard to chemical modes of action, and 3) to determine the sensitivity and response time of behavioral parameters in a new multi-cell exposure system named Multi-DaphTrack compared with currently utilized tests. Twelve compounds covering different modes of toxic action were selected to sample a wide range of potential effect profiles. Acute standard immobilization tests and 48h of behavioral tracking were performed in the customized Multi-DaphTrack system and a single-cell commercialized biological early warning system. Contrasting behavioral profiles were observed for average speed (i.e., intensity, time of effect onset, effect duration), but no distinct behavioral profiles could be drawn from the chemical mode of action. Most compounds tested in the Multi-DaphTrack system induced an early and significant average speed increase at concentrations near or below the 10% effective concentration (48h) of the acute immobilization test, demonstrating that the Multi-DaphTrack system is fast and sensitive. To conclude, behavior endpoints could be used as an alternative or complement to the current acute standard test or chemical analysis for the predictive evaluation of ecotoxic effects of effluents or water bodies.","author":[{"dropping-particle":"","family":"Chevalier","given":"Julie","non-dropping-particle":"","parse-names":false,"suffix":""},{"dropping-particle":"","family":"Harscoët","given":"Elodie","non-dropping-particle":"","parse-names":false,"suffix":""},{"dropping-particle":"","family":"Keller","given":"Merlin","non-dropping-particle":"","parse-names":false,"suffix":""},{"dropping-particle":"","family":"Pandard","given":"Pascal","non-dropping-particle":"","parse-names":false,"suffix":""},{"dropping-particle":"","family":"Cachot","given":"Jérôme","non-dropping-particle":"","parse-names":false,"suffix":""},{"dropping-particle":"","family":"Grote","given":"Matthias","non-dropping-particle":"","parse-names":false,"suffix":""}],"container-title":"Environmental Toxicology and Chemistry","id":"ITEM-1","issue":"8","issued":{"date-parts":[["2015"]]},"note":"Accept with reservations. Tested in M4 media, no WQ reported. 100% survival in control. \n\nNeed to double check methods - seem a little different than usual daph test. OECD methods check out.\n\nDaphnia EC50 for immobility (acute) = 93.88 mg/L","page":"1760-1769","title":"Exploration of Daphnia behavioral effect profiles induced by a broad range of toxicants with different modes of action","type":"article-journal","volume":"34"},"uris":["http://www.mendeley.com/documents/?uuid=f8b09b0a-7f43-455d-a6cf-473849cb66b8"]}],"mendeley":{"formattedCitation":"(Chevalier et al., 2015)","plainTextFormattedCitation":"(Chevalier et al., 2015)","previouslyFormattedCitation":"(Chevalier et al., 2015)"},"properties":{"noteIndex":0},"schema":"https://github.com/citation-style-language/schema/raw/master/csl-citation.json"}</w:instrText>
            </w:r>
            <w:r w:rsidRPr="008B21A0">
              <w:fldChar w:fldCharType="separate"/>
            </w:r>
            <w:r w:rsidRPr="008B21A0">
              <w:rPr>
                <w:b w:val="0"/>
                <w:bCs w:val="0"/>
                <w:noProof/>
              </w:rPr>
              <w:t>(Chevalier et al., 2015)</w:t>
            </w:r>
            <w:r w:rsidRPr="008B21A0">
              <w:fldChar w:fldCharType="end"/>
            </w:r>
          </w:p>
        </w:tc>
        <w:tc>
          <w:tcPr>
            <w:tcW w:w="1170" w:type="dxa"/>
          </w:tcPr>
          <w:p w14:paraId="6DD01E32" w14:textId="5BE117AB" w:rsidR="004E4B93" w:rsidRPr="008B21A0" w:rsidRDefault="009E384E" w:rsidP="000A18C0">
            <w:pPr>
              <w:cnfStyle w:val="000000000000" w:firstRow="0" w:lastRow="0" w:firstColumn="0" w:lastColumn="0" w:oddVBand="0" w:evenVBand="0" w:oddHBand="0" w:evenHBand="0" w:firstRowFirstColumn="0" w:firstRowLastColumn="0" w:lastRowFirstColumn="0" w:lastRowLastColumn="0"/>
            </w:pPr>
            <w:r>
              <w:t>Acute</w:t>
            </w:r>
          </w:p>
        </w:tc>
        <w:tc>
          <w:tcPr>
            <w:tcW w:w="5130" w:type="dxa"/>
          </w:tcPr>
          <w:p w14:paraId="6423432C" w14:textId="28A6D53D" w:rsidR="004E4B93" w:rsidRPr="008B21A0" w:rsidRDefault="009E384E" w:rsidP="000A18C0">
            <w:pPr>
              <w:cnfStyle w:val="000000000000" w:firstRow="0" w:lastRow="0" w:firstColumn="0" w:lastColumn="0" w:oddVBand="0" w:evenVBand="0" w:oddHBand="0" w:evenHBand="0" w:firstRowFirstColumn="0" w:firstRowLastColumn="0" w:lastRowFirstColumn="0" w:lastRowLastColumn="0"/>
            </w:pPr>
            <w:r>
              <w:t>End of test WQ not reported – control survival 100%</w:t>
            </w:r>
          </w:p>
        </w:tc>
      </w:tr>
      <w:tr w:rsidR="004E4B93" w14:paraId="569392DF" w14:textId="77777777" w:rsidTr="008B21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33081AE4" w14:textId="122EA6A4" w:rsidR="004E4B93" w:rsidRPr="008B21A0" w:rsidRDefault="008B21A0" w:rsidP="000A18C0">
            <w:pPr>
              <w:rPr>
                <w:b w:val="0"/>
                <w:bCs w:val="0"/>
              </w:rPr>
            </w:pPr>
            <w:r>
              <w:fldChar w:fldCharType="begin" w:fldLock="1"/>
            </w:r>
            <w:r>
              <w:rPr>
                <w:b w:val="0"/>
                <w:bCs w:val="0"/>
              </w:rPr>
              <w:instrText>ADDIN CSL_CITATION {"citationItems":[{"id":"ITEM-1","itemData":{"author":[{"dropping-particle":"","family":"Grau","given":"R","non-dropping-particle":"","parse-names":false,"suffix":""}],"id":"ITEM-1","issued":{"date-parts":[["1988"]]},"note":"Accept with reservations. \n\ntest chamber dimensions not included\nused nominal not measured\n\nLab history:\nBaychem Corporation became\nMobay Corporation became","publisher-place":"Kansas City, Missouri","title":"Acute toxicity of NTN 33893 technical to rainbow trout (Salmo gairdneri)","type":"report"},"uris":["http://www.mendeley.com/documents/?uuid=369b2db1-f756-4ce6-bbad-ca586452548a"]}],"mendeley":{"formattedCitation":"(Grau, 1988)","plainTextFormattedCitation":"(Grau, 1988)","previouslyFormattedCitation":"(Grau, 1988)"},"properties":{"noteIndex":0},"schema":"https://github.com/citation-style-language/schema/raw/master/csl-citation.json"}</w:instrText>
            </w:r>
            <w:r>
              <w:fldChar w:fldCharType="separate"/>
            </w:r>
            <w:r w:rsidRPr="008B21A0">
              <w:rPr>
                <w:b w:val="0"/>
                <w:bCs w:val="0"/>
                <w:noProof/>
              </w:rPr>
              <w:t>(Grau, 1988)</w:t>
            </w:r>
            <w:r>
              <w:fldChar w:fldCharType="end"/>
            </w:r>
          </w:p>
        </w:tc>
        <w:tc>
          <w:tcPr>
            <w:tcW w:w="1170" w:type="dxa"/>
          </w:tcPr>
          <w:p w14:paraId="58FC7E62" w14:textId="5756175E" w:rsidR="004E4B93" w:rsidRPr="008B21A0" w:rsidRDefault="00280070" w:rsidP="000A18C0">
            <w:pPr>
              <w:cnfStyle w:val="000000100000" w:firstRow="0" w:lastRow="0" w:firstColumn="0" w:lastColumn="0" w:oddVBand="0" w:evenVBand="0" w:oddHBand="1" w:evenHBand="0" w:firstRowFirstColumn="0" w:firstRowLastColumn="0" w:lastRowFirstColumn="0" w:lastRowLastColumn="0"/>
            </w:pPr>
            <w:r>
              <w:t>Acute</w:t>
            </w:r>
          </w:p>
        </w:tc>
        <w:tc>
          <w:tcPr>
            <w:tcW w:w="5130" w:type="dxa"/>
          </w:tcPr>
          <w:p w14:paraId="69896278" w14:textId="328A38D7" w:rsidR="004E4B93" w:rsidRPr="008B21A0" w:rsidRDefault="00280070" w:rsidP="000A18C0">
            <w:pPr>
              <w:cnfStyle w:val="000000100000" w:firstRow="0" w:lastRow="0" w:firstColumn="0" w:lastColumn="0" w:oddVBand="0" w:evenVBand="0" w:oddHBand="1" w:evenHBand="0" w:firstRowFirstColumn="0" w:firstRowLastColumn="0" w:lastRowFirstColumn="0" w:lastRowLastColumn="0"/>
            </w:pPr>
            <w:r>
              <w:t>Nominal conc</w:t>
            </w:r>
            <w:r w:rsidR="00215DB3">
              <w:t>.</w:t>
            </w:r>
            <w:r>
              <w:t xml:space="preserve"> only; test aquaria not described</w:t>
            </w:r>
          </w:p>
        </w:tc>
      </w:tr>
      <w:tr w:rsidR="004E4B93" w14:paraId="7818074E" w14:textId="77777777" w:rsidTr="008B21A0">
        <w:tc>
          <w:tcPr>
            <w:cnfStyle w:val="001000000000" w:firstRow="0" w:lastRow="0" w:firstColumn="1" w:lastColumn="0" w:oddVBand="0" w:evenVBand="0" w:oddHBand="0" w:evenHBand="0" w:firstRowFirstColumn="0" w:firstRowLastColumn="0" w:lastRowFirstColumn="0" w:lastRowLastColumn="0"/>
            <w:tcW w:w="3235" w:type="dxa"/>
          </w:tcPr>
          <w:p w14:paraId="57A0154B" w14:textId="3652ECE4" w:rsidR="004E4B93" w:rsidRPr="008B21A0" w:rsidRDefault="008B21A0" w:rsidP="000A18C0">
            <w:pPr>
              <w:rPr>
                <w:b w:val="0"/>
                <w:bCs w:val="0"/>
              </w:rPr>
            </w:pPr>
            <w:r>
              <w:fldChar w:fldCharType="begin" w:fldLock="1"/>
            </w:r>
            <w:r>
              <w:rPr>
                <w:b w:val="0"/>
                <w:bCs w:val="0"/>
              </w:rPr>
              <w:instrText>ADDIN CSL_CITATION {"citationItems":[{"id":"ITEM-1","itemData":{"DOI":"10.1007/s00244-014-0086-7","ISSN":"14320703","PMID":"25298152","abstract":"Two species, the fathead minnow Pimephales promelas and the amphipod Hyalella azteca, were tested to examine acute toxicity to two insecticides, cyfluthrin and imidacloprid individually and as a mixture. Cyfluthrin was acutely toxic to P. promelas and H. azteca with EC50 values and 95 % confidence intervals of 0.31 μg L&lt;sup&gt;-1&lt;/sup&gt; (0.26-0.35 μg L&lt;sup&gt;-1&lt;/sup&gt;) and 0.0015 μg L&lt;sup&gt;-1&lt;/sup&gt; (0.0011-0.0018 μg L&lt;sup&gt;-1&lt;/sup&gt;), respectively. Imidacloprid was not acutely toxic to P. promelas at water concentrations ranging from 1 to 5000 μg L&lt;sup&gt;-1&lt;/sup&gt;, whereas it was toxic to H. azteca with a EC50 value of 33.5 μg L&lt;sup&gt;-1&lt;/sup&gt; (23.3-47.4 μg L&lt;sup&gt;-1&lt;/sup&gt;). For the P. promelas mixture test, imidacloprid was added at a single concentration to a geometric series of cyfluthrin concentrations bracketing the EC50 value. A synergistic ratio (SR) of 1.9 was found for P. promelas, which was calculated using the cyfluthrin-only exposure and mixture-exposure data. Because cyfluthrin and imidacloprid were toxic to H. azteca, the mixture test was designed based on an equipotent toxic unit method. Results from the mixture test indicated a model deviation ratio (MDR) of 1.7 or 2.7 depending on the model. Mixture test results from the simultaneous exposure to cyfluthrin and imidacloprid with both species indicated a greater than expected toxic response because the SR or MDR values were &gt;1. Because these two insecticides are commonly used together in the same product formulations, nontarget species could be more affected due to their greater-than-additive toxicity observed in the current study.","author":[{"dropping-particle":"","family":"Lanteigne","given":"Michelle","non-dropping-particle":"","parse-names":false,"suffix":""},{"dropping-particle":"","family":"Whiting","given":"Sara A.","non-dropping-particle":"","parse-names":false,"suffix":""},{"dropping-particle":"","family":"Lydy","given":"Michael J.","non-dropping-particle":"","parse-names":false,"suffix":""}],"container-title":"Archives of Environmental Contamination and Toxicology","id":"ITEM-1","issue":"2","issued":{"date-parts":[["2015"]]},"note":"Accept without reservations. This is like the perfect study \n\nVerify methods, \n\nP. promelas not usable - did not show mortality at concentrations for single chemical test.","page":"354-361","title":"Mixture Toxicity of Imidacloprid and Cyfluthrin to Two Non-target Species, the Fathead Minnow Pimephales promelas and the Amphipod Hyalella azteca","type":"article-journal","volume":"68"},"uris":["http://www.mendeley.com/documents/?uuid=dc707b8e-2257-467e-8f1b-0e87f1422eae"]}],"mendeley":{"formattedCitation":"(Lanteigne et al., 2015)","plainTextFormattedCitation":"(Lanteigne et al., 2015)","previouslyFormattedCitation":"(Lanteigne et al., 2015)"},"properties":{"noteIndex":0},"schema":"https://github.com/citation-style-language/schema/raw/master/csl-citation.json"}</w:instrText>
            </w:r>
            <w:r>
              <w:fldChar w:fldCharType="separate"/>
            </w:r>
            <w:r w:rsidRPr="008B21A0">
              <w:rPr>
                <w:b w:val="0"/>
                <w:bCs w:val="0"/>
                <w:noProof/>
              </w:rPr>
              <w:t>(Lanteigne et al., 2015)</w:t>
            </w:r>
            <w:r>
              <w:fldChar w:fldCharType="end"/>
            </w:r>
          </w:p>
        </w:tc>
        <w:tc>
          <w:tcPr>
            <w:tcW w:w="1170" w:type="dxa"/>
          </w:tcPr>
          <w:p w14:paraId="335DC3A0" w14:textId="4B5324FD" w:rsidR="004E4B93" w:rsidRPr="008B21A0" w:rsidRDefault="00722A5E" w:rsidP="000A18C0">
            <w:pPr>
              <w:cnfStyle w:val="000000000000" w:firstRow="0" w:lastRow="0" w:firstColumn="0" w:lastColumn="0" w:oddVBand="0" w:evenVBand="0" w:oddHBand="0" w:evenHBand="0" w:firstRowFirstColumn="0" w:firstRowLastColumn="0" w:lastRowFirstColumn="0" w:lastRowLastColumn="0"/>
            </w:pPr>
            <w:r>
              <w:t>Acute</w:t>
            </w:r>
          </w:p>
        </w:tc>
        <w:tc>
          <w:tcPr>
            <w:tcW w:w="5130" w:type="dxa"/>
          </w:tcPr>
          <w:p w14:paraId="2F26A1C0" w14:textId="77777777" w:rsidR="004E4B93" w:rsidRPr="008B21A0" w:rsidRDefault="004E4B93" w:rsidP="000A18C0">
            <w:pPr>
              <w:cnfStyle w:val="000000000000" w:firstRow="0" w:lastRow="0" w:firstColumn="0" w:lastColumn="0" w:oddVBand="0" w:evenVBand="0" w:oddHBand="0" w:evenHBand="0" w:firstRowFirstColumn="0" w:firstRowLastColumn="0" w:lastRowFirstColumn="0" w:lastRowLastColumn="0"/>
            </w:pPr>
          </w:p>
        </w:tc>
      </w:tr>
      <w:tr w:rsidR="004E4B93" w14:paraId="68024DF6" w14:textId="77777777" w:rsidTr="008B21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4CDD4341" w14:textId="552B95FF" w:rsidR="004E4B93" w:rsidRPr="008B21A0" w:rsidRDefault="008B21A0" w:rsidP="000A18C0">
            <w:pPr>
              <w:rPr>
                <w:b w:val="0"/>
                <w:bCs w:val="0"/>
              </w:rPr>
            </w:pPr>
            <w:r>
              <w:fldChar w:fldCharType="begin" w:fldLock="1"/>
            </w:r>
            <w:r>
              <w:rPr>
                <w:b w:val="0"/>
                <w:bCs w:val="0"/>
              </w:rPr>
              <w:instrText>ADDIN CSL_CITATION {"citationItems":[{"id":"ITEM-1","itemData":{"DOI":"10.1002/etc.198","ISSN":"07307268","PMID":"20821624","abstract":"Complex mixtures makes the assessment of environmental hazards difficult due to possible antagonistic or synergistic interactions that can occur between chemicals, or even more complex effect patterns like dose-level or dose-ratio-dependent responses. The aim of the present work was to investigate the acute and sublethal responses of Daphnia magna Straus exposed to four single chemical compounds (imidacloprid, thiacloprid, nickel chloride, and chlorpyrifos) and three binary chemical mixtures. In the immobilization and feeding inhibition bioassays, chlorpyrifos was the most toxic to D. magna, followed by nickel chloride, and imidacloprid and thiacloprid, which showed similar levels of toxicity. The MIXTOX was used to evaluate mixture toxicity. Observed data was compared with the expected mixture effects predicted by concentration addition (CA) and independent action (IA) models; deviations for synergistic/antagonistic interactions, dose-level and dose-ratio dependency were also used. In the mixture toxicity assessment, several patterns of response were obtained depending on the mixture but also on the endpoint tested. For imidacloprid and thiacloprid, deviations for synergism were observed in acute exposures (immobilization), and antagonism for feeding rates at sublethal concentrations. For imidacloprid and chlorpyrifos, antagonism was found in both exposures. In the nickel and chlorpyrifos case study, deviations for synergism were observed in the acute exposure; a dose-ratio deviation was observed in the feeding inhibition test, with a pattern for antagonism, except for where nickel exerts more than 60% of the mixture toxicity. © 2010 SETAC.","author":[{"dropping-particle":"","family":"Loureiro","given":"Susana","non-dropping-particle":"","parse-names":false,"suffix":""},{"dropping-particle":"","family":"Svendsen","given":"Claus","non-dropping-particle":"","parse-names":false,"suffix":""},{"dropping-particle":"","family":"Ferreira","given":"Abel L.G.","non-dropping-particle":"","parse-names":false,"suffix":""},{"dropping-particle":"","family":"Pinheiro","given":"Clara","non-dropping-particle":"","parse-names":false,"suffix":""},{"dropping-particle":"","family":"Ribeiro","given":"Fabianne","non-dropping-particle":"","parse-names":false,"suffix":""},{"dropping-particle":"","family":"Soares","given":"Amadeu M.V.M.","non-dropping-particle":"","parse-names":false,"suffix":""}],"container-title":"Environmental Toxicology and Chemistry","id":"ITEM-1","issue":"8","issued":{"date-parts":[["2010"]]},"note":"Accept with reservations. WQ data collected but not reported. control survival &amp;gt;90%.\n\nHas IMI and THIA numbers for daphnia magna, 48-hr test\n97 mg/L IMI\n88 Thia\n\nNew Chlorpyrifos numbers - could be used to update 2003 FAV","page":"1716-1726","title":"Toxicity of three binary mixtures to daphnia magna: Comparing chemical modes of action and deviations from conceptual models","type":"article-journal","volume":"29"},"uris":["http://www.mendeley.com/documents/?uuid=3928a50f-5b5b-463b-a946-893e48dc5242"]}],"mendeley":{"formattedCitation":"(Loureiro et al., 2010)","plainTextFormattedCitation":"(Loureiro et al., 2010)","previouslyFormattedCitation":"(Loureiro et al., 2010)"},"properties":{"noteIndex":0},"schema":"https://github.com/citation-style-language/schema/raw/master/csl-citation.json"}</w:instrText>
            </w:r>
            <w:r>
              <w:fldChar w:fldCharType="separate"/>
            </w:r>
            <w:r w:rsidRPr="008B21A0">
              <w:rPr>
                <w:b w:val="0"/>
                <w:bCs w:val="0"/>
                <w:noProof/>
              </w:rPr>
              <w:t>(Loureiro et al., 2010)</w:t>
            </w:r>
            <w:r>
              <w:fldChar w:fldCharType="end"/>
            </w:r>
          </w:p>
        </w:tc>
        <w:tc>
          <w:tcPr>
            <w:tcW w:w="1170" w:type="dxa"/>
          </w:tcPr>
          <w:p w14:paraId="5F6A01A2" w14:textId="577066A8" w:rsidR="004E4B93" w:rsidRPr="008B21A0" w:rsidRDefault="00DF4F12" w:rsidP="000A18C0">
            <w:pPr>
              <w:cnfStyle w:val="000000100000" w:firstRow="0" w:lastRow="0" w:firstColumn="0" w:lastColumn="0" w:oddVBand="0" w:evenVBand="0" w:oddHBand="1" w:evenHBand="0" w:firstRowFirstColumn="0" w:firstRowLastColumn="0" w:lastRowFirstColumn="0" w:lastRowLastColumn="0"/>
            </w:pPr>
            <w:r>
              <w:t>Acute</w:t>
            </w:r>
          </w:p>
        </w:tc>
        <w:tc>
          <w:tcPr>
            <w:tcW w:w="5130" w:type="dxa"/>
          </w:tcPr>
          <w:p w14:paraId="00CD88B6" w14:textId="75BCBD3D" w:rsidR="004E4B93" w:rsidRPr="008B21A0" w:rsidRDefault="00DF4F12" w:rsidP="000A18C0">
            <w:pPr>
              <w:cnfStyle w:val="000000100000" w:firstRow="0" w:lastRow="0" w:firstColumn="0" w:lastColumn="0" w:oddVBand="0" w:evenVBand="0" w:oddHBand="1" w:evenHBand="0" w:firstRowFirstColumn="0" w:firstRowLastColumn="0" w:lastRowFirstColumn="0" w:lastRowLastColumn="0"/>
            </w:pPr>
            <w:r>
              <w:t>End of test WQ not reported – control survival 90%</w:t>
            </w:r>
          </w:p>
        </w:tc>
      </w:tr>
      <w:tr w:rsidR="004E4B93" w14:paraId="5E030262" w14:textId="77777777" w:rsidTr="008B21A0">
        <w:tc>
          <w:tcPr>
            <w:cnfStyle w:val="001000000000" w:firstRow="0" w:lastRow="0" w:firstColumn="1" w:lastColumn="0" w:oddVBand="0" w:evenVBand="0" w:oddHBand="0" w:evenHBand="0" w:firstRowFirstColumn="0" w:firstRowLastColumn="0" w:lastRowFirstColumn="0" w:lastRowLastColumn="0"/>
            <w:tcW w:w="3235" w:type="dxa"/>
          </w:tcPr>
          <w:p w14:paraId="3B75B7C7" w14:textId="03DD25E2" w:rsidR="004E4B93" w:rsidRPr="008B21A0" w:rsidRDefault="008B21A0" w:rsidP="000A18C0">
            <w:pPr>
              <w:rPr>
                <w:b w:val="0"/>
                <w:bCs w:val="0"/>
              </w:rPr>
            </w:pPr>
            <w:r>
              <w:fldChar w:fldCharType="begin" w:fldLock="1"/>
            </w:r>
            <w:r>
              <w:rPr>
                <w:b w:val="0"/>
                <w:bCs w:val="0"/>
              </w:rPr>
              <w:instrText>ADDIN CSL_CITATION {"citationItems":[{"id":"ITEM-1","itemData":{"DOI":"10.1002/etc.3878","ISSN":"15528618","PMID":"28636110","abstract":"Extensive agricultural use of neonicotinoid insecticide products has resulted in the presence of neonicotinoid mixtures in surface waters worldwide. Although many aquatic insect species are known to be sensitive to neonicotinoids, the impact of neonicotinoid mixtures is poorly understood. In the present study, the cumulative toxicities of binary and ternary mixtures of select neonicotinoids (imidacloprid, clothianidin, and thiamethoxam) were characterized under acute (96-h) exposure scenarios using the larval midge Chironomus dilutus as a representative aquatic insect species. Using the MIXTOX approach, predictive parametric models were fitted and statistically compared with observed toxicity in subsequent mixture tests. Single-compound toxicity tests yielded median lethal concentration (LC50) values of 4.63, 5.93, and 55.34 μg/L for imidacloprid, clothianidin, and thiamethoxam, respectively. Because of the similar modes of action of neonicotinoids, concentration-additive cumulative mixture toxicity was the predicted model. However, we found that imidacloprid–clothianidin mixtures demonstrated response-additive dose-level–dependent synergism, clothianidin–thiamethoxam mixtures demonstrated concentration-additive synergism, and imidacloprid–thiamethoxam mixtures demonstrated response-additive dose-ratio–dependent synergism, with toxicity shifting from antagonism to synergism as the relative concentration of thiamethoxam increased. Imidacloprid–clothianidin–thiamethoxam ternary mixtures demonstrated response-additive synergism. These results indicate that, under acute exposure scenarios, the toxicity of neonicotinoid mixtures to C. dilutus cannot be predicted using the common assumption of additive joint activity. Indeed, the overarching trend of synergistic deviation emphasizes the need for further research into the ecotoxicological effects of neonicotinoid insecticide mixtures in field settings, the development of better toxicity models for neonicotinoid mixture exposures, and the consideration of mixture effects when setting water quality guidelines for this class of pesticides. Environ Toxicol Chem 2017;36:3091–3101. © 2017 SETAC.","author":[{"dropping-particle":"","family":"Maloney","given":"Erin M.","non-dropping-particle":"","parse-names":false,"suffix":""},{"dropping-particle":"","family":"Morrissey","given":"Christy A.","non-dropping-particle":"","parse-names":false,"suffix":""},{"dropping-particle":"V.","family":"Headley","given":"John","non-dropping-particle":"","parse-names":false,"suffix":""},{"dropping-particle":"","family":"Peru","given":"Kerry M.","non-dropping-particle":"","parse-names":false,"suffix":""},{"dropping-particle":"","family":"Liber","given":"Karsten","non-dropping-particle":"","parse-names":false,"suffix":""}],"container-title":"Environmental Toxicology and Chemistry","id":"ITEM-1","issue":"11","issued":{"date-parts":[["2017"]]},"note":"Possible REJECT - chironomids were fed :(. Want to verify this isn't the lowest acute number before rejecting outright. \n\nIncludes acute LC50 for imidacloprid, clothianidin, and thiamethoxam\n\nPassed initial screen - double check methods highlighted in pink\n\nLC50 = 4.63 ug/L for IMI\nLC50 = 5.93 ug/L for CLO\nLC50 = 55.34 ug/L for THIA","page":"3091-3101","title":"Cumulative toxicity of neonicotinoid insecticide mixtures to Chironomus dilutus under acute exposure scenarios","type":"article-journal","volume":"36"},"uris":["http://www.mendeley.com/documents/?uuid=5791fe5f-5180-4776-aa4f-fa97fdb3ccca"]}],"mendeley":{"formattedCitation":"(Maloney et al., 2017)","plainTextFormattedCitation":"(Maloney et al., 2017)","previouslyFormattedCitation":"(Maloney et al., 2017)"},"properties":{"noteIndex":0},"schema":"https://github.com/citation-style-language/schema/raw/master/csl-citation.json"}</w:instrText>
            </w:r>
            <w:r>
              <w:fldChar w:fldCharType="separate"/>
            </w:r>
            <w:r w:rsidRPr="008B21A0">
              <w:rPr>
                <w:b w:val="0"/>
                <w:bCs w:val="0"/>
                <w:noProof/>
              </w:rPr>
              <w:t>(Maloney et al., 2017)</w:t>
            </w:r>
            <w:r>
              <w:fldChar w:fldCharType="end"/>
            </w:r>
          </w:p>
        </w:tc>
        <w:tc>
          <w:tcPr>
            <w:tcW w:w="1170" w:type="dxa"/>
          </w:tcPr>
          <w:p w14:paraId="2E181154" w14:textId="0503276E" w:rsidR="004E4B93" w:rsidRPr="008B21A0" w:rsidRDefault="00DF4F12" w:rsidP="000A18C0">
            <w:pPr>
              <w:cnfStyle w:val="000000000000" w:firstRow="0" w:lastRow="0" w:firstColumn="0" w:lastColumn="0" w:oddVBand="0" w:evenVBand="0" w:oddHBand="0" w:evenHBand="0" w:firstRowFirstColumn="0" w:firstRowLastColumn="0" w:lastRowFirstColumn="0" w:lastRowLastColumn="0"/>
            </w:pPr>
            <w:r>
              <w:t>Acute</w:t>
            </w:r>
          </w:p>
        </w:tc>
        <w:tc>
          <w:tcPr>
            <w:tcW w:w="5130" w:type="dxa"/>
          </w:tcPr>
          <w:p w14:paraId="6C5D9AA8" w14:textId="012BFDF0" w:rsidR="004E4B93" w:rsidRPr="008B21A0" w:rsidRDefault="00DF4F12" w:rsidP="000A18C0">
            <w:pPr>
              <w:cnfStyle w:val="000000000000" w:firstRow="0" w:lastRow="0" w:firstColumn="0" w:lastColumn="0" w:oddVBand="0" w:evenVBand="0" w:oddHBand="0" w:evenHBand="0" w:firstRowFirstColumn="0" w:firstRowLastColumn="0" w:lastRowFirstColumn="0" w:lastRowLastColumn="0"/>
            </w:pPr>
            <w:r w:rsidRPr="001B2807">
              <w:rPr>
                <w:i/>
                <w:iCs/>
              </w:rPr>
              <w:t xml:space="preserve">C. </w:t>
            </w:r>
            <w:proofErr w:type="spellStart"/>
            <w:r w:rsidRPr="001B2807">
              <w:rPr>
                <w:i/>
                <w:iCs/>
              </w:rPr>
              <w:t>dilutus</w:t>
            </w:r>
            <w:proofErr w:type="spellEnd"/>
            <w:r>
              <w:t xml:space="preserve"> were fed during toxicity test</w:t>
            </w:r>
          </w:p>
        </w:tc>
      </w:tr>
      <w:tr w:rsidR="0043161C" w14:paraId="42A1CAD7" w14:textId="77777777" w:rsidTr="008B21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536EFF4F" w14:textId="14B86441" w:rsidR="0043161C" w:rsidRPr="008B21A0" w:rsidRDefault="0043161C" w:rsidP="0043161C">
            <w:pPr>
              <w:rPr>
                <w:b w:val="0"/>
                <w:bCs w:val="0"/>
              </w:rPr>
            </w:pPr>
            <w:r>
              <w:fldChar w:fldCharType="begin" w:fldLock="1"/>
            </w:r>
            <w:r>
              <w:rPr>
                <w:b w:val="0"/>
                <w:bCs w:val="0"/>
              </w:rPr>
              <w:instrText>ADDIN CSL_CITATION {"citationItems":[{"id":"ITEM-1","itemData":{"DOI":"10.1016/j.ecoenv.2010.07.010","ISSN":"01476513","PMID":"20843551","abstract":"The environment is constantly exposed to a cocktail of contaminants mainly due to human activities. Because polluted ecosystems are characterized by an amalgam of chemical compounds, the objective of the present study was to assess the joint effect of chemical mixtures to the life-history traits of Daphnia magna Straus. For that a binary mixture of two neonicotinoid insecticides, imidacloprid and thiacloprid, and another one of imidacloprid with nickel chloride were tested. Theoretical models have been developed and applied in studies with chemical mixtures, predicting toxicity based on their modes of action: concentration addition (CA) and independent joint action (IA) models. Still there are cases where deviations are observed (e.g. synergistic or antagonistic behaviors, dose ratio or level dependency). In this study, the effects of the individual compounds and their mixtures were studied in a chronic test where reproduction, survival and body length were evaluated in D. magna. Regarding single compound effects, it was observed that the most toxic was nickel chloride followed by thiacloprid and imidacloprid. For the mixture exposure of imidacloprid and thiacloprid, a synergistic pattern was observed in the sublethal doses used for the number of neonates produced, while for the body length the best fit was shown with the CA model. In the mixture exposure of imidacloprid and nickel, no deviation from the IA was observed for the neonate production data; for the body length parameter, a synergistic pattern was observed in low doses of the chemicals while an antagonistic pattern was observed. © 2010 Elsevier Inc.","author":[{"dropping-particle":"","family":"Pavlaki","given":"Maria D.","non-dropping-particle":"","parse-names":false,"suffix":""},{"dropping-particle":"","family":"Pereira","given":"Ricardo","non-dropping-particle":"","parse-names":false,"suffix":""},{"dropping-particle":"","family":"Loureiro","given":"Susana","non-dropping-particle":"","parse-names":false,"suffix":""},{"dropping-particle":"","family":"Soares","given":"Amadeu M.V.M.","non-dropping-particle":"","parse-names":false,"suffix":""}],"container-title":"Ecotoxicology and Environmental Safety","id":"ITEM-1","issue":"1","issued":{"date-parts":[["2011"]]},"note":"Accept with reservations. WQ data collected but not published - control survival was 100%. \n\nHas Thia data too. Can be used to calculate ACR (see note below).","page":"99-110","publisher":"Elsevier","title":"Effects of binary mixtures on the life traits of Daphnia magna","type":"article-journal","volume":"74"},"uris":["http://www.mendeley.com/documents/?uuid=d8849578-945b-4c86-ba3c-3024de951b98"]}],"mendeley":{"formattedCitation":"(Pavlaki et al., 2011)","plainTextFormattedCitation":"(Pavlaki et al., 2011)","previouslyFormattedCitation":"(Pavlaki et al., 2011)"},"properties":{"noteIndex":0},"schema":"https://github.com/citation-style-language/schema/raw/master/csl-citation.json"}</w:instrText>
            </w:r>
            <w:r>
              <w:fldChar w:fldCharType="separate"/>
            </w:r>
            <w:r w:rsidRPr="008B21A0">
              <w:rPr>
                <w:b w:val="0"/>
                <w:bCs w:val="0"/>
                <w:noProof/>
              </w:rPr>
              <w:t>(Pavlaki et al., 2011)</w:t>
            </w:r>
            <w:r>
              <w:fldChar w:fldCharType="end"/>
            </w:r>
          </w:p>
        </w:tc>
        <w:tc>
          <w:tcPr>
            <w:tcW w:w="1170" w:type="dxa"/>
          </w:tcPr>
          <w:p w14:paraId="64455F73" w14:textId="3138B641" w:rsidR="0043161C" w:rsidRPr="008B21A0" w:rsidRDefault="0043161C" w:rsidP="0043161C">
            <w:pPr>
              <w:cnfStyle w:val="000000100000" w:firstRow="0" w:lastRow="0" w:firstColumn="0" w:lastColumn="0" w:oddVBand="0" w:evenVBand="0" w:oddHBand="1" w:evenHBand="0" w:firstRowFirstColumn="0" w:firstRowLastColumn="0" w:lastRowFirstColumn="0" w:lastRowLastColumn="0"/>
            </w:pPr>
            <w:r>
              <w:t>Chronic</w:t>
            </w:r>
          </w:p>
        </w:tc>
        <w:tc>
          <w:tcPr>
            <w:tcW w:w="5130" w:type="dxa"/>
          </w:tcPr>
          <w:p w14:paraId="7DDABAE8" w14:textId="77777777" w:rsidR="0043161C" w:rsidRDefault="0043161C" w:rsidP="0043161C">
            <w:pPr>
              <w:cnfStyle w:val="000000100000" w:firstRow="0" w:lastRow="0" w:firstColumn="0" w:lastColumn="0" w:oddVBand="0" w:evenVBand="0" w:oddHBand="1" w:evenHBand="0" w:firstRowFirstColumn="0" w:firstRowLastColumn="0" w:lastRowFirstColumn="0" w:lastRowLastColumn="0"/>
            </w:pPr>
            <w:r>
              <w:t>End of test WQ not reported – control survival 100%</w:t>
            </w:r>
          </w:p>
          <w:p w14:paraId="546BB23E" w14:textId="58FAAF9D" w:rsidR="00D258C5" w:rsidRPr="008B21A0" w:rsidRDefault="00C35F64" w:rsidP="0043161C">
            <w:pPr>
              <w:cnfStyle w:val="000000100000" w:firstRow="0" w:lastRow="0" w:firstColumn="0" w:lastColumn="0" w:oddVBand="0" w:evenVBand="0" w:oddHBand="1" w:evenHBand="0" w:firstRowFirstColumn="0" w:firstRowLastColumn="0" w:lastRowFirstColumn="0" w:lastRowLastColumn="0"/>
            </w:pPr>
            <w:r>
              <w:t>Unmeasured; not used in ACR calculations</w:t>
            </w:r>
          </w:p>
        </w:tc>
      </w:tr>
      <w:tr w:rsidR="0043161C" w14:paraId="4C291103" w14:textId="77777777" w:rsidTr="008B21A0">
        <w:tc>
          <w:tcPr>
            <w:cnfStyle w:val="001000000000" w:firstRow="0" w:lastRow="0" w:firstColumn="1" w:lastColumn="0" w:oddVBand="0" w:evenVBand="0" w:oddHBand="0" w:evenHBand="0" w:firstRowFirstColumn="0" w:firstRowLastColumn="0" w:lastRowFirstColumn="0" w:lastRowLastColumn="0"/>
            <w:tcW w:w="3235" w:type="dxa"/>
          </w:tcPr>
          <w:p w14:paraId="6456393C" w14:textId="26A19C6D" w:rsidR="0043161C" w:rsidRPr="008B21A0" w:rsidRDefault="0043161C" w:rsidP="0043161C">
            <w:pPr>
              <w:rPr>
                <w:b w:val="0"/>
                <w:bCs w:val="0"/>
              </w:rPr>
            </w:pPr>
            <w:r>
              <w:fldChar w:fldCharType="begin" w:fldLock="1"/>
            </w:r>
            <w:r>
              <w:rPr>
                <w:b w:val="0"/>
                <w:bCs w:val="0"/>
              </w:rPr>
              <w:instrText>ADDIN CSL_CITATION {"citationItems":[{"id":"ITEM-1","itemData":{"DOI":"10.1016/j.ecoenv.2017.10.042","ISSN":"10902414","PMID":"29096261","abstract":"Cycloxaprid (CYC) and guadipyr (GUA) are two new and promising neonicotinoid insecticides whose effects on Daphnia magna are as yet unknown. In this study, the acute toxicities of CYC and GUA to D. magna, including immobilization and embryo-hatching inhibition, and their effects on antioxidant enzymes and related gene expression were determined after a 48-h exposure. Imidacloprid (IMI) was evaluated at the same time as a reference agent. The 48-h EC50 values of IMI, GUA, and CYC for neonate immobilization were 13.0–16.5 mg/L and for embryo hatching were 11.3–16.2 mg/L. The specific activity of the enzymes superoxide dismutase (SOD) and catalase (CAT) were interfered by IMI, but not by GUA and CYC, while the activity of acetylcholinesterase (AChE) was significantly increased by IMI, but inhibited by GUA and CYC. The relative expressions of the Sod-Cu/Zn, Sod-Mn, Cat, and Ache genes were usually inhibited by IMI, GUA, and CYC, except for Cat by CYC, Ache by GUA, and Sods by IMI. For vitellogenin genes with a SOD-like domain (Vtg1/2-sod), relative expression was increased by IMI and inhibited by GUA and CYC, indicating that IMI, GUA, and CYC have potential toxicity toward reproduction. CYC and GUA are highly active against IMI-resistant pests, and considering the similar toxicity of IMI to D. magna, CYC and GUA are suitable for use in future integrated pest management systems.","author":[{"dropping-particle":"","family":"Qi","given":"Suzhen","non-dropping-particle":"","parse-names":false,"suffix":""},{"dropping-particle":"","family":"Wang","given":"Donghui","non-dropping-particle":"","parse-names":false,"suffix":""},{"dropping-particle":"","family":"Zhu","given":"Lizhen","non-dropping-particle":"","parse-names":false,"suffix":""},{"dropping-particle":"","family":"Teng","given":"Miaomiao","non-dropping-particle":"","parse-names":false,"suffix":""},{"dropping-particle":"","family":"Wang","given":"Chengju","non-dropping-particle":"","parse-names":false,"suffix":""},{"dropping-particle":"","family":"Xue","given":"Xiaofeng","non-dropping-particle":"","parse-names":false,"suffix":""},{"dropping-particle":"","family":"Wu","given":"Liming","non-dropping-particle":"","parse-names":false,"suffix":""}],"container-title":"Ecotoxicology and Environmental Safety","id":"ITEM-1","issue":"September 2017","issued":{"date-parts":[["2018"]]},"note":"Accept with reservations. \n\nDoes not say how frequetnlt water quality was collected. \nNumber is much lower than other Daphnid studies - no discussion of this in paper.\nDoesn't say if nominal or measured conc. were used.","page":"352-358","publisher":"Elsevier Inc.","title":"Neonicotinoid insecticides imidacloprid, guadipyr, and cycloxaprid induce acute oxidative stress in Daphnia magna","type":"article-journal","volume":"148"},"uris":["http://www.mendeley.com/documents/?uuid=73ef71f2-3fae-4eef-bd0c-36bed03f1b37"]}],"mendeley":{"formattedCitation":"(Qi et al., 2018)","plainTextFormattedCitation":"(Qi et al., 2018)","previouslyFormattedCitation":"(Qi et al., 2018)"},"properties":{"noteIndex":0},"schema":"https://github.com/citation-style-language/schema/raw/master/csl-citation.json"}</w:instrText>
            </w:r>
            <w:r>
              <w:fldChar w:fldCharType="separate"/>
            </w:r>
            <w:r w:rsidRPr="008B21A0">
              <w:rPr>
                <w:b w:val="0"/>
                <w:bCs w:val="0"/>
                <w:noProof/>
              </w:rPr>
              <w:t>(Qi et al., 2018)</w:t>
            </w:r>
            <w:r>
              <w:fldChar w:fldCharType="end"/>
            </w:r>
          </w:p>
        </w:tc>
        <w:tc>
          <w:tcPr>
            <w:tcW w:w="1170" w:type="dxa"/>
          </w:tcPr>
          <w:p w14:paraId="5ADE8E95" w14:textId="22F5603F" w:rsidR="0043161C" w:rsidRPr="008B21A0" w:rsidRDefault="00816078" w:rsidP="0043161C">
            <w:pPr>
              <w:cnfStyle w:val="000000000000" w:firstRow="0" w:lastRow="0" w:firstColumn="0" w:lastColumn="0" w:oddVBand="0" w:evenVBand="0" w:oddHBand="0" w:evenHBand="0" w:firstRowFirstColumn="0" w:firstRowLastColumn="0" w:lastRowFirstColumn="0" w:lastRowLastColumn="0"/>
            </w:pPr>
            <w:r>
              <w:t>Acute</w:t>
            </w:r>
          </w:p>
        </w:tc>
        <w:tc>
          <w:tcPr>
            <w:tcW w:w="5130" w:type="dxa"/>
          </w:tcPr>
          <w:p w14:paraId="2710D787" w14:textId="7A7D1422" w:rsidR="0043161C" w:rsidRPr="008B21A0" w:rsidRDefault="00D33A8E" w:rsidP="0043161C">
            <w:pPr>
              <w:cnfStyle w:val="000000000000" w:firstRow="0" w:lastRow="0" w:firstColumn="0" w:lastColumn="0" w:oddVBand="0" w:evenVBand="0" w:oddHBand="0" w:evenHBand="0" w:firstRowFirstColumn="0" w:firstRowLastColumn="0" w:lastRowFirstColumn="0" w:lastRowLastColumn="0"/>
            </w:pPr>
            <w:r>
              <w:t>Unclear if nominal/measured conc. used</w:t>
            </w:r>
          </w:p>
        </w:tc>
      </w:tr>
      <w:tr w:rsidR="0043161C" w14:paraId="529DB82E" w14:textId="77777777" w:rsidTr="008B21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5E7E780E" w14:textId="2785D1D8" w:rsidR="0043161C" w:rsidRPr="008B21A0" w:rsidRDefault="0043161C" w:rsidP="0043161C">
            <w:pPr>
              <w:rPr>
                <w:b w:val="0"/>
                <w:bCs w:val="0"/>
              </w:rPr>
            </w:pPr>
            <w:r>
              <w:fldChar w:fldCharType="begin" w:fldLock="1"/>
            </w:r>
            <w:r>
              <w:rPr>
                <w:b w:val="0"/>
                <w:bCs w:val="0"/>
              </w:rPr>
              <w:instrText>ADDIN CSL_CITATION {"citationItems":[{"id":"ITEM-1","itemData":{"DOI":"10.1002/etc.4386","ISSN":"15528618","PMID":"30724382","abstract":"Receiving waters from agricultural areas can contain multiple pesticides such as the neonicotinoid imidacloprid and the fungicide tebuconazole, leading to the potential for aquatic life to be exposed to such mixtures. In the present study, the effects of tebuconazole were tested alone and in binary mixtures with imidacloprid on 4 aquatic invertebrates: Chironomus dilutus, Hyalella azteca, Lumbriculus variegatus, and Neocloeon triangulifer. Acute (96-h) median lethal concentrations (LC50s) were derived for individual compounds and used to design a binary mixture study to determine cumulative effects. The LC50s showed that imidacloprid was more potent than tebuconazole by 1 to 3 orders of magnitude for the 4 species. Lethality data from mixture experiments were analyzed using MIXTOX to determine deviations from independent action, followed by the model deviation ratio (MDR) technique to determine the biological significance and reproducibility of observed mixture effects. MIXTOX showed that the cumulative toxicities of imidacloprid–tebuconazole differed between the species: for C. dilutus there was no deviation from independent action; however, for H. azteca the mixture was antagonistic (specifically dose ratio–dependent), and for N. triangulifer it was synergistic. The MDR method showed that only observations with H. azteca significantly deviated from independent action. Because of the lack of evidence of a clear deviation from independent action and the much greater potency of imidacloprid, the weight of evidence indicates that the presence of tebuconazole is unlikely to appreciably increase the hazard from imidacloprid exposure to aquatic invertebrates. Environ Toxicol Chem 2019;00:1–17. © 2019 SETAC.","author":[{"dropping-particle":"","family":"Raby","given":"Melanie","non-dropping-particle":"","parse-names":false,"suffix":""},{"dropping-particle":"","family":"Maloney","given":"Erin","non-dropping-particle":"","parse-names":false,"suffix":""},{"dropping-particle":"","family":"Poirier","given":"David G.","non-dropping-particle":"","parse-names":false,"suffix":""},{"dropping-particle":"","family":"Sibley","given":"Paul K.","non-dropping-particle":"","parse-names":false,"suffix":""}],"container-title":"Environmental Toxicology and Chemistry","id":"ITEM-1","issue":"5","issued":{"date-parts":[["2019"]]},"note":"Accept with reservations. \n\nAfter review of methods, h. azteca and C. dilutus are fed; hexagenia and l. variegatus are not fed\nDid not state control results but method requires &amp;gt;90% survival.\n\n\nN. Triangulifer present in MI\nhttps://explorer.natureserve.org/Taxon/ELEMENT_GLOBAL.2.114344/Centroptilum_triangulifer","page":"1093-1103","title":"Acute effects of binary mixtures of imidacloprid and tebuconazole on 4 freshwater invertebrates","type":"article-journal","volume":"38"},"uris":["http://www.mendeley.com/documents/?uuid=4036eb34-a706-4574-bc40-df3b4ad03bf9"]}],"mendeley":{"formattedCitation":"(Raby et al., 2019)","plainTextFormattedCitation":"(Raby et al., 2019)","previouslyFormattedCitation":"(Raby et al., 2019)"},"properties":{"noteIndex":0},"schema":"https://github.com/citation-style-language/schema/raw/master/csl-citation.json"}</w:instrText>
            </w:r>
            <w:r>
              <w:fldChar w:fldCharType="separate"/>
            </w:r>
            <w:r w:rsidRPr="008B21A0">
              <w:rPr>
                <w:b w:val="0"/>
                <w:bCs w:val="0"/>
                <w:noProof/>
              </w:rPr>
              <w:t>(Raby et al., 2019)</w:t>
            </w:r>
            <w:r>
              <w:fldChar w:fldCharType="end"/>
            </w:r>
          </w:p>
        </w:tc>
        <w:tc>
          <w:tcPr>
            <w:tcW w:w="1170" w:type="dxa"/>
          </w:tcPr>
          <w:p w14:paraId="34D0945E" w14:textId="3F90BD28" w:rsidR="0043161C" w:rsidRPr="008B21A0" w:rsidRDefault="00A42AF8" w:rsidP="0043161C">
            <w:pPr>
              <w:cnfStyle w:val="000000100000" w:firstRow="0" w:lastRow="0" w:firstColumn="0" w:lastColumn="0" w:oddVBand="0" w:evenVBand="0" w:oddHBand="1" w:evenHBand="0" w:firstRowFirstColumn="0" w:firstRowLastColumn="0" w:lastRowFirstColumn="0" w:lastRowLastColumn="0"/>
            </w:pPr>
            <w:r>
              <w:t>Acute</w:t>
            </w:r>
          </w:p>
        </w:tc>
        <w:tc>
          <w:tcPr>
            <w:tcW w:w="5130" w:type="dxa"/>
          </w:tcPr>
          <w:p w14:paraId="40D8A77A" w14:textId="77777777" w:rsidR="0043161C" w:rsidRPr="008B21A0" w:rsidRDefault="0043161C" w:rsidP="0043161C">
            <w:pPr>
              <w:cnfStyle w:val="000000100000" w:firstRow="0" w:lastRow="0" w:firstColumn="0" w:lastColumn="0" w:oddVBand="0" w:evenVBand="0" w:oddHBand="1" w:evenHBand="0" w:firstRowFirstColumn="0" w:firstRowLastColumn="0" w:lastRowFirstColumn="0" w:lastRowLastColumn="0"/>
            </w:pPr>
          </w:p>
        </w:tc>
      </w:tr>
      <w:tr w:rsidR="0043161C" w14:paraId="6268BCDA" w14:textId="77777777" w:rsidTr="008B21A0">
        <w:tc>
          <w:tcPr>
            <w:cnfStyle w:val="001000000000" w:firstRow="0" w:lastRow="0" w:firstColumn="1" w:lastColumn="0" w:oddVBand="0" w:evenVBand="0" w:oddHBand="0" w:evenHBand="0" w:firstRowFirstColumn="0" w:firstRowLastColumn="0" w:lastRowFirstColumn="0" w:lastRowLastColumn="0"/>
            <w:tcW w:w="3235" w:type="dxa"/>
          </w:tcPr>
          <w:p w14:paraId="07AF93C8" w14:textId="7E6F6062" w:rsidR="0043161C" w:rsidRPr="008B21A0" w:rsidRDefault="0043161C" w:rsidP="0043161C">
            <w:pPr>
              <w:rPr>
                <w:b w:val="0"/>
                <w:bCs w:val="0"/>
              </w:rPr>
            </w:pPr>
            <w:r>
              <w:fldChar w:fldCharType="begin" w:fldLock="1"/>
            </w:r>
            <w:r>
              <w:rPr>
                <w:b w:val="0"/>
                <w:bCs w:val="0"/>
              </w:rPr>
              <w:instrText>ADDIN CSL_CITATION {"citationItems":[{"id":"ITEM-1","itemData":{"DOI":"10.1002/etc.4088","ISSN":"15528618","PMID":"29336495","abstract":"Neonicotinoids are a group of insecticides commonly used in agriculture. Due to their high water solubility, neonicotinoids can be transported to surface waters and have the potential to be toxic to aquatic life. The present study assessed and compared the acute (48- or 96-h) toxicity of 6 neonicotinoids (acetamiprid, clothianidin, dinotefuran, imidacloprid, thiacloprid, and thiamethoxam) to 21 laboratory-cultured and field-collected aquatic invertebrates spanning 10 aquatic arthropod orders. Test conditions mimicked species’ habitat, with lentic taxa exposed under static conditions, and lotic taxa exposed under recirculating systems. Median lethal concentrations (LC50s) and median effect concentrations (EC50s; immobility) were calculated and used to construct separate lethal- and immobilization-derived species sensitivity distributions for each neonicotinoid, from which 5th percentile hazard concentrations (HC5s) were calculated. The results showed that the most sensitive invertebrates were insects from the orders Ephemeroptera (Neocloeon triangulifer) and Diptera (Chironomus dilutus), whereas cladocerans (Daphnia magna, Ceriodaphnia dubia) were the least sensitive. The HC5s were compared with neonicotinoid environmental concentrations from Ontario (Canada) monitoring studies. For all neonicotinoids except imidacloprid, the resulting hazard quotients indicated little to no hazard in terms of acute toxicity to aquatic communities in Ontario freshwater streams. For the neonicotinoid imidacloprid, a moderate hazard was found when only invertebrate immobilization, and not lethality, data were considered. Environ Toxicol Chem 2018;37:1430–1445. © 2018 SETAC.","author":[{"dropping-particle":"","family":"Raby","given":"Melanie","non-dropping-particle":"","parse-names":false,"suffix":""},{"dropping-particle":"","family":"Nowierski","given":"Monica","non-dropping-particle":"","parse-names":false,"suffix":""},{"dropping-particle":"","family":"Perlov","given":"Dmitri","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K.","non-dropping-particle":"","parse-names":false,"suffix":""}],"container-title":"Environmental Toxicology and Chemistry","id":"ITEM-1","issue":"5","issued":{"date-parts":[["2018"]]},"note":"Accept without reservations. \n\nHas 6 different neonicts. Acet, cloth, dino, imidaclop, thiaclop, thiamethox","page":"1430-1445","title":"Acute toxicity of 6 neonicotinoid insecticides to freshwater invertebrates","type":"article-journal","volume":"37"},"uris":["http://www.mendeley.com/documents/?uuid=482b230e-29a7-4d0b-bdf7-a79811b2a5ec"]}],"mendeley":{"formattedCitation":"(Raby et al., 2018a)","plainTextFormattedCitation":"(Raby et al., 2018a)","previouslyFormattedCitation":"(Raby et al., 2018a)"},"properties":{"noteIndex":0},"schema":"https://github.com/citation-style-language/schema/raw/master/csl-citation.json"}</w:instrText>
            </w:r>
            <w:r>
              <w:fldChar w:fldCharType="separate"/>
            </w:r>
            <w:r w:rsidRPr="008B21A0">
              <w:rPr>
                <w:b w:val="0"/>
                <w:bCs w:val="0"/>
                <w:noProof/>
              </w:rPr>
              <w:t>(Raby et al., 2018a)</w:t>
            </w:r>
            <w:r>
              <w:fldChar w:fldCharType="end"/>
            </w:r>
          </w:p>
        </w:tc>
        <w:tc>
          <w:tcPr>
            <w:tcW w:w="1170" w:type="dxa"/>
          </w:tcPr>
          <w:p w14:paraId="75C515AD" w14:textId="1BA12A99" w:rsidR="0043161C" w:rsidRPr="008B21A0" w:rsidRDefault="00A42AF8" w:rsidP="0043161C">
            <w:pPr>
              <w:cnfStyle w:val="000000000000" w:firstRow="0" w:lastRow="0" w:firstColumn="0" w:lastColumn="0" w:oddVBand="0" w:evenVBand="0" w:oddHBand="0" w:evenHBand="0" w:firstRowFirstColumn="0" w:firstRowLastColumn="0" w:lastRowFirstColumn="0" w:lastRowLastColumn="0"/>
            </w:pPr>
            <w:r>
              <w:t>Acute</w:t>
            </w:r>
          </w:p>
        </w:tc>
        <w:tc>
          <w:tcPr>
            <w:tcW w:w="5130" w:type="dxa"/>
          </w:tcPr>
          <w:p w14:paraId="24DD8CA1" w14:textId="77777777" w:rsidR="0043161C" w:rsidRPr="008B21A0" w:rsidRDefault="0043161C" w:rsidP="0043161C">
            <w:pPr>
              <w:cnfStyle w:val="000000000000" w:firstRow="0" w:lastRow="0" w:firstColumn="0" w:lastColumn="0" w:oddVBand="0" w:evenVBand="0" w:oddHBand="0" w:evenHBand="0" w:firstRowFirstColumn="0" w:firstRowLastColumn="0" w:lastRowFirstColumn="0" w:lastRowLastColumn="0"/>
            </w:pPr>
          </w:p>
        </w:tc>
      </w:tr>
      <w:tr w:rsidR="0043161C" w14:paraId="2D090BD2" w14:textId="77777777" w:rsidTr="008B21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6721D228" w14:textId="3D67CAC4" w:rsidR="0043161C" w:rsidRPr="008B21A0" w:rsidRDefault="0043161C" w:rsidP="0043161C">
            <w:pPr>
              <w:rPr>
                <w:b w:val="0"/>
                <w:bCs w:val="0"/>
              </w:rPr>
            </w:pPr>
            <w:r>
              <w:fldChar w:fldCharType="begin" w:fldLock="1"/>
            </w:r>
            <w:r>
              <w:rPr>
                <w:b w:val="0"/>
                <w:bCs w:val="0"/>
              </w:rPr>
              <w:instrText>ADDIN CSL_CITATION {"citationItems":[{"id":"ITEM-1","itemData":{"DOI":"10.1002/etc.4234","ISSN":"15528618","PMID":"30055027","abstract":"Neonicotinoid insecticides are frequently detected in surface waters near agricultural areas, leading to a potential for chronic exposure to sensitive aquatic species. The midge Chironomus dilutus and the mayfly Neocloeon triangulifer have been shown to be acutely sensitive to neonicotinoids. Previous studies have established chronic effects of some neonicotinoids on C. dilutus, but reproduction has not been studied. Toxic effects have not been assessed using N. triangulifer. We present the results of chronic, static-renewal tests for 6 neonicotinoids (acetamiprid, clothianidin, dinotefuran, imidacloprid, thiacloprid, and thiamethoxam) with C. dilutus (≤56-d in length) and N. triangulifer (≤32-d in length). Emergence was generally the most sensitive endpoint for both species across all neonicotinoids. Effect concentrations, 10% (EC10s; emergence) were 0.03 to 1.1 μg L −1 for acetamiprid, clothianidin, imidacloprid, and thiacloprid. Dinotefuran and thiamethoxam were less potent, with EC10s (C. dilutus) or median effect concentrations (EC50s; N. triangulifer) of 2.2 to 11.2 μg L −1 . Hazard was assessed through comparison of neonicotinoid environmental concentrations from agricultural surface waters in Ontario (Canada) with either the 5th percentile hazard concentration (for imidacloprid) or species-specific EC10s from the present study (for all remaining neonicotinoids). The resulting hazard quotients (HQs) indicated little to no hazard (HQ &lt;1) in terms of chronic toxicity for acetamiprid, dinotefuran, thiacloprid, or thiamethoxam. A moderate hazard (HQ &gt;1) was found for emergence of N. triangulifer for clothianidin, and a high hazard (HQ = 74) was found for imidacloprid. Environ Toxicol Chem 2018;37:2727–2739. © 2018 SETAC.","author":[{"dropping-particle":"","family":"Raby","given":"Melanie","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K.","non-dropping-particle":"","parse-names":false,"suffix":""}],"container-title":"Environmental Toxicology and Chemistry","id":"ITEM-1","issue":"10","issued":{"date-parts":[["2018"]]},"note":"Accept.\n\nDoes all 6 neonicts.\n\nEmergence is endpoint, LC50 is 0.24 ug/L C. dilutus\nEmergence LC50 1.75 ug/L for N. triangulifer\n\nEC10 c. dilutus = 0.13 ug/L\nEC10 n. triangulifer = 1.12 ug/L","page":"2727-2739","title":"Chronic toxicity of 6 neonicotinoid insecticides to Chironomus dilutus and Neocloeon triangulifer","type":"article-journal","volume":"37"},"uris":["http://www.mendeley.com/documents/?uuid=8b13766a-cb6b-4549-aecc-56b5ad9a1519"]}],"mendeley":{"formattedCitation":"(Raby et al., 2018b)","plainTextFormattedCitation":"(Raby et al., 2018b)","previouslyFormattedCitation":"(Raby et al., 2018b)"},"properties":{"noteIndex":0},"schema":"https://github.com/citation-style-language/schema/raw/master/csl-citation.json"}</w:instrText>
            </w:r>
            <w:r>
              <w:fldChar w:fldCharType="separate"/>
            </w:r>
            <w:r w:rsidRPr="00EC08E2">
              <w:rPr>
                <w:b w:val="0"/>
                <w:bCs w:val="0"/>
                <w:noProof/>
              </w:rPr>
              <w:t>(Raby et al., 2018b)</w:t>
            </w:r>
            <w:r>
              <w:fldChar w:fldCharType="end"/>
            </w:r>
          </w:p>
        </w:tc>
        <w:tc>
          <w:tcPr>
            <w:tcW w:w="1170" w:type="dxa"/>
          </w:tcPr>
          <w:p w14:paraId="17883601" w14:textId="7132CDEB" w:rsidR="0043161C" w:rsidRPr="008B21A0" w:rsidRDefault="0076777B" w:rsidP="0043161C">
            <w:pPr>
              <w:cnfStyle w:val="000000100000" w:firstRow="0" w:lastRow="0" w:firstColumn="0" w:lastColumn="0" w:oddVBand="0" w:evenVBand="0" w:oddHBand="1" w:evenHBand="0" w:firstRowFirstColumn="0" w:firstRowLastColumn="0" w:lastRowFirstColumn="0" w:lastRowLastColumn="0"/>
            </w:pPr>
            <w:r>
              <w:t>Chronic</w:t>
            </w:r>
          </w:p>
        </w:tc>
        <w:tc>
          <w:tcPr>
            <w:tcW w:w="5130" w:type="dxa"/>
          </w:tcPr>
          <w:p w14:paraId="5F8C864C" w14:textId="77777777" w:rsidR="0043161C" w:rsidRPr="008B21A0" w:rsidRDefault="0043161C" w:rsidP="0043161C">
            <w:pPr>
              <w:cnfStyle w:val="000000100000" w:firstRow="0" w:lastRow="0" w:firstColumn="0" w:lastColumn="0" w:oddVBand="0" w:evenVBand="0" w:oddHBand="1" w:evenHBand="0" w:firstRowFirstColumn="0" w:firstRowLastColumn="0" w:lastRowFirstColumn="0" w:lastRowLastColumn="0"/>
            </w:pPr>
          </w:p>
        </w:tc>
      </w:tr>
      <w:tr w:rsidR="0043161C" w14:paraId="1AA33BFE" w14:textId="77777777" w:rsidTr="008B21A0">
        <w:tc>
          <w:tcPr>
            <w:cnfStyle w:val="001000000000" w:firstRow="0" w:lastRow="0" w:firstColumn="1" w:lastColumn="0" w:oddVBand="0" w:evenVBand="0" w:oddHBand="0" w:evenHBand="0" w:firstRowFirstColumn="0" w:firstRowLastColumn="0" w:lastRowFirstColumn="0" w:lastRowLastColumn="0"/>
            <w:tcW w:w="3235" w:type="dxa"/>
          </w:tcPr>
          <w:p w14:paraId="4F173494" w14:textId="2FE2041B" w:rsidR="0043161C" w:rsidRPr="008B21A0" w:rsidRDefault="0043161C" w:rsidP="0043161C">
            <w:pPr>
              <w:rPr>
                <w:b w:val="0"/>
                <w:bCs w:val="0"/>
              </w:rPr>
            </w:pPr>
            <w:r>
              <w:fldChar w:fldCharType="begin" w:fldLock="1"/>
            </w:r>
            <w:r>
              <w:rPr>
                <w:b w:val="0"/>
                <w:bCs w:val="0"/>
              </w:rPr>
              <w:instrText>ADDIN CSL_CITATION {"citationItems":[{"id":"ITEM-1","itemData":{"DOI":"10.1016/j.ecoenv.2018.07.086","ISSN":"10902414","PMID":"30056337","abstract":"Neonicotinoid insecticides are a group of plant protectants frequently detected in surface waters at low concentrations. Aquatic invertebrates therefore have the potential to be exposed chronically to low concentrations of neonicotinoids. The cladocerans Daphnia magna and Ceriodaphnia dubia are among the most commonly used invertebrate test species in aquatic toxicology. Both species are known to be acutely insensitive to neonicotinoids, and while chronic toxicity has been characterized for D. magna, little research has been conducted with C. dubia. In the present study we conducted 7-d static-renewal life cycle tests for 6 neonicotinoids (acetamiprid, clothianidin, dinotefuran, imidacloprid, thiacloprid, and thiamethoxam) with C. dubia, and a 21-d test with imidacloprid with D. magna. 7-d LC50s for C. dubia ranged from 8.42 mg L−1 for imidacloprid to &gt; 100 mg L−1 for clothianidin; 7-d reproduction EC50s were 2.98 for thiacloprid, to &gt; 67 mg L−1 for dinotefuran. D. magna were less sensitive than C. dubia to imidacloprid, by 4-fold for lethality and 1.5-fold for reproduction; however, acute-to-chronic ratios (ACRs) were similar. ACRs, based on 48-h acute LC50s and 7- or 21-d chronic reproduction EC10s, ranged from 5.4 for acetamiprid to 53.0 for imidacloprid (mean 36.6, CV = 51%). Chronic toxicity values for both species were orders of magnitude greater than concentrations reported in the environment, and thus hazard to these cladocerans is negligible.","author":[{"dropping-particle":"","family":"Raby","given":"Melanie","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K.","non-dropping-particle":"","parse-names":false,"suffix":""}],"container-title":"Ecotoxicology and Environmental Safety","id":"ITEM-1","issue":"March","issued":{"date-parts":[["2018"]]},"note":"Reject. Ceriodaphnia dubia\nAccept. Daphnia magna number for chronic\n\nCan probably use daphnia results but not ceriodaphnia because test duration was only 6-days\n\nI can also use provided ACR for daphnia magna.","page":"238-244","publisher":"Elsevier Inc.","title":"Relative chronic sensitivity of neonicotinoid insecticides to Ceriodaphnia dubia and Daphnia magna","type":"article-journal","volume":"163"},"uris":["http://www.mendeley.com/documents/?uuid=b5d0a326-f57a-46af-8ef0-5388fed89ad3"]}],"mendeley":{"formattedCitation":"(Raby et al., 2018c)","plainTextFormattedCitation":"(Raby et al., 2018c)","previouslyFormattedCitation":"(Raby et al., 2018c)"},"properties":{"noteIndex":0},"schema":"https://github.com/citation-style-language/schema/raw/master/csl-citation.json"}</w:instrText>
            </w:r>
            <w:r>
              <w:fldChar w:fldCharType="separate"/>
            </w:r>
            <w:r w:rsidRPr="00EC08E2">
              <w:rPr>
                <w:b w:val="0"/>
                <w:bCs w:val="0"/>
                <w:noProof/>
              </w:rPr>
              <w:t>(Raby et al., 2018c)</w:t>
            </w:r>
            <w:r>
              <w:fldChar w:fldCharType="end"/>
            </w:r>
          </w:p>
        </w:tc>
        <w:tc>
          <w:tcPr>
            <w:tcW w:w="1170" w:type="dxa"/>
          </w:tcPr>
          <w:p w14:paraId="484901EF" w14:textId="12DFB505" w:rsidR="0043161C" w:rsidRPr="008B21A0" w:rsidRDefault="0043161C" w:rsidP="0043161C">
            <w:pPr>
              <w:cnfStyle w:val="000000000000" w:firstRow="0" w:lastRow="0" w:firstColumn="0" w:lastColumn="0" w:oddVBand="0" w:evenVBand="0" w:oddHBand="0" w:evenHBand="0" w:firstRowFirstColumn="0" w:firstRowLastColumn="0" w:lastRowFirstColumn="0" w:lastRowLastColumn="0"/>
            </w:pPr>
            <w:r>
              <w:t>Chronic</w:t>
            </w:r>
          </w:p>
        </w:tc>
        <w:tc>
          <w:tcPr>
            <w:tcW w:w="5130" w:type="dxa"/>
          </w:tcPr>
          <w:p w14:paraId="33DC0471" w14:textId="76862E0F" w:rsidR="0043161C" w:rsidRPr="008B21A0" w:rsidRDefault="0043161C" w:rsidP="0043161C">
            <w:pPr>
              <w:cnfStyle w:val="000000000000" w:firstRow="0" w:lastRow="0" w:firstColumn="0" w:lastColumn="0" w:oddVBand="0" w:evenVBand="0" w:oddHBand="0" w:evenHBand="0" w:firstRowFirstColumn="0" w:firstRowLastColumn="0" w:lastRowFirstColumn="0" w:lastRowLastColumn="0"/>
            </w:pPr>
          </w:p>
        </w:tc>
      </w:tr>
      <w:tr w:rsidR="0043161C" w14:paraId="06642DC9" w14:textId="77777777" w:rsidTr="008B21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09CD60A1" w14:textId="032250E4" w:rsidR="0043161C" w:rsidRPr="008B21A0" w:rsidRDefault="0043161C" w:rsidP="0043161C">
            <w:pPr>
              <w:rPr>
                <w:b w:val="0"/>
                <w:bCs w:val="0"/>
              </w:rPr>
            </w:pPr>
            <w:r>
              <w:fldChar w:fldCharType="begin" w:fldLock="1"/>
            </w:r>
            <w:r>
              <w:rPr>
                <w:b w:val="0"/>
                <w:bCs w:val="0"/>
              </w:rPr>
              <w:instrText>ADDIN CSL_CITATION {"citationItems":[{"id":"ITEM-1","itemData":{"DOI":"10.1007/s00244-007-9073-6","ISBN":"0024400790736","ISSN":"00904341","PMID":"18214581","abstract":"The toxicity of imidacloprid, a nicotinic mimic insecticide, to the aquatic invertebrates Chironomus tentans and Hyalella azteca, was first evaluated in static 96-hour tests using both technical material (99.2% pure) and Admire®, a commercially available formulated product (240 g a.i. L-1). The 96-h lethal concentration (LC)50 values for technical imidacloprid and Admire® were 65.43 and 17.44 μg/L, respectively, for H. azteca, and 5.75 and 5.40 μg/L, respectively, for C. tentans. Admire® was subsequently used in 28-day chronic tests with both species. Exposure scenarios consisted of a constant- and a pulse-exposure regime. The pulse exposure lasted for four days, after which time the animals were transferred to clean water for the remaining 24 days of the study. Assessments were made on both day 10 and day 28. In the C. tentans under constant exposure, larval growth on day 10 was significantly reduced at 3.57 μg/L imidacloprid, the lowest-observed-effect concentration (LOEC). The no-observed-effect concentration (NOEC) and LOEC for the 28-day exposure duration (adult survival and emergence) were 1.14 and greater than 1.14 μg/L, respectively; the associated LC50 and LC25 were 0.91 and 0.59 μg/L, respectively. The LOEC for the pulse treatment was greater than 3.47 μg/L, but the day 10 LC25 was 3.03 μg/L. In the H. azteca tests, the day 10 and 28 constant exposure, as well as the day 28 pulse exposure, LOEC (survival) values were similar at 11.95, 11.46, and 11.93 μg/L, respectively. The day 10 and 28 constant exposure effective concentration (EC)25s (dry weight) were also similar, at 6.22 and 8.72 μg/L, respectively, but were higher than the pulse-exposure day 10 LOEC and EC25 (dry weight) values of 3.53 and 2.22 μg/L, respectively. Overall, C. tentans was more sensitive to acute and chronic imidacloprid exposure, but less sensitive to a single pulse, than H. azteca. Chronic, low-level exposure to imidacloprid may therefore reduce invertebrate survival and growth, but organisms are able to recover from short-term pulse exposure to similar imidacloprid concentrations if the stressor is removed after four days. © 2008 Springer Science+Business Media, LLC.","author":[{"dropping-particle":"","family":"Stoughton","given":"Sarah J.","non-dropping-particle":"","parse-names":false,"suffix":""},{"dropping-particle":"","family":"Liber","given":"Karsten","non-dropping-particle":"","parse-names":false,"suffix":""},{"dropping-particle":"","family":"Culp","given":"Joseph","non-dropping-particle":"","parse-names":false,"suffix":""},{"dropping-particle":"","family":"Cessna","given":"Allan","non-dropping-particle":"","parse-names":false,"suffix":""}],"container-title":"Archives of Environmental Contamination and Toxicology","id":"ITEM-1","issue":"4","issued":{"date-parts":[["2008"]]},"note":"Accept with reservations - C. dilutus acute dataset. Orgs were fed. \n\nReject - for chronic studies and fed hyalella acute study \nHonorable mention - compares Admire with pure product\nShows no difference for C. dilutus and shows admire more toxic for H. azteca\n\nC, tentans = C. dilutus, citation: (https://bugguide.net/node/view/710434#1256693)\n\nEmail response from Karsten Liber on 8/30/21:\nThank you for your interest and request, but unfortunately I no longer have access to the raw data so I cannot review the control data.  However, we follow federal testing protocols and I’m reasonably sure in saying that if control organisms didn’t meet protocol requirements, the test would have been rerun. \nIn addition, I can confirm that all toxicity endpoints (e.g., LC50s) were calculated based on measured imidacloprid concentrations.","page":"662-673","title":"Acute and chronic toxicity of imidacloprid to the aquatic invertebrates Chironomus tentans and Hyalella azteca under constant- and pulse-exposure conditions","type":"article-journal","volume":"54"},"uris":["http://www.mendeley.com/documents/?uuid=a77c0e81-c9ff-4b62-9167-1644400cb3ec"]}],"mendeley":{"formattedCitation":"(Stoughton et al., 2008)","plainTextFormattedCitation":"(Stoughton et al., 2008)","previouslyFormattedCitation":"(Stoughton et al., 2008)"},"properties":{"noteIndex":0},"schema":"https://github.com/citation-style-language/schema/raw/master/csl-citation.json"}</w:instrText>
            </w:r>
            <w:r>
              <w:fldChar w:fldCharType="separate"/>
            </w:r>
            <w:r w:rsidRPr="007A0C04">
              <w:rPr>
                <w:b w:val="0"/>
                <w:bCs w:val="0"/>
                <w:noProof/>
              </w:rPr>
              <w:t>(Stoughton et al., 2008)</w:t>
            </w:r>
            <w:r>
              <w:fldChar w:fldCharType="end"/>
            </w:r>
          </w:p>
        </w:tc>
        <w:tc>
          <w:tcPr>
            <w:tcW w:w="1170" w:type="dxa"/>
          </w:tcPr>
          <w:p w14:paraId="2700C101" w14:textId="778C22E7" w:rsidR="0043161C" w:rsidRPr="008B21A0" w:rsidRDefault="00231C49" w:rsidP="0043161C">
            <w:pPr>
              <w:cnfStyle w:val="000000100000" w:firstRow="0" w:lastRow="0" w:firstColumn="0" w:lastColumn="0" w:oddVBand="0" w:evenVBand="0" w:oddHBand="1" w:evenHBand="0" w:firstRowFirstColumn="0" w:firstRowLastColumn="0" w:lastRowFirstColumn="0" w:lastRowLastColumn="0"/>
            </w:pPr>
            <w:r>
              <w:t>Acute</w:t>
            </w:r>
          </w:p>
        </w:tc>
        <w:tc>
          <w:tcPr>
            <w:tcW w:w="5130" w:type="dxa"/>
          </w:tcPr>
          <w:p w14:paraId="62F905E6" w14:textId="40AEE636" w:rsidR="0043161C" w:rsidRPr="008B21A0" w:rsidRDefault="00231C49" w:rsidP="0043161C">
            <w:pPr>
              <w:cnfStyle w:val="000000100000" w:firstRow="0" w:lastRow="0" w:firstColumn="0" w:lastColumn="0" w:oddVBand="0" w:evenVBand="0" w:oddHBand="1" w:evenHBand="0" w:firstRowFirstColumn="0" w:firstRowLastColumn="0" w:lastRowFirstColumn="0" w:lastRowLastColumn="0"/>
            </w:pPr>
            <w:r>
              <w:t xml:space="preserve">C. </w:t>
            </w:r>
            <w:proofErr w:type="spellStart"/>
            <w:r>
              <w:t>dilutus</w:t>
            </w:r>
            <w:proofErr w:type="spellEnd"/>
            <w:r>
              <w:t xml:space="preserve"> fed during toxicity test</w:t>
            </w:r>
          </w:p>
        </w:tc>
      </w:tr>
      <w:tr w:rsidR="0043161C" w14:paraId="4948D645" w14:textId="77777777" w:rsidTr="008B21A0">
        <w:tc>
          <w:tcPr>
            <w:cnfStyle w:val="001000000000" w:firstRow="0" w:lastRow="0" w:firstColumn="1" w:lastColumn="0" w:oddVBand="0" w:evenVBand="0" w:oddHBand="0" w:evenHBand="0" w:firstRowFirstColumn="0" w:firstRowLastColumn="0" w:lastRowFirstColumn="0" w:lastRowLastColumn="0"/>
            <w:tcW w:w="3235" w:type="dxa"/>
          </w:tcPr>
          <w:p w14:paraId="5A6B7EE2" w14:textId="4512BA58" w:rsidR="0043161C" w:rsidRPr="008B21A0" w:rsidRDefault="0043161C" w:rsidP="0043161C">
            <w:r>
              <w:fldChar w:fldCharType="begin" w:fldLock="1"/>
            </w:r>
            <w:r>
              <w:instrText>ADDIN CSL_CITATION {"citationItems":[{"id":"ITEM-1","itemData":{"DOI":"10.1002/etc.3152","ISSN":"15528618","PMID":"26419398","abstract":"Mayfly nymphs are among the most sensitive taxa to neonicotinoids. The present study presents the acute and chronic toxicity of 3 neonicotinoids (imidacloprid, thiacloprid, and thiamethoxam) to a mayfly species (Cloeon dipterum) and some notes on the seasonality of the toxicity of imidacloprid to C. dipterum and 5 other invertebrate species. Imidacloprid and thiamethoxam showed equal acute and chronic toxicity to a winter generation of C. dipterum, whereas thiacloprid was approximately twice as toxic. The acute and chronic toxicity of imidacloprid was much higher for the C. dipterum summer generation than for the winter one. The acute toxicity differs by a factor of 20 for the 96-h 50% effective concentration (EC50) and by a factor of 5.4 for the chronic 28-d EC50. Temperature had only a slight effect on the sensitivity of C. dipterum to imidacloprid because we only found a factor of 1.7 difference in the 96-h EC50 between tests performed at 10°C and 18°C. The difference in sensitivity between summer and overwintering generations was also found for 3 other insect species. The results indicate that if the use and environmental fate of the 3 neonicotinoids are comparable, replacing imidacloprid by another neonicotinoid might not reduce the environmental impact on the mayfly nymph C. dipterum. The results also show the importance of reporting which generation is tested because sensitivity values of insects in the summer might be underestimated by the experiments performed with neonicotinoids and an overwintering population.","author":[{"dropping-particle":"","family":"Brink","given":"Paul J.","non-dropping-particle":"Van den","parse-names":false,"suffix":""},{"dropping-particle":"","family":"Smeden","given":"Jasper M.","non-dropping-particle":"Van","parse-names":false,"suffix":""},{"dropping-particle":"","family":"Bekele","given":"Robel S.","non-dropping-particle":"","parse-names":false,"suffix":""},{"dropping-particle":"","family":"Dierick","given":"Wiebe","non-dropping-particle":"","parse-names":false,"suffix":""},{"dropping-particle":"","family":"Gelder","given":"Daphne M.","non-dropping-particle":"De","parse-names":false,"suffix":""},{"dropping-particle":"","family":"Noteboom","given":"Maarten","non-dropping-particle":"","parse-names":false,"suffix":""},{"dropping-particle":"","family":"Roessink","given":"Ivo","non-dropping-particle":"","parse-names":false,"suffix":""}],"container-title":"Environmental Toxicology and Chemistry","id":"ITEM-1","issue":"1","issued":{"date-parts":[["2016"]]},"note":"Accept without reservation. Also has numbers for thiamethoxam and thiacloprid. \n\nCan only use Cloeon dipterum data - only resident MI species. All others are European variants.\nUnfed chronic mayfly study","page":"128-133","title":"Acute and chronic toxicity of neonicotinoids to nymphs of a mayfly species and some notes on seasonal differences","type":"article-journal","volume":"35"},"uris":["http://www.mendeley.com/documents/?uuid=6d392404-a82b-428b-89ef-0ae9573fd738"]}],"mendeley":{"formattedCitation":"(Van den Brink et al., 2016)","plainTextFormattedCitation":"(Van den Brink et al., 2016)","previouslyFormattedCitation":"(Van den Brink et al., 2016)"},"properties":{"noteIndex":0},"schema":"https://github.com/citation-style-language/schema/raw/master/csl-citation.json"}</w:instrText>
            </w:r>
            <w:r>
              <w:fldChar w:fldCharType="separate"/>
            </w:r>
            <w:r w:rsidRPr="007A0C04">
              <w:rPr>
                <w:b w:val="0"/>
                <w:noProof/>
              </w:rPr>
              <w:t>(Van den Brink et al., 2016)</w:t>
            </w:r>
            <w:r>
              <w:fldChar w:fldCharType="end"/>
            </w:r>
          </w:p>
        </w:tc>
        <w:tc>
          <w:tcPr>
            <w:tcW w:w="1170" w:type="dxa"/>
          </w:tcPr>
          <w:p w14:paraId="68EF8090" w14:textId="78E90147" w:rsidR="0043161C" w:rsidRPr="008B21A0" w:rsidRDefault="005F5AEA" w:rsidP="0043161C">
            <w:pPr>
              <w:cnfStyle w:val="000000000000" w:firstRow="0" w:lastRow="0" w:firstColumn="0" w:lastColumn="0" w:oddVBand="0" w:evenVBand="0" w:oddHBand="0" w:evenHBand="0" w:firstRowFirstColumn="0" w:firstRowLastColumn="0" w:lastRowFirstColumn="0" w:lastRowLastColumn="0"/>
            </w:pPr>
            <w:r>
              <w:t>Acute</w:t>
            </w:r>
          </w:p>
        </w:tc>
        <w:tc>
          <w:tcPr>
            <w:tcW w:w="5130" w:type="dxa"/>
          </w:tcPr>
          <w:p w14:paraId="4723F3B2" w14:textId="77777777" w:rsidR="0043161C" w:rsidRPr="008B21A0" w:rsidRDefault="0043161C" w:rsidP="0043161C">
            <w:pPr>
              <w:cnfStyle w:val="000000000000" w:firstRow="0" w:lastRow="0" w:firstColumn="0" w:lastColumn="0" w:oddVBand="0" w:evenVBand="0" w:oddHBand="0" w:evenHBand="0" w:firstRowFirstColumn="0" w:firstRowLastColumn="0" w:lastRowFirstColumn="0" w:lastRowLastColumn="0"/>
            </w:pPr>
          </w:p>
        </w:tc>
      </w:tr>
    </w:tbl>
    <w:p w14:paraId="71EC784F" w14:textId="17DC0658" w:rsidR="00513AD6" w:rsidRDefault="00513AD6"/>
    <w:p w14:paraId="70EB6611" w14:textId="77777777" w:rsidR="009268B6" w:rsidRDefault="009268B6">
      <w:r>
        <w:br w:type="page"/>
      </w:r>
    </w:p>
    <w:p w14:paraId="6EEC0D8C" w14:textId="2B198FE6" w:rsidR="00507427" w:rsidRDefault="00507427">
      <w:r>
        <w:lastRenderedPageBreak/>
        <w:t xml:space="preserve">Table 2. </w:t>
      </w:r>
      <w:r w:rsidR="00A25242">
        <w:t>Rejected studies and ‘rejection’ classes</w:t>
      </w:r>
      <w:r w:rsidR="005247B5">
        <w:t xml:space="preserve"> with short description as needed. </w:t>
      </w:r>
      <w:r w:rsidR="0029614D">
        <w:t>Class</w:t>
      </w:r>
      <w:r w:rsidR="00765DA8">
        <w:t xml:space="preserve"> definitions </w:t>
      </w:r>
      <w:r w:rsidR="0029614D">
        <w:t xml:space="preserve">are: </w:t>
      </w:r>
      <w:r w:rsidR="00A278D1">
        <w:t xml:space="preserve">non-compliant with Rule 57 (R57 NC), </w:t>
      </w:r>
      <w:r w:rsidR="00BC2FB0">
        <w:t>non-standardized toxicity test methods (</w:t>
      </w:r>
      <w:r w:rsidR="0002721F">
        <w:t xml:space="preserve">NS TT), </w:t>
      </w:r>
      <w:r w:rsidR="000D64B3">
        <w:t>endpoint not usab</w:t>
      </w:r>
      <w:r w:rsidR="00D462AD">
        <w:t xml:space="preserve">le in calculations (ENDPT), </w:t>
      </w:r>
      <w:r w:rsidR="00DC37A3">
        <w:t>no original toxicity test data included (NO ORIG),</w:t>
      </w:r>
      <w:r w:rsidR="006F2B5B">
        <w:t xml:space="preserve"> exposure not purely imidacloprid</w:t>
      </w:r>
      <w:r w:rsidR="00EA46AF">
        <w:t xml:space="preserve"> (</w:t>
      </w:r>
      <w:r w:rsidR="00FF55FB">
        <w:t>MIXTURE)</w:t>
      </w:r>
      <w:r w:rsidR="00293B21">
        <w:t xml:space="preserve">, and </w:t>
      </w:r>
      <w:r w:rsidR="002A4F83">
        <w:t xml:space="preserve">chronic study </w:t>
      </w:r>
      <w:r w:rsidR="00E448A8">
        <w:t>with unacceptable or unavailable acute-to-chronic ratio</w:t>
      </w:r>
      <w:r w:rsidR="002A4F83">
        <w:t xml:space="preserve"> (NO ACR)</w:t>
      </w:r>
      <w:r w:rsidR="00DE4F12">
        <w:t xml:space="preserve">. </w:t>
      </w:r>
    </w:p>
    <w:tbl>
      <w:tblPr>
        <w:tblStyle w:val="GridTable6Colorful"/>
        <w:tblW w:w="5000" w:type="pct"/>
        <w:tblLook w:val="04A0" w:firstRow="1" w:lastRow="0" w:firstColumn="1" w:lastColumn="0" w:noHBand="0" w:noVBand="1"/>
      </w:tblPr>
      <w:tblGrid>
        <w:gridCol w:w="3378"/>
        <w:gridCol w:w="1310"/>
        <w:gridCol w:w="4662"/>
      </w:tblGrid>
      <w:tr w:rsidR="005247B5" w:rsidRPr="00F37F1E" w14:paraId="3F546B51" w14:textId="77777777" w:rsidTr="00293B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6D1FA204" w14:textId="77777777" w:rsidR="005247B5" w:rsidRPr="00F37F1E" w:rsidRDefault="005247B5" w:rsidP="005E2D5F">
            <w:r w:rsidRPr="00F37F1E">
              <w:t>Reference</w:t>
            </w:r>
          </w:p>
        </w:tc>
        <w:tc>
          <w:tcPr>
            <w:tcW w:w="602" w:type="pct"/>
          </w:tcPr>
          <w:p w14:paraId="71976BB6" w14:textId="05E1E402" w:rsidR="005247B5" w:rsidRPr="00F37F1E" w:rsidRDefault="005247B5" w:rsidP="005E2D5F">
            <w:pPr>
              <w:cnfStyle w:val="100000000000" w:firstRow="1" w:lastRow="0" w:firstColumn="0" w:lastColumn="0" w:oddVBand="0" w:evenVBand="0" w:oddHBand="0" w:evenHBand="0" w:firstRowFirstColumn="0" w:firstRowLastColumn="0" w:lastRowFirstColumn="0" w:lastRowLastColumn="0"/>
            </w:pPr>
            <w:r w:rsidRPr="00F37F1E">
              <w:t>Class</w:t>
            </w:r>
          </w:p>
        </w:tc>
        <w:tc>
          <w:tcPr>
            <w:tcW w:w="2542" w:type="pct"/>
          </w:tcPr>
          <w:p w14:paraId="590C137C" w14:textId="73DEBB31" w:rsidR="005247B5" w:rsidRPr="00F37F1E" w:rsidRDefault="005247B5" w:rsidP="005E2D5F">
            <w:pPr>
              <w:cnfStyle w:val="100000000000" w:firstRow="1" w:lastRow="0" w:firstColumn="0" w:lastColumn="0" w:oddVBand="0" w:evenVBand="0" w:oddHBand="0" w:evenHBand="0" w:firstRowFirstColumn="0" w:firstRowLastColumn="0" w:lastRowFirstColumn="0" w:lastRowLastColumn="0"/>
            </w:pPr>
            <w:r w:rsidRPr="00F37F1E">
              <w:t xml:space="preserve">Comment </w:t>
            </w:r>
          </w:p>
        </w:tc>
      </w:tr>
      <w:tr w:rsidR="005247B5" w:rsidRPr="00F37F1E" w14:paraId="204D5D8F"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24A5D227" w14:textId="0A14257B" w:rsidR="005247B5" w:rsidRPr="00F37F1E" w:rsidRDefault="00A32ECA" w:rsidP="005E2D5F">
            <w:pPr>
              <w:rPr>
                <w:b w:val="0"/>
                <w:bCs w:val="0"/>
              </w:rPr>
            </w:pPr>
            <w:r w:rsidRPr="00F37F1E">
              <w:fldChar w:fldCharType="begin" w:fldLock="1"/>
            </w:r>
            <w:r w:rsidR="00695DF4" w:rsidRPr="00F37F1E">
              <w:rPr>
                <w:b w:val="0"/>
                <w:bCs w:val="0"/>
              </w:rPr>
              <w:instrText>ADDIN CSL_CITATION {"citationItems":[{"id":"ITEM-1","itemData":{"DOI":"10.1002/etc.2480","ISSN":"07307268","PMID":"24375767","abstract":"Changes in food uptake by detritivorous macroinvertebrates could disrupt the ecosystem service of leaf litter breakdown, necessitating the study of shredding under anthropogenic influences. The impact of the neonicotinoid insecticide imidacloprid on the feeding rate of individual Gammarus pulex was measured at a daily resolution both during and after a 4-d exposure period. The authors found that imidacloprid inhibits feeding of G. pulex during exposure at concentrations ≥30μg/L and that there was no recovery in feeding on transfer into clean media for 3 d. Exposure to imidacloprid at concentrations ≥0.81μg/L and ≤9.0μg/L resulted in increased feeding after exposure even though there was no significant effect on feeding during the exposure itself. Comparison with the literature shows that concentrations found to influence feeding lie within the range of estimated and measured environmental concentrations. Additionally, effects on feeding rate were observed at concentrations 2 orders of magnitude lower than those causing mortality. The lethal concentration for 50% of test organisms after 4 d of exposure (270μg/L, literature data) and the effect concentration for a reduction in feeding by 50% (5.34μg/L) were used for this comparison. The present study discusses the potential that effects on feeding may evoke effects at the population level or disturb leaf litter breakdown in the environment. Environ Toxicol Chem 2014;33:648-653. © 2013 SETAC.","author":[{"dropping-particle":"","family":"Agatz","given":"Annika","non-dropping-particle":"","parse-names":false,"suffix":""},{"dropping-particle":"","family":"Ashauer","given":"Roman","non-dropping-particle":"","parse-names":false,"suffix":""},{"dropping-particle":"","family":"Brown","given":"Colin D.","non-dropping-particle":"","parse-names":false,"suffix":""}],"container-title":"Environmental Toxicology and Chemistry","id":"ITEM-1","issue":"3","issued":{"date-parts":[["2014"]]},"note":"Reject. chronic endpoint for acute timeline. \n\nThis is a fascinating study and impactful. Gave a 96-hr EC50 of 5.34 ug/L based on feeding/growth as compared to the 96-hr EC50 for immobility/mortality which is much higher (270 ug/L). \n\nI should come back to this to make sure what we come up with is protective of feeding for this species.","page":"648-653","title":"Imidacloprid perturbs feeding of Gammarus pulex at environmentally relevant concentrations","type":"article-journal","volume":"33"},"uris":["http://www.mendeley.com/documents/?uuid=923b7a65-1270-412c-911d-ec4f1489fcc4"]}],"mendeley":{"formattedCitation":"(Agatz et al., 2014)","plainTextFormattedCitation":"(Agatz et al., 2014)","previouslyFormattedCitation":"(Agatz et al., 2014)"},"properties":{"noteIndex":0},"schema":"https://github.com/citation-style-language/schema/raw/master/csl-citation.json"}</w:instrText>
            </w:r>
            <w:r w:rsidRPr="00F37F1E">
              <w:fldChar w:fldCharType="separate"/>
            </w:r>
            <w:r w:rsidRPr="00F37F1E">
              <w:rPr>
                <w:b w:val="0"/>
                <w:bCs w:val="0"/>
                <w:noProof/>
              </w:rPr>
              <w:t>(Agatz et al., 2014)</w:t>
            </w:r>
            <w:r w:rsidRPr="00F37F1E">
              <w:fldChar w:fldCharType="end"/>
            </w:r>
          </w:p>
        </w:tc>
        <w:tc>
          <w:tcPr>
            <w:tcW w:w="602" w:type="pct"/>
          </w:tcPr>
          <w:p w14:paraId="087BDFD6" w14:textId="08513464" w:rsidR="005247B5" w:rsidRPr="00F37F1E" w:rsidRDefault="00321A5F" w:rsidP="005E2D5F">
            <w:pPr>
              <w:cnfStyle w:val="000000100000" w:firstRow="0" w:lastRow="0" w:firstColumn="0" w:lastColumn="0" w:oddVBand="0" w:evenVBand="0" w:oddHBand="1" w:evenHBand="0" w:firstRowFirstColumn="0" w:firstRowLastColumn="0" w:lastRowFirstColumn="0" w:lastRowLastColumn="0"/>
            </w:pPr>
            <w:r w:rsidRPr="00F37F1E">
              <w:t>R57</w:t>
            </w:r>
            <w:r w:rsidR="0029614D" w:rsidRPr="00F37F1E">
              <w:t xml:space="preserve"> NC</w:t>
            </w:r>
          </w:p>
        </w:tc>
        <w:tc>
          <w:tcPr>
            <w:tcW w:w="2542" w:type="pct"/>
          </w:tcPr>
          <w:p w14:paraId="1346DB07" w14:textId="1603890F" w:rsidR="005247B5" w:rsidRPr="00F37F1E" w:rsidRDefault="006D2345" w:rsidP="005E2D5F">
            <w:pPr>
              <w:cnfStyle w:val="000000100000" w:firstRow="0" w:lastRow="0" w:firstColumn="0" w:lastColumn="0" w:oddVBand="0" w:evenVBand="0" w:oddHBand="1" w:evenHBand="0" w:firstRowFirstColumn="0" w:firstRowLastColumn="0" w:lastRowFirstColumn="0" w:lastRowLastColumn="0"/>
            </w:pPr>
            <w:r w:rsidRPr="00F37F1E">
              <w:t>96-hr EC50 based on feeding – not acute endpoint</w:t>
            </w:r>
          </w:p>
        </w:tc>
      </w:tr>
      <w:tr w:rsidR="005247B5" w:rsidRPr="00F37F1E" w14:paraId="7B400A5D"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530AEB66" w14:textId="50F42CC9" w:rsidR="005247B5" w:rsidRPr="00F37F1E" w:rsidRDefault="00695DF4" w:rsidP="005E2D5F">
            <w:pPr>
              <w:rPr>
                <w:b w:val="0"/>
                <w:bCs w:val="0"/>
              </w:rPr>
            </w:pPr>
            <w:r w:rsidRPr="00F37F1E">
              <w:fldChar w:fldCharType="begin" w:fldLock="1"/>
            </w:r>
            <w:r w:rsidRPr="00F37F1E">
              <w:rPr>
                <w:b w:val="0"/>
                <w:bCs w:val="0"/>
              </w:rPr>
              <w:instrText>ADDIN CSL_CITATION {"citationItems":[{"id":"ITEM-1","itemData":{"DOI":"10.1021/es401428h","ISSN":"0013936X","PMID":"23837636","abstract":"A population experiment with Daphnia magna tested the hypothesis that short-term feeding inhibition provokes a shift in population structure that will vary with conspecific pressure (e.g., pressure occurring from individuals of the same species due to competition for food and space) and increases population sensitivity to a xenobiotic exposure due to size-dependent toxicity (e.g., decreasing sensitivity with increasing body length). Populations were exposed for one week to a feeding inhibitor (imidacloprid, 0.15 or 12.0 mg/L) followed by one week of recovery and one day of exposure to an acute toxin (carbaryl, 0.0098 mg/L). Identical exposure under low and high conspecific pressure was studied by delaying the start of exposure for half of the populations by two weeks; thus populations were in a different stage of population development when exposure occurred. Feeding inhibition of 97% (12.0 mg/L imidacloprid) caused a shift in population structure toward smaller individuals but also reduced population abundance by up to 56 ± 7% with a strong influence of conspecific pressure. Increased population sensitivity to carbaryl was observed after feeding inhibition of 97% as hypothesized. Carbaryl exposure for one day resulted in population decline of up to 23 ± 6% when populations were not previously exposed to imidacloprid. Identical carbaryl exposure provoked a four times stronger decline in population abundance when exposure occurred following feeding inhibition of 97%. In conflict with the hypothesis, this was at least in part due to changes in the reproductive strategy of daphnids following exposure to imidacloprid rather than driven by the shift in population structure. The differences in population sensitivity to additional stress (carbaryl) occurring one week after feeding inhibition caused by exposure to imidacloprid adds a further challenge to understanding potential impacts from multiple stressors as occurring in the field at the population level. © 2013 American Chemical Society.","author":[{"dropping-particle":"","family":"Agatz","given":"Annika","non-dropping-particle":"","parse-names":false,"suffix":""},{"dropping-particle":"","family":"Brown","given":"Colin D.","non-dropping-particle":"","parse-names":false,"suffix":""}],"container-title":"Environmental Science and Technology","id":"ITEM-1","issue":"16","issued":{"date-parts":[["2013"]]},"note":"Reject. \n\nDoes not follow standardized toxicity testing or meet statute test length requirements.","page":"9461-9469","title":"Evidence for links between feeding inhibition, population characteristics, and sensitivity to acute toxicity for daphnia magna","type":"article-journal","volume":"47"},"uris":["http://www.mendeley.com/documents/?uuid=870b113f-bbc9-4aef-b70d-258f75a1006d"]}],"mendeley":{"formattedCitation":"(Agatz and Brown, 2013)","plainTextFormattedCitation":"(Agatz and Brown, 2013)","previouslyFormattedCitation":"(Agatz and Brown, 2013)"},"properties":{"noteIndex":0},"schema":"https://github.com/citation-style-language/schema/raw/master/csl-citation.json"}</w:instrText>
            </w:r>
            <w:r w:rsidRPr="00F37F1E">
              <w:fldChar w:fldCharType="separate"/>
            </w:r>
            <w:r w:rsidRPr="00F37F1E">
              <w:rPr>
                <w:b w:val="0"/>
                <w:bCs w:val="0"/>
                <w:noProof/>
              </w:rPr>
              <w:t>(Agatz and Brown, 2013)</w:t>
            </w:r>
            <w:r w:rsidRPr="00F37F1E">
              <w:fldChar w:fldCharType="end"/>
            </w:r>
          </w:p>
        </w:tc>
        <w:tc>
          <w:tcPr>
            <w:tcW w:w="602" w:type="pct"/>
          </w:tcPr>
          <w:p w14:paraId="64F58796" w14:textId="245D2F90" w:rsidR="005247B5" w:rsidRPr="00F37F1E" w:rsidRDefault="00D02373" w:rsidP="005E2D5F">
            <w:pPr>
              <w:cnfStyle w:val="000000000000" w:firstRow="0" w:lastRow="0" w:firstColumn="0" w:lastColumn="0" w:oddVBand="0" w:evenVBand="0" w:oddHBand="0" w:evenHBand="0" w:firstRowFirstColumn="0" w:firstRowLastColumn="0" w:lastRowFirstColumn="0" w:lastRowLastColumn="0"/>
            </w:pPr>
            <w:r w:rsidRPr="00F37F1E">
              <w:t>R57 NC</w:t>
            </w:r>
          </w:p>
        </w:tc>
        <w:tc>
          <w:tcPr>
            <w:tcW w:w="2542" w:type="pct"/>
          </w:tcPr>
          <w:p w14:paraId="3A5F7609" w14:textId="47C8DAF3" w:rsidR="005247B5" w:rsidRPr="00F37F1E" w:rsidRDefault="006D1E9C" w:rsidP="005E2D5F">
            <w:pPr>
              <w:cnfStyle w:val="000000000000" w:firstRow="0" w:lastRow="0" w:firstColumn="0" w:lastColumn="0" w:oddVBand="0" w:evenVBand="0" w:oddHBand="0" w:evenHBand="0" w:firstRowFirstColumn="0" w:firstRowLastColumn="0" w:lastRowFirstColumn="0" w:lastRowLastColumn="0"/>
            </w:pPr>
            <w:r w:rsidRPr="00F37F1E">
              <w:t>Acute and chronic test lengths not applicable</w:t>
            </w:r>
          </w:p>
        </w:tc>
      </w:tr>
      <w:tr w:rsidR="005247B5" w:rsidRPr="00F37F1E" w14:paraId="0378D380"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62DA7C7B" w14:textId="1783B464" w:rsidR="005247B5" w:rsidRPr="00F37F1E" w:rsidRDefault="00695DF4" w:rsidP="005E2D5F">
            <w:pPr>
              <w:rPr>
                <w:b w:val="0"/>
                <w:bCs w:val="0"/>
              </w:rPr>
            </w:pPr>
            <w:r w:rsidRPr="00F37F1E">
              <w:fldChar w:fldCharType="begin" w:fldLock="1"/>
            </w:r>
            <w:r w:rsidRPr="00F37F1E">
              <w:rPr>
                <w:b w:val="0"/>
                <w:bCs w:val="0"/>
              </w:rPr>
              <w:instrText>ADDIN CSL_CITATION {"citationItems":[{"id":"ITEM-1","itemData":{"DOI":"10.1021/es304784t","ISSN":"0013936X","PMID":"23425205","abstract":"Effects of some xenobiotics on aquatic organisms might not be caused directly by the compound but rather arise from acclimation of the organism to stress invoked by feeding inhibition during exposure. Experiments were conducted to identify effects of imidacloprid on individual performance (feeding, growth, maturation, reproduction, and survival) of Daphnia magna under surplus and reduced food availability. Concentrations inhibiting feeding by 5, 50, and 95% after one day of exposure were 0.19, 1.83, and 8.70 mg/L, respectively. Exposure with imidacloprid at ≥3.7 mg/L reduced growth by up to 53 ± 11% within one week. Surplus food availability after inhibition allowed recovery from this growth inhibition, whereas limited food supply eliminated the potential for recovery in growth even for exposure at 0.15 mg/L. A shift in the distribution of individual energy reserves toward reproduction rather than growth resulted in increased reproduction after exposure to concentrations ≤0.4 mg/L. Exposure to imidacloprid at ≥4.0 mg/L overwhelmed this adaptive response and reduced reproduction by up to 57%. We used the individual based Daphnia magna population model IDamP as a virtual laboratory to demonstrate that only feeding was affected by imidacloprid, and that in turn this caused the other impacts on individual performance. Consideration of end points individually would have led to a different interpretation of the effects. Thus, we demonstrate how multiple lines of evidence linked by understanding the ecology of the organism are necessary to elucidate xenobiotic impacts along the effect cascade. © 2013 American Chemical Society.","author":[{"dropping-particle":"","family":"Agatz","given":"Annika","non-dropping-particle":"","parse-names":false,"suffix":""},{"dropping-particle":"","family":"Cole","given":"Tabatha A.","non-dropping-particle":"","parse-names":false,"suffix":""},{"dropping-particle":"","family":"Preuss","given":"Thomas G.","non-dropping-particle":"","parse-names":false,"suffix":""},{"dropping-particle":"","family":"Zimmer","given":"Elke","non-dropping-particle":"","parse-names":false,"suffix":""},{"dropping-particle":"","family":"Brown","given":"Colin D.","non-dropping-particle":"","parse-names":false,"suffix":""}],"container-title":"Environmental Science and Technology","id":"ITEM-1","issue":"6","issued":{"date-parts":[["2013"]]},"note":"REJECT.\n\nCannot use as exposure times don't meet acute or chronic test standards (according to statute).","page":"2909-2917","title":"Feeding inhibition explains effects of imidacloprid on the growth, maturation, reproduction, and survival of Daphnia magna","type":"article-journal","volume":"47"},"uris":["http://www.mendeley.com/documents/?uuid=ec574f20-8d37-42f0-a197-1215a11364d7"]}],"mendeley":{"formattedCitation":"(Agatz et al., 2013)","plainTextFormattedCitation":"(Agatz et al., 2013)","previouslyFormattedCitation":"(Agatz et al., 2013)"},"properties":{"noteIndex":0},"schema":"https://github.com/citation-style-language/schema/raw/master/csl-citation.json"}</w:instrText>
            </w:r>
            <w:r w:rsidRPr="00F37F1E">
              <w:fldChar w:fldCharType="separate"/>
            </w:r>
            <w:r w:rsidRPr="00F37F1E">
              <w:rPr>
                <w:b w:val="0"/>
                <w:bCs w:val="0"/>
                <w:noProof/>
              </w:rPr>
              <w:t>(Agatz et al., 2013)</w:t>
            </w:r>
            <w:r w:rsidRPr="00F37F1E">
              <w:fldChar w:fldCharType="end"/>
            </w:r>
          </w:p>
        </w:tc>
        <w:tc>
          <w:tcPr>
            <w:tcW w:w="602" w:type="pct"/>
          </w:tcPr>
          <w:p w14:paraId="72E66DB2" w14:textId="03859663" w:rsidR="005247B5" w:rsidRPr="00F37F1E" w:rsidRDefault="00EB0E7E" w:rsidP="005E2D5F">
            <w:pPr>
              <w:cnfStyle w:val="000000100000" w:firstRow="0" w:lastRow="0" w:firstColumn="0" w:lastColumn="0" w:oddVBand="0" w:evenVBand="0" w:oddHBand="1" w:evenHBand="0" w:firstRowFirstColumn="0" w:firstRowLastColumn="0" w:lastRowFirstColumn="0" w:lastRowLastColumn="0"/>
            </w:pPr>
            <w:r w:rsidRPr="00F37F1E">
              <w:t>R57 NC</w:t>
            </w:r>
          </w:p>
        </w:tc>
        <w:tc>
          <w:tcPr>
            <w:tcW w:w="2542" w:type="pct"/>
          </w:tcPr>
          <w:p w14:paraId="0D0B3EE7" w14:textId="05C24140" w:rsidR="005247B5" w:rsidRPr="00F37F1E" w:rsidRDefault="002C08E6" w:rsidP="005E2D5F">
            <w:pPr>
              <w:cnfStyle w:val="000000100000" w:firstRow="0" w:lastRow="0" w:firstColumn="0" w:lastColumn="0" w:oddVBand="0" w:evenVBand="0" w:oddHBand="1" w:evenHBand="0" w:firstRowFirstColumn="0" w:firstRowLastColumn="0" w:lastRowFirstColumn="0" w:lastRowLastColumn="0"/>
            </w:pPr>
            <w:r w:rsidRPr="00F37F1E">
              <w:t xml:space="preserve">Acute and chronic test lengths </w:t>
            </w:r>
            <w:r w:rsidR="00D02373" w:rsidRPr="00F37F1E">
              <w:t>not applicable</w:t>
            </w:r>
          </w:p>
        </w:tc>
      </w:tr>
      <w:tr w:rsidR="00CB089C" w:rsidRPr="00F37F1E" w14:paraId="3D0F0477"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1B4D0DF4" w14:textId="5987F3D7" w:rsidR="00CB089C" w:rsidRPr="00F37F1E" w:rsidRDefault="00CB089C" w:rsidP="00CB089C">
            <w:r w:rsidRPr="008B21A0">
              <w:fldChar w:fldCharType="begin" w:fldLock="1"/>
            </w:r>
            <w:r w:rsidR="00416A8E">
              <w:rPr>
                <w:b w:val="0"/>
                <w:bCs w:val="0"/>
              </w:rPr>
              <w:instrText>ADDIN CSL_CITATION {"citationItems":[{"id":"ITEM-1","itemData":{"DOI":"10.1897/07-015R.1","ISSN":"07307268","PMID":"17702348","abstract":"The present study examined the effects of pulse exposures of the insecticide imidacloprid on the mayfly, Epeorus longimanus Eaton (Family Heptageniidae), and on an aquatic oligochaete, Lumbriculus variegatus Müller (Family Lumbriculidae). Pulse exposures of imidacloprid are particularly relevant for examination, because this insecticide is relatively soluble (510 mg/L) and is most likely to be at effect concentrations during runoff events. Experiments examined the recovery of organisms after a 24-h pulse exposure to imidacloprid over an environmentally realistic range of concentrations (0, 0.1, 0.5, 1, 5, and 10 μg/L). Effects on feeding were measured by quantifying the algal biomass consumed by mayflies or foodstuffs egested by oligochaetes. Imidacloprid was highly toxic, with low 24-h median lethal concentrations (LC50s) in early mayfly instars (24-h LC50, 2.1 ± 0.8 μg/L) and larger, later mayfly instars (24-h LC50, 2.1 ± 0.5 μg/L; 96-h LC50, 0.65 ± 0.15 μg/L.). Short (24-h) pulses of imidacloprid in excess of 1 μg/L caused feeding inhibition, whereas recovery (4 d) varied, depending on the number of days after contaminant exposure. In contrast to mayflies, oligochaetes were relatively insensitive to imidacloprid during the short (24-h) pulse; however, immobility of oligochaetes was observed during a 4-d, continuous-exposure experiment, with 96-h median effective concentrations of 6.2 ± 1.4 μg/L. Overall, imidacloprid reduced the survivorship, feeding, and egestion of mayflies and oligochaetes at concentrations greater than 0.5 but less than 10 μg/L. Inhibited feeding and egestion indicate physiological and behavioral responses to this insecticide. © 2007 SETAC.","author":[{"dropping-particle":"","family":"Alexander","given":"Alexa C.","non-dropping-particle":"","parse-names":false,"suffix":""},{"dropping-particle":"","family":"Culp","given":"Joseph M.","non-dropping-particle":"","parse-names":false,"suffix":""},{"dropping-particle":"","family":"Liber","given":"Karsten","non-dropping-particle":"","parse-names":false,"suffix":""},{"dropping-particle":"","family":"Cessna","given":"Allan J.","non-dropping-particle":"","parse-names":false,"suffix":""}],"container-title":"Environmental Toxicology and Chemistry","id":"ITEM-1","issue":"8","issued":{"date-parts":[["2007"]]},"note":"Reject - Admire not technical grade. Honorable mention\n\nI like mayfly dta. Some reservations about chironomid data. Used pesticide and not pure product. \nLumbriculous datapoint 96-hr EC50 = 6.5 ug/L.. lower than Raby paper\n\n10/13/21 Response from Author:\nThat is a paper I haven't thought about in some time! Yes, as I recall we did spot measurements of DO, pH etc at the time and all were at acceptable levels.  Our DO was often at saturation for example for the mayflies because the water was moving throughout the experiment.  We were following standard protocols throughout as we're a federal laboratory developing guidance for Environment Canada, and our internal standard operating protocols required that survivorship in the controls was at least 90%.   Does that help?","page":"1726-1732","title":"Effects of insecticide exposure on feeding inhibition in mayflies and oligochaetes","type":"article-journal","volume":"26"},"uris":["http://www.mendeley.com/documents/?uuid=f68040fd-27af-491a-a09e-7b02aa8b4609"]}],"mendeley":{"formattedCitation":"(Alexander et al., 2007)","plainTextFormattedCitation":"(Alexander et al., 2007)","previouslyFormattedCitation":"(Alexander et al., 2007)"},"properties":{"noteIndex":0},"schema":"https://github.com/citation-style-language/schema/raw/master/csl-citation.json"}</w:instrText>
            </w:r>
            <w:r w:rsidRPr="008B21A0">
              <w:fldChar w:fldCharType="separate"/>
            </w:r>
            <w:r w:rsidRPr="008B21A0">
              <w:rPr>
                <w:b w:val="0"/>
                <w:bCs w:val="0"/>
                <w:noProof/>
              </w:rPr>
              <w:t>(Alexander et al., 2007)</w:t>
            </w:r>
            <w:r w:rsidRPr="008B21A0">
              <w:fldChar w:fldCharType="end"/>
            </w:r>
          </w:p>
        </w:tc>
        <w:tc>
          <w:tcPr>
            <w:tcW w:w="602" w:type="pct"/>
          </w:tcPr>
          <w:p w14:paraId="761D0FB2" w14:textId="04F6C6D3" w:rsidR="00CB089C" w:rsidRPr="00F37F1E" w:rsidRDefault="008102AF" w:rsidP="00CB089C">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53F0197F" w14:textId="5EF20643" w:rsidR="00CB089C" w:rsidRPr="00F37F1E" w:rsidRDefault="00CB089C" w:rsidP="00CB089C">
            <w:pPr>
              <w:cnfStyle w:val="000000000000" w:firstRow="0" w:lastRow="0" w:firstColumn="0" w:lastColumn="0" w:oddVBand="0" w:evenVBand="0" w:oddHBand="0" w:evenHBand="0" w:firstRowFirstColumn="0" w:firstRowLastColumn="0" w:lastRowFirstColumn="0" w:lastRowLastColumn="0"/>
            </w:pPr>
            <w:r>
              <w:t xml:space="preserve">Test with </w:t>
            </w:r>
            <w:r w:rsidR="008102AF">
              <w:t>formulation not technical grade</w:t>
            </w:r>
          </w:p>
        </w:tc>
      </w:tr>
      <w:tr w:rsidR="00CB089C" w:rsidRPr="00F37F1E" w14:paraId="7DB6B3E0"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49FD897B" w14:textId="0897DA31" w:rsidR="00CB089C" w:rsidRPr="00F37F1E" w:rsidRDefault="00CB089C" w:rsidP="00CB089C">
            <w:pPr>
              <w:rPr>
                <w:b w:val="0"/>
                <w:bCs w:val="0"/>
              </w:rPr>
            </w:pPr>
            <w:r w:rsidRPr="00F37F1E">
              <w:fldChar w:fldCharType="begin" w:fldLock="1"/>
            </w:r>
            <w:r w:rsidRPr="00F37F1E">
              <w:rPr>
                <w:b w:val="0"/>
                <w:bCs w:val="0"/>
              </w:rPr>
              <w:instrText>ADDIN CSL_CITATION {"citationItems":[{"id":"ITEM-1","itemData":{"DOI":"10.1002/etc.175","ISSN":"15528618","PMID":"20821614","abstract":"Uptake and elimination rate constants, bioaccumulation factors, and elimination times in the freshwater arthropod Gammarus pulex were measured for 14 organic micropollutants covering a wide range of hydrophobicity (imidacloprid, aldicarb, ethylacrylate, 4,6-dinitro-o-cresol, carbofuran, malathion, 4-nitrobenzyl-chloride, 2,4-dichloroaniline, Sea-Nine, 2,4-dichlorophenol, diazinon, 2,4,5-trichlorophenol, 1,2,3-trichlorobenzene, and hexachlorobenzene; all 14C-labeled). The toxicokinetic parameters were determined by least-square fitting of a one-compartment first-order toxicokinetic model, followed by Markov Chain Monte Carlo parameter estimation. The parameter estimation methods used here account for decreasing aqueous concentrations during the exposure phase or increasing aqueous concentrations during the elimination phase of bioaccumulation experiments. It is not necessary to keep exposure concentrations constant or zero during uptake and elimination, respectively. Neither is it required to achieve steady state during the exposure phase; hence, tests can be shorter. Prediction intervals, which take the between-parameter correlation into account, were calculated for bioaccumulation factors and simulations of internal concentrations under variable exposure. The lipid content of Gammarus pulex was 1.3% of wet weight, consisting of 25% phospholipids and 75% triglycerides. Size-dependent bioaccumulation was observed for eight compounds, although the magnitudes of the relationships were too small to be of practical relevance. Elimination times ranged from 0.45 to 20 d, and bioaccumulation factors ranged from 1.7 to 4,449 L/kg. The identified compounds with unexpectedly long elimination times should be given priority in future studies investigating the biotransformation of these compounds. © 2010 SETAC.","author":[{"dropping-particle":"","family":"Ashauer","given":"Roman","non-dropping-particle":"","parse-names":false,"suffix":""},{"dropping-particle":"","family":"Caravatti","given":"Ivo","non-dropping-particle":"","parse-names":false,"suffix":""},{"dropping-particle":"","family":"Hintermeister","given":"Anita","non-dropping-particle":"","parse-names":false,"suffix":""},{"dropping-particle":"","family":"Escher","given":"Beate I.","non-dropping-particle":"","parse-names":false,"suffix":""}],"container-title":"Environmental Toxicology and Chemistry","id":"ITEM-1","issue":"7","issued":{"date-parts":[["2010"]]},"note":"Reject.\n\nBAF/uptake study.","page":"1625-1636","title":"Bioaccumulation kinetics of organic xenobiotic pollutants in the freshwater invertebrate Gammarus pulex modeled with prediction intervals","type":"article-journal","volume":"29"},"uris":["http://www.mendeley.com/documents/?uuid=e90288bf-05c2-48d0-8d0a-97ecdbd1fd61"]}],"mendeley":{"formattedCitation":"(Ashauer et al., 2010)","plainTextFormattedCitation":"(Ashauer et al., 2010)","previouslyFormattedCitation":"(Ashauer et al., 2010)"},"properties":{"noteIndex":0},"schema":"https://github.com/citation-style-language/schema/raw/master/csl-citation.json"}</w:instrText>
            </w:r>
            <w:r w:rsidRPr="00F37F1E">
              <w:fldChar w:fldCharType="separate"/>
            </w:r>
            <w:r w:rsidRPr="00F37F1E">
              <w:rPr>
                <w:b w:val="0"/>
                <w:bCs w:val="0"/>
                <w:noProof/>
              </w:rPr>
              <w:t>(Ashauer et al., 2010)</w:t>
            </w:r>
            <w:r w:rsidRPr="00F37F1E">
              <w:fldChar w:fldCharType="end"/>
            </w:r>
          </w:p>
        </w:tc>
        <w:tc>
          <w:tcPr>
            <w:tcW w:w="602" w:type="pct"/>
          </w:tcPr>
          <w:p w14:paraId="1E9004C2" w14:textId="10063668" w:rsidR="00CB089C" w:rsidRPr="00F37F1E" w:rsidRDefault="00CB089C" w:rsidP="00CB089C">
            <w:pPr>
              <w:cnfStyle w:val="000000100000" w:firstRow="0" w:lastRow="0" w:firstColumn="0" w:lastColumn="0" w:oddVBand="0" w:evenVBand="0" w:oddHBand="1" w:evenHBand="0" w:firstRowFirstColumn="0" w:firstRowLastColumn="0" w:lastRowFirstColumn="0" w:lastRowLastColumn="0"/>
            </w:pPr>
            <w:r w:rsidRPr="00F37F1E">
              <w:t>ENDPT</w:t>
            </w:r>
          </w:p>
        </w:tc>
        <w:tc>
          <w:tcPr>
            <w:tcW w:w="2542" w:type="pct"/>
          </w:tcPr>
          <w:p w14:paraId="16134E7C" w14:textId="060976CD" w:rsidR="00CB089C" w:rsidRPr="00F37F1E" w:rsidRDefault="00CB089C" w:rsidP="00CB089C">
            <w:pPr>
              <w:cnfStyle w:val="000000100000" w:firstRow="0" w:lastRow="0" w:firstColumn="0" w:lastColumn="0" w:oddVBand="0" w:evenVBand="0" w:oddHBand="1" w:evenHBand="0" w:firstRowFirstColumn="0" w:firstRowLastColumn="0" w:lastRowFirstColumn="0" w:lastRowLastColumn="0"/>
            </w:pPr>
            <w:r w:rsidRPr="00F37F1E">
              <w:t xml:space="preserve">BAF and uptake study for </w:t>
            </w:r>
            <w:r w:rsidRPr="00F37F1E">
              <w:rPr>
                <w:i/>
                <w:iCs/>
              </w:rPr>
              <w:t xml:space="preserve">G. </w:t>
            </w:r>
            <w:proofErr w:type="spellStart"/>
            <w:r w:rsidRPr="00F37F1E">
              <w:rPr>
                <w:i/>
                <w:iCs/>
              </w:rPr>
              <w:t>Pulex</w:t>
            </w:r>
            <w:proofErr w:type="spellEnd"/>
          </w:p>
        </w:tc>
      </w:tr>
      <w:tr w:rsidR="00CB089C" w:rsidRPr="00F37F1E" w14:paraId="42E5C71C"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33C1D5C5" w14:textId="7C07B1CA" w:rsidR="00CB089C" w:rsidRPr="00F37F1E" w:rsidRDefault="00CB089C" w:rsidP="00CB089C">
            <w:pPr>
              <w:rPr>
                <w:b w:val="0"/>
                <w:bCs w:val="0"/>
              </w:rPr>
            </w:pPr>
            <w:r w:rsidRPr="00F37F1E">
              <w:fldChar w:fldCharType="begin" w:fldLock="1"/>
            </w:r>
            <w:r w:rsidRPr="00F37F1E">
              <w:rPr>
                <w:b w:val="0"/>
                <w:bCs w:val="0"/>
              </w:rPr>
              <w:instrText>ADDIN CSL_CITATION {"citationItems":[{"id":"ITEM-1","itemData":{"DOI":"10.1016/j.aquatox.2011.02.002","ISSN":"0166445X","PMID":"21392493","abstract":"We investigated the sensitivity of the freshwater crustacean amphipod Gammarus pulex towards organic xenobiotic compounds in comparison to the sensitivity of the crustacean cladoceran Daphnia magna. In addition we studied the influence of the chemical's mode of action on the relationship between the sensitivity of G. pulex and that of D. magna. We tested the acute toxicity of twelve compounds (Malathion, Aldicarb, Carbofuran, 2,4-dichloroaniline, 2,4-dichlorophenol, 1,2,3-trichlorobenzene, 4,6-dinitro-o-cresol, 2,4,5-trichlorophenol, Ethylacrylate, 4-nitrobenzyl-chloride, Sea-nine, Imidacloprid) with different modes of action and physicochemical properties towards the freshwater amphipod G. pulex in laboratory experiments. Additional toxicity data was collected from the peer-reviewed literature and databases (data pairs for 44 chemicals in total). The chemicals were assigned to seven mode of action groups. The relationship between the sensitivity of G. pulex (48. h-LC50s and 96. h-LC50s) and that of D. magna (48. h-EC50s) was investigated using regression analysis and correlation plots. G. pulex is two to three orders of magnitude more sensitive towards neonicotinoids than D. magna (P= 0.0046, n= 3). For organophosphates we found that D. magna is more sensitive than G. pulex by approximately a factor of six (P= 0.0256, n= 6). There was no significant difference between the sensitivity of D. magna and that of G. pulex in any of the other mode of action groups; however chemicals with the same mode of action grouped together in the same area of the correlation plot. Without the neonicotinoids 75% of all G. pulex toxicity data were within one order of magnitude of the D. magna data and 100% within two orders of magnitude. The regressions with all data and with all data minus neonicotinoids were both significant linear relationships with slopes around one and intercept around zero. Thus, G. pulex is generally equally sensitive towards organic xenobiotics as D. magna. © 2011 Elsevier B.V.","author":[{"dropping-particle":"","family":"Ashauer","given":"Roman","non-dropping-particle":"","parse-names":false,"suffix":""},{"dropping-particle":"","family":"Hintermeister","given":"Anita","non-dropping-particle":"","parse-names":false,"suffix":""},{"dropping-particle":"","family":"Potthoff","given":"Eva","non-dropping-particle":"","parse-names":false,"suffix":""},{"dropping-particle":"","family":"Escher","given":"Beate I.","non-dropping-particle":"","parse-names":false,"suffix":""}],"container-title":"Aquatic Toxicology","id":"ITEM-1","issue":"1-2","issued":{"date-parts":[["2011"]]},"note":"REJECT. Does not meet EPA standard protocols. \n\nGood to note lowest LC50 for Gammarus pulex was 404 nmol/L at 24 hr = 103 ug/L\n96-hr LC50 was higher = 132 ug/L\n\nOther than exposure temperature, this publication checks out. I would see if there are any other G. pulex numbers... this is a european species, similar to hyalella. Might be worth axxing and using resident species instead. Or including... not sure.","page":"38-45","publisher":"Elsevier B.V.","title":"Acute toxicity of organic chemicals to Gammarus pulex correlates with sensitivity of Daphnia magna across most modes of action","type":"article-journal","volume":"103"},"uris":["http://www.mendeley.com/documents/?uuid=f406ffc6-8d36-4456-b26e-16d8eaa0dc30"]}],"mendeley":{"formattedCitation":"(Ashauer et al., 2011)","plainTextFormattedCitation":"(Ashauer et al., 2011)","previouslyFormattedCitation":"(Ashauer et al., 2011)"},"properties":{"noteIndex":0},"schema":"https://github.com/citation-style-language/schema/raw/master/csl-citation.json"}</w:instrText>
            </w:r>
            <w:r w:rsidRPr="00F37F1E">
              <w:fldChar w:fldCharType="separate"/>
            </w:r>
            <w:r w:rsidRPr="00F37F1E">
              <w:rPr>
                <w:b w:val="0"/>
                <w:bCs w:val="0"/>
                <w:noProof/>
              </w:rPr>
              <w:t>(Ashauer et al., 2011)</w:t>
            </w:r>
            <w:r w:rsidRPr="00F37F1E">
              <w:fldChar w:fldCharType="end"/>
            </w:r>
          </w:p>
        </w:tc>
        <w:tc>
          <w:tcPr>
            <w:tcW w:w="602" w:type="pct"/>
          </w:tcPr>
          <w:p w14:paraId="2E32C162" w14:textId="40BE4246" w:rsidR="00CB089C" w:rsidRPr="00F37F1E" w:rsidRDefault="00CB089C" w:rsidP="00CB089C">
            <w:pPr>
              <w:cnfStyle w:val="000000000000" w:firstRow="0" w:lastRow="0" w:firstColumn="0" w:lastColumn="0" w:oddVBand="0" w:evenVBand="0" w:oddHBand="0" w:evenHBand="0" w:firstRowFirstColumn="0" w:firstRowLastColumn="0" w:lastRowFirstColumn="0" w:lastRowLastColumn="0"/>
            </w:pPr>
            <w:r w:rsidRPr="00F37F1E">
              <w:t>NS TT</w:t>
            </w:r>
          </w:p>
        </w:tc>
        <w:tc>
          <w:tcPr>
            <w:tcW w:w="2542" w:type="pct"/>
          </w:tcPr>
          <w:p w14:paraId="6C3185C5" w14:textId="57884A3C" w:rsidR="00CB089C" w:rsidRPr="00F37F1E" w:rsidRDefault="00CB089C" w:rsidP="00CB089C">
            <w:pPr>
              <w:cnfStyle w:val="000000000000" w:firstRow="0" w:lastRow="0" w:firstColumn="0" w:lastColumn="0" w:oddVBand="0" w:evenVBand="0" w:oddHBand="0" w:evenHBand="0" w:firstRowFirstColumn="0" w:firstRowLastColumn="0" w:lastRowFirstColumn="0" w:lastRowLastColumn="0"/>
            </w:pPr>
            <w:r w:rsidRPr="00F37F1E">
              <w:t>Acute test – organisms fed</w:t>
            </w:r>
          </w:p>
        </w:tc>
      </w:tr>
      <w:tr w:rsidR="00CB089C" w:rsidRPr="00F37F1E" w14:paraId="5BFC267F"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633805D2" w14:textId="1A48299C" w:rsidR="00CB089C" w:rsidRPr="00F37F1E" w:rsidRDefault="00CB089C" w:rsidP="00CB089C">
            <w:pPr>
              <w:rPr>
                <w:b w:val="0"/>
                <w:bCs w:val="0"/>
              </w:rPr>
            </w:pPr>
            <w:r w:rsidRPr="00F37F1E">
              <w:fldChar w:fldCharType="begin" w:fldLock="1"/>
            </w:r>
            <w:r w:rsidRPr="00F37F1E">
              <w:rPr>
                <w:b w:val="0"/>
                <w:bCs w:val="0"/>
              </w:rPr>
              <w:instrText>ADDIN CSL_CITATION {"citationItems":[{"id":"ITEM-1","itemData":{"DOI":"10.1007/s10646-016-1686-y","ISSN":"15733017","PMID":"27307165","abstract":"Behaviour links physiological function with ecological processes and can be very sensitive towards environmental stimuli and chemical exposure. As such, behavioural indicators of toxicity are well suited for assessing impacts of pesticides at sublethal concentrations found in the environment. Recent developments in video-tracking technologies offer the possibility of quantifying behavioural patterns, particularly locomotion, which in general has not been studied and understood very well for aquatic macroinvertebrates to date. In this study, we aim to determine the potential effects of exposure to two neurotoxic pesticides with different modes of action at different concentrations (chlorpyrifos and imidacloprid) on the locomotion behaviour of the water louse Asellus aquaticus. We compare the effects of the different exposure regimes on the behaviour of Asellus with the effects that the presence of food and shelter exhibit to estimate the ecological relevance of behavioural changes. We found that sublethal pesticide exposure reduced dispersal distances compared to controls, whereby exposure to chlorpyrifos affected not only animal activity but also step lengths while imidacloprid only slightly affected step lengths. The presence of natural cues such as food or shelter induced only minor changes in behaviour, which hardly translated to changes in dispersal potential. These findings illustrate that behaviour can serve as a sensitive endpoint in toxicity assessments. However, under natural conditions, depending on the exposure concentration, the actual impacts might be outweighed by environmental conditions that an organism is subjected to. It is, therefore, of importance that the assessment of toxicity on behaviour is done under relevant environmental conditions.","author":[{"dropping-particle":"","family":"Augusiak","given":"Jacqueline","non-dropping-particle":"","parse-names":false,"suffix":""},{"dropping-particle":"","family":"Brink","given":"Paul J.","non-dropping-particle":"Van den","parse-names":false,"suffix":""}],"container-title":"Ecotoxicology","id":"ITEM-1","issue":"7","issued":{"date-parts":[["2016"]]},"note":"Reject. \n\nI can't use this endpoint. Not standardized.","page":"1338-1352","publisher":"Springer US","title":"The influence of insecticide exposure and environmental stimuli on the movement behaviour and dispersal of a freshwater isopod","type":"article-journal","volume":"25"},"uris":["http://www.mendeley.com/documents/?uuid=30b3c058-6018-4a5e-a5d4-d42a848a9614"]}],"mendeley":{"formattedCitation":"(Augusiak and Van den Brink, 2016)","plainTextFormattedCitation":"(Augusiak and Van den Brink, 2016)","previouslyFormattedCitation":"(Augusiak and Van den Brink, 2016)"},"properties":{"noteIndex":0},"schema":"https://github.com/citation-style-language/schema/raw/master/csl-citation.json"}</w:instrText>
            </w:r>
            <w:r w:rsidRPr="00F37F1E">
              <w:fldChar w:fldCharType="separate"/>
            </w:r>
            <w:r w:rsidRPr="00F37F1E">
              <w:rPr>
                <w:b w:val="0"/>
                <w:bCs w:val="0"/>
                <w:noProof/>
              </w:rPr>
              <w:t>(Augusiak and Van den Brink, 2016)</w:t>
            </w:r>
            <w:r w:rsidRPr="00F37F1E">
              <w:fldChar w:fldCharType="end"/>
            </w:r>
          </w:p>
        </w:tc>
        <w:tc>
          <w:tcPr>
            <w:tcW w:w="602" w:type="pct"/>
          </w:tcPr>
          <w:p w14:paraId="7744236D" w14:textId="60797547" w:rsidR="00CB089C" w:rsidRPr="00F37F1E" w:rsidRDefault="00CB089C" w:rsidP="00CB089C">
            <w:pPr>
              <w:cnfStyle w:val="000000100000" w:firstRow="0" w:lastRow="0" w:firstColumn="0" w:lastColumn="0" w:oddVBand="0" w:evenVBand="0" w:oddHBand="1" w:evenHBand="0" w:firstRowFirstColumn="0" w:firstRowLastColumn="0" w:lastRowFirstColumn="0" w:lastRowLastColumn="0"/>
            </w:pPr>
            <w:r w:rsidRPr="00F37F1E">
              <w:t>NS TT</w:t>
            </w:r>
          </w:p>
        </w:tc>
        <w:tc>
          <w:tcPr>
            <w:tcW w:w="2542" w:type="pct"/>
          </w:tcPr>
          <w:p w14:paraId="0C0FFA25" w14:textId="2D8F20D9" w:rsidR="00CB089C" w:rsidRPr="00F37F1E" w:rsidRDefault="00CB089C" w:rsidP="00CB089C">
            <w:pPr>
              <w:cnfStyle w:val="000000100000" w:firstRow="0" w:lastRow="0" w:firstColumn="0" w:lastColumn="0" w:oddVBand="0" w:evenVBand="0" w:oddHBand="1" w:evenHBand="0" w:firstRowFirstColumn="0" w:firstRowLastColumn="0" w:lastRowFirstColumn="0" w:lastRowLastColumn="0"/>
            </w:pPr>
            <w:r w:rsidRPr="00F37F1E">
              <w:t xml:space="preserve">Unusual endpoint – locomotion </w:t>
            </w:r>
            <w:r w:rsidRPr="00F37F1E">
              <w:rPr>
                <w:i/>
                <w:iCs/>
              </w:rPr>
              <w:t>A. aquaticus</w:t>
            </w:r>
          </w:p>
        </w:tc>
      </w:tr>
      <w:tr w:rsidR="00CB089C" w:rsidRPr="00F37F1E" w14:paraId="55A6832A"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6AB37E11" w14:textId="37FF2789" w:rsidR="00CB089C" w:rsidRPr="00F37F1E" w:rsidRDefault="00CB089C" w:rsidP="00CB089C">
            <w:r w:rsidRPr="00F37F1E">
              <w:fldChar w:fldCharType="begin" w:fldLock="1"/>
            </w:r>
            <w:r w:rsidRPr="00F37F1E">
              <w:instrText>ADDIN CSL_CITATION {"citationItems":[{"id":"ITEM-1","itemData":{"DOI":"10.1007/s00244-007-9104-3","ISSN":"00904341","PMID":"18180861","abstract":"Downstream drift of lotic macroinvertebrates induced by toxicants is a well-known ecologically relevant phenomenon. However, little is known about which toxicants can initiate drift, and potential drift-initiating effects of contaminants are not taken into account in ecotoxicological risk assessment. The aim of the present study was to evaluate potential drift-initiating action of 11 pesticides having different target groups and modes of action. Sublethal concentrations of the pesticides were tested in stream microcosms with amphipods (Gammarus pulex), blackfly larvae (Simulium latigonium), and mayfly larvae (Baetis rhodani). The results show that 6 out of 11 pesticides tested can initiate drift of macroinvertebrates at sublethal concentrations 7-22 times lower than acute LC50s (thiacloprid, imidacloprid, acetamiprid, iprodione, fenvalerate, and indoxacarb). All the toxicants that exhibited drift-initiating action are neurotoxic insecticides belonging to the groups of pyrethroids and neonicotinoids except the fungicide iprodione. The pesticides that did not initiate drift are fungicides (cyprodinil, prochloraz, and azoxystrobin), a juvenile-hormone mimic (fenoxycarb), and a pyrazole insecticide (tebufenpyrad) affecting cell energy production. Remarkably, for all the drift-initiating toxicants, drift of the tested animals was detected within 2 h after contamination. This shows that macroinvertebrate drift can be induced even by short-term pulse exposures to neurotoxic insecticides, at field-relevant concentrations. The present results imply that the possibility of drift-initiating effects of pesticides should be considered within the risk assessment framework for pesticides, as all neurotoxic substances that were investigated did initiate drift at sublethal concentrations. © 2008 Springer Science+Business Media, LLC.","author":[{"dropping-particle":"","family":"Beketov","given":"Mikhail A.","non-dropping-particle":"","parse-names":false,"suffix":""},{"dropping-particle":"","family":"Liess","given":"Matthias","non-dropping-particle":"","parse-names":false,"suffix":""}],"container-title":"Archives of Environmental Contamination and Toxicology","id":"ITEM-1","issue":"2","issued":{"date-parts":[["2008"]]},"note":"Reject with HONORABLE MENTION.\n\nReservations - see pink notes.\n\nRequested addtional data from corresponding author on 9/15 (no response). Sent reminder inquiry 10/13. \n\nCan't use Baetis rhodani data - mayfly.. control was less than 90% survival.\n\nAuthor reply:\n1. Age or life-stage of  \n- Gammarus pulex: Adult, 6-8 month old \n- Simulium latigonium: later larval stages, rather shortly before pupation (5-6).  \n- Baetis rhodani: later larval stages. \n  \n2. Water quality: \nM7 medium (OECD 1997). The main physicochemical parameters of the M7 medium were: pH 7.4, conductivity 600 lS/cm, carbonate hardness approximately 180 mg CaCO3/L.","page":"247-253","title":"Potential of 11 pesticides to initiate downstream drift of stream macroinvertebrates","type":"article-journal","volume":"55"},"uris":["http://www.mendeley.com/documents/?uuid=d98ef0a8-f366-43f7-a6fb-83d4d9dbb369"]}],"mendeley":{"formattedCitation":"(Beketov and Liess, 2008)","plainTextFormattedCitation":"(Beketov and Liess, 2008)","previouslyFormattedCitation":"(Beketov and Liess, 2008)"},"properties":{"noteIndex":0},"schema":"https://github.com/citation-style-language/schema/raw/master/csl-citation.json"}</w:instrText>
            </w:r>
            <w:r w:rsidRPr="00F37F1E">
              <w:fldChar w:fldCharType="separate"/>
            </w:r>
            <w:r w:rsidRPr="00F37F1E">
              <w:rPr>
                <w:b w:val="0"/>
                <w:noProof/>
              </w:rPr>
              <w:t>(Beketov and Liess, 2008)</w:t>
            </w:r>
            <w:r w:rsidRPr="00F37F1E">
              <w:fldChar w:fldCharType="end"/>
            </w:r>
          </w:p>
        </w:tc>
        <w:tc>
          <w:tcPr>
            <w:tcW w:w="602" w:type="pct"/>
          </w:tcPr>
          <w:p w14:paraId="02F83BAE" w14:textId="4A45B0B5" w:rsidR="00CB089C" w:rsidRPr="00F37F1E" w:rsidRDefault="00CB089C" w:rsidP="00CB089C">
            <w:pPr>
              <w:cnfStyle w:val="000000000000" w:firstRow="0" w:lastRow="0" w:firstColumn="0" w:lastColumn="0" w:oddVBand="0" w:evenVBand="0" w:oddHBand="0" w:evenHBand="0" w:firstRowFirstColumn="0" w:firstRowLastColumn="0" w:lastRowFirstColumn="0" w:lastRowLastColumn="0"/>
            </w:pPr>
            <w:r w:rsidRPr="00F37F1E">
              <w:t>R57 NC</w:t>
            </w:r>
          </w:p>
        </w:tc>
        <w:tc>
          <w:tcPr>
            <w:tcW w:w="2542" w:type="pct"/>
          </w:tcPr>
          <w:p w14:paraId="08162C19" w14:textId="68598BD0" w:rsidR="00CB089C" w:rsidRPr="00F37F1E" w:rsidRDefault="00CB089C" w:rsidP="00CB089C">
            <w:pPr>
              <w:cnfStyle w:val="000000000000" w:firstRow="0" w:lastRow="0" w:firstColumn="0" w:lastColumn="0" w:oddVBand="0" w:evenVBand="0" w:oddHBand="0" w:evenHBand="0" w:firstRowFirstColumn="0" w:firstRowLastColumn="0" w:lastRowFirstColumn="0" w:lastRowLastColumn="0"/>
            </w:pPr>
            <w:r w:rsidRPr="00F37F1E">
              <w:t>Not resident species and 5</w:t>
            </w:r>
            <w:r w:rsidRPr="00F37F1E">
              <w:rPr>
                <w:vertAlign w:val="superscript"/>
              </w:rPr>
              <w:t>th</w:t>
            </w:r>
            <w:r w:rsidRPr="00F37F1E">
              <w:t xml:space="preserve"> instar midge</w:t>
            </w:r>
          </w:p>
        </w:tc>
      </w:tr>
      <w:tr w:rsidR="00CB089C" w:rsidRPr="00F37F1E" w14:paraId="39C39568"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034A086F" w14:textId="0CBF41BB" w:rsidR="00CB089C" w:rsidRPr="00F37F1E" w:rsidRDefault="00CB089C" w:rsidP="00CB089C">
            <w:pPr>
              <w:rPr>
                <w:b w:val="0"/>
                <w:bCs w:val="0"/>
              </w:rPr>
            </w:pPr>
            <w:r w:rsidRPr="00F37F1E">
              <w:fldChar w:fldCharType="begin" w:fldLock="1"/>
            </w:r>
            <w:r w:rsidRPr="00F37F1E">
              <w:rPr>
                <w:b w:val="0"/>
                <w:bCs w:val="0"/>
              </w:rPr>
              <w:instrText>ADDIN CSL_CITATION {"citationItems":[{"id":"ITEM-1","itemData":{"author":[{"dropping-particle":"","family":"Bori","given":"Jaume","non-dropping-particle":"","parse-names":false,"suffix":""},{"dropping-particle":"","family":"Ribalta","given":"Carla","non-dropping-particle":"","parse-names":false,"suffix":""},{"dropping-particle":"","family":"Domene","given":"Xavier","non-dropping-particle":"","parse-names":false,"suffix":""},{"dropping-particle":"","family":"Riva","given":"Maria Carme","non-dropping-particle":"","parse-names":false,"suffix":""}],"id":"ITEM-1","issued":{"date-parts":[["2015"]]},"note":"Reject. \n\nDid not see any effects to tested aquatic organisms.","page":"169-176","title":"Containing Formulation : From Soils To Waters","type":"article-journal"},"uris":["http://www.mendeley.com/documents/?uuid=de3c862e-fbcb-480d-97e3-e2901292d8da"]}],"mendeley":{"formattedCitation":"(Bori et al., 2015)","plainTextFormattedCitation":"(Bori et al., 2015)","previouslyFormattedCitation":"(Bori et al., 2015)"},"properties":{"noteIndex":0},"schema":"https://github.com/citation-style-language/schema/raw/master/csl-citation.json"}</w:instrText>
            </w:r>
            <w:r w:rsidRPr="00F37F1E">
              <w:fldChar w:fldCharType="separate"/>
            </w:r>
            <w:r w:rsidRPr="00F37F1E">
              <w:rPr>
                <w:b w:val="0"/>
                <w:bCs w:val="0"/>
                <w:noProof/>
              </w:rPr>
              <w:t>(Bori et al., 2015)</w:t>
            </w:r>
            <w:r w:rsidRPr="00F37F1E">
              <w:fldChar w:fldCharType="end"/>
            </w:r>
          </w:p>
        </w:tc>
        <w:tc>
          <w:tcPr>
            <w:tcW w:w="602" w:type="pct"/>
          </w:tcPr>
          <w:p w14:paraId="4A324C7C" w14:textId="1E38FAEB" w:rsidR="00CB089C" w:rsidRPr="00F37F1E" w:rsidRDefault="00CB089C" w:rsidP="00CB089C">
            <w:pPr>
              <w:cnfStyle w:val="000000100000" w:firstRow="0" w:lastRow="0" w:firstColumn="0" w:lastColumn="0" w:oddVBand="0" w:evenVBand="0" w:oddHBand="1" w:evenHBand="0" w:firstRowFirstColumn="0" w:firstRowLastColumn="0" w:lastRowFirstColumn="0" w:lastRowLastColumn="0"/>
            </w:pPr>
            <w:r w:rsidRPr="00F37F1E">
              <w:t>ENDPT</w:t>
            </w:r>
          </w:p>
        </w:tc>
        <w:tc>
          <w:tcPr>
            <w:tcW w:w="2542" w:type="pct"/>
          </w:tcPr>
          <w:p w14:paraId="06AD19CE" w14:textId="7326BEA5" w:rsidR="00CB089C" w:rsidRPr="00F37F1E" w:rsidRDefault="00CB089C" w:rsidP="00CB089C">
            <w:pPr>
              <w:cnfStyle w:val="000000100000" w:firstRow="0" w:lastRow="0" w:firstColumn="0" w:lastColumn="0" w:oddVBand="0" w:evenVBand="0" w:oddHBand="1" w:evenHBand="0" w:firstRowFirstColumn="0" w:firstRowLastColumn="0" w:lastRowFirstColumn="0" w:lastRowLastColumn="0"/>
            </w:pPr>
            <w:r w:rsidRPr="00F37F1E">
              <w:t>No toxicity observed</w:t>
            </w:r>
          </w:p>
        </w:tc>
      </w:tr>
      <w:tr w:rsidR="00CB089C" w:rsidRPr="00F37F1E" w14:paraId="2F4C150B"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53C137AA" w14:textId="386E3DE3" w:rsidR="00CB089C" w:rsidRPr="00F37F1E" w:rsidRDefault="00CB089C" w:rsidP="00CB089C">
            <w:r w:rsidRPr="00F37F1E">
              <w:fldChar w:fldCharType="begin" w:fldLock="1"/>
            </w:r>
            <w:r w:rsidRPr="00F37F1E">
              <w:instrText>ADDIN CSL_CITATION {"citationItems":[{"id":"ITEM-1","itemData":{"DOI":"10.1016/j.ecoenv.2012.04.015","ISSN":"01476513","PMID":"22575057","abstract":"Laboratory toxicity test designs are far from reality and therefore extrapolations to field situations may be more difficult. In laboratory experiments with the amphipod Gammarus roeseli exposed to the insecticide imidacloprid it was investigated if test conditions closer to reality influences its sensitivity and if it is possible to extrapolate results from these laboratory tests to results from a stream mesocosm study. Experiments were run by varying medium, temperature, size, and seasonal origin of gammarids. Age and seasonal aspects had strongest effects with juveniles and animals taken from a spring population being most sensitive with an EC50 (96h) of 14.2μgL-1 imidacloprid. The test designs closest to the conditions in the stream mesocosms reflected best the results in mesocosms study on basis of LOEC values. However, the ECx extrapolation failed to predict the effects of short term imidacloprid pulses in the field. © 2012 Elsevier Inc.","author":[{"dropping-particle":"","family":"Böttger","given":"R.","non-dropping-particle":"","parse-names":false,"suffix":""},{"dropping-particle":"","family":"Schaller","given":"J.","non-dropping-particle":"","parse-names":false,"suffix":""},{"dropping-particle":"","family":"Mohr","given":"S.","non-dropping-particle":"","parse-names":false,"suffix":""}],"container-title":"Ecotoxicology and Environmental Safety","id":"ITEM-1","issued":{"date-parts":[["2012"]]},"note":"Orig accept; Final REJECT with Honorable mention - non resident Gammarus species\n\nAm making call to use most sensitive dataset that meets our rules. 6 mm is most sensitive with SW exposure, so I'm going to use that. This one was fed, but since it was also compared to non-fed organisms (with higher LC50s) I think it reasonable to be okay with using fed orgs for an acute study in this specific case.","page":"49-54","title":"Closer to reality - the influence of toxicity test modifications on the sensitivity of Gammarus roeseli to the insecticide imidacloprid","type":"article-journal","volume":"81"},"uris":["http://www.mendeley.com/documents/?uuid=a64ca5fc-036f-42b9-8e85-aba578664eca"]}],"mendeley":{"formattedCitation":"(Böttger et al., 2012)","plainTextFormattedCitation":"(Böttger et al., 2012)","previouslyFormattedCitation":"(Böttger et al., 2012)"},"properties":{"noteIndex":0},"schema":"https://github.com/citation-style-language/schema/raw/master/csl-citation.json"}</w:instrText>
            </w:r>
            <w:r w:rsidRPr="00F37F1E">
              <w:fldChar w:fldCharType="separate"/>
            </w:r>
            <w:r w:rsidRPr="00F37F1E">
              <w:rPr>
                <w:b w:val="0"/>
                <w:noProof/>
              </w:rPr>
              <w:t>(Böttger et al., 2012)</w:t>
            </w:r>
            <w:r w:rsidRPr="00F37F1E">
              <w:fldChar w:fldCharType="end"/>
            </w:r>
          </w:p>
        </w:tc>
        <w:tc>
          <w:tcPr>
            <w:tcW w:w="602" w:type="pct"/>
          </w:tcPr>
          <w:p w14:paraId="36815E55" w14:textId="27868F51" w:rsidR="00CB089C" w:rsidRPr="00F37F1E" w:rsidRDefault="00CB089C" w:rsidP="00CB089C">
            <w:pPr>
              <w:cnfStyle w:val="000000000000" w:firstRow="0" w:lastRow="0" w:firstColumn="0" w:lastColumn="0" w:oddVBand="0" w:evenVBand="0" w:oddHBand="0" w:evenHBand="0" w:firstRowFirstColumn="0" w:firstRowLastColumn="0" w:lastRowFirstColumn="0" w:lastRowLastColumn="0"/>
            </w:pPr>
            <w:r w:rsidRPr="00F37F1E">
              <w:t>R57 NC</w:t>
            </w:r>
          </w:p>
        </w:tc>
        <w:tc>
          <w:tcPr>
            <w:tcW w:w="2542" w:type="pct"/>
          </w:tcPr>
          <w:p w14:paraId="1C0CBA19" w14:textId="49EC095C" w:rsidR="00CB089C" w:rsidRPr="00F37F1E" w:rsidRDefault="00CB089C" w:rsidP="00CB089C">
            <w:pPr>
              <w:cnfStyle w:val="000000000000" w:firstRow="0" w:lastRow="0" w:firstColumn="0" w:lastColumn="0" w:oddVBand="0" w:evenVBand="0" w:oddHBand="0" w:evenHBand="0" w:firstRowFirstColumn="0" w:firstRowLastColumn="0" w:lastRowFirstColumn="0" w:lastRowLastColumn="0"/>
            </w:pPr>
            <w:r w:rsidRPr="00F37F1E">
              <w:t>Non-resident species</w:t>
            </w:r>
          </w:p>
        </w:tc>
      </w:tr>
      <w:tr w:rsidR="00CB089C" w:rsidRPr="00F37F1E" w14:paraId="143EAFB7"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1FCB1F7C" w14:textId="5ABF217D" w:rsidR="00CB089C" w:rsidRPr="00F37F1E" w:rsidRDefault="00CB089C" w:rsidP="00CB089C">
            <w:pPr>
              <w:rPr>
                <w:b w:val="0"/>
                <w:bCs w:val="0"/>
              </w:rPr>
            </w:pPr>
            <w:r w:rsidRPr="00F37F1E">
              <w:fldChar w:fldCharType="begin" w:fldLock="1"/>
            </w:r>
            <w:r w:rsidRPr="00F37F1E">
              <w:rPr>
                <w:b w:val="0"/>
                <w:bCs w:val="0"/>
              </w:rPr>
              <w:instrText>ADDIN CSL_CITATION {"citationItems":[{"id":"ITEM-1","itemData":{"DOI":"10.1007/s11356-012-0930-0","ISSN":"09441344","PMID":"22562347","abstract":"Threshold concentrations for treatment related effects of 31 insecticides, as derived from aquatic micro-/mesocosm tests, were used to calibrate the predictive value of the European Tier-1 acute effect assessment on basis of laboratory toxicity tests with Daphnia magna, Chironomus spp., Americamysis bahia and Gammarus pulex. The acute Tier-1 effect assessment on basis of Daphnia (EC50/100) overall was protective for organophosphates, carbamates and most pyrethroids but not for neonicotinoids and the majority of insect growth regulators (IGRs) in the database. By including the 28-day water-spiked Chironomus riparius test, the effect assessment improves but selecting the lowest value on basis of the 48-h Daphnia test (EC50/100) and the 28-day Chironomus test (NOEC/10) is not fully protective for 4 out of 23 insecticide cases. An assessment on basis of G. pulex (EC50/100) is sufficiently protective for 15 out of 19 insecticide cases. The Tier-1 procedure on basis of acute toxicity data (EC50/100) for the combination of Daphnia and A. bahia and/or Chironomus (new EU dossier requirements currently under discussion) overall is protective to pulsed insecticide exposures in micro-/mesocosms. For IGRs that affect moulting, the effect assessment on basis of the 48-h Chironomus test (EC50/100) may not always be protective enough to replace that of the water-spiked 28-day C. riparius test (NOEC/10) because of latency of effects. © 2012 The Author(s).","author":[{"dropping-particle":"","family":"Brock","given":"Theo C.M.","non-dropping-particle":"","parse-names":false,"suffix":""},{"dropping-particle":"","family":"Wijngaarden","given":"R. P.A.","non-dropping-particle":"Van","parse-names":false,"suffix":""}],"container-title":"Environmental Science and Pollution Research","id":"ITEM-1","issue":"8","issued":{"date-parts":[["2012"]]},"note":"NO ORIGINAL DATA HERE - reject.","page":"3610-3618","title":"Acute toxicity tests with Daphnia magna, Americamysis bahia, Chironomus riparius and Gammarus pulex and implications of new EU requirements for the aquatic effect assessment of insecticides","type":"article-journal","volume":"19"},"uris":["http://www.mendeley.com/documents/?uuid=894156af-2d22-48a3-95ce-4c5a97c95447"]}],"mendeley":{"formattedCitation":"(Brock and Van Wijngaarden, 2012)","plainTextFormattedCitation":"(Brock and Van Wijngaarden, 2012)","previouslyFormattedCitation":"(Brock and Van Wijngaarden, 2012)"},"properties":{"noteIndex":0},"schema":"https://github.com/citation-style-language/schema/raw/master/csl-citation.json"}</w:instrText>
            </w:r>
            <w:r w:rsidRPr="00F37F1E">
              <w:fldChar w:fldCharType="separate"/>
            </w:r>
            <w:r w:rsidRPr="00F37F1E">
              <w:rPr>
                <w:b w:val="0"/>
                <w:bCs w:val="0"/>
                <w:noProof/>
              </w:rPr>
              <w:t>(Brock and Van Wijngaarden, 2012)</w:t>
            </w:r>
            <w:r w:rsidRPr="00F37F1E">
              <w:fldChar w:fldCharType="end"/>
            </w:r>
          </w:p>
        </w:tc>
        <w:tc>
          <w:tcPr>
            <w:tcW w:w="602" w:type="pct"/>
          </w:tcPr>
          <w:p w14:paraId="4E83AA9E" w14:textId="446EAA53" w:rsidR="00CB089C" w:rsidRPr="00F37F1E" w:rsidRDefault="00CB089C" w:rsidP="00CB089C">
            <w:pPr>
              <w:cnfStyle w:val="000000100000" w:firstRow="0" w:lastRow="0" w:firstColumn="0" w:lastColumn="0" w:oddVBand="0" w:evenVBand="0" w:oddHBand="1" w:evenHBand="0" w:firstRowFirstColumn="0" w:firstRowLastColumn="0" w:lastRowFirstColumn="0" w:lastRowLastColumn="0"/>
            </w:pPr>
            <w:r w:rsidRPr="00F37F1E">
              <w:t>NO ORIG</w:t>
            </w:r>
          </w:p>
        </w:tc>
        <w:tc>
          <w:tcPr>
            <w:tcW w:w="2542" w:type="pct"/>
          </w:tcPr>
          <w:p w14:paraId="2C354FAF" w14:textId="77777777" w:rsidR="00CB089C" w:rsidRPr="00170FA5" w:rsidRDefault="00CB089C" w:rsidP="00CB089C">
            <w:pPr>
              <w:cnfStyle w:val="000000100000" w:firstRow="0" w:lastRow="0" w:firstColumn="0" w:lastColumn="0" w:oddVBand="0" w:evenVBand="0" w:oddHBand="1" w:evenHBand="0" w:firstRowFirstColumn="0" w:firstRowLastColumn="0" w:lastRowFirstColumn="0" w:lastRowLastColumn="0"/>
            </w:pPr>
          </w:p>
        </w:tc>
      </w:tr>
      <w:tr w:rsidR="0063703F" w:rsidRPr="00F37F1E" w14:paraId="3C1DA1AA"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57F824DD" w14:textId="57CFBE03" w:rsidR="0063703F" w:rsidRPr="00F37F1E" w:rsidRDefault="0063703F" w:rsidP="0063703F">
            <w:r w:rsidRPr="008B21A0">
              <w:fldChar w:fldCharType="begin" w:fldLock="1"/>
            </w:r>
            <w:r w:rsidRPr="008B21A0">
              <w:rPr>
                <w:b w:val="0"/>
                <w:bCs w:val="0"/>
              </w:rPr>
              <w:instrText>ADDIN CSL_CITATION {"citationItems":[{"id":"ITEM-1","itemData":{"DOI":"10.1002/etc.3536","ISSN":"15528618","PMID":"27329202","abstract":"Nontarget aquatic insects are susceptible to chronic neonicotinoid insecticide exposure during the early stages of development from repeated runoff events and prolonged persistence of these chemicals. Investigations on the chronic toxicity of neonicotinoids to aquatic invertebrates have been limited to a few species and under different laboratory conditions that often preclude direct comparisons of the relative toxicity of different compounds. In the present study, full life-cycle toxicity tests using Chironomus dilutus were performed to compare the toxicity of 3 commonly used neonicotinoids: imidacloprid, clothianidin, and thiamethoxam. Test conditions followed a static-renewal exposure protocol in which lethal and sublethal endpoints were assessed on days 14 and 40. Reduced emergence success, advanced emergence timing, and male-biased sex ratios were sensitive responses to low-level neonicotinoid exposure. The 14-d median lethal concentrations for imidacloprid, clothianidin, and thiamethoxam were 1.52 μg/L, 2.41 μg/L, and 23.60 μg/L, respectively. The 40-d median effect concentrations (emergence) for imidacloprid, clothianidin, and thiamethoxam were 0.39 μg/L, 0.28 μg/L, and 4.13 μg/L, respectively. Toxic equivalence relative to imidacloprid was estimated through a 3-point response average of equivalencies calculated at 20%, 50%, and 90% lethal and effect concentrations. Relative to imidacloprid (toxic equivalency factor [TEF] = 1.0), chronic (lethality) 14-d TEFs for clothianidin and thiamethoxam were 1.05 and 0.14, respectively, and chronic (emergence inhibition) 40-d TEFs were 1.62 and 0.11, respectively. These population-relevant endpoints and TEFs suggest that imidacloprid and clothianidin exert comparable chronic toxicity to C. dilutus, whereas thiamethoxam induced comparable effects only at concentrations an order of magnitude higher. However, the authors caution that under field conditions, thiamethoxam readily degrades to clothianidin, thereby likely enhancing toxicity. Environ Toxicol Chem 2017;36:372–382. © 2016 SETAC.","author":[{"dropping-particle":"","family":"Cavallaro","given":"Michael C.","non-dropping-particle":"","parse-names":false,"suffix":""},{"dropping-particle":"","family":"Morrissey","given":"Christy A.","non-dropping-particle":"","parse-names":false,"suffix":""},{"dropping-particle":"V.","family":"Headley","given":"John","non-dropping-particle":"","parse-names":false,"suffix":""},{"dropping-particle":"","family":"Peru","given":"Kerry M.","non-dropping-particle":"","parse-names":false,"suffix":""},{"dropping-particle":"","family":"Liber","given":"Karsten","non-dropping-particle":"","parse-names":false,"suffix":""}],"container-title":"Environmental Toxicology and Chemistry","id":"ITEM-1","issue":"2","issued":{"date-parts":[["2017"]]},"note":"This is a very good article. I think I can use 40 Day LC50's. Not sure about sex ratio endpoint...","page":"372-382","title":"Comparative chronic toxicity of imidacloprid, clothianidin, and thiamethoxam to Chironomus dilutus and estimation of toxic equivalency factors","type":"article-journal","volume":"36"},"uris":["http://www.mendeley.com/documents/?uuid=87131076-391f-403a-9b71-c43d9ba4cf93"]}],"mendeley":{"formattedCitation":"(Cavallaro et al., 2017)","plainTextFormattedCitation":"(Cavallaro et al., 2017)","previouslyFormattedCitation":"(Cavallaro et al., 2017)"},"properties":{"noteIndex":0},"schema":"https://github.com/citation-style-language/schema/raw/master/csl-citation.json"}</w:instrText>
            </w:r>
            <w:r w:rsidRPr="008B21A0">
              <w:fldChar w:fldCharType="separate"/>
            </w:r>
            <w:r w:rsidRPr="008B21A0">
              <w:rPr>
                <w:b w:val="0"/>
                <w:bCs w:val="0"/>
                <w:noProof/>
              </w:rPr>
              <w:t>(Cavallaro et al., 2017)</w:t>
            </w:r>
            <w:r w:rsidRPr="008B21A0">
              <w:fldChar w:fldCharType="end"/>
            </w:r>
          </w:p>
        </w:tc>
        <w:tc>
          <w:tcPr>
            <w:tcW w:w="602" w:type="pct"/>
          </w:tcPr>
          <w:p w14:paraId="65AB1A0F" w14:textId="27FD90E2"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t>NO ACR</w:t>
            </w:r>
          </w:p>
        </w:tc>
        <w:tc>
          <w:tcPr>
            <w:tcW w:w="2542" w:type="pct"/>
          </w:tcPr>
          <w:p w14:paraId="7013A13D" w14:textId="46D1E6F3" w:rsidR="0063703F" w:rsidRPr="00170FA5" w:rsidRDefault="0063703F" w:rsidP="0063703F">
            <w:pPr>
              <w:cnfStyle w:val="000000000000" w:firstRow="0" w:lastRow="0" w:firstColumn="0" w:lastColumn="0" w:oddVBand="0" w:evenVBand="0" w:oddHBand="0" w:evenHBand="0" w:firstRowFirstColumn="0" w:firstRowLastColumn="0" w:lastRowFirstColumn="0" w:lastRowLastColumn="0"/>
            </w:pPr>
            <w:r>
              <w:t>No acute comparison data – chronic data only</w:t>
            </w:r>
          </w:p>
        </w:tc>
      </w:tr>
      <w:tr w:rsidR="0063703F" w:rsidRPr="00F37F1E" w14:paraId="20B1336A"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5B571D62" w14:textId="223AE905" w:rsidR="0063703F" w:rsidRPr="00F37F1E" w:rsidRDefault="0063703F" w:rsidP="0063703F">
            <w:r w:rsidRPr="00F37F1E">
              <w:fldChar w:fldCharType="begin" w:fldLock="1"/>
            </w:r>
            <w:r w:rsidRPr="00F37F1E">
              <w:instrText>ADDIN CSL_CITATION {"citationItems":[{"id":"ITEM-1","itemData":{"DOI":"10.1007/s11356-020-07653-3","ISSN":"16147499","PMID":"31933089","abstract":"Compound pollution refers to two or more kinds of pollutants with different properties, a pollutant from different sources, or the simultaneous existence of two or more different types of pollutants in the same environment. In this study, we aimed to investigate the individual and combined toxicity of the insecticide imidacloprid (IMI), the herbicide acetochlor (ACT), and the fungicide tebuconazole (TBZ) to zebrafish. The acute toxicity test results showed that the 96-h LC50 values of IMI, ACT, and TBZ were 276.84 (259.62–294.35) mg active ingredient (a.i.) L−1, 1.52 (1.34–1.74) mg a.i. L−1, and 8.16 (7.7–8.6) mg a.i. L−1, respectively. The combinations of IMI, ACT, and TBZ with toxicity ratios of 1:2:2, 1:4:4, 2:4:1, and 4:1:4 displayed synergistic toxic effects on zebrafish, while the toxicity ratios of 1:1:1, 1:1:2, 2:1:2, 2:2:1, and 4:2:1 of IMI, ACT, and TBZ, respectively, exhibited antagonistic toxic effects on zebrafish. The following experiments were performed with a toxicity ratio of 1:4:4 (IMI:ACT:TBZ). The activities of four enzyme biomarkers related to oxidative stress in the liver, catalase (CAT), superoxide dismutase (SOD), glutathione S-transferase (GST), and malondialdehyde (MDA) content were evaluated in each exposure group on days 7, 14, 21, and 28. Compared with those of the control group, the activities of CAT, SOD, and GST and the MDA content were significantly altered at different time points in the individual and combined exposure groups. Additionally, the activities of CAT, SOD, and GST and the MDA content were significantly altered in the combined group compared with those of the individual group after 14 days or 21 days of exposure. Therefore, it was confirmed that combined toxicity studies are indispensable in risk assessment. [Figure not available: see fulltext.].","author":[{"dropping-particle":"","family":"Chang","given":"Yiming","non-dropping-particle":"","parse-names":false,"suffix":""},{"dropping-particle":"","family":"Mao","given":"Liangang","non-dropping-particle":"","parse-names":false,"suffix":""},{"dropping-particle":"","family":"Zhang","given":"Lan","non-dropping-particle":"","parse-names":false,"suffix":""},{"dropping-particle":"","family":"Zhang","given":"Yanning","non-dropping-particle":"","parse-names":false,"suffix":""},{"dropping-particle":"","family":"Jiang","given":"Hongyun","non-dropping-particle":"","parse-names":false,"suffix":""}],"container-title":"Environmental Science and Pollution Research","id":"ITEM-1","issue":"10","issued":{"date-parts":[["2020"]]},"note":"Reject - can't use zebrafish, not resident species\n\nEmail was sent to corresponding author on 10/8/21. Sent another email 10/28/21. If I don't hear back this one will be rejected.","page":"10286-10295","title":"Combined toxicity of imidacloprid, acetochlor, and tebuconazole to zebrafish (Danio rerio): acute toxicity and hepatotoxicity assessment","type":"article-journal","volume":"27"},"uris":["http://www.mendeley.com/documents/?uuid=fd3bdd7f-d755-47c0-b5fd-b7b07b83cac5"]}],"mendeley":{"formattedCitation":"(Chang et al., 2020)","plainTextFormattedCitation":"(Chang et al., 2020)","previouslyFormattedCitation":"(Chang et al., 2020)"},"properties":{"noteIndex":0},"schema":"https://github.com/citation-style-language/schema/raw/master/csl-citation.json"}</w:instrText>
            </w:r>
            <w:r w:rsidRPr="00F37F1E">
              <w:fldChar w:fldCharType="separate"/>
            </w:r>
            <w:r w:rsidRPr="00F37F1E">
              <w:rPr>
                <w:b w:val="0"/>
                <w:noProof/>
              </w:rPr>
              <w:t>(Chang et al., 2020)</w:t>
            </w:r>
            <w:r w:rsidRPr="00F37F1E">
              <w:fldChar w:fldCharType="end"/>
            </w:r>
          </w:p>
        </w:tc>
        <w:tc>
          <w:tcPr>
            <w:tcW w:w="602" w:type="pct"/>
          </w:tcPr>
          <w:p w14:paraId="380F18BC" w14:textId="5C9B81EA"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R57 NC</w:t>
            </w:r>
          </w:p>
        </w:tc>
        <w:tc>
          <w:tcPr>
            <w:tcW w:w="2542" w:type="pct"/>
          </w:tcPr>
          <w:p w14:paraId="3634BFDC" w14:textId="202971AE" w:rsidR="0063703F" w:rsidRPr="00170FA5" w:rsidRDefault="0063703F" w:rsidP="0063703F">
            <w:pPr>
              <w:cnfStyle w:val="000000100000" w:firstRow="0" w:lastRow="0" w:firstColumn="0" w:lastColumn="0" w:oddVBand="0" w:evenVBand="0" w:oddHBand="1" w:evenHBand="0" w:firstRowFirstColumn="0" w:firstRowLastColumn="0" w:lastRowFirstColumn="0" w:lastRowLastColumn="0"/>
            </w:pPr>
            <w:r w:rsidRPr="00170FA5">
              <w:t>Non-resident species (Zebrafish)</w:t>
            </w:r>
          </w:p>
        </w:tc>
      </w:tr>
      <w:tr w:rsidR="0063703F" w:rsidRPr="00F37F1E" w14:paraId="0555216E"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1AE37ADC" w14:textId="1DC96C29"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{"citationItems":[{"id":"ITEM-1","itemData":{"DOI":"10.1016/j.ecoenv.2009.09.016","ISSN":"01476513","PMID":"19833391","abstract":"The toxicity of the nonylphenol polyethoxylate, R-11 and the neonicotinoid insecticide, imidacloprid were evaluated on the crustacean, Ceriodaphnia dubia Richard. These compounds were evaluated separately and as a mixture because they are applied for pest control and may exist as a binary mixture in surface water. Acute mortality estimates (48 h) were developed followed by population-level studies after chronic exposure. LC50s and 95% CL for R-11 and imidacloprid were 9241 (8521-9842) μg/l and 2.1 (1.1-3.4) μg/l, respectively. In the population study, C. dubia were exposed to concentrations equivalent to the acute LC25 for R-11 (8090 μg/l) and imidacloprid (0.3 μg/l) separately and as a mixture for 8 d. The results of the chronic study indicated that R-11 had a greater impact on population parameters than imidacloprid and the mixture had a greater impact than either compound alone. For example, the total number of individuals at the end of the chronic study was 73%, 19%, and 6% of the control for imidacloprid, R-11, and the binary mixture, respectively. Additionally, exposure to R-11, imidacloprid, and the mixture resulted in 52%, 10%, and 91% reductions in population growth rate compared to the control, respectively. The results of this study indicate that when combined, R-11 and imidacloprid act in a more than additive manner. Therefore, it is important that their potential effects on aquatic organisms be evaluated together. © 2009 Elsevier Inc. All rights reserved.","author":[{"dropping-particle":"","family":"Chen","given":"Xue Dong","non-dropping-particle":"","parse-names":false,"suffix":""},{"dropping-particle":"","family":"Culbert","given":"Elizabeth","non-dropping-particle":"","parse-names":false,"suffix":""},{"dropping-particle":"","family":"Hebert","given":"Vince","non-dropping-particle":"","parse-names":false,"suffix":""},{"dropping-particle":"","family":"Stark","given":"John D.","non-dropping-particle":"","parse-names":false,"suffix":""}],"container-title":"Ecotoxicology and Environmental Safety","id":"ITEM-1","issue":"2","issued":{"date-parts":[["2010"]]},"note":"Reject. Admire only 42% IMI. Number way off from pure product studies.\n\nPasses initial screen. Very low number - might be what sets the ALV...\nUse acute study only, chronic did not cite a number to use.\n\nEmail response from John Stark:\nThe study you mentioned is quite old and I would have to track down the water quality data developed in this study. Dr. Chen probably has the data. \n\nHowever, I know that we followed the USEPA protocol 2002 and that the following were recorded and fell within the ranges listed below: \n  \nThree Cladocerans, D. pulex, D. magna, and C. dubia, were reared in reconstituted dilution water (RDW). All RDW used in this study was prepared according to a method modified from a USEPA protocol (2002) resulting in a RDW with pH 7.4–7.8, conductivity 260–320 lS, dis[1]solved oxygen (DO) [8.0 mg/L, alkalinity of 60–70 mg/L and a hardness of 80–100 mg/L. Cultures were housed in an environmental chamber with a photoperiod of 18:6 h light:dark, 25.0 ± 0.1[1]C, and 50.0 ± 0.1% relative humidity (RH). \n  \nUSEPA (2002) Short-term methods for estimating the chronic toxicity of effluents and receiving waters to freshwater organisms, 4th edn. EPA/600/4-89/001","page":"132-137","publisher":"Elsevier","title":"Mixture effects of the nonylphenyl polyethoxylate, R-11 and the insecticide, imidacloprid on population growth rate and other parameters of the crustacean, Ceriodaphnia dubia","type":"article-journal","volume":"73"},"uris":["http://www.mendeley.com/documents/?uuid=78553fe6-0ff7-4275-b922-cdc25cfdf606"]}],"mendeley":{"formattedCitation":"(Chen et al., 2010)","plainTextFormattedCitation":"(Chen et al., 2010)","previouslyFormattedCitation":"(Chen et al., 2010)"},"properties":{"noteIndex":0},"schema":"https://github.com/citation-style-language/schema/raw/master/csl-citation.json"}</w:instrText>
            </w:r>
            <w:r w:rsidRPr="00F37F1E">
              <w:fldChar w:fldCharType="separate"/>
            </w:r>
            <w:r w:rsidRPr="00F37F1E">
              <w:rPr>
                <w:b w:val="0"/>
                <w:bCs w:val="0"/>
                <w:noProof/>
              </w:rPr>
              <w:t>(Chen et al., 2010)</w:t>
            </w:r>
            <w:r w:rsidRPr="00F37F1E">
              <w:fldChar w:fldCharType="end"/>
            </w:r>
          </w:p>
        </w:tc>
        <w:tc>
          <w:tcPr>
            <w:tcW w:w="602" w:type="pct"/>
          </w:tcPr>
          <w:p w14:paraId="23ECF9A7" w14:textId="235FA543"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MIXTURE</w:t>
            </w:r>
          </w:p>
        </w:tc>
        <w:tc>
          <w:tcPr>
            <w:tcW w:w="2542" w:type="pct"/>
          </w:tcPr>
          <w:p w14:paraId="55324A31" w14:textId="6A90E17A" w:rsidR="0063703F" w:rsidRPr="00170FA5" w:rsidRDefault="0063703F" w:rsidP="0063703F">
            <w:pPr>
              <w:cnfStyle w:val="000000000000" w:firstRow="0" w:lastRow="0" w:firstColumn="0" w:lastColumn="0" w:oddVBand="0" w:evenVBand="0" w:oddHBand="0" w:evenHBand="0" w:firstRowFirstColumn="0" w:firstRowLastColumn="0" w:lastRowFirstColumn="0" w:lastRowLastColumn="0"/>
            </w:pPr>
            <w:r w:rsidRPr="00170FA5">
              <w:t>Admire Pro – only 42.8% active imidacloprid</w:t>
            </w:r>
          </w:p>
        </w:tc>
      </w:tr>
      <w:tr w:rsidR="0063703F" w:rsidRPr="00F37F1E" w14:paraId="4C41AD1C"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60BDC491" w14:textId="68B9E30F"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{"citationItems":[{"id":"ITEM-1","itemData":{"DOI":"10.1016/j.envpol.2020.114793","ISSN":"18736424","PMID":"32559875","abstract":"The neonicotinoid imidacloprid (IMI) is one of the most extensively applied neuro-active insecticides worldwide and continues to enter surface waters in many countries despite a recent ban for outdoor use in the EU. Yet little is known about ecotoxicological effects on non-target benthic freshwater species exposed to environmentally relevant concentrations of IMI and its marketed products. The aim of the present study was to narrow this gap by assessing effects of pure IMI and its commercial formulation Confidor® on the aquatic oligochaete Lumbriculus variegatus, a key species in freshwater sediments. To this end, we determined dose-response relationships in 24 h toxicity tests, bioconcentration during 24 h and 5 d of exposure to 0.1, 1 and 10 μg IMI L−1, and physiological stress responses by measuring glutathione S-transferase, glutathione reductase and catalase activity in the same conditions. Maximum neonicotinoid concentrations reported from the field were lethal to L. variegatus within 24 h (LC50 of 65 and 88 μg IMI L−1 in pure form and as active ingredient of Confidor®, respectively). At sub-lethal exposure concentrations, tissue content of IMI significantly increased with exposure time. The observed bioconcentration factors (BCFs) were far above the water octanol coefficient (KOW), indicating a potentially large underestimation of IMI bioaccumulation when based on KOW. Activities of biotransformation and antioxidant enzymes indicated attempts of L. variegatus to counter xenobiotic-triggered oxidative stress to very low IMI and Confidor® concentrations. Together, our data add significantly to growing evidence that the continued proliferation of neonicotinoids require increased efforts in environmental risk assessment, especially in view of species-specific differences in sensitivities to the insecticide and possibly to additives of commercial formulations.","author":[{"dropping-particle":"","family":"Contardo-Jara","given":"Valeska","non-dropping-particle":"","parse-names":false,"suffix":""},{"dropping-particle":"","family":"Gessner","given":"Mark O.","non-dropping-particle":"","parse-names":false,"suffix":""}],"container-title":"Environmental Pollution","id":"ITEM-1","issued":{"date-parts":[["2020"]]},"note":"REJECT. \n\n24-hr acute for lumbriculous - doesn't meet rule tox test timetables. need 96 hr.","page":"114793","publisher":"Elsevier Ltd","title":"Uptake and physiological effects of the neonicotinoid imidacloprid and its commercial formulation Confidor® in a widespread freshwater oligochaete","type":"article-journal","volume":"264"},"uris":["http://www.mendeley.com/documents/?uuid=d2043eb3-5500-49d8-9823-6a474ec90457"]}],"mendeley":{"formattedCitation":"(Contardo-Jara and Gessner, 2020)","plainTextFormattedCitation":"(Contardo-Jara and Gessner, 2020)","previouslyFormattedCitation":"(Contardo-Jara and Gessner, 2020)"},"properties":{"noteIndex":0},"schema":"https://github.com/citation-style-language/schema/raw/master/csl-citation.json"}</w:instrText>
            </w:r>
            <w:r w:rsidRPr="00F37F1E">
              <w:fldChar w:fldCharType="separate"/>
            </w:r>
            <w:r w:rsidRPr="00F37F1E">
              <w:rPr>
                <w:b w:val="0"/>
                <w:bCs w:val="0"/>
                <w:noProof/>
              </w:rPr>
              <w:t>(Contardo-Jara and Gessner, 2020)</w:t>
            </w:r>
            <w:r w:rsidRPr="00F37F1E">
              <w:fldChar w:fldCharType="end"/>
            </w:r>
          </w:p>
        </w:tc>
        <w:tc>
          <w:tcPr>
            <w:tcW w:w="602" w:type="pct"/>
          </w:tcPr>
          <w:p w14:paraId="6B2ADB65" w14:textId="28512F5D"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R57 NC</w:t>
            </w:r>
          </w:p>
        </w:tc>
        <w:tc>
          <w:tcPr>
            <w:tcW w:w="2542" w:type="pct"/>
          </w:tcPr>
          <w:p w14:paraId="662FA108" w14:textId="18F20FD6"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rPr>
                <w:i/>
                <w:iCs/>
              </w:rPr>
              <w:t xml:space="preserve">L. variegatus </w:t>
            </w:r>
            <w:r w:rsidRPr="00F37F1E">
              <w:t>acute test only 24-hrs long</w:t>
            </w:r>
          </w:p>
        </w:tc>
      </w:tr>
      <w:tr w:rsidR="0063703F" w:rsidRPr="00F37F1E" w14:paraId="4D4CCE9B"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7756D19D" w14:textId="08E08977" w:rsidR="0063703F" w:rsidRPr="00F37F1E" w:rsidRDefault="0063703F" w:rsidP="0063703F">
            <w:r w:rsidRPr="00F37F1E">
              <w:fldChar w:fldCharType="begin" w:fldLock="1"/>
            </w:r>
            <w:r w:rsidRPr="00F37F1E">
              <w:instrText>ADDIN CSL_CITATION {"citationItems":[{"id":"ITEM-1","itemData":{"DOI":"10.1016/j.scitotenv.2020.141285","ISSN":"18791026","PMID":"32943215","abstract":"During water years (WY) 2013–2017, the U.S. Geological Survey, National Water-Quality Assessment (NAWQA) Project, sampled the National Water Quality Network – Rivers and Streams (NWQN) year-round and reported on 221 pesticides at 72 sites across the United States in agricultural, developed, and mixed land use watersheds. The Pesticide Toxicity Index (PTI) was used to estimate the potential chronic and acute toxicity to three taxonomic groups – fish, cladocerans, and benthic invertebrates. For invertebrates (either cladocerans, benthic invertebrates, or both), the maximum PTI score exceeded the predicted acute toxicity screening level at 18 of the 72 sites (25%) at some point during WY 2013–2017. The predicted toxicity of a single pesticide compound was found to overwhelm the toxicity of other pesticides in the mixtures after concentrations were toxicity weighted. For this study, about 71%, 72%, and 92% of the Fish-, Cladoceran-, and Benthic Invertebrate-PTI scores, respectively, had one pesticide compound primarily contributing to sample potential toxicity (&gt;50%). There were 17 (13 insecticides, 2 herbicides, 1 fungicide, and 1 synergist) of the 221 pesticide compounds analyzed that were the primary drivers of potential toxicity in each water sample in which the PTI and TUmax (toxic unit score for the pesticide that makes the single largest contribution to the PTI) scores were above predicted chronic (&gt;0.1) or acute (&gt;1) toxicity levels for one of the three taxa. For cladocerans and benthic invertebrates, the drivers of predicted chronic (&gt;0.1) and acute (&gt;1) PTIs were mostly insecticides. For cladocerans, the pesticide compounds driving the PTI scores were bifenthrin, carbaryl, chlorpyrifos, diazinon, dichlorvos, dicrotophos, diflubenzuron, flubendiamide, and tebupirimfos. For benthic invertebrates, atrazine (an herbicide), as well as the insecticides – bifenthrin, carbaryl, carbofuran, chlorpyrifos, diazinon, dichlorvos, fipronil, imidacloprid, and methamidophos – were the drivers of predicted toxicity. For fish, there were three pesticide types that contributed the most to predicted chronic (&gt;0.1) PTIs – acetochlor, an herbicide; carbendazim, a fungicide degradate; and piperonylbutoxide, a synergist.","author":[{"dropping-particle":"","family":"Covert","given":"S. Alex","non-dropping-particle":"","parse-names":false,"suffix":""},{"dropping-particle":"","family":"Shoda","given":"Megan E.","non-dropping-particle":"","parse-names":false,"suffix":""},{"dropping-particle":"","family":"Stackpoole","given":"Sarah M.","non-dropping-particle":"","parse-names":false,"suffix":""},{"dropping-particle":"","family":"Stone","given":"Wesley W.","non-dropping-particle":"","parse-names":false,"suffix":""}],"container-title":"Science of the Total Environment","id":"ITEM-1","issued":{"date-parts":[["2020"]]},"note":"REJECT.\n\nThis is a great review article and should direct future work on pesticides development of Aquatic life values.","page":"141285","publisher":"Elsevier B.V.","title":"Pesticide mixtures show potential toxicity to aquatic life in U.S. streams, water years 2013–2017","type":"article-journal","volume":"745"},"uris":["http://www.mendeley.com/documents/?uuid=046649fa-d405-432d-937a-6c57e9938001"]}],"mendeley":{"formattedCitation":"(Covert et al., 2020)","plainTextFormattedCitation":"(Covert et al., 2020)","previouslyFormattedCitation":"(Covert et al., 2020)"},"properties":{"noteIndex":0},"schema":"https://github.com/citation-style-language/schema/raw/master/csl-citation.json"}</w:instrText>
            </w:r>
            <w:r w:rsidRPr="00F37F1E">
              <w:fldChar w:fldCharType="separate"/>
            </w:r>
            <w:r w:rsidRPr="00F37F1E">
              <w:rPr>
                <w:b w:val="0"/>
                <w:noProof/>
              </w:rPr>
              <w:t>(Covert et al., 2020)</w:t>
            </w:r>
            <w:r w:rsidRPr="00F37F1E">
              <w:fldChar w:fldCharType="end"/>
            </w:r>
          </w:p>
        </w:tc>
        <w:tc>
          <w:tcPr>
            <w:tcW w:w="602" w:type="pct"/>
          </w:tcPr>
          <w:p w14:paraId="58B46E18" w14:textId="65EF3153"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NO ORIG</w:t>
            </w:r>
          </w:p>
        </w:tc>
        <w:tc>
          <w:tcPr>
            <w:tcW w:w="2542" w:type="pct"/>
          </w:tcPr>
          <w:p w14:paraId="1CF06484" w14:textId="2081BF49"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Review article</w:t>
            </w:r>
          </w:p>
        </w:tc>
      </w:tr>
      <w:tr w:rsidR="0063703F" w:rsidRPr="00F37F1E" w14:paraId="303EFE85"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782EB2CB" w14:textId="4815777D"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{"citationItems":[{"id":"ITEM-1","itemData":{"DOI":"10.1016/j.ecoenv.2013.07.011","ISSN":"01476513","PMID":"23911212","abstract":"The potential aquatic risk of application of the neonicotinoid insecticide imidacloprid for aphid control in rice was assessed. To this end, imidacloprid was applied as Confidor® 200 SC at the recommended field dose of 100g a.i./ha to a Portuguese rice plot. Subsequently, fate of the test compound in water and potential effects of water samples on a battery of test species were determined. As compared to the first-tier predicted environmental concentrations (PECs) calculated using MED-Rice (around 30μg/L depending on the scenario used) and US-EPA (78μg/L) simulations, the actual peak concentration measured in the paddy water (52μg/L) was higher and lower, respectively. As was anticipated based on 50% effect concentrations (EC50 values) for Daphnia magna published in the open literature and that calculated in the present study (48h-EC50 immobility=84mg/L), no effects were observed of field water samples on daphnids. The sediment-dwelling ostracod Heterocypris incongruens, however, appeared relatively sensitive towards imidacloprid (6d-EC50 growth inhibition=0.01-0.015mg/L) and a slight effect was indeed noted in field samples taken the first week after application. Species sensitivity distributions based on published EC50 and NOEC values also revealed that other species are likely to be affected at the peak and time-weighted average imidacloprid concentrations, respectively. By applying the relative tolerance approach (i.e. by dividing the EC50 value of a certain species with that of Daphnia magna), ostracods appear to contain the most sensitive taxa to imidacloprid, followed by EPT (Ephemeroptera, Plecoptera and Trichoptera) taxa. Future field studies into (higher-tier) fate modelling of pesticides in rice paddies and effect assessment on field communities are required to ensure protection of aquatic life and wildlife (e.g. birds) from pesticide stress. © 2013 Elsevier Inc.","author":[{"dropping-particle":"","family":"Daam","given":"Michiel A.","non-dropping-particle":"","parse-names":false,"suffix":""},{"dropping-particle":"","family":"Santos Pereira","given":"Ana C.","non-dropping-particle":"","parse-names":false,"suffix":""},{"dropping-particle":"","family":"Silva","given":"Emília","non-dropping-particle":"","parse-names":false,"suffix":""},{"dropping-particle":"","family":"Caetano","given":"Lia","non-dropping-particle":"","parse-names":false,"suffix":""},{"dropping-particle":"","family":"Cerejeira","given":"Maria José","non-dropping-particle":"","parse-names":false,"suffix":""}],"container-title":"Ecotoxicology and Environmental Safety","id":"ITEM-1","issued":{"date-parts":[["2013"]]},"note":"Not sure if I can use this study. Depends on note below - primed for secondary screening.\n\nThis paper includes ostracod data...might be worth coming back to if no other ostracod data is available.","page":"78-85","publisher":"Elsevier","title":"Preliminary aquatic risk assessment of imidacloprid after application in an experimental rice plot","type":"article-journal","volume":"97"},"uris":["http://www.mendeley.com/documents/?uuid=3d4fd170-1fa8-40c1-a391-40aa3ea39cab"]}],"mendeley":{"formattedCitation":"(Daam et al., 2013)","plainTextFormattedCitation":"(Daam et al., 2013)","previouslyFormattedCitation":"(Daam et al., 2013)"},"properties":{"noteIndex":0},"schema":"https://github.com/citation-style-language/schema/raw/master/csl-citation.json"}</w:instrText>
            </w:r>
            <w:r w:rsidRPr="00F37F1E">
              <w:fldChar w:fldCharType="separate"/>
            </w:r>
            <w:r w:rsidRPr="00F37F1E">
              <w:rPr>
                <w:b w:val="0"/>
                <w:bCs w:val="0"/>
                <w:noProof/>
              </w:rPr>
              <w:t>(Daam et al., 2013)</w:t>
            </w:r>
            <w:r w:rsidRPr="00F37F1E">
              <w:fldChar w:fldCharType="end"/>
            </w:r>
          </w:p>
        </w:tc>
        <w:tc>
          <w:tcPr>
            <w:tcW w:w="602" w:type="pct"/>
          </w:tcPr>
          <w:p w14:paraId="328E1AAC" w14:textId="3248ADBF"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NS TT</w:t>
            </w:r>
          </w:p>
        </w:tc>
        <w:tc>
          <w:tcPr>
            <w:tcW w:w="2542" w:type="pct"/>
          </w:tcPr>
          <w:p w14:paraId="10A1F4F4" w14:textId="2A0BEAC6"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Missing water quality data</w:t>
            </w:r>
          </w:p>
        </w:tc>
      </w:tr>
      <w:tr w:rsidR="0063703F" w:rsidRPr="00F37F1E" w14:paraId="55FA3AAB"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05424EFA" w14:textId="6BB70CC8" w:rsidR="0063703F" w:rsidRPr="00F37F1E" w:rsidRDefault="0063703F" w:rsidP="0063703F">
            <w:r w:rsidRPr="00F37F1E">
              <w:fldChar w:fldCharType="begin" w:fldLock="1"/>
            </w:r>
            <w:r>
              <w:instrText>ADDIN CSL_CITATION {"citationItems":[{"id":"ITEM-1","itemData":{"DOI":"10.1007/s00244-021-00840-4","ISBN":"0123456789","ISSN":"14320703","PMID":"33880625","abstract":"This research investigated the adverse effects of neonicotinoids on the Northwestern salamander (Ambystoma gracile; NWS) after acute and subchronic exposures during early aquatic life stages via whole organism (i.e., growth, development) and molecular (i.e., gene expression) level endpoints. In a 96-h exposure, NWS larvae were exposed to four imidacloprid concentrations (250, 750, 2250, 6750 µg/L) and a water control treatment, and no effects on survival, body weight, snout-vent length (SVL), and total body length were observed. However, a significant 1.70- and 2.33-fold decrease in thyroid receptor β (TRβ) mRNA expression levels were detected in the larvae exposed to 750 and 2250 µg/L imidacloprid, respectively, compared with the larvae in the water control. In subsequent subchronic experiments, NWS larvae were exposed for 35 days to imidacloprid alone and an equal part mixture of neonicotinoids (imidacloprid, clothianidin, and thiamethoxam (ICT)) at three concentrations (10, 100 and 1000 µg total neonicotinoids/L) and a water control. In these experiments, there were no effects on larval survival, body weight, SVL, and total body length. However, advanced development of larvae in the 100 µg/L imidacloprid treatment was observed compared with the control after 35-day imidacloprid exposure, providing some evidence of disruption of the thyroid endocrine axis at an environmentally relevant concentration. Ultimately, there is a paucity of studies conducted examining the sensitivity of salamanders to pollutants; thus, this study reports novel findings that will contribute to understanding the sensitivity of a Caudate amphibian model to a common environmental pollutant.","author":[{"dropping-particle":"","family":"Danis","given":"Blake E.G.","non-dropping-particle":"","parse-names":false,"suffix":""},{"dropping-particle":"","family":"Marlatt","given":"Vicki L.","non-dropping-particle":"","parse-names":false,"suffix":""}],"container-title":"Archives of Environmental Contamination and Toxicology","id":"ITEM-1","issue":"4","issued":{"date-parts":[["2021"]]},"note":"Accept with reservations. No dose response curve established. \n\nThis paper indicates imidacloprid has no acute/chronic toxicity below 6750 ug/L or 6.75 mg/L. \n\nThis paper will not influence aquatic life value, but should be included to show we reviewed a salamander species.","page":"691-707","publisher":"Springer US","title":"Investigating Acute and Subchronic Effects of Neonicotinoids on Northwestern Salamander Larvae","type":"article-journal","volume":"80"},"uris":["http://www.mendeley.com/documents/?uuid=903af3d2-fcbc-41a4-adf7-caa5b58ba40a"]}],"mendeley":{"formattedCitation":"(Danis and Marlatt, 2021)","plainTextFormattedCitation":"(Danis and Marlatt, 2021)","previouslyFormattedCitation":"(Danis and Marlatt, 2021)"},"properties":{"noteIndex":0},"schema":"https://github.com/citation-style-language/schema/raw/master/csl-citation.json"}</w:instrText>
            </w:r>
            <w:r w:rsidRPr="00F37F1E">
              <w:fldChar w:fldCharType="separate"/>
            </w:r>
            <w:r w:rsidRPr="00F37F1E">
              <w:rPr>
                <w:b w:val="0"/>
                <w:noProof/>
              </w:rPr>
              <w:t>(Danis and Marlatt, 2021)</w:t>
            </w:r>
            <w:r w:rsidRPr="00F37F1E">
              <w:fldChar w:fldCharType="end"/>
            </w:r>
          </w:p>
        </w:tc>
        <w:tc>
          <w:tcPr>
            <w:tcW w:w="602" w:type="pct"/>
          </w:tcPr>
          <w:p w14:paraId="5BDC7C19" w14:textId="3BFFA9FB"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ENDPT</w:t>
            </w:r>
          </w:p>
        </w:tc>
        <w:tc>
          <w:tcPr>
            <w:tcW w:w="2542" w:type="pct"/>
          </w:tcPr>
          <w:p w14:paraId="3491BC86" w14:textId="61212893"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Toxicity not observed; non-resident species</w:t>
            </w:r>
          </w:p>
        </w:tc>
      </w:tr>
      <w:tr w:rsidR="0063703F" w:rsidRPr="00F37F1E" w14:paraId="1D992587"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73AF6C84" w14:textId="24390FA4"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{"citationItems":[{"id":"ITEM-1","itemData":{"DOI":"10.1021/acs.est.7b00827","ISSN":"15205851","PMID":"28447782","abstract":"Neonicotinoids are increasingly applied on trees as protection measure against insect pests. Consequently, neonicotinoids are inevitably transferred into aquatic environments either via spray drift or surface runoff or (due to neonicotinoids' systemic nature) via senescent leaves. There particularly leaf-shredding invertebrates may be exposed to neonicotinoids through both the water phase and the consumption of contaminated leaves. In 7 day bioassays (n = 30), we examined ecotoxicological differences between these two exposure scenarios for an amphipod and an insect nymph with their feeding rate as the response variable. Organisms either experienced waterborne neonicotinoid (i.e., imidacloprid, thiacloprid, and acetamiprid) exposure only or a combined exposure (waterborne and dietary) through both the consumption of contaminated leaves and neonicotinoids leaching from leaves into water. The amphipod (7 day EC50s from 0.3 to 8.4 μg/L) was more sensitive than the insect nymph (7 day EC50s from 7.0 to 19.4 μg/L). Moreover, for both species, concentration-response models derived from water concentrations indicated higher effects under the combined exposure. Together with the observed inability of shredders to avoid neonicotinoid-contaminated leaves, our results emphasize the relevance of dietary exposure (e.g., via leaves) for systemic insecticides. Thus, it would be prudent to consider dietary exposure during the registration of systemic insecticides to safeguard ecosystem integrity.","author":[{"dropping-particle":"","family":"Englert","given":"Dominic","non-dropping-particle":"","parse-names":false,"suffix":""},{"dropping-particle":"","family":"Zubrod","given":"Jochen P.","non-dropping-particle":"","parse-names":false,"suffix":""},{"dropping-particle":"","family":"Link","given":"Moritz","non-dropping-particle":"","parse-names":false,"suffix":""},{"dropping-particle":"","family":"Mertins","given":"Saskia","non-dropping-particle":"","parse-names":false,"suffix":""},{"dropping-particle":"","family":"Schulz","given":"Ralf","non-dropping-particle":"","parse-names":false,"suffix":""},{"dropping-particle":"","family":"Bundschuh","given":"Mirco","non-dropping-particle":"","parse-names":false,"suffix":""}],"container-title":"Environmental Science and Technology","id":"ITEM-1","issue":"10","issued":{"date-parts":[["2017"]]},"note":"I'm an initial reject on this. They used super cold water (16 degrees) and only relevant endpoint is feeding activity. Their LC50 for caddisfly species seems wrong. Lots of data lacking in methods, methodology overly complex. \n\nNot sure how this paper got into EST.","page":"5793-5802","title":"Does Waterborne Exposure Explain Effects Caused by Neonicotinoid-Contaminated Plant Material in Aquatic Systems?","type":"article-journal","volume":"51"},"uris":["http://www.mendeley.com/documents/?uuid=c88ff734-64f3-4561-bc8d-fc2cfdfc5080"]}],"mendeley":{"formattedCitation":"(Englert et al., 2017)","plainTextFormattedCitation":"(Englert et al., 2017)","previouslyFormattedCitation":"(Englert et al., 2017)"},"properties":{"noteIndex":0},"schema":"https://github.com/citation-style-language/schema/raw/master/csl-citation.json"}</w:instrText>
            </w:r>
            <w:r w:rsidRPr="00F37F1E">
              <w:fldChar w:fldCharType="separate"/>
            </w:r>
            <w:r w:rsidRPr="00F37F1E">
              <w:rPr>
                <w:b w:val="0"/>
                <w:bCs w:val="0"/>
                <w:noProof/>
              </w:rPr>
              <w:t>(Englert et al., 2017)</w:t>
            </w:r>
            <w:r w:rsidRPr="00F37F1E">
              <w:fldChar w:fldCharType="end"/>
            </w:r>
          </w:p>
        </w:tc>
        <w:tc>
          <w:tcPr>
            <w:tcW w:w="602" w:type="pct"/>
          </w:tcPr>
          <w:p w14:paraId="2BE305F5" w14:textId="2B28BD64"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ENDPT</w:t>
            </w:r>
          </w:p>
        </w:tc>
        <w:tc>
          <w:tcPr>
            <w:tcW w:w="2542" w:type="pct"/>
          </w:tcPr>
          <w:p w14:paraId="3F68412D" w14:textId="7D0B597E"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Endpoint is feeding activity, 7-day study</w:t>
            </w:r>
          </w:p>
        </w:tc>
      </w:tr>
      <w:tr w:rsidR="0063703F" w:rsidRPr="00F37F1E" w14:paraId="45E24204"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19A9EB1F" w14:textId="3A079651"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{"citationItems":[{"id":"ITEM-1","itemData":{"DOI":"10.1016/j.chemosphere.2004.02.010","ISSN":"00456535","PMID":"15212911","abstract":"Imidacloprid [1-(6-chloro-3-pyridylmethyl)-N-nitro-imidazolidin-2- ylideneamine] and RH-5849 [2′-benzoyl-l′-tert- butylbenzoylhydrazinel] are two pesticides used in China since 1992. In the present study we conducted acute toxicity test, micronucleus (MN) test and comet assay of the two pesticides on amphibian, Rana N. Hallowell, a sensitive organism suitable for acting as the bio-indicator of aquatic and agricultural ecosystems. The values of LC50-48 h of imidacloprid were found to be 165 mgl-1 for tadpoles of Rana limnocharis and 219 mgl-1 for tadpoles of Rana N. Hallowell. On the other hand, RH-5849 showed no acute toxicity to tadpoles during the 96 h exposure even it was saturated in the test solutions. There were significant differences in the MN frequencies between the negative controls and the treated groups at the dose of 8 mgl-1 for imidacloprid (p&lt;0.05) and 40 mgl-1 for RH-5849 (p&lt;0.01). Comet assay found significant differences (p&lt;0.01) in the distributions of DNA damage grades between the negative controls and groups treated in vitro with 0.05, 0.1, 0.2 and 0.5 mgl-1 of imidacloprid and 5, 25, 50 and 100 mgl-1 of RH-5849, respectively. DNA damage scores increased with the exposure levels of the two pesticides and dose-effect relationships were observed for both imidacloprid (r2=0.92) and RH-5849 (r 2=0.98). The MN test and comet assay revealed potential adverse effects of the two pesticides on DNA in the erythrocytes of amphibians in aquatic and agricultural ecosystems. © 2004 Elsevier Ltd. All rights reserved.","author":[{"dropping-particle":"","family":"Feng","given":"Shaolong","non-dropping-particle":"","parse-names":false,"suffix":""},{"dropping-particle":"","family":"Kong","given":"Zhiming","non-dropping-particle":"","parse-names":false,"suffix":""},{"dropping-particle":"","family":"Wang","given":"Xinming","non-dropping-particle":"","parse-names":false,"suffix":""},{"dropping-particle":"","family":"Zhao","given":"Lirong","non-dropping-particle":"","parse-names":false,"suffix":""},{"dropping-particle":"","family":"Peng","given":"Pingan","non-dropping-particle":"","parse-names":false,"suffix":""}],"container-title":"Chemosphere","id":"ITEM-1","issue":"5","issued":{"date-parts":[["2004"]]},"note":"REJECT - due to species not being resident.\n\n\nAre there approved methods for frog studies? Not sure, but this paper seems okay. Fiedl collected frogs aren't great. \n\nGood they got consistent ages of tadpoles within 1 month of each other.","page":"457-463","title":"Acute toxicity and genotoxicity of two novel pesticides on amphibian, Rana N. Hallowell","type":"article-journal","volume":"56"},"uris":["http://www.mendeley.com/documents/?uuid=58ad1687-401f-4ff9-9f79-b59c594e09de"]}],"mendeley":{"formattedCitation":"(Feng et al., 2004)","plainTextFormattedCitation":"(Feng et al., 2004)","previouslyFormattedCitation":"(Feng et al., 2004)"},"properties":{"noteIndex":0},"schema":"https://github.com/citation-style-language/schema/raw/master/csl-citation.json"}</w:instrText>
            </w:r>
            <w:r w:rsidRPr="00F37F1E">
              <w:fldChar w:fldCharType="separate"/>
            </w:r>
            <w:r w:rsidRPr="00F37F1E">
              <w:rPr>
                <w:b w:val="0"/>
                <w:bCs w:val="0"/>
                <w:noProof/>
              </w:rPr>
              <w:t>(Feng et al., 2004)</w:t>
            </w:r>
            <w:r w:rsidRPr="00F37F1E">
              <w:fldChar w:fldCharType="end"/>
            </w:r>
          </w:p>
        </w:tc>
        <w:tc>
          <w:tcPr>
            <w:tcW w:w="602" w:type="pct"/>
          </w:tcPr>
          <w:p w14:paraId="26ADB1BF" w14:textId="66AA22BC"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R57 NC</w:t>
            </w:r>
          </w:p>
        </w:tc>
        <w:tc>
          <w:tcPr>
            <w:tcW w:w="2542" w:type="pct"/>
          </w:tcPr>
          <w:p w14:paraId="7088A9AD" w14:textId="34E2F40B"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proofErr w:type="spellStart"/>
            <w:r w:rsidRPr="00F37F1E">
              <w:rPr>
                <w:i/>
                <w:iCs/>
              </w:rPr>
              <w:t>Pelophylax</w:t>
            </w:r>
            <w:proofErr w:type="spellEnd"/>
            <w:r w:rsidRPr="00F37F1E">
              <w:rPr>
                <w:i/>
                <w:iCs/>
              </w:rPr>
              <w:t xml:space="preserve"> </w:t>
            </w:r>
            <w:proofErr w:type="spellStart"/>
            <w:r w:rsidRPr="00F37F1E">
              <w:rPr>
                <w:i/>
                <w:iCs/>
              </w:rPr>
              <w:t>nigromaculatus</w:t>
            </w:r>
            <w:proofErr w:type="spellEnd"/>
            <w:r w:rsidRPr="00F37F1E">
              <w:t xml:space="preserve"> not a resident species</w:t>
            </w:r>
          </w:p>
        </w:tc>
      </w:tr>
      <w:tr w:rsidR="0063703F" w:rsidRPr="00F37F1E" w14:paraId="10D6F9A2"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437F36C4" w14:textId="344CA745"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{"citationItems":[{"id":"ITEM-1","itemData":{"DOI":"10.1002/etc.3976","ISSN":"15528618","PMID":"28865127","abstract":"Development of an acute oral toxicity test with a terrestrial-phase amphibian was considered necessary to remove the uncertainty within the field of agrochemical risk assessments. The bullfrog (Lithobates catesbeianus) was selected for use as it is a representative of the family Ranidae and historically this species has been used as an amphibian test model species. Prior to definitive study, oral gavage methods were developed with fenthion and tetraethyl pyrophosphate. Dimethoate and malathion were subsequently tested with both male and female juvenile bullfrogs in comprehensive acute oral median lethal dose (LD50) studies. Juvenile bullfrogs were administered a single dose of the test article via oral gavage of a single gelatin capsule of dimethoate technical (dimethoate) or neat liquid Fyfanon® Technical (synonym malathion), returned to their respective aquaria, and monitored for survival for 14 d. The primary endpoint was mortality, whereas behavioral responses, food consumption, body weight, and snout–vent length (SVL) were used to evaluate indications of sublethal toxicity (secondary endpoints). Acute oral LD50 values (95% fiducial interval) for dimethoate were 1459 (1176–1810, males) and 1528 (1275–1831, females), and for malathion they were 1829 (1480–2259, males) and 1672 (1280–2183, females) mg active substance/kg body weight, respectively. Based on the results of these studies, the methodology for the acute oral gavage administration of test items to terrestrial-phase amphibians was demonstrated as being a practical method of providing data for risk assessments. Environ Toxicol Chem 2018;37:436–450. © 2017 SETAC.","author":[{"dropping-particle":"","family":"Fort","given":"Douglas J.","non-dropping-particle":"","parse-names":false,"suffix":""},{"dropping-particle":"","family":"Mathis","given":"Michael B.","non-dropping-particle":"","parse-names":false,"suffix":""},{"dropping-particle":"","family":"Kee","given":"Faith","non-dropping-particle":"","parse-names":false,"suffix":""},{"dropping-particle":"","family":"Whatling","given":"Paul","non-dropping-particle":"","parse-names":false,"suffix":""},{"dropping-particle":"","family":"Clerkin","given":"David","non-dropping-particle":"","parse-names":false,"suffix":""},{"dropping-particle":"","family":"Staveley","given":"Jane","non-dropping-particle":"","parse-names":false,"suffix":""},{"dropping-particle":"","family":"Habig","given":"Clifford","non-dropping-particle":"","parse-names":false,"suffix":""}],"container-title":"Environmental Toxicology and Chemistry","id":"ITEM-1","issue":"2","issued":{"date-parts":[["2018"]]},"note":"No Imidacloprid data cited in this paper? REJECT.","page":"436-450","title":"Evaluation of an acute oral gavage method for assessment of pesticide toxicity in terrestrial amphibians","type":"article-journal","volume":"37"},"uris":["http://www.mendeley.com/documents/?uuid=b5f0c001-1288-4fad-aa2e-f1a0c2db6661"]}],"mendeley":{"formattedCitation":"(Fort et al., 2018)","plainTextFormattedCitation":"(Fort et al., 2018)","previouslyFormattedCitation":"(Fort et al., 2018)"},"properties":{"noteIndex":0},"schema":"https://github.com/citation-style-language/schema/raw/master/csl-citation.json"}</w:instrText>
            </w:r>
            <w:r w:rsidRPr="00F37F1E">
              <w:fldChar w:fldCharType="separate"/>
            </w:r>
            <w:r w:rsidRPr="00F37F1E">
              <w:rPr>
                <w:b w:val="0"/>
                <w:bCs w:val="0"/>
                <w:noProof/>
              </w:rPr>
              <w:t>(Fort et al., 2018)</w:t>
            </w:r>
            <w:r w:rsidRPr="00F37F1E">
              <w:fldChar w:fldCharType="end"/>
            </w:r>
          </w:p>
        </w:tc>
        <w:tc>
          <w:tcPr>
            <w:tcW w:w="602" w:type="pct"/>
          </w:tcPr>
          <w:p w14:paraId="0264D300" w14:textId="352206D0"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NO ORIG</w:t>
            </w:r>
          </w:p>
        </w:tc>
        <w:tc>
          <w:tcPr>
            <w:tcW w:w="2542" w:type="pct"/>
          </w:tcPr>
          <w:p w14:paraId="70FF651D" w14:textId="77777777"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p>
        </w:tc>
      </w:tr>
      <w:tr w:rsidR="0063703F" w:rsidRPr="00F37F1E" w14:paraId="09B59B85"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46D31B58" w14:textId="1119B7A6" w:rsidR="0063703F" w:rsidRPr="00F37F1E" w:rsidRDefault="0063703F" w:rsidP="0063703F">
            <w:r w:rsidRPr="00F37F1E">
              <w:fldChar w:fldCharType="begin" w:fldLock="1"/>
            </w:r>
            <w:r w:rsidRPr="00F37F1E">
              <w:instrText>ADDIN CSL_CITATION {"citationItems":[{"id":"ITEM-1","itemData":{"DOI":"10.1002/etc.3090","ISSN":"15528618","PMID":"26351255","abstract":"The activities of 2 species of burrowing shrimp have a negative impact on the growth and survival of oysters reared on intertidal mudflats in Willapa Bay and Grays Harbor, Washington (USA). To maintain viable harvests, oyster growers proposed the application of the neonicotinoid insecticide imidacloprid onto harvested beds for the control of burrowing shrimp. In test applications, water column concentrations of imidacloprid were relatively low and dissipated rapidly. The foraging activities of the green sturgeon (listed in the US Endangered Species Act) could result in exposure to higher, more sustained imidacloprid concentrations within sediment porewater and from the consumption of contaminated shrimp. Controlled experiments were conducted using surrogate white sturgeon to determine acute and chronic effect concentrations, to examine overt effects at more environmentally realistic concentrations and durations of exposure, and to assess chemical depuration. The 96-h median lethal concentration was 124mgL-1, and the predicted 35-d no-observed-adverse-effect concentration was 0.7mgL-1. No overt effects were observed following environmentally relevant exposures. Imidacloprid half-life in plasma was greater than 32h. Measured concentrations of imidacloprid in porewater were significantly lower than the derived acute and chronic effect concentrations for white sturgeon. Exposure risk quotients were calculated using the effect concentrations and estimated environmental exposure. The resulting values were considerably below the level of concern for direct effects from either acute or chronic exposure to an endangered species.","author":[{"dropping-particle":"","family":"Frew","given":"John A.","non-dropping-particle":"","parse-names":false,"suffix":""},{"dropping-particle":"","family":"Grue","given":"Christian E.","non-dropping-particle":"","parse-names":false,"suffix":""}],"container-title":"Environmental Toxicology and Chemistry","id":"ITEM-1","issue":"11","issued":{"date-parts":[["2015"]]},"note":"REJECT - non resident species. Honorable mention b/c likely similar to Lake sturgeon","page":"2542-2548","title":"Assessing the risk to green sturgeon from application of imidacloprid to control burrowing shrimp in Willapa Bay, Washington-Part II: Controlled exposure studies","type":"article-journal","volume":"34"},"uris":["http://www.mendeley.com/documents/?uuid=7ca01fd5-f897-49b0-8886-4acf22a2e637"]}],"mendeley":{"formattedCitation":"(Frew and Grue, 2015)","plainTextFormattedCitation":"(Frew and Grue, 2015)","previouslyFormattedCitation":"(Frew and Grue, 2015)"},"properties":{"noteIndex":0},"schema":"https://github.com/citation-style-language/schema/raw/master/csl-citation.json"}</w:instrText>
            </w:r>
            <w:r w:rsidRPr="00F37F1E">
              <w:fldChar w:fldCharType="separate"/>
            </w:r>
            <w:r w:rsidRPr="00F37F1E">
              <w:rPr>
                <w:b w:val="0"/>
                <w:noProof/>
              </w:rPr>
              <w:t>(Frew and Grue, 2015)</w:t>
            </w:r>
            <w:r w:rsidRPr="00F37F1E">
              <w:fldChar w:fldCharType="end"/>
            </w:r>
          </w:p>
        </w:tc>
        <w:tc>
          <w:tcPr>
            <w:tcW w:w="602" w:type="pct"/>
          </w:tcPr>
          <w:p w14:paraId="2BCCE71F" w14:textId="57D1FBFD"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R57 NC</w:t>
            </w:r>
          </w:p>
        </w:tc>
        <w:tc>
          <w:tcPr>
            <w:tcW w:w="2542" w:type="pct"/>
          </w:tcPr>
          <w:p w14:paraId="6ECB562B" w14:textId="6FEFFFED"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t>Test with formulation not technical grade</w:t>
            </w:r>
          </w:p>
        </w:tc>
      </w:tr>
      <w:tr w:rsidR="0063703F" w:rsidRPr="00F37F1E" w14:paraId="108BBF68"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2D843782" w14:textId="28082A38" w:rsidR="0063703F" w:rsidRPr="00F37F1E" w:rsidRDefault="0063703F" w:rsidP="0063703F">
            <w:r>
              <w:fldChar w:fldCharType="begin" w:fldLock="1"/>
            </w:r>
            <w:r>
              <w:rPr>
                <w:b w:val="0"/>
                <w:bCs w:val="0"/>
              </w:rPr>
              <w:instrText>ADDIN CSL_CITATION {"citationItems":[{"id":"ITEM-1","itemData":{"author":[{"dropping-particle":"","family":"Gagliano","given":"G.G.","non-dropping-particle":"","parse-names":false,"suffix":""},{"dropping-particle":"","family":"Roney","given":"D.J.","non-dropping-particle":"","parse-names":false,"suffix":""}],"id":"ITEM-1","issued":{"date-parts":[["1992"]]},"note":"Reject - Admire not technical grade. Honorable mention","publisher-place":"Kansas City, Missouri","title":"Early life stage toxicity of SENCOR Technical to the Rainbow Trout (Oncorhynchus mykiss) under flow-through conditions","type":"report"},"uris":["http://www.mendeley.com/documents/?uuid=4a3f732c-1bef-4b03-9e9b-5506d1f87368"]}],"mendeley":{"formattedCitation":"(Gagliano and Roney, 1992)","plainTextFormattedCitation":"(Gagliano and Roney, 1992)","previouslyFormattedCitation":"(Gagliano and Roney, 1992)"},"properties":{"noteIndex":0},"schema":"https://github.com/citation-style-language/schema/raw/master/csl-citation.json"}</w:instrText>
            </w:r>
            <w:r>
              <w:fldChar w:fldCharType="separate"/>
            </w:r>
            <w:r w:rsidRPr="008B21A0">
              <w:rPr>
                <w:b w:val="0"/>
                <w:bCs w:val="0"/>
                <w:noProof/>
              </w:rPr>
              <w:t>(Gagliano and Roney, 1992)</w:t>
            </w:r>
            <w:r>
              <w:fldChar w:fldCharType="end"/>
            </w:r>
          </w:p>
        </w:tc>
        <w:tc>
          <w:tcPr>
            <w:tcW w:w="602" w:type="pct"/>
          </w:tcPr>
          <w:p w14:paraId="445244FA" w14:textId="44AE8C17"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232D00FD" w14:textId="5EEA4536"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rPr>
                <w:i/>
                <w:iCs/>
              </w:rPr>
            </w:pPr>
            <w:r>
              <w:t>Test with formulation not technical grade</w:t>
            </w:r>
          </w:p>
        </w:tc>
      </w:tr>
      <w:tr w:rsidR="0063703F" w:rsidRPr="00F37F1E" w14:paraId="7E044256"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0890152A" w14:textId="409D85BF"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{"citationItems":[{"id":"ITEM-1","itemData":{"DOI":"10.1080/10807030802614983","ISSN":"10807039","abstract":"A new automated online toxicity test for screening of short-term effects of chemicals is presented using the freshwater oligochaete Tubifex tubifex in the Multispecies Freshwater Biomonitor (MFB). Survival and locomotory behavior of the worms were observed during 24 h of exposure to metals (Cd, Cu, Ni), pesticides (Imidacloprid), and pharmaceuticals (Ivermectin). The LC50 values revealed increasing toxicity in the following order: Ni ( 100 mg/l) Cu (15.2 mg/l) Cd (4.9 mg/l) Ivermectin (1.8 mg/l) Imidacloprid (0.3 mg/l). The EC50 for locomotion showed a similar order of increasing toxicity: Ni (86 mg/l) Cu (3.8 mg/l) Ivermectin (2.0 mg/l) Cd (1.1 mg/l) Imidacloprid (0.09 mg/l). Toxicity was dependent on both concentration and exposure time. This could be demonstrated in 3d response models and proven in the statistical analysis showing a significant interaction term (C T) for the experiments with Cu and Ni. T. tubifex proved to be very tolerant, but even then behavioral responses were more sensitive than mortality for Cu, Cd, and Imidacloprid.","author":[{"dropping-particle":"","family":"Gerhardt","given":"Almut","non-dropping-particle":"","parse-names":false,"suffix":""}],"container-title":"Human and Ecological Risk Assessment","id":"ITEM-1","issue":"1","issued":{"date-parts":[["2009"]]},"note":"REJECT study period too short","page":"27-40","title":"Screening the toxicity of Ni, Cd, Cu, ivermectin, and imidacloprid in a short-term automated behavioral toxicity test with tubifex tubifex (muller 1774) (Oligochaeta)","type":"article-journal","volume":"15"},"uris":["http://www.mendeley.com/documents/?uuid=1fc9dd79-43a4-409c-b062-4e733750d963"]}],"mendeley":{"formattedCitation":"(Gerhardt, 2009)","plainTextFormattedCitation":"(Gerhardt, 2009)","previouslyFormattedCitation":"(Gerhardt, 2009)"},"properties":{"noteIndex":0},"schema":"https://github.com/citation-style-language/schema/raw/master/csl-citation.json"}</w:instrText>
            </w:r>
            <w:r w:rsidRPr="00F37F1E">
              <w:fldChar w:fldCharType="separate"/>
            </w:r>
            <w:r w:rsidRPr="00F37F1E">
              <w:rPr>
                <w:b w:val="0"/>
                <w:bCs w:val="0"/>
                <w:noProof/>
              </w:rPr>
              <w:t>(Gerhardt, 2009)</w:t>
            </w:r>
            <w:r w:rsidRPr="00F37F1E">
              <w:fldChar w:fldCharType="end"/>
            </w:r>
          </w:p>
        </w:tc>
        <w:tc>
          <w:tcPr>
            <w:tcW w:w="602" w:type="pct"/>
          </w:tcPr>
          <w:p w14:paraId="1A8899AB" w14:textId="7792A200"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R57 NC</w:t>
            </w:r>
          </w:p>
        </w:tc>
        <w:tc>
          <w:tcPr>
            <w:tcW w:w="2542" w:type="pct"/>
          </w:tcPr>
          <w:p w14:paraId="057BEB73" w14:textId="66042829"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rPr>
                <w:i/>
                <w:iCs/>
              </w:rPr>
              <w:t xml:space="preserve">Tubifex </w:t>
            </w:r>
            <w:proofErr w:type="spellStart"/>
            <w:r w:rsidRPr="00F37F1E">
              <w:rPr>
                <w:i/>
                <w:iCs/>
              </w:rPr>
              <w:t>tubifex</w:t>
            </w:r>
            <w:proofErr w:type="spellEnd"/>
            <w:r w:rsidRPr="00F37F1E">
              <w:rPr>
                <w:i/>
                <w:iCs/>
              </w:rPr>
              <w:t xml:space="preserve"> </w:t>
            </w:r>
            <w:r w:rsidRPr="00F37F1E">
              <w:t>acute test only 24-hrs long</w:t>
            </w:r>
          </w:p>
        </w:tc>
      </w:tr>
      <w:tr w:rsidR="0063703F" w:rsidRPr="00F37F1E" w14:paraId="379A83F2"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0E54FEFD" w14:textId="48A2D9AB" w:rsidR="0063703F" w:rsidRPr="00F37F1E" w:rsidRDefault="0063703F" w:rsidP="0063703F">
            <w:pPr>
              <w:rPr>
                <w:b w:val="0"/>
                <w:bCs w:val="0"/>
              </w:rPr>
            </w:pPr>
            <w:r w:rsidRPr="00F37F1E">
              <w:fldChar w:fldCharType="begin" w:fldLock="1"/>
            </w:r>
            <w:r w:rsidRPr="00F37F1E">
              <w:rPr>
                <w:b w:val="0"/>
                <w:bCs w:val="0"/>
              </w:rPr>
              <w:instrText>ADDIN CSL_CITATION {"citationItems":[{"id":"ITEM-1","itemData":{"ISSN":"1307-0428","abstract":"The ecological risk assessment of insecticides carbaryl and imidacloprid were studied when cladoceran Daphnia pulex was exposed to both insecticides. The acute toxicity test of these insecticides was assessed using Median Lethal Concentration (LC 50) Mortality percentage and Safe concentrations. LC 50 concentrations of carbaryl were 50.1, 33.1 and 26.4 µg/L for 24, 48 and 72 hr respectively. On the other hand, only the LC 50 concentrations of 24 and 48 hr were reported when D. pulex exposed to imidacloprid which, were 1.5 and 1.09 mg/L respectively. The mortality rate of D. pulex was increased proportionally with the increase concentrations of insecticides. The D. pulex appears to be sensitive to both insecticides and this is observed from the values of safe concentrations.","author":[{"dropping-particle":"","family":"Hassoon","given":"Hassanein A","non-dropping-particle":"","parse-names":false,"suffix":""},{"dropping-particle":"","family":"Salman","given":"Shihab A","non-dropping-particle":"","parse-names":false,"suffix":""}],"container-title":"Journal of International Environmental Application and Science","id":"ITEM-1","issue":"1","issued":{"date-parts":[["2016"]]},"note":"REJECT. \n\nNo water quality data or controls. Used stream water that was filtered.. without adding any nutrients... just seems odd!!","page":"18-25","title":"The Acute Effect of Pesticides Carbaryl and Imidacloprid on Daphnia pulex species","type":"article-journal","volume":"11"},"uris":["http://www.mendeley.com/documents/?uuid=ad744e7f-e0d4-4b88-9c90-686815e1e0b2"]}],"mendeley":{"formattedCitation":"(Hassoon and Salman, 2016)","plainTextFormattedCitation":"(Hassoon and Salman, 2016)","previouslyFormattedCitation":"(Hassoon and Salman, 2016)"},"properties":{"noteIndex":0},"schema":"https://github.com/citation-style-language/schema/raw/master/csl-citation.json"}</w:instrText>
            </w:r>
            <w:r w:rsidRPr="00F37F1E">
              <w:fldChar w:fldCharType="separate"/>
            </w:r>
            <w:r w:rsidRPr="00F37F1E">
              <w:rPr>
                <w:b w:val="0"/>
                <w:bCs w:val="0"/>
                <w:noProof/>
              </w:rPr>
              <w:t>(Hassoon and Salman, 2016)</w:t>
            </w:r>
            <w:r w:rsidRPr="00F37F1E">
              <w:fldChar w:fldCharType="end"/>
            </w:r>
          </w:p>
        </w:tc>
        <w:tc>
          <w:tcPr>
            <w:tcW w:w="602" w:type="pct"/>
          </w:tcPr>
          <w:p w14:paraId="6DC6E542" w14:textId="3C58545F"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NS TT</w:t>
            </w:r>
          </w:p>
        </w:tc>
        <w:tc>
          <w:tcPr>
            <w:tcW w:w="2542" w:type="pct"/>
          </w:tcPr>
          <w:p w14:paraId="0255FB68" w14:textId="33E5BD3B"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Missing water quality data</w:t>
            </w:r>
          </w:p>
        </w:tc>
      </w:tr>
      <w:tr w:rsidR="0063703F" w:rsidRPr="00F37F1E" w14:paraId="21E6AC0B"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18C2989A" w14:textId="7CC86AAA" w:rsidR="0063703F" w:rsidRPr="00F37F1E" w:rsidRDefault="0063703F" w:rsidP="0063703F">
            <w:r w:rsidRPr="00F37F1E">
              <w:fldChar w:fldCharType="begin" w:fldLock="1"/>
            </w:r>
            <w:r w:rsidRPr="00F37F1E">
              <w:instrText>ADDIN CSL_CITATION {"citationItems":[{"id":"ITEM-1","itemData":{"DOI":"10.1007/s10646-011-0802-2","ISSN":"09639292","PMID":"21971973","abstract":"Differences in susceptibility of five cladocerans to the neonicotinoid imidacloprid and the phenyl-pyrazole fipronil, which have been dominantly used in rice fields of Japan in recent years, were examined based on short-term (48-h), semi-static acute immobilization exposure tests. Additionally, we compared the species sensitivity distribution (SSD) patterns of both insecticides between two sets of species: the five tested cladocerans and all other aquatic organisms tested so far, using data from the ECOTOX database of U.S. Environmental Protection Agency (USEPA). The sensitivity of the test species to either imidacloprid or fipronil was consistent, spanning similar orders of magnitude (100 times). At the genus level, sensitivities to both insecticides were in the following descending order: Ceriodaphnia≥Moina≥ Daphnia. A positive relationship was found between body lengths of each species and the acute toxicity (EC 50) of the insecticides, in particular fipronil. Differences in SSD patterns of imidacloprid were found between the species groups compared, indicating that test cladocerans are much less susceptible than other aquatic species including amphibians, crustaceans, fish, insects, mollusks and worms. However, the SSD patterns for fipronil indicate no difference in sensitivity between cladocerans tested and other aquatic organisms despite the greater exposure, which overestimates the results, of our semi-static tests. From these results, Ceriodaphnia sp. should be considered as more sensitive bioindicators (instead of the standard Daphnia magna) for ecotoxicological assessments of aquatic ecosystems. In addition, we propose that ecotoxicity data associated with differences in susceptibility among species should be investigated whenever pesticides ave different physicochemical properties and mode of action. © 2011 Springer Science+Business Media, LLC.","author":[{"dropping-particle":"","family":"Hayasaka","given":"Daisuke","non-dropping-particle":"","parse-names":false,"suffix":""},{"dropping-particle":"","family":"Korenaga","given":"Tomoko","non-dropping-particle":"","parse-names":false,"suffix":""},{"dropping-particle":"","family":"Suzuki","given":"Kazutaka","non-dropping-particle":"","parse-names":false,"suffix":""},{"dropping-particle":"","family":"Sánchez-Bayo","given":"Francisco","non-dropping-particle":"","parse-names":false,"suffix":""},{"dropping-particle":"","family":"Goka","given":"Koichi","non-dropping-particle":"","parse-names":false,"suffix":""}],"container-title":"Ecotoxicology","id":"ITEM-1","issue":"2","issued":{"date-parts":[["2012"]]},"note":"REJECT. They used unpure product and did not get measured concentrations (nominal). Cannot accept this. It's good to get at least a relative comparison that Ceriodaphnia acute sensitivity is much higher than Daphnia magna. Honorable mention??\n\nUsed Admire with 20:80 imidacloprid to surfactant.","page":"421-427","title":"Differences in susceptibility of five cladoceran species to two systemic insecticides, imidacloprid and fipronil","type":"article-journal","volume":"21"},"uris":["http://www.mendeley.com/documents/?uuid=0004b47b-b97f-4f00-bb43-981efedded1e"]}],"mendeley":{"formattedCitation":"(Hayasaka et al., 2012)","plainTextFormattedCitation":"(Hayasaka et al., 2012)","previouslyFormattedCitation":"(Hayasaka et al., 2012)"},"properties":{"noteIndex":0},"schema":"https://github.com/citation-style-language/schema/raw/master/csl-citation.json"}</w:instrText>
            </w:r>
            <w:r w:rsidRPr="00F37F1E">
              <w:fldChar w:fldCharType="separate"/>
            </w:r>
            <w:r w:rsidRPr="00F37F1E">
              <w:rPr>
                <w:b w:val="0"/>
                <w:noProof/>
              </w:rPr>
              <w:t>(Hayasaka et al., 2012)</w:t>
            </w:r>
            <w:r w:rsidRPr="00F37F1E">
              <w:fldChar w:fldCharType="end"/>
            </w:r>
          </w:p>
        </w:tc>
        <w:tc>
          <w:tcPr>
            <w:tcW w:w="602" w:type="pct"/>
          </w:tcPr>
          <w:p w14:paraId="7C64F90C" w14:textId="2034AC32"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NS TT</w:t>
            </w:r>
          </w:p>
        </w:tc>
        <w:tc>
          <w:tcPr>
            <w:tcW w:w="2542" w:type="pct"/>
          </w:tcPr>
          <w:p w14:paraId="48B34EE6" w14:textId="4DFD219F"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Not pure chemical; nominal concentrations</w:t>
            </w:r>
          </w:p>
        </w:tc>
      </w:tr>
      <w:tr w:rsidR="0063703F" w:rsidRPr="00F37F1E" w14:paraId="57E8051A"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4D874494" w14:textId="3AD88643" w:rsidR="0063703F" w:rsidRPr="00F37F1E" w:rsidRDefault="0063703F" w:rsidP="0063703F">
            <w:pPr>
              <w:rPr>
                <w:b w:val="0"/>
                <w:bCs w:val="0"/>
              </w:rPr>
            </w:pPr>
            <w:r w:rsidRPr="00F37F1E">
              <w:fldChar w:fldCharType="begin" w:fldLock="1"/>
            </w:r>
            <w:r w:rsidRPr="00F37F1E">
              <w:rPr>
                <w:b w:val="0"/>
                <w:bCs w:val="0"/>
              </w:rPr>
              <w:instrText>ADDIN CSL_CITATION {"citationItems":[{"id":"ITEM-1","itemData":{"author":[{"dropping-particle":"","family":"Hysterophorus","given":"Parthenium","non-dropping-particle":"","parse-names":false,"suffix":""},{"dropping-particle":"","family":"Sanodiya","given":"Bhagwan S","non-dropping-particle":"","parse-names":false,"suffix":""},{"dropping-particle":"","family":"Thakur","given":"Gulab S","non-dropping-particle":"","parse-names":false,"suffix":""},{"dropping-particle":"","family":"Debnath","given":"Mousumi","non-dropping-particle":"","parse-names":false,"suffix":""},{"dropping-particle":"","family":"Pandey","given":"A K","non-dropping-particle":"","parse-names":false,"suffix":""},{"dropping-particle":"","family":"Prasadd","given":"G B K S","non-dropping-particle":"","parse-names":false,"suffix":""}],"container-title":"Romanian Journal of Plant Protection","id":"ITEM-1","issued":{"date-parts":[["2013"]]},"note":"REJECT.\n\nThis study does not report water quality. All methods are not included. \n96-hr LC50 was smallest for Common Carp at 6.68 mg/L","page":"49-61","title":"Chronic Aspects of Imidacloprid on the Fishes from Cyprinidae Family","type":"article-journal","volume":"VI"},"uris":["http://www.mendeley.com/documents/?uuid=96a76fb1-881a-4725-b211-c7b269411a59"]}],"mendeley":{"formattedCitation":"(Hysterophorus et al., 2013)","plainTextFormattedCitation":"(Hysterophorus et al., 2013)","previouslyFormattedCitation":"(Hysterophorus et al., 2013)"},"properties":{"noteIndex":0},"schema":"https://github.com/citation-style-language/schema/raw/master/csl-citation.json"}</w:instrText>
            </w:r>
            <w:r w:rsidRPr="00F37F1E">
              <w:fldChar w:fldCharType="separate"/>
            </w:r>
            <w:r w:rsidRPr="00F37F1E">
              <w:rPr>
                <w:b w:val="0"/>
                <w:bCs w:val="0"/>
                <w:noProof/>
              </w:rPr>
              <w:t>(Hysterophorus et al., 2013)</w:t>
            </w:r>
            <w:r w:rsidRPr="00F37F1E">
              <w:fldChar w:fldCharType="end"/>
            </w:r>
          </w:p>
        </w:tc>
        <w:tc>
          <w:tcPr>
            <w:tcW w:w="602" w:type="pct"/>
          </w:tcPr>
          <w:p w14:paraId="595EB5C2" w14:textId="081F5F54"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NS TT</w:t>
            </w:r>
          </w:p>
        </w:tc>
        <w:tc>
          <w:tcPr>
            <w:tcW w:w="2542" w:type="pct"/>
          </w:tcPr>
          <w:p w14:paraId="216FC512" w14:textId="44B7E846"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All methods not included; no water quality data</w:t>
            </w:r>
          </w:p>
        </w:tc>
      </w:tr>
      <w:tr w:rsidR="0063703F" w:rsidRPr="00F37F1E" w14:paraId="4849F4AB"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351E4094" w14:textId="37D882DE" w:rsidR="0063703F" w:rsidRPr="00F37F1E" w:rsidRDefault="0063703F" w:rsidP="0063703F">
            <w:pPr>
              <w:rPr>
                <w:b w:val="0"/>
                <w:bCs w:val="0"/>
              </w:rPr>
            </w:pPr>
            <w:r w:rsidRPr="00F37F1E">
              <w:fldChar w:fldCharType="begin" w:fldLock="1"/>
            </w:r>
            <w:r w:rsidRPr="00F37F1E">
              <w:rPr>
                <w:b w:val="0"/>
                <w:bCs w:val="0"/>
              </w:rPr>
              <w:instrText>ADDIN CSL_CITATION {"citationItems":[{"id":"ITEM-1","itemData":{"ISBN":"9789461825575","author":[{"dropping-particle":"","family":"Ieromina","given":"Oleksandra","non-dropping-particle":"","parse-names":false,"suffix":""},{"dropping-particle":"","family":"Peijnenburg","given":"W.M.","non-dropping-particle":"","parse-names":false,"suffix":""},{"dropping-particle":"","family":"Snoo","given":"G.R","non-dropping-particle":"de","parse-names":false,"suffix":""},{"dropping-particle":"","family":"Muller","given":"J.","non-dropping-particle":"","parse-names":false,"suffix":""},{"dropping-particle":"","family":"Knepper","given":"T.P.","non-dropping-particle":"","parse-names":false,"suffix":""},{"dropping-particle":"","family":"Vijver","given":"M.G.","non-dropping-particle":"","parse-names":false,"suffix":""}],"container-title":"Environmental Toxicology and Chemistry","id":"ITEM-1","issue":"3","issued":{"date-parts":[["2014"]]},"note":"After Review - REJECT. Does not measure most sensitive chronic endpoint for daphnia magna (reproduction)\n\nAccept with reservations. Water quality was measured but not reported. \n\nControl not shown, but can see in figures that it is a 80% survival or above.\nChronic daphnid study - measured survival (EC50) and reproduction (R0)","page":"621-631","title":"Impact of Imidacloprid on Daphnia magna Under Different Food Quality Regimes","type":"article-journal","volume":"33"},"uris":["http://www.mendeley.com/documents/?uuid=5fb34ff3-1dbe-4196-8537-1a1a4b39ed1f"]}],"mendeley":{"formattedCitation":"(Ieromina et al., 2014)","plainTextFormattedCitation":"(Ieromina et al., 2014)","previouslyFormattedCitation":"(Ieromina et al., 2014)"},"properties":{"noteIndex":0},"schema":"https://github.com/citation-style-language/schema/raw/master/csl-citation.json"}</w:instrText>
            </w:r>
            <w:r w:rsidRPr="00F37F1E">
              <w:fldChar w:fldCharType="separate"/>
            </w:r>
            <w:r w:rsidRPr="00F37F1E">
              <w:rPr>
                <w:b w:val="0"/>
                <w:bCs w:val="0"/>
                <w:noProof/>
              </w:rPr>
              <w:t>(Ieromina et al., 2014)</w:t>
            </w:r>
            <w:r w:rsidRPr="00F37F1E">
              <w:fldChar w:fldCharType="end"/>
            </w:r>
          </w:p>
        </w:tc>
        <w:tc>
          <w:tcPr>
            <w:tcW w:w="602" w:type="pct"/>
          </w:tcPr>
          <w:p w14:paraId="64A02AC1" w14:textId="68883FC4"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ENDPT</w:t>
            </w:r>
          </w:p>
        </w:tc>
        <w:tc>
          <w:tcPr>
            <w:tcW w:w="2542" w:type="pct"/>
          </w:tcPr>
          <w:p w14:paraId="6F9528C5" w14:textId="0241EA03"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Did not use most sensitive endpoint</w:t>
            </w:r>
          </w:p>
        </w:tc>
      </w:tr>
      <w:tr w:rsidR="0063703F" w:rsidRPr="00F37F1E" w14:paraId="7CAC6E8E"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242CF38F" w14:textId="7BB3E378" w:rsidR="0063703F" w:rsidRPr="00F37F1E" w:rsidRDefault="0063703F" w:rsidP="0063703F">
            <w:r>
              <w:fldChar w:fldCharType="begin" w:fldLock="1"/>
            </w:r>
            <w:r>
              <w:rPr>
                <w:b w:val="0"/>
                <w:bCs w:val="0"/>
              </w:rPr>
              <w:instrText>ADDIN CSL_CITATION {"citationItems":[{"id":"ITEM-1","itemData":{"DOI":"10.1007/s13530-019-0410-8","ISSN":"22337784","abstract":"Objective: The objective of the present study was to elucidate the toxic effects of imidacloprid on the embryonic and larval stages of common carp (Cyprinus carpio). Methods: Each of the 1000 fertilized eggs and larvae were exposed to six different concentrations (0, 10, 30, 100, 300, and 1000 µg/L) of imidacloprid in 30 plastic bowls. Each of the control and treatment was maintained in five replicates. Results: Results showed that hatching rate of fertilized eggs and number of dead embryos and larvae significantly decreased with increasing imidacloprid concentrations. The 24-, 48-, and 72-h LC50 value of imidacloprid for common carp embryos were estimated to be 12,708.8, 611, and 274.9 µg/L, respectively and the 24-, 48-, 72-, and 96-h LC50 of imidacloprid for common carp larvae were estimated to be 93719, 21691, 2352.7, and 1292.6 µg/L, respectively. Furthermore, results showed several malformations of common carp embryos and larvae induced by the toxicity of imidacloprid when exposed to 300 and 1000 µg/L. Conclusion: The results suggest that the minimum concentration of 10 µg/L imidacloprid in the aquatic environment may have adverse effects on the embryonic and larval stages of common carp.","author":[{"dropping-particle":"","family":"Islam","given":"Md A.","non-dropping-particle":"","parse-names":false,"suffix":""},{"dropping-particle":"","family":"Hossen","given":"Md S.","non-dropping-particle":"","parse-names":false,"suffix":""},{"dropping-particle":"","family":"Sumon","given":"Kizar A.","non-dropping-particle":"","parse-names":false,"suffix":""},{"dropping-particle":"","family":"Rahman","given":"Mohammad M.","non-dropping-particle":"","parse-names":false,"suffix":""}],"container-title":"Toxicology and Environmental Health Sciences","id":"ITEM-1","issue":"3","issued":{"date-parts":[["2019"]]},"note":"Reject - Premier not technical grade. Honorable mention\n\nIt's the only carp study but not well done. Doesn't state if concentrations are nominal or measured. Have to use 72-hr larval data because it's more sensitive than 96-hr data. May need to drop it for 72 hr reason at later date. \n\nThis is interesting because embryonic stage is most sensitive, but only has 72 hr data. 96 hr data for larval stage is much higher. I think it makes sense to use embryo stage at 72 hr = 274.9 ug/L and even this would be under-conservative","page":"244-251","title":"Acute Toxicity of Imidacloprid on the Developmental Stages of Common Carp Cyprinus carpio","type":"article-journal","volume":"11"},"uris":["http://www.mendeley.com/documents/?uuid=89a13657-f60e-42c6-8382-726211099abb"]}],"mendeley":{"formattedCitation":"(Islam et al., 2019)","plainTextFormattedCitation":"(Islam et al., 2019)","previouslyFormattedCitation":"(Islam et al., 2019)"},"properties":{"noteIndex":0},"schema":"https://github.com/citation-style-language/schema/raw/master/csl-citation.json"}</w:instrText>
            </w:r>
            <w:r>
              <w:fldChar w:fldCharType="separate"/>
            </w:r>
            <w:r w:rsidRPr="008B21A0">
              <w:rPr>
                <w:b w:val="0"/>
                <w:bCs w:val="0"/>
                <w:noProof/>
              </w:rPr>
              <w:t>(Islam et al., 2019)</w:t>
            </w:r>
            <w:r>
              <w:fldChar w:fldCharType="end"/>
            </w:r>
          </w:p>
        </w:tc>
        <w:tc>
          <w:tcPr>
            <w:tcW w:w="602" w:type="pct"/>
          </w:tcPr>
          <w:p w14:paraId="6B88874B" w14:textId="2A08D610"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6FBB39FC" w14:textId="2ECF241F"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t>Test with formulation not technical grade</w:t>
            </w:r>
          </w:p>
        </w:tc>
      </w:tr>
      <w:tr w:rsidR="0063703F" w:rsidRPr="00F37F1E" w14:paraId="62E83BBD"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59B89E47" w14:textId="6A189088"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{"citationItems":[{"id":"ITEM-1","itemData":{"DOI":"10.1016/j.chemosphere.2007.04.015","ISSN":"00456535","PMID":"17524455","abstract":"Imidacloprid (IMI) is at the moment the insecticide with the world's fastest growing sales and is considered possible replacement for the widely used organophosphorus pesticide, diazinon, which is subject to phased revocation in many countries. In this study, biochemical, reproductive and survival parameters of the water flea (Daphnia magna) after chronic exposure to IMI, its commercial liquid formulation Confidor SL 200 and diazinon are presented and compared. According to the lowest observed effect concentrations, diazinon is more toxic to the reproduction of D. magna than IMI and Confidor SL 200, which exert similar toxicity. The same was observed for the survival, except that Confidor SL 200 is more toxic than IMI. In polluted aquatic environments, the actual levels of diazinon are potentially chronically hazardous to the reproduction of D. magna (risk quotient &gt; 1). According to very few measured environmental levels of IMI, the latter is not expected to be chronically hazardous, unless it is accidentally spilled in a small pond. In such case, the predicted concentrations of IMI would present a potential chronic risk to D. magna, and a potential acute risk to other aquatic invertebrates. In the future, higher environmental levels of IMI are expected due to its increasing use and physico-chemical properties. The literature survey summarized in this work suggests that further ecotoxicological studies with a broader spectrum of aquatic organisms are needed before IMI is classified as safer than currently applied pesticides. © 2007 Elsevier Ltd. All rights reserved.","author":[{"dropping-particle":"","family":"Jemec","given":"Anita","non-dropping-particle":"","parse-names":false,"suffix":""},{"dropping-particle":"","family":"Tišler","given":"Tatjana","non-dropping-particle":"","parse-names":false,"suffix":""},{"dropping-particle":"","family":"Drobne","given":"Damjana","non-dropping-particle":"","parse-names":false,"suffix":""},{"dropping-particle":"","family":"Sepčić","given":"Kristina","non-dropping-particle":"","parse-names":false,"suffix":""},{"dropping-particle":"","family":"Fournier","given":"Didier","non-dropping-particle":"","parse-names":false,"suffix":""},{"dropping-particle":"","family":"Trebše","given":"Polonca","non-dropping-particle":"","parse-names":false,"suffix":""}],"container-title":"Chemosphere","id":"ITEM-1","issue":"8","issued":{"date-parts":[["2007"]]},"note":"I don't know how to make sense of the results of this paper - tentatively cannot use this??","page":"1408-1418","title":"Comparative toxicity of imidacloprid, of its commercial liquid formulation and of diazinon to a non-target arthropod, the microcrustacean Daphnia magna","type":"article-journal","volume":"68"},"uris":["http://www.mendeley.com/documents/?uuid=74a1e2a3-9cc6-4cb7-a230-89510fdee7b9"]}],"mendeley":{"formattedCitation":"(Jemec et al., 2007)","plainTextFormattedCitation":"(Jemec et al., 2007)","previouslyFormattedCitation":"(Jemec et al., 2007)"},"properties":{"noteIndex":0},"schema":"https://github.com/citation-style-language/schema/raw/master/csl-citation.json"}</w:instrText>
            </w:r>
            <w:r w:rsidRPr="00F37F1E">
              <w:fldChar w:fldCharType="separate"/>
            </w:r>
            <w:r w:rsidRPr="00F37F1E">
              <w:rPr>
                <w:b w:val="0"/>
                <w:bCs w:val="0"/>
                <w:noProof/>
              </w:rPr>
              <w:t>(Jemec et al., 2007)</w:t>
            </w:r>
            <w:r w:rsidRPr="00F37F1E">
              <w:fldChar w:fldCharType="end"/>
            </w:r>
          </w:p>
        </w:tc>
        <w:tc>
          <w:tcPr>
            <w:tcW w:w="602" w:type="pct"/>
          </w:tcPr>
          <w:p w14:paraId="1A9CFFF5" w14:textId="277C0B74"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ENDPT</w:t>
            </w:r>
          </w:p>
        </w:tc>
        <w:tc>
          <w:tcPr>
            <w:tcW w:w="2542" w:type="pct"/>
          </w:tcPr>
          <w:p w14:paraId="14141EA4" w14:textId="3038CD6D"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Did not provide LC/EC50 or other calculations</w:t>
            </w:r>
          </w:p>
        </w:tc>
      </w:tr>
      <w:tr w:rsidR="0063703F" w:rsidRPr="00F37F1E" w14:paraId="2572C151"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6DF2DC5A" w14:textId="4AF1FEAA"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{"citationItems":[{"id":"ITEM-1","itemData":{"DOI":"10.1007/s00128-007-9347-8","ISSN":"00074861","PMID":"18188485","abstract":"Imidacloprid was added to laboratory aquatic microcosms at concentrations of 12, 24, 48 and 96 μg/L to determine effects on leaf-shredding aquatic insect survival and feeding rates, and on aquatic microbial decomposition of leaf material. Survival of the stonefly, Pteronarcys dorsata, was significantly reduced at 48 and 96 μg/L. There was no significant mortality of the cranefly, Tipula sp., but most surviving tipulids were very sluggish and non-responsive to prodding at 48 and 96 μg/L. Leaf decomposition by these leaf-shredding insects was significantly reduced at all test concentrations. There were no significant adverse effects on microbial decomposition of leaf material. © 2008 Springer Science+Business Media, LLC.","author":[{"dropping-particle":"","family":"Kreutzweiser","given":"D. P.","non-dropping-particle":"","parse-names":false,"suffix":""},{"dropping-particle":"","family":"Good","given":"K. P.","non-dropping-particle":"","parse-names":false,"suffix":""},{"dropping-particle":"","family":"Chartrand","given":"D. T.","non-dropping-particle":"","parse-names":false,"suffix":""},{"dropping-particle":"","family":"Scarr","given":"T. A.","non-dropping-particle":"","parse-names":false,"suffix":""},{"dropping-particle":"","family":"Thompson","given":"D. G.","non-dropping-particle":"","parse-names":false,"suffix":""}],"container-title":"Bulletin of Environmental Contamination and Toxicology","id":"ITEM-1","issue":"3","issued":{"date-parts":[["2008"]]},"note":"Reject. \n\nInteresting data but they used a microcosm set up. both organisms put in same containers. \n\nstonefly LC50 was 70 ug/L\ntipula sp was 139 ug/L","page":"211-214","title":"Toxicity of the systemic insecticide, imidacloprid, to forest stream insects and microbial communities","type":"article-journal","volume":"80"},"uris":["http://www.mendeley.com/documents/?uuid=3f8428bb-452c-4740-8ede-9c96202d88ce"]}],"mendeley":{"formattedCitation":"(D. P. Kreutzweiser et al., 2008)","plainTextFormattedCitation":"(D. P. Kreutzweiser et al., 2008)","previouslyFormattedCitation":"(D. P. Kreutzweiser et al., 2008)"},"properties":{"noteIndex":0},"schema":"https://github.com/citation-style-language/schema/raw/master/csl-citation.json"}</w:instrText>
            </w:r>
            <w:r w:rsidRPr="00F37F1E">
              <w:fldChar w:fldCharType="separate"/>
            </w:r>
            <w:r w:rsidRPr="00F37F1E">
              <w:rPr>
                <w:b w:val="0"/>
                <w:bCs w:val="0"/>
                <w:noProof/>
              </w:rPr>
              <w:t>(D. P. Kreutzweiser et al., 2008)</w:t>
            </w:r>
            <w:r w:rsidRPr="00F37F1E">
              <w:fldChar w:fldCharType="end"/>
            </w:r>
          </w:p>
        </w:tc>
        <w:tc>
          <w:tcPr>
            <w:tcW w:w="602" w:type="pct"/>
          </w:tcPr>
          <w:p w14:paraId="18FC4C21" w14:textId="7A74EF6E"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NS TT</w:t>
            </w:r>
          </w:p>
        </w:tc>
        <w:tc>
          <w:tcPr>
            <w:tcW w:w="2542" w:type="pct"/>
          </w:tcPr>
          <w:p w14:paraId="220142F7" w14:textId="04A76A0E"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Microcosm study</w:t>
            </w:r>
          </w:p>
        </w:tc>
      </w:tr>
      <w:tr w:rsidR="0063703F" w:rsidRPr="00F37F1E" w14:paraId="4F3F2027"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22782E4E" w14:textId="006179B6" w:rsidR="0063703F" w:rsidRPr="00F37F1E" w:rsidRDefault="0063703F" w:rsidP="0063703F">
            <w:pPr>
              <w:rPr>
                <w:b w:val="0"/>
                <w:bCs w:val="0"/>
              </w:rPr>
            </w:pPr>
            <w:r w:rsidRPr="00F37F1E">
              <w:lastRenderedPageBreak/>
              <w:fldChar w:fldCharType="begin" w:fldLock="1"/>
            </w:r>
            <w:r w:rsidRPr="00F37F1E">
              <w:rPr>
                <w:b w:val="0"/>
                <w:bCs w:val="0"/>
              </w:rPr>
              <w:instrText>ADDIN CSL_CITATION {"citationItems":[{"id":"ITEM-1","itemData":{"DOI":"10.2134/jeq2007.0278","ISSN":"0047-2425","PMID":"18396551","abstract":"The systemic insecticide imidacloprid may be applied to deciduous trees for control of the Asian longhorned beetle, an invasive wood-boring insect. Senescent leaves falling from systemically treated trees contain imidacloprid concentrations that could pose a risk to natural decomposer organisms. We examined the effects of foliar imidacloprid concentrations on decomposer organisms by adding leaves from imidacloprid-treated sugar maple trees to aquatic and terrestrial microcosms under controlled laboratory conditions. Imidacloprid in maple leaves at realistic field concentrations (3-11 mg kg(-1)) did not affect survival of aquatic leaf-shredding insects or litter-dwelling earthworms. However, adverse sublethal effects at these concentrations were detected. Feeding rates by aquatic insects and earthworms were reduced, leaf decomposition (mass loss) was decreased, measurable weight losses occurred among earthworms, and aquatic and terrestrial microbial decomposition activity was significantly inhibited. Results of this study suggest that sugar maple trees systemically treated with imidacloprid to control Asian longhorned beetles may yield senescent leaves with residue levels sufficient to reduce natural decomposition processes in aquatic and terrestrial environments through adverse effects on non-target decomposer organisms.","author":[{"dropping-particle":"","family":"Kreutzweiser","given":"David P.","non-dropping-particle":"","parse-names":false,"suffix":""},{"dropping-particle":"","family":"Good","given":"Kevin P.","non-dropping-particle":"","parse-names":false,"suffix":""},{"dropping-particle":"","family":"Chartrand","given":"Derek T.","non-dropping-particle":"","parse-names":false,"suffix":""},{"dropping-particle":"","family":"Scarr","given":"Taylor A.","non-dropping-particle":"","parse-names":false,"suffix":""},{"dropping-particle":"","family":"Thompson","given":"Dean G.","non-dropping-particle":"","parse-names":false,"suffix":""}],"container-title":"Journal of Environmental Quality","id":"ITEM-1","issue":"2","issued":{"date-parts":[["2008"]]},"note":"Reject.","page":"639-646","title":"Are Leaves that Fall from Imidacloprid-Treated Maple Trees to Control Asian Longhorned Beetles Toxic to Non-target Decomposer Organisms?","type":"article-journal","volume":"37"},"uris":["http://www.mendeley.com/documents/?uuid=a6073eaf-013e-4dad-9b2f-726dca833633"]}],"mendeley":{"formattedCitation":"(David P. Kreutzweiser et al., 2008)","plainTextFormattedCitation":"(David P. Kreutzweiser et al., 2008)","previouslyFormattedCitation":"(David P. Kreutzweiser et al., 2008)"},"properties":{"noteIndex":0},"schema":"https://github.com/citation-style-language/schema/raw/master/csl-citation.json"}</w:instrText>
            </w:r>
            <w:r w:rsidRPr="00F37F1E">
              <w:fldChar w:fldCharType="separate"/>
            </w:r>
            <w:r w:rsidRPr="00F37F1E">
              <w:rPr>
                <w:b w:val="0"/>
                <w:bCs w:val="0"/>
                <w:noProof/>
              </w:rPr>
              <w:t>(David P. Kreutzweiser et al., 2008)</w:t>
            </w:r>
            <w:r w:rsidRPr="00F37F1E">
              <w:fldChar w:fldCharType="end"/>
            </w:r>
          </w:p>
        </w:tc>
        <w:tc>
          <w:tcPr>
            <w:tcW w:w="602" w:type="pct"/>
          </w:tcPr>
          <w:p w14:paraId="7795201A" w14:textId="4C1E0CC5"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NS TT</w:t>
            </w:r>
          </w:p>
        </w:tc>
        <w:tc>
          <w:tcPr>
            <w:tcW w:w="2542" w:type="pct"/>
          </w:tcPr>
          <w:p w14:paraId="2EFD875F" w14:textId="37DCD269"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Microcosm study</w:t>
            </w:r>
          </w:p>
        </w:tc>
      </w:tr>
      <w:tr w:rsidR="0063703F" w:rsidRPr="00F37F1E" w14:paraId="3B6DE105"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177C4946" w14:textId="67F09CCE"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{"citationItems":[{"id":"ITEM-1","itemData":{"DOI":"10.1016/j.ecoenv.2008.09.017","ISSN":"01476513","PMID":"18973940","abstract":"Imidacloprid is a systemic insecticide that is used in trees to control several invasive, wood-boring insect pests in North America. Applications to deciduous trees result in foliar concentrations of imidacloprid that could pose a risk of harm to non-target decomposer invertebrates when autumn-shed leaves fall to forest floors or adjacent water bodies. Selection experiments were conducted in aquatic and terrestrial microcosms to test the hypothesis that non-target, leaf-shredding invertebrates can detect and avoid leaves from imidacloprid-treated trees thereby circumventing effects on leaf litter decomposition. There was no significant preferential feeding on non-contaminated leaves in selection microcosms indicating that the invertebrates could not detect and avoid imidacloprid-containing leaves. Mass loss and area consumed of both imidacloprid-containing and natural leaves in selection microcosms were significantly less than in control microcosms, indicating a sub-lethal feeding inhibition effect from consumption of leaf material at realistic field concentrations of 18-30 μg/g fresh weight. Our results indicate that imidacloprid at realistic concentrations in leaves can inhibit leaf litter breakdown through adverse sub-lethal effects on decomposer invertebrates. Crown Copyright © 2008.","author":[{"dropping-particle":"","family":"Kreutzweiser","given":"David P.","non-dropping-particle":"","parse-names":false,"suffix":""},{"dropping-particle":"","family":"Thompson","given":"Dean G.","non-dropping-particle":"","parse-names":false,"suffix":""},{"dropping-particle":"","family":"Scarr","given":"Taylor A.","non-dropping-particle":"","parse-names":false,"suffix":""}],"container-title":"Ecotoxicology and Environmental Safety","id":"ITEM-1","issue":"4","issued":{"date-parts":[["2009"]]},"note":"reject. \n\nFor same reasons as other Kreu.. publication I reviewed (microcosm)","page":"1053-1057","title":"Imidacloprid in leaves from systemically treated trees may inhibit litter breakdown by non-target invertebrates","type":"article-journal","volume":"72"},"uris":["http://www.mendeley.com/documents/?uuid=dd14aca9-2ee7-4eaa-a6fb-86fbc04100aa"]}],"mendeley":{"formattedCitation":"(Kreutzweiser et al., 2009)","plainTextFormattedCitation":"(Kreutzweiser et al., 2009)","previouslyFormattedCitation":"(Kreutzweiser et al., 2009)"},"properties":{"noteIndex":0},"schema":"https://github.com/citation-style-language/schema/raw/master/csl-citation.json"}</w:instrText>
            </w:r>
            <w:r w:rsidRPr="00F37F1E">
              <w:fldChar w:fldCharType="separate"/>
            </w:r>
            <w:r w:rsidRPr="00F37F1E">
              <w:rPr>
                <w:b w:val="0"/>
                <w:bCs w:val="0"/>
                <w:noProof/>
              </w:rPr>
              <w:t>(Kreutzweiser et al., 2009)</w:t>
            </w:r>
            <w:r w:rsidRPr="00F37F1E">
              <w:fldChar w:fldCharType="end"/>
            </w:r>
          </w:p>
        </w:tc>
        <w:tc>
          <w:tcPr>
            <w:tcW w:w="602" w:type="pct"/>
          </w:tcPr>
          <w:p w14:paraId="1613BED3" w14:textId="2DA1BB22"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NS TT</w:t>
            </w:r>
          </w:p>
        </w:tc>
        <w:tc>
          <w:tcPr>
            <w:tcW w:w="2542" w:type="pct"/>
          </w:tcPr>
          <w:p w14:paraId="0E8C6791" w14:textId="3094DA39"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Microcosm study</w:t>
            </w:r>
          </w:p>
        </w:tc>
      </w:tr>
      <w:tr w:rsidR="0063703F" w:rsidRPr="00F37F1E" w14:paraId="2A13D9E9"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28A55A47" w14:textId="30761244"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{"citationItems":[{"id":"ITEM-1","itemData":{"DOI":"10.1016/j.ecoenv.2007.04.011","ISSN":"01476513","PMID":"17512054","abstract":"Imidacloprid is effective against emerald ash borer when applied as a systemic insecticide. Following stem or soil injections to trees in riparian areas, imidacloprid residues could be indirectly introduced to aquatic systems via leaf fall or leaching. Either route of exposure may affect non-target, aquatic decomposer organisms. Leaves from ash trees treated with imidacloprid at two field rates and an intentionally-high concentration were added to aquatic microcosms. Leaves from trees treated at the two field rates contained imidacloprid concentrations of 0.8-1.3 ppm, and did not significantly affect leaf-shredding insect survival, microbial respiration or microbial decomposition rates. Insect feeding rates were significantly inhibited at foliar concentrations of 1.3 ppm but not at 0.8 ppm. Leaves from intentionally high-dose trees contained concentrations of about 80 ppm, and resulted in 89-91% mortality of leaf-shredding insects, but no adverse effects on microbial respiration and decomposition rates. Imidacloprid applied directly to aquatic microcosms to simulate leaching from soils was at least 10 times more toxic to aquatic insects than the foliar concentrations, with high mortality at 0.13 ppm and significant feeding inhibition at 0.012 ppm. Crown Copyright © 2007.","author":[{"dropping-particle":"","family":"Kreutzweiser","given":"David","non-dropping-particle":"","parse-names":false,"suffix":""},{"dropping-particle":"","family":"Good","given":"Kevin","non-dropping-particle":"","parse-names":false,"suffix":""},{"dropping-particle":"","family":"Chartrand","given":"Derek","non-dropping-particle":"","parse-names":false,"suffix":""},{"dropping-particle":"","family":"Scarr","given":"Taylor","non-dropping-particle":"","parse-names":false,"suffix":""},{"dropping-particle":"","family":"Thompson","given":"Dean","non-dropping-particle":"","parse-names":false,"suffix":""}],"container-title":"Ecotoxicology and Environmental Safety","id":"ITEM-1","issue":"3","issued":{"date-parts":[["2007"]]},"note":"REJECT.","page":"315-325","title":"Non-target effects on aquatic decomposer organisms of imidacloprid as a systemic insecticide to control emerald ash borer in riparian trees","type":"article-journal","volume":"68"},"uris":["http://www.mendeley.com/documents/?uuid=ee2ca99f-f028-41df-9e14-589825df01fb"]}],"mendeley":{"formattedCitation":"(Kreutzweiser et al., 2007)","plainTextFormattedCitation":"(Kreutzweiser et al., 2007)","previouslyFormattedCitation":"(Kreutzweiser et al., 2007)"},"properties":{"noteIndex":0},"schema":"https://github.com/citation-style-language/schema/raw/master/csl-citation.json"}</w:instrText>
            </w:r>
            <w:r w:rsidRPr="00F37F1E">
              <w:fldChar w:fldCharType="separate"/>
            </w:r>
            <w:r w:rsidRPr="00F37F1E">
              <w:rPr>
                <w:b w:val="0"/>
                <w:bCs w:val="0"/>
                <w:noProof/>
              </w:rPr>
              <w:t>(Kreutzweiser et al., 2007)</w:t>
            </w:r>
            <w:r w:rsidRPr="00F37F1E">
              <w:fldChar w:fldCharType="end"/>
            </w:r>
          </w:p>
        </w:tc>
        <w:tc>
          <w:tcPr>
            <w:tcW w:w="602" w:type="pct"/>
          </w:tcPr>
          <w:p w14:paraId="6A852417" w14:textId="54434F42"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NS TT</w:t>
            </w:r>
          </w:p>
        </w:tc>
        <w:tc>
          <w:tcPr>
            <w:tcW w:w="2542" w:type="pct"/>
          </w:tcPr>
          <w:p w14:paraId="10C67F71" w14:textId="35448353"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Microcosm study</w:t>
            </w:r>
          </w:p>
        </w:tc>
      </w:tr>
      <w:tr w:rsidR="0063703F" w:rsidRPr="00F37F1E" w14:paraId="65B1A3D1"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45BC180E" w14:textId="27534F34"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{"citationItems":[{"id":"ITEM-1","itemData":{"DOI":"10.1016/j.ecoenv.2015.09.008","ISSN":"10902414","PMID":"26379201","abstract":"Standard ecotoxicological risk assessments are conducted on individual substances, however monitoring of streams in agricultural areas has shown that pesticides are rarely present alone. In fact, brief but intense pulse events such as storm water runoff and spray drift during application subject freshwater environments to complex mixtures of pesticides at high concentrations. This study investigates the potential risks to non-target aquatic organisms exposed to a brief but intense mixture of the neonicotinoid pesticides imidacloprid and thiacloprid and the pyrethroid pesticides deltamethrin and esfenvalerate, compared to single substance exposure. All four of these pesticides have been detected in surface waters at concentrations higher than benchmark values and both classes of pesticides are known to exert adverse effects on non-target aquatic organisms under single substance exposure scenarios. First instar midge larvae of the non-target aquatic organism, Chironomus riparius, were exposed to combinations of these four pesticides at 50% of their LC50 (96h) values in a 1h pulse. They were then reared to adulthood in uncontaminated conditions and assessed for survival, development time and fecundity. Our results show that the risk of disruption to survival and development of non-target aquatic organisms under this scenario is not negligible on account of the significant increases in mortality of C. riparius found in the majority of the pesticide exposures and the delays in development after pyrethroid exposure. While none of the deleterious effects appear to be amplified by combination of the pesticides, there is some evidence for antagonism. No effects on fecundity by any of the pesticide treatments were observed.","author":[{"dropping-particle":"","family":"Kunce","given":"Warren","non-dropping-particle":"","parse-names":false,"suffix":""},{"dropping-particle":"","family":"Josefsson","given":"Sarah","non-dropping-particle":"","parse-names":false,"suffix":""},{"dropping-particle":"","family":"Örberg","given":"Jan","non-dropping-particle":"","parse-names":false,"suffix":""},{"dropping-particle":"","family":"Johansson","given":"Frank","non-dropping-particle":"","parse-names":false,"suffix":""}],"container-title":"Ecotoxicology and Environmental Safety","id":"ITEM-1","issued":{"date-parts":[["2015"]]},"note":"Reject, \n\nDoes not meet rules.. uses first instar midge (needs to use 2 or 3rd instar)","page":"426-431","publisher":"Elsevier","title":"Combination effects of pyrethroids and neonicotinoids on development and survival of Chironomus riparius","type":"article-journal","volume":"122"},"uris":["http://www.mendeley.com/documents/?uuid=e8a19a1d-fc36-4e45-9331-4acbd74d589d"]}],"mendeley":{"formattedCitation":"(Kunce et al., 2015)","plainTextFormattedCitation":"(Kunce et al., 2015)","previouslyFormattedCitation":"(Kunce et al., 2015)"},"properties":{"noteIndex":0},"schema":"https://github.com/citation-style-language/schema/raw/master/csl-citation.json"}</w:instrText>
            </w:r>
            <w:r w:rsidRPr="00F37F1E">
              <w:fldChar w:fldCharType="separate"/>
            </w:r>
            <w:r w:rsidRPr="00F37F1E">
              <w:rPr>
                <w:b w:val="0"/>
                <w:bCs w:val="0"/>
                <w:noProof/>
              </w:rPr>
              <w:t>(Kunce et al., 2015)</w:t>
            </w:r>
            <w:r w:rsidRPr="00F37F1E">
              <w:fldChar w:fldCharType="end"/>
            </w:r>
          </w:p>
        </w:tc>
        <w:tc>
          <w:tcPr>
            <w:tcW w:w="602" w:type="pct"/>
          </w:tcPr>
          <w:p w14:paraId="5BF3B33E" w14:textId="667A7EC1"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R57 NC</w:t>
            </w:r>
          </w:p>
        </w:tc>
        <w:tc>
          <w:tcPr>
            <w:tcW w:w="2542" w:type="pct"/>
          </w:tcPr>
          <w:p w14:paraId="2F30296A" w14:textId="6DBC8326"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Uses first instar midge</w:t>
            </w:r>
          </w:p>
        </w:tc>
      </w:tr>
      <w:tr w:rsidR="0063703F" w:rsidRPr="00F37F1E" w14:paraId="2D4C1F79"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6FB9A9C8" w14:textId="712DC92E"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{"citationItems":[{"id":"ITEM-1","itemData":{"DOI":"10.1007/s00244-012-9777-0","ISSN":"00904341","PMID":"22772597","abstract":"Pesticides are currently regulated individually but are present in aquatic systems as mixtures of toxicants. In this study, the lethal effects of three agricultural insecticides- chlorpyrifos, imidacloprid and dimethoate-on Chironomus dilutus larvae were examined. Ninety-six- hour static bioassays were performed using single, binary, and ternary toxicant mixtures. The effects of the binary mixtures were investigated using the MIXTOX model to determine if the mixtures behaved additively, synergistically, or antagonistically. Dimethoate was much less toxic than chlorpyrifos or imidacloprid. Chlorpyrifos and dimethoate were not additive in mixture despite their common mode of action (MOA) and resulted in opposing effects (synergism and antagonism, respectively) when combined with imidacloprid. Synergism was observed in the ternary mixture. These results suggest that current mixture models based on MOA alone may not always be adequate in describing mixture effects, as in the current situation of mixtures with relatively few components. Other factors, such as water solubility, secondary MOA, and mechanisms of toxicity, should also be considered in future investigations of multichemical-mixture effects. © Springer Science+Business Media, LLC 2012.","author":[{"dropping-particle":"","family":"LeBlanc","given":"Heidi M.K.","non-dropping-particle":"","parse-names":false,"suffix":""},{"dropping-particle":"","family":"Culp","given":"Joseph M.","non-dropping-particle":"","parse-names":false,"suffix":""},{"dropping-particle":"","family":"Baird","given":"Donald J.","non-dropping-particle":"","parse-names":false,"suffix":""},{"dropping-particle":"","family":"Alexander","given":"Alexa C.","non-dropping-particle":"","parse-names":false,"suffix":""},{"dropping-particle":"","family":"Cessna","given":"Allan J.","non-dropping-particle":"","parse-names":false,"suffix":""}],"container-title":"Archives of Environmental Contamination and Toxicology","id":"ITEM-1","issue":"3","issued":{"date-parts":[["2012"]]},"note":"Reject. (almost was accept, but those control results are gnarly). \n\nNeed to check methods thoroughly - organisms were fed. \n\nNumbers for dimethoate are also really low. Should look at establishing WQV for this compound as well.","page":"378-390","title":"Single versus combined lethal effects of three agricultural insecticides on larvae of the freshwater insect Chironomus dilutus","type":"article-journal","volume":"63"},"uris":["http://www.mendeley.com/documents/?uuid=35066386-c08f-4c24-a17f-018ee9f14654"]}],"mendeley":{"formattedCitation":"(LeBlanc et al., 2012)","plainTextFormattedCitation":"(LeBlanc et al., 2012)","previouslyFormattedCitation":"(LeBlanc et al., 2012)"},"properties":{"noteIndex":0},"schema":"https://github.com/citation-style-language/schema/raw/master/csl-citation.json"}</w:instrText>
            </w:r>
            <w:r w:rsidRPr="00F37F1E">
              <w:fldChar w:fldCharType="separate"/>
            </w:r>
            <w:r w:rsidRPr="00F37F1E">
              <w:rPr>
                <w:b w:val="0"/>
                <w:bCs w:val="0"/>
                <w:noProof/>
              </w:rPr>
              <w:t>(LeBlanc et al., 2012)</w:t>
            </w:r>
            <w:r w:rsidRPr="00F37F1E">
              <w:fldChar w:fldCharType="end"/>
            </w:r>
          </w:p>
        </w:tc>
        <w:tc>
          <w:tcPr>
            <w:tcW w:w="602" w:type="pct"/>
          </w:tcPr>
          <w:p w14:paraId="40B34F79" w14:textId="73C27189"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NS TT</w:t>
            </w:r>
          </w:p>
        </w:tc>
        <w:tc>
          <w:tcPr>
            <w:tcW w:w="2542" w:type="pct"/>
          </w:tcPr>
          <w:p w14:paraId="39FCAB80" w14:textId="6F9114F5"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Acute test – organisms fed</w:t>
            </w:r>
          </w:p>
        </w:tc>
      </w:tr>
      <w:tr w:rsidR="0063703F" w:rsidRPr="00F37F1E" w14:paraId="63A2E563"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40AEF925" w14:textId="3A2F0717" w:rsidR="0063703F" w:rsidRPr="00F37F1E" w:rsidRDefault="0063703F" w:rsidP="0063703F">
            <w:r w:rsidRPr="00F37F1E">
              <w:fldChar w:fldCharType="begin" w:fldLock="1"/>
            </w:r>
            <w:r w:rsidRPr="00F37F1E">
              <w:instrText>ADDIN CSL_CITATION {"citationItems":[{"id":"ITEM-1","itemData":{"DOI":"10.1016/j.aquatox.2019.105357","ISSN":"18791514","PMID":"31812648","abstract":"Aquatic media are ultimate recipients of various contaminants including pesticides pervasively applied in agrosystems. Characterizing the ecotoxicity of pesticides and their mixtures to aquatic wildlife at field-realistic levels is thus crucial for environmental risk assessment. This study aims at assessing the effects of two current-use insecticides, imidacloprid and chlorpyrifos, on Gammarus fossarum using multi-level biomarkers. In microcosms, gammarids were exposed for 72 h to insecticides tested individually or in mixture at 0.01, 0.1 and 1 μg/L of each chemical. Multi-metric responses were assessed at the individual level (behavioural traits: locomotion, respiration and amplexus formation) and the cellular level (enzymes involved in growth, moulting, digestion and cell stress). The results showed insecticide-elicited behavioural and biochemical responses from the lowest concentration of 0.01 μg/L. Overall, single exposures stimulated behavioural traits and inhibited enzymatic activities, highlighting subtle impacts at different organizational levels but these were not dose related. For binary mixtures, antagonistic effects (i.e. less-than-additive) on biomarkers were mainly observed when compared with single exposures. Multi-variable analyses indicated the complementarity of behavioural and biochemical biomarkers in identifying sublethal biological alterations and dose-dependent multiple action sites of insecticides. Besides, the mortality observed only for the mixture at 1 μg/L demonstrated a high lethal potential of insecticides in a simple binary combination. To conclude, this study demonstrates disturbances in individual performances and cellular impairments occurring at environmentally realistic exposure levels in a non-target wild species. Since the sublethal effects, such as those identified with this multi-biomarker approach, could lead to long-term alterations in population dynamics of agricultural areas, they constitute promising early endpoints for risk assessment of insecticides.","author":[{"dropping-particle":"","family":"Lebrun","given":"Jérémie D.","non-dropping-particle":"","parse-names":false,"suffix":""},{"dropping-particle":"","family":"Jesus","given":"Kelly","non-dropping-particle":"De","parse-names":false,"suffix":""},{"dropping-particle":"","family":"Rouillac","given":"Lénaïck","non-dropping-particle":"","parse-names":false,"suffix":""},{"dropping-particle":"","family":"Ravelli","given":"Marie","non-dropping-particle":"","parse-names":false,"suffix":""},{"dropping-particle":"","family":"Guenne","given":"Angéline","non-dropping-particle":"","parse-names":false,"suffix":""},{"dropping-particle":"","family":"Tournebize","given":"Julien","non-dropping-particle":"","parse-names":false,"suffix":""}],"container-title":"Aquatic Toxicology","id":"ITEM-1","issue":"November 2019","issued":{"date-parts":[["2020"]]},"note":"Reject. \n\nNon standard test time (72-hr) and endpoints not relevant (locomotion, respiration and enzymes)","page":"105357","publisher":"Elsevier","title":"Single and combined effects of insecticides on multi-level biomarkers in the non-target amphipod Gammarus fossarum exposed to environmentally realistic levels","type":"article-journal","volume":"218"},"uris":["http://www.mendeley.com/documents/?uuid=da1d0db0-10f5-4b0f-82b8-a738c9bb543c"]}],"mendeley":{"formattedCitation":"(Lebrun et al., 2020)","plainTextFormattedCitation":"(Lebrun et al., 2020)","previouslyFormattedCitation":"(Lebrun et al., 2020)"},"properties":{"noteIndex":0},"schema":"https://github.com/citation-style-language/schema/raw/master/csl-citation.json"}</w:instrText>
            </w:r>
            <w:r w:rsidRPr="00F37F1E">
              <w:fldChar w:fldCharType="separate"/>
            </w:r>
            <w:r w:rsidRPr="00F37F1E">
              <w:rPr>
                <w:b w:val="0"/>
                <w:noProof/>
              </w:rPr>
              <w:t>(Lebrun et al., 2020)</w:t>
            </w:r>
            <w:r w:rsidRPr="00F37F1E">
              <w:fldChar w:fldCharType="end"/>
            </w:r>
          </w:p>
        </w:tc>
        <w:tc>
          <w:tcPr>
            <w:tcW w:w="602" w:type="pct"/>
          </w:tcPr>
          <w:p w14:paraId="1398D4D0" w14:textId="500CC55F"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R57 NC</w:t>
            </w:r>
          </w:p>
        </w:tc>
        <w:tc>
          <w:tcPr>
            <w:tcW w:w="2542" w:type="pct"/>
          </w:tcPr>
          <w:p w14:paraId="6928F744" w14:textId="73362300"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Acute test – 72-hrs; endpoints not usable</w:t>
            </w:r>
          </w:p>
        </w:tc>
      </w:tr>
      <w:tr w:rsidR="0063703F" w:rsidRPr="00F37F1E" w14:paraId="5C250F20"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60C8CC75" w14:textId="7BD7B6B4" w:rsidR="0063703F" w:rsidRPr="00F37F1E" w:rsidRDefault="0063703F" w:rsidP="0063703F">
            <w:r w:rsidRPr="00F37F1E">
              <w:fldChar w:fldCharType="begin" w:fldLock="1"/>
            </w:r>
            <w:r w:rsidRPr="00F37F1E">
              <w:instrText>ADDIN CSL_CITATION {"citationItems":[{"id":"ITEM-1","itemData":{"author":[{"dropping-particle":"","family":"Lisa","given":"H","non-dropping-particle":"","parse-names":false,"suffix":""},{"dropping-particle":"","family":"Patrick","given":"W","non-dropping-particle":"","parse-names":false,"suffix":""},{"dropping-particle":"","family":"Travis","given":"S","non-dropping-particle":"","parse-names":false,"suffix":""},{"dropping-particle":"","family":"Julia","given":"E","non-dropping-particle":"","parse-names":false,"suffix":""}],"container-title":"Science of the Total Environment","id":"ITEM-1","issued":{"date-parts":[["2018"]]},"note":"Reject\n\nNot relevant for ALV's - may have data on Michigan - should check.\n\nFigure 1 and 2 are interesting","page":"1469-1488","title":"Complex mixtures of dissolved pesticides show potential aquatic toxicity in a synoptic study of Midwestern U.S. streams","type":"article-journal","volume":"613-614"},"uris":["http://www.mendeley.com/documents/?uuid=eb9569f6-cf73-48d7-9704-44f45d9a745f"]}],"mendeley":{"formattedCitation":"(Lisa et al., 2018)","plainTextFormattedCitation":"(Lisa et al., 2018)","previouslyFormattedCitation":"(Lisa et al., 2018)"},"properties":{"noteIndex":0},"schema":"https://github.com/citation-style-language/schema/raw/master/csl-citation.json"}</w:instrText>
            </w:r>
            <w:r w:rsidRPr="00F37F1E">
              <w:fldChar w:fldCharType="separate"/>
            </w:r>
            <w:r w:rsidRPr="00F37F1E">
              <w:rPr>
                <w:b w:val="0"/>
                <w:noProof/>
              </w:rPr>
              <w:t>(Lisa et al., 2018)</w:t>
            </w:r>
            <w:r w:rsidRPr="00F37F1E">
              <w:fldChar w:fldCharType="end"/>
            </w:r>
          </w:p>
        </w:tc>
        <w:tc>
          <w:tcPr>
            <w:tcW w:w="602" w:type="pct"/>
          </w:tcPr>
          <w:p w14:paraId="1258A130" w14:textId="4F678207"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NO ORIG</w:t>
            </w:r>
          </w:p>
        </w:tc>
        <w:tc>
          <w:tcPr>
            <w:tcW w:w="2542" w:type="pct"/>
          </w:tcPr>
          <w:p w14:paraId="6D2C6B80" w14:textId="4CE58365"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p>
        </w:tc>
      </w:tr>
      <w:tr w:rsidR="0063703F" w:rsidRPr="00F37F1E" w14:paraId="7C4F2E02"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7C519C49" w14:textId="13C6F68F" w:rsidR="0063703F" w:rsidRPr="00F37F1E" w:rsidRDefault="0063703F" w:rsidP="0063703F">
            <w:r w:rsidRPr="00F37F1E">
              <w:fldChar w:fldCharType="begin" w:fldLock="1"/>
            </w:r>
            <w:r w:rsidRPr="00F37F1E">
              <w:instrText>ADDIN CSL_CITATION {"citationItems":[{"id":"ITEM-1","itemData":{"DOI":"10.1603/0022-2585-41.5.946","ISSN":"00222585","PMID":"15535626","abstract":"The susceptibility of four strains of Aedes albopictus (Skuse) to permethrin, deltamethrin, resmethrin, chlorpyrifos, malathion, propoxur, fipronil, imidacloprid, spinosad, and Bacillus thuringiensis variety israelensis (Bti) was determined. The HAmAal and MAmAal strains were collected in 2002 and 2003, respectively, from Huntsville and Mobile, AL, and the VBFmAal and SFmAal strains were collected in 1998 from Vero Beach and southern Florida, respectively. The HAmAal strain showed a 22-fold elevated level of resistance to deltamethrin compared with the susceptible Ikaken laboratory strain, whereas the VBFmAal strain showed a six-fold lower sensitivity to deltamethrin compared with Ikaken. However, comparison of resistance ratios for deltamethrin at LC50 and LC90 (21-fold) and the gradual slopes of dose-response curves indicated that the field population of this mosquito strain was heterogenous in response to deltamethrin. All four mosquito strains showed elevated levels of resistance to chlorpyrifos, with resistance ratios from 10 to 33. Nevertheless, except for the relatively low resistance to deltamethrin and chlorpyrifos, all mosquito strains showed a similar susceptibility or lower tolerance to the remaining insecticides tested compared with the susceptible Ikaken strain, even though some, such as permethrin, resmethrin, malathion, and Bti, have been used in the field for a long time, especially in Alabama. These results indicate that the development of resistance to insecticides in Ae. albopictus is slow and conventional insecticides, such as permethrin, resmethrin, malathion, and Bti, and relatively new insecticides, such as fipronil, imidacloprid, and spinosad, may all be valuable for the management of this important mosquito.","author":[{"dropping-particle":"","family":"Liu","given":"Huqi","non-dropping-particle":"","parse-names":false,"suffix":""},{"dropping-particle":"","family":"Cupp","given":"Eddie W.","non-dropping-particle":"","parse-names":false,"suffix":""},{"dropping-particle":"","family":"Guo","given":"Aiguang","non-dropping-particle":"","parse-names":false,"suffix":""},{"dropping-particle":"","family":"Liu","given":"Nannan","non-dropping-particle":"","parse-names":false,"suffix":""}],"container-title":"Journal of Medical Entomology","id":"ITEM-1","issue":"5","issued":{"date-parts":[["2004"]]},"note":"Reject. \n\n24-hr acute test with mosquitos","page":"946-952","title":"Insecticide resistance in Alabama and Florida mosquito strains of Aedes albopictus","type":"article-journal","volume":"41"},"uris":["http://www.mendeley.com/documents/?uuid=3e2f1c87-b197-4e11-aab1-41e830ac1fbe"]}],"mendeley":{"formattedCitation":"(Liu et al., 2004)","plainTextFormattedCitation":"(Liu et al., 2004)","previouslyFormattedCitation":"(Liu et al., 2004)"},"properties":{"noteIndex":0},"schema":"https://github.com/citation-style-language/schema/raw/master/csl-citation.json"}</w:instrText>
            </w:r>
            <w:r w:rsidRPr="00F37F1E">
              <w:fldChar w:fldCharType="separate"/>
            </w:r>
            <w:r w:rsidRPr="00F37F1E">
              <w:rPr>
                <w:b w:val="0"/>
                <w:noProof/>
              </w:rPr>
              <w:t>(Liu et al., 2004)</w:t>
            </w:r>
            <w:r w:rsidRPr="00F37F1E">
              <w:fldChar w:fldCharType="end"/>
            </w:r>
          </w:p>
        </w:tc>
        <w:tc>
          <w:tcPr>
            <w:tcW w:w="602" w:type="pct"/>
          </w:tcPr>
          <w:p w14:paraId="61E58E69" w14:textId="48868B9E"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R57 NC</w:t>
            </w:r>
          </w:p>
        </w:tc>
        <w:tc>
          <w:tcPr>
            <w:tcW w:w="2542" w:type="pct"/>
          </w:tcPr>
          <w:p w14:paraId="3E952F95" w14:textId="55208817"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Acute test – 24-hr test mosquitos</w:t>
            </w:r>
          </w:p>
        </w:tc>
      </w:tr>
      <w:tr w:rsidR="00BC7F91" w:rsidRPr="00F37F1E" w14:paraId="723F0398" w14:textId="77777777" w:rsidTr="000E25DC">
        <w:tc>
          <w:tcPr>
            <w:cnfStyle w:val="001000000000" w:firstRow="0" w:lastRow="0" w:firstColumn="1" w:lastColumn="0" w:oddVBand="0" w:evenVBand="0" w:oddHBand="0" w:evenHBand="0" w:firstRowFirstColumn="0" w:firstRowLastColumn="0" w:lastRowFirstColumn="0" w:lastRowLastColumn="0"/>
            <w:tcW w:w="1856" w:type="pct"/>
          </w:tcPr>
          <w:p w14:paraId="725D1FE4" w14:textId="77777777" w:rsidR="00BC7F91" w:rsidRPr="00F37F1E" w:rsidRDefault="00BC7F91" w:rsidP="000E25DC">
            <w:r w:rsidRPr="00F37F1E">
              <w:t>Reference</w:t>
            </w:r>
          </w:p>
        </w:tc>
        <w:tc>
          <w:tcPr>
            <w:tcW w:w="602" w:type="pct"/>
          </w:tcPr>
          <w:p w14:paraId="799D66D6" w14:textId="77777777" w:rsidR="00BC7F91" w:rsidRPr="00F37F1E" w:rsidRDefault="00BC7F91" w:rsidP="000E25DC">
            <w:pPr>
              <w:cnfStyle w:val="000000000000" w:firstRow="0" w:lastRow="0" w:firstColumn="0" w:lastColumn="0" w:oddVBand="0" w:evenVBand="0" w:oddHBand="0" w:evenHBand="0" w:firstRowFirstColumn="0" w:firstRowLastColumn="0" w:lastRowFirstColumn="0" w:lastRowLastColumn="0"/>
              <w:rPr>
                <w:b/>
                <w:bCs/>
              </w:rPr>
            </w:pPr>
            <w:r w:rsidRPr="00F37F1E">
              <w:rPr>
                <w:b/>
                <w:bCs/>
              </w:rPr>
              <w:t>Class</w:t>
            </w:r>
          </w:p>
        </w:tc>
        <w:tc>
          <w:tcPr>
            <w:tcW w:w="2542" w:type="pct"/>
          </w:tcPr>
          <w:p w14:paraId="267F0712" w14:textId="77777777" w:rsidR="00BC7F91" w:rsidRPr="00F37F1E" w:rsidRDefault="00BC7F91" w:rsidP="000E25DC">
            <w:pPr>
              <w:cnfStyle w:val="000000000000" w:firstRow="0" w:lastRow="0" w:firstColumn="0" w:lastColumn="0" w:oddVBand="0" w:evenVBand="0" w:oddHBand="0" w:evenHBand="0" w:firstRowFirstColumn="0" w:firstRowLastColumn="0" w:lastRowFirstColumn="0" w:lastRowLastColumn="0"/>
              <w:rPr>
                <w:b/>
                <w:bCs/>
              </w:rPr>
            </w:pPr>
            <w:r w:rsidRPr="00F37F1E">
              <w:rPr>
                <w:b/>
                <w:bCs/>
              </w:rPr>
              <w:t>Comment (as needed)</w:t>
            </w:r>
          </w:p>
        </w:tc>
      </w:tr>
      <w:tr w:rsidR="0063703F" w:rsidRPr="00F37F1E" w14:paraId="76E58D8D"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12E041C1" w14:textId="7AA8F982"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{"citationItems":[{"id":"ITEM-1","itemData":{"DOI":"10.1007/s00128-009-9854-x","ISSN":"00074861","PMID":"19795091","abstract":"The physiological responses of two freshwater crustaceans, Asellus aquaticus L. and Gammarus fossarum Koch., following in vitro exposure to two pesticides were measured. Both species responded to short-term exposure with elevated levels of Respiration (R) and/or lower levels of Electron Transport System (ETS) activity. 1 h exposure to concentrations of up to 10 mg L -1 showed an effect in both test species. Laboratory tests confirmed that G. fossarum is more sensitive to short-term pesticide exposure than A. aquaticus. ETS/R ratio may be used as a quick predictor of effects on organisms exposed to pesticides. © 2009 Springer Science+Business Media, LLC.","author":[{"dropping-particle":"","family":"Lukančič","given":"Simon","non-dropping-particle":"","parse-names":false,"suffix":""},{"dropping-particle":"","family":"Žibrat","given":"Uroš","non-dropping-particle":"","parse-names":false,"suffix":""},{"dropping-particle":"","family":"Mezek","given":"Tadej","non-dropping-particle":"","parse-names":false,"suffix":""},{"dropping-particle":"","family":"Jerebic","given":"Andreja","non-dropping-particle":"","parse-names":false,"suffix":""},{"dropping-particle":"","family":"Simčič","given":"Tatjana","non-dropping-particle":"","parse-names":false,"suffix":""},{"dropping-particle":"","family":"Brancelj","given":"Anton","non-dropping-particle":"","parse-names":false,"suffix":""}],"container-title":"Bulletin of Environmental Contamination and Toxicology","id":"ITEM-1","issue":"1","issued":{"date-parts":[["2010"]]},"note":"Reject. \n\nNo control data.","page":"85-90","title":"Effects of exposing two non-target crustacean species, asellus aquaticus L., and Gammarus fossarum Koch., to atrazine and imidacloprid","type":"article-journal","volume":"84"},"uris":["http://www.mendeley.com/documents/?uuid=d22b777c-1918-40e2-bb20-78239a93e172"]}],"mendeley":{"formattedCitation":"(Lukančič et al., 2010a)","plainTextFormattedCitation":"(Lukančič et al., 2010a)","previouslyFormattedCitation":"(Lukančič et al., 2010a)"},"properties":{"noteIndex":0},"schema":"https://github.com/citation-style-language/schema/raw/master/csl-citation.json"}</w:instrText>
            </w:r>
            <w:r w:rsidRPr="00F37F1E">
              <w:fldChar w:fldCharType="separate"/>
            </w:r>
            <w:r w:rsidRPr="00F37F1E">
              <w:rPr>
                <w:b w:val="0"/>
                <w:bCs w:val="0"/>
                <w:noProof/>
              </w:rPr>
              <w:t>(Lukančič et al., 2010a)</w:t>
            </w:r>
            <w:r w:rsidRPr="00F37F1E">
              <w:fldChar w:fldCharType="end"/>
            </w:r>
          </w:p>
        </w:tc>
        <w:tc>
          <w:tcPr>
            <w:tcW w:w="602" w:type="pct"/>
          </w:tcPr>
          <w:p w14:paraId="4047547E" w14:textId="7A86FA2D"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NS TT</w:t>
            </w:r>
          </w:p>
        </w:tc>
        <w:tc>
          <w:tcPr>
            <w:tcW w:w="2542" w:type="pct"/>
          </w:tcPr>
          <w:p w14:paraId="0B813547" w14:textId="5F53A1C8"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No control data; no water quality data</w:t>
            </w:r>
          </w:p>
        </w:tc>
      </w:tr>
      <w:tr w:rsidR="0063703F" w:rsidRPr="00F37F1E" w14:paraId="1616EC0F"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4451F18A" w14:textId="5EC71311"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{"citationItems":[{"id":"ITEM-1","itemData":{"DOI":"10.1177/0748233710362379","ISSN":"07482337","PMID":"20203137","abstract":"A reliable method is needed for assessing the condition of aquatic animals and their resistance to toxic pollutants. The physiological responses of two freshwater crustaceans, Asellus aquaticus and Gammarus fossarum, following in vitro exposure to two pesticides (atrazine and imidacloprid), were measured by a combination of electron transport system (ETS) activity and respiration (R). Short-term exposure concentrations were selected according to standard toxicity tests and ranged from 0.01 mg L—1to 10 mg L—1. When pesticide concentration was greater than 1 mg l— 1(which is below the LC50[48 hours] determined for both species), A. aquaticus and G. fossarum responded to short-term exposure with elevated levels of R and/or lower levels of ETS activity. One hour exposure to concentrations of up to 10 mg L—1showed an effect in both test species. Laboratory tests confirmed that G. fossarum is more sensitive to short-term pesticide exposure than A. aquaticus. The combination of these two methods provides a useful and effective tool for assessing the general condition of aquatic animals. It also enables to determine toxic effects on freshwater biota of specific or combined pollutants. ETS/R ratio may be used as a quick predictor of effects on organisms exposed to pesticides and other stress factors such as changes in temperature, light, salinity, oxygen concentration and food. © 2010, SAGE Publications. All rights reserved.","author":[{"dropping-particle":"","family":"Lukančič","given":"Simon","non-dropping-particle":"","parse-names":false,"suffix":""},{"dropping-particle":"","family":"Žibrat","given":"Uroš","non-dropping-particle":"","parse-names":false,"suffix":""},{"dropping-particle":"","family":"Mezek","given":"Tadej","non-dropping-particle":"","parse-names":false,"suffix":""},{"dropping-particle":"","family":"Jerebic","given":"Andreja","non-dropping-particle":"","parse-names":false,"suffix":""},{"dropping-particle":"","family":"Simčič","given":"Tatjana","non-dropping-particle":"","parse-names":false,"suffix":""},{"dropping-particle":"","family":"Brancelj","given":"Anton","non-dropping-particle":"","parse-names":false,"suffix":""}],"container-title":"Toxicology and Industrial Health","id":"ITEM-1","issue":"4","issued":{"date-parts":[["2010"]]},"note":"This is the same study that I already reviewed. Reject again for same issue - no control data for LC50 IMI test.","page":"217-228","title":"A new method for early assessment of effects of exposing two non-target crustacean species, Asellus aquaticus and Gammarus fossarum, to pesticides, a laboratory study","type":"article-journal","volume":"26"},"uris":["http://www.mendeley.com/documents/?uuid=9f7a5bb4-5d95-4b7a-8b7f-8771fc5e4df1"]}],"mendeley":{"formattedCitation":"(Lukančič et al., 2010b)","plainTextFormattedCitation":"(Lukančič et al., 2010b)","previouslyFormattedCitation":"(Lukančič et al., 2010b)"},"properties":{"noteIndex":0},"schema":"https://github.com/citation-style-language/schema/raw/master/csl-citation.json"}</w:instrText>
            </w:r>
            <w:r w:rsidRPr="00F37F1E">
              <w:fldChar w:fldCharType="separate"/>
            </w:r>
            <w:r w:rsidRPr="00F37F1E">
              <w:rPr>
                <w:b w:val="0"/>
                <w:bCs w:val="0"/>
                <w:noProof/>
              </w:rPr>
              <w:t>(Lukančič et al., 2010b)</w:t>
            </w:r>
            <w:r w:rsidRPr="00F37F1E">
              <w:fldChar w:fldCharType="end"/>
            </w:r>
          </w:p>
        </w:tc>
        <w:tc>
          <w:tcPr>
            <w:tcW w:w="602" w:type="pct"/>
          </w:tcPr>
          <w:p w14:paraId="16AC02B1" w14:textId="5DE154C1"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NS TT</w:t>
            </w:r>
          </w:p>
        </w:tc>
        <w:tc>
          <w:tcPr>
            <w:tcW w:w="2542" w:type="pct"/>
          </w:tcPr>
          <w:p w14:paraId="5FF005AF" w14:textId="287D480B"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No control data; no water quality data</w:t>
            </w:r>
          </w:p>
        </w:tc>
      </w:tr>
      <w:tr w:rsidR="0063703F" w:rsidRPr="00F37F1E" w14:paraId="3D88F1C5"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73303844" w14:textId="427F1595" w:rsidR="0063703F" w:rsidRPr="00F37F1E" w:rsidRDefault="0063703F" w:rsidP="0063703F">
            <w:r w:rsidRPr="00F37F1E">
              <w:fldChar w:fldCharType="begin" w:fldLock="1"/>
            </w:r>
            <w:r w:rsidRPr="00F37F1E">
              <w:instrText>ADDIN CSL_CITATION {"citationItems":[{"id":"ITEM-1","itemData":{"DOI":"10.1002/etc.4556","ISSN":"15528618","PMID":"31373707","abstract":"Neonicotinoid insecticides have been shown to have high chronic toxicity relative to acute toxicity, and therefore short-term toxicity tests ≤96 h in duration may underestimate their environmental risks. Among nontarget aquatic invertebrates, insects of the orders Diptera and Ephemeroptera have been found to be the most sensitive to neonicotinoids. To undertake a more accurate assessment of the risks posed by neonicotinoids to freshwater ecosystems, more data are needed from long-term tests employing the most sensitive taxa. Using nymphs of the common New Zealand mayfly genus Deleatidium spp., we performed 28-d static-renewal exposures with the widely used neonicotinoids imidacloprid, clothianidin, and thiamethoxam. We monitored survival, immobility, impairment, and mayfly moulting propensity at varying time points throughout the experiment. Imidacloprid and clothianidin exerted strong chronic toxicity effects on Deleatidium nymphs, with 28-d median lethal concentrations (LC50s) of 0.28 and 1.36 µg/L, respectively, whereas thiamethoxam was the least toxic, with a 28-d LC50 &gt; 4 µg/L (highest concentration tested). Mayfly moulting propensity was also negatively affected by clothianidin (during 3 of 4 wk), imidacloprid (2 of 4 wk), and thiamethoxam (1 of 4 wk). Comparisons with published neonicotinoid chronic toxicity data for other mayfly taxa and larvae of the midge genus Chironomus showed similar sensitivities for mayflies and midges, suggesting that experiments using these taxa provide reliable assessments of the threats of neonicotinoids to the most vulnerable freshwater species. Environ Toxicol Chem 2019;38:2459–2471. © 2019 SETAC.","author":[{"dropping-particle":"","family":"Macaulay","given":"Samuel J.","non-dropping-particle":"","parse-names":false,"suffix":""},{"dropping-particle":"","family":"Hageman","given":"Kimberly J.","non-dropping-particle":"","parse-names":false,"suffix":""},{"dropping-particle":"","family":"Alumbaugh","given":"Robert E.","non-dropping-particle":"","parse-names":false,"suffix":""},{"dropping-particle":"","family":"Lyons","given":"Sean M.","non-dropping-particle":"","parse-names":false,"suffix":""},{"dropping-particle":"","family":"Piggott","given":"Jeremy J.","non-dropping-particle":"","parse-names":false,"suffix":""},{"dropping-particle":"","family":"Matthaei","given":"Christoph D.","non-dropping-particle":"","parse-names":false,"suffix":""}],"container-title":"Environmental Toxicology and Chemistry","id":"ITEM-1","issue":"11","issued":{"date-parts":[["2019"]]},"note":"Reject. Deleatidium sp. is endemic to New Zealand. Honorable mention due to low LC50 28-d chronic value of 0.28 ug/L\n\nIMI, CLOT, THIA","page":"2459-2471","publisher":"John Wiley &amp; Sons, Ltd","title":"Chronic Toxicities of Neonicotinoids to Nymphs of the Common New Zealand Mayfly Deleatidium spp.","type":"article-journal","volume":"38"},"uris":["http://www.mendeley.com/documents/?uuid=c7c4ce3b-b14d-4ac5-ab98-4bbd6dec3f10"]}],"mendeley":{"formattedCitation":"(Macaulay et al., 2019)","plainTextFormattedCitation":"(Macaulay et al., 2019)","previouslyFormattedCitation":"(Macaulay et al., 2019)"},"properties":{"noteIndex":0},"schema":"https://github.com/citation-style-language/schema/raw/master/csl-citation.json"}</w:instrText>
            </w:r>
            <w:r w:rsidRPr="00F37F1E">
              <w:fldChar w:fldCharType="separate"/>
            </w:r>
            <w:r w:rsidRPr="00F37F1E">
              <w:rPr>
                <w:b w:val="0"/>
                <w:noProof/>
              </w:rPr>
              <w:t>(Macaulay et al., 2019)</w:t>
            </w:r>
            <w:r w:rsidRPr="00F37F1E">
              <w:fldChar w:fldCharType="end"/>
            </w:r>
          </w:p>
        </w:tc>
        <w:tc>
          <w:tcPr>
            <w:tcW w:w="602" w:type="pct"/>
          </w:tcPr>
          <w:p w14:paraId="1BEB7EB8" w14:textId="09EF02F3"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R57 NC</w:t>
            </w:r>
          </w:p>
        </w:tc>
        <w:tc>
          <w:tcPr>
            <w:tcW w:w="2542" w:type="pct"/>
          </w:tcPr>
          <w:p w14:paraId="34690F9E" w14:textId="0F6923E1"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rPr>
                <w:rFonts w:cstheme="minorHAnsi"/>
              </w:rPr>
            </w:pPr>
            <w:r w:rsidRPr="00F37F1E">
              <w:rPr>
                <w:rFonts w:cstheme="minorHAnsi"/>
              </w:rPr>
              <w:t>Non-resident species (</w:t>
            </w:r>
            <w:proofErr w:type="spellStart"/>
            <w:r w:rsidRPr="00F37F1E">
              <w:rPr>
                <w:rFonts w:cstheme="minorHAnsi"/>
                <w:i/>
                <w:iCs/>
              </w:rPr>
              <w:t>Deleatidium</w:t>
            </w:r>
            <w:proofErr w:type="spellEnd"/>
            <w:r w:rsidRPr="00F37F1E">
              <w:rPr>
                <w:rFonts w:cstheme="minorHAnsi"/>
                <w:i/>
                <w:iCs/>
              </w:rPr>
              <w:t xml:space="preserve"> sp.</w:t>
            </w:r>
            <w:r w:rsidRPr="00F37F1E">
              <w:rPr>
                <w:rFonts w:cstheme="minorHAnsi"/>
              </w:rPr>
              <w:t>)</w:t>
            </w:r>
          </w:p>
        </w:tc>
      </w:tr>
      <w:tr w:rsidR="0063703F" w:rsidRPr="00F37F1E" w14:paraId="7F7FECFC"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419ECFE7" w14:textId="7D46C8B0" w:rsidR="0063703F" w:rsidRPr="00F37F1E" w:rsidRDefault="0063703F" w:rsidP="0063703F">
            <w:r w:rsidRPr="00F37F1E">
              <w:fldChar w:fldCharType="begin" w:fldLock="1"/>
            </w:r>
            <w:r w:rsidRPr="00F37F1E">
              <w:instrText>ADDIN CSL_CITATION {"citationItems":[{"id":"ITEM-1","itemData":{"DOI":"10.1080/00288330.2019.1614961","ISSN":"11758805","abstract":"Increased temperatures and exposure to agricultural insecticides are increasingly threatening freshwater ecosystems worldwide. However, their combined effects are still poorly understood. We investigated the individual and interactive effects of water temperature and imidacloprid, the most widely used neonicotinoid insecticide, on larvae of two New Zealand mayflies, Deleatidium spp. and Coloburiscus humeralis. Ninety-six-hour bioassays with imidacloprid were performed at 9, 12, 15, 18, 21 and 24°C, in a full-factorial design. Mayfly survivorship and sub-lethal responses of impairment and moulting were recorded. We documented synergistically increased mayfly mortality and immobility with exposure to imidacloprid at higher temperatures, implying temperature-enhanced toxicity of imidacloprid. Survivorship of both mayflies was synergistically reduced by the combination of imidacloprid exposure and increasing temperatures. The same interaction also affected mobility of C. humeralis and moulting frequency of Deleatidium. Our findings suggest that developing a more thorough understanding of temperature-contaminant interactions may be important to allow better protection of aquatic ecosystems.","author":[{"dropping-particle":"","family":"Macaulay","given":"Samuel J.","non-dropping-particle":"","parse-names":false,"suffix":""},{"dropping-particle":"","family":"Buchwalter","given":"David B.","non-dropping-particle":"","parse-names":false,"suffix":""},{"dropping-particle":"","family":"Matthaei","given":"Christoph D.","non-dropping-particle":"","parse-names":false,"suffix":""}],"container-title":"New Zealand Journal of Marine and Freshwater Research","id":"ITEM-1","issue":"1","issued":{"date-parts":[["2020"]]},"note":"REJECT. Non-resident species. \n\nPending supplemental appendix S1 from author... \n\n\nCould use Deleatidium data only. \n\ncol not resident or proxy resident of Michigan","page":"115-130","publisher":"Taylor &amp; Francis","title":"Water temperature interacts with the insecticide imidacloprid to alter acute lethal and sublethal toxicity to mayfly larvae","type":"article-journal","volume":"54"},"uris":["http://www.mendeley.com/documents/?uuid=e8f7a485-9765-45ff-8908-5bdc1a4aab97"]}],"mendeley":{"formattedCitation":"(Macaulay et al., 2020)","plainTextFormattedCitation":"(Macaulay et al., 2020)","previouslyFormattedCitation":"(Macaulay et al., 2020)"},"properties":{"noteIndex":0},"schema":"https://github.com/citation-style-language/schema/raw/master/csl-citation.json"}</w:instrText>
            </w:r>
            <w:r w:rsidRPr="00F37F1E">
              <w:fldChar w:fldCharType="separate"/>
            </w:r>
            <w:r w:rsidRPr="00F37F1E">
              <w:rPr>
                <w:b w:val="0"/>
                <w:noProof/>
              </w:rPr>
              <w:t>(Macaulay et al., 2020)</w:t>
            </w:r>
            <w:r w:rsidRPr="00F37F1E">
              <w:fldChar w:fldCharType="end"/>
            </w:r>
          </w:p>
        </w:tc>
        <w:tc>
          <w:tcPr>
            <w:tcW w:w="602" w:type="pct"/>
          </w:tcPr>
          <w:p w14:paraId="049AA6CA" w14:textId="4FC3C784"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R57 NC</w:t>
            </w:r>
          </w:p>
        </w:tc>
        <w:tc>
          <w:tcPr>
            <w:tcW w:w="2542" w:type="pct"/>
          </w:tcPr>
          <w:p w14:paraId="3BFD4D01" w14:textId="282E9214"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rPr>
                <w:rFonts w:cstheme="minorHAnsi"/>
              </w:rPr>
            </w:pPr>
            <w:r w:rsidRPr="00F37F1E">
              <w:rPr>
                <w:rFonts w:cstheme="minorHAnsi"/>
              </w:rPr>
              <w:t>Non-resident species (</w:t>
            </w:r>
            <w:proofErr w:type="spellStart"/>
            <w:r w:rsidRPr="00F37F1E">
              <w:rPr>
                <w:rFonts w:cstheme="minorHAnsi"/>
                <w:i/>
                <w:iCs/>
              </w:rPr>
              <w:t>Deleatidium</w:t>
            </w:r>
            <w:proofErr w:type="spellEnd"/>
            <w:r w:rsidRPr="00F37F1E">
              <w:rPr>
                <w:rFonts w:cstheme="minorHAnsi"/>
                <w:i/>
                <w:iCs/>
              </w:rPr>
              <w:t xml:space="preserve"> sp.</w:t>
            </w:r>
            <w:r w:rsidRPr="00F37F1E">
              <w:rPr>
                <w:rFonts w:cstheme="minorHAnsi"/>
              </w:rPr>
              <w:t>)</w:t>
            </w:r>
          </w:p>
        </w:tc>
      </w:tr>
      <w:tr w:rsidR="0063703F" w:rsidRPr="00F37F1E" w14:paraId="36AD61B5"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4513E0E5" w14:textId="1C7F9079" w:rsidR="0063703F" w:rsidRPr="00F37F1E" w:rsidRDefault="0063703F" w:rsidP="0063703F">
            <w:pPr>
              <w:rPr>
                <w:b w:val="0"/>
                <w:bCs w:val="0"/>
              </w:rPr>
            </w:pPr>
            <w:r w:rsidRPr="00F37F1E">
              <w:fldChar w:fldCharType="begin" w:fldLock="1"/>
            </w:r>
            <w:r w:rsidRPr="00F37F1E">
              <w:rPr>
                <w:b w:val="0"/>
                <w:bCs w:val="0"/>
              </w:rPr>
              <w:instrText>ADDIN CSL_CITATION {"citationItems":[{"id":"ITEM-1","itemData":{"author":[{"dropping-particle":"","family":"Malev","given":"Olga","non-dropping-particle":"","parse-names":false,"suffix":""},{"dropping-particle":"","family":"Klobucar","given":"Roberta Sauerborn","non-dropping-particle":"","parse-names":false,"suffix":""},{"dropping-particle":"","family":"Fabbretti","given":"Elsa","non-dropping-particle":"","parse-names":false,"suffix":""},{"dropping-particle":"","family":"Trebse","given":"Polonca","non-dropping-particle":"","parse-names":false,"suffix":""}],"container-title":"Pesticide Biochemistry and Physiology","id":"ITEM-1","issued":{"date-parts":[["2012"]]},"note":"REJECT - temps too cold; study duration too short; LC50s aren't even reported.","page":"178-186","title":"Comparative toxicity of imidacloprid and its transformation product 6- chloronicotinic acid to non-target aquatic organisms: Microalgae Desmodesmus subspicatus and amphipod Gammarus fossarum","type":"article-journal","volume":"104"},"uris":["http://www.mendeley.com/documents/?uuid=0521491b-ffdb-4fcb-84bb-e67c2732ab49"]}],"mendeley":{"formattedCitation":"(Malev et al., 2012)","plainTextFormattedCitation":"(Malev et al., 2012)","previouslyFormattedCitation":"(Malev et al., 2012)"},"properties":{"noteIndex":0},"schema":"https://github.com/citation-style-language/schema/raw/master/csl-citation.json"}</w:instrText>
            </w:r>
            <w:r w:rsidRPr="00F37F1E">
              <w:fldChar w:fldCharType="separate"/>
            </w:r>
            <w:r w:rsidRPr="00F37F1E">
              <w:rPr>
                <w:b w:val="0"/>
                <w:bCs w:val="0"/>
                <w:noProof/>
              </w:rPr>
              <w:t>(Malev et al., 2012)</w:t>
            </w:r>
            <w:r w:rsidRPr="00F37F1E">
              <w:fldChar w:fldCharType="end"/>
            </w:r>
          </w:p>
        </w:tc>
        <w:tc>
          <w:tcPr>
            <w:tcW w:w="602" w:type="pct"/>
          </w:tcPr>
          <w:p w14:paraId="26A77826" w14:textId="7D1983E4"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R57 NC</w:t>
            </w:r>
          </w:p>
        </w:tc>
        <w:tc>
          <w:tcPr>
            <w:tcW w:w="2542" w:type="pct"/>
          </w:tcPr>
          <w:p w14:paraId="01B9242C" w14:textId="24837692"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rPr>
                <w:i/>
                <w:iCs/>
              </w:rPr>
              <w:t xml:space="preserve">G. </w:t>
            </w:r>
            <w:proofErr w:type="spellStart"/>
            <w:r w:rsidRPr="00F37F1E">
              <w:rPr>
                <w:i/>
                <w:iCs/>
              </w:rPr>
              <w:t>fossarum</w:t>
            </w:r>
            <w:proofErr w:type="spellEnd"/>
            <w:r w:rsidRPr="00F37F1E">
              <w:t xml:space="preserve"> acute test only 24-hrs long</w:t>
            </w:r>
          </w:p>
        </w:tc>
      </w:tr>
      <w:tr w:rsidR="0063703F" w:rsidRPr="00F37F1E" w14:paraId="2595AD82"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5B10FB74" w14:textId="0A17C6A8" w:rsidR="0063703F" w:rsidRPr="00F37F1E" w:rsidRDefault="0063703F" w:rsidP="0063703F">
            <w:r w:rsidRPr="00F37F1E">
              <w:fldChar w:fldCharType="begin" w:fldLock="1"/>
            </w:r>
            <w:r w:rsidRPr="00F37F1E">
              <w:instrText>ADDIN CSL_CITATION {"citationItems":[{"id":"ITEM-1","itemData":{"DOI":"10.1016/j.ecoenv.2018.03.003","ISSN":"10902414","PMID":"29573726","abstract":"Widespread agricultural use of neonicotinoid insecticides has resulted in frequent detection of mixtures of these compounds in global surface waters. Recent evidence suggests that neonicotinoid mixtures can elicit synergistic toxicity in aquatic insects under acute exposure conditions, however this has not been validated for longer exposures more commonly encountered in the environment. Therefore, we aimed to characterize the chronic (28-day) toxicity of imidacloprid, clothianidin, and thiamethoxam mixtures under different doses and mixture ratios to determine if the assumption of synergistic toxicity would hold under more environmentally realistic exposure settings. The sensitive aquatic insect Chironomus dilutus was used as a representative test species, and successful emergence was used as a chronic endpoint. Applying the MIXTOX modeling approach, predictive parametric models were fitted using single-compound toxicity data and statistically compared to observed toxicity in subsequent mixture tests. Imidacloprid-clothianidin, clothianidin-thiamethoxam and imidacloprid-clothianidin-thiamethoxam mixtures did not significantly deviate from concentration-additive toxicity. However, the cumulative toxicity of the imidacloprid-thiamethoxam mixture deviated from the concentration-additive reference model, displaying dose-ratio dependent synergism and resulting in up to a 10% greater reduction in emergence from that predicted by concentration addition. Furthermore, exposure to select neonicotinoid mixtures above 1.0 toxic unit tended to shift sex-ratios toward more male-dominated populations. Results indicate that, similar to acute exposures, the general assumption of joint additivity cannot adequately describe chronic cumulative toxicity of all neonicotinoid mixtures. Indeed, our observations of weak synergism and sex-ratio shifts elicited by some mixture combinations should be considered in water quality guideline development and environmental risk assessment practices for neonicotinoid insecticides, and explored in further investigations of the effects of neonicotinoid mixtures on aquatic communities.","author":[{"dropping-particle":"","family":"Maloney","given":"E. M.","non-dropping-particle":"","parse-names":false,"suffix":""},{"dropping-particle":"","family":"Morrissey","given":"C. A.","non-dropping-particle":"","parse-names":false,"suffix":""},{"dropping-particle":"V.","family":"Headley","given":"J.","non-dropping-particle":"","parse-names":false,"suffix":""},{"dropping-particle":"","family":"Peru","given":"K. M.","non-dropping-particle":"","parse-names":false,"suffix":""},{"dropping-particle":"","family":"Liber","given":"K.","non-dropping-particle":"","parse-names":false,"suffix":""}],"container-title":"Ecotoxicology and Environmental Safety","id":"ITEM-1","issue":"August","issued":{"date-parts":[["2018"]]},"note":"REJECT. This is sister paper to accepted study. No ORIG\n\nThis is a sister paper to their other one looking at acute toxicity.","page":"354-365","publisher":"Elsevier Inc.","title":"Can chronic exposure to imidacloprid, clothianidin, and thiamethoxam mixtures exert greater than additive toxicity in Chironomus dilutus?","type":"article-journal","volume":"156"},"uris":["http://www.mendeley.com/documents/?uuid=31b44653-fe3d-4284-9aa7-1bd001b61783"]}],"mendeley":{"formattedCitation":"(Maloney et al., 2018)","plainTextFormattedCitation":"(Maloney et al., 2018)","previouslyFormattedCitation":"(Maloney et al., 2018)"},"properties":{"noteIndex":0},"schema":"https://github.com/citation-style-language/schema/raw/master/csl-citation.json"}</w:instrText>
            </w:r>
            <w:r w:rsidRPr="00F37F1E">
              <w:fldChar w:fldCharType="separate"/>
            </w:r>
            <w:r w:rsidRPr="00F37F1E">
              <w:rPr>
                <w:b w:val="0"/>
                <w:noProof/>
              </w:rPr>
              <w:t>(Maloney et al., 2018)</w:t>
            </w:r>
            <w:r w:rsidRPr="00F37F1E">
              <w:fldChar w:fldCharType="end"/>
            </w:r>
          </w:p>
        </w:tc>
        <w:tc>
          <w:tcPr>
            <w:tcW w:w="602" w:type="pct"/>
          </w:tcPr>
          <w:p w14:paraId="358B7DCA" w14:textId="5047E5E7"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NO ORIG</w:t>
            </w:r>
          </w:p>
        </w:tc>
        <w:tc>
          <w:tcPr>
            <w:tcW w:w="2542" w:type="pct"/>
          </w:tcPr>
          <w:p w14:paraId="43657065" w14:textId="0BECDAF6"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Original data in Maloney et al 2017</w:t>
            </w:r>
          </w:p>
        </w:tc>
      </w:tr>
      <w:tr w:rsidR="0063703F" w:rsidRPr="00F37F1E" w14:paraId="28E0DE72"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788690FE" w14:textId="4DEA7C86"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{"citationItems":[{"id":"ITEM-1","itemData":{"DOI":"10.1002/etc.4639","ISSN":"15528618","PMID":"31751493","abstract":"Acute (96-h) toxicities of 5 systemic insecticides (chlorantraniliprole, cyantraniliprole, flupyradifurone, flubendiamide, and sulfoxaflor) were tested on larval Chironomus dilutus and compared with the neonicotinoid imidacloprid. Three insecticides were less acutely toxic than imidacloprid (2.5–25 times lower). However, chlorantraniliprole and cyantraniliprole were 1.5 to 1.8 times more toxic to C. dilutus. Thus, these ryanodine receptor agonists could pose a higher risk to aquatic insects than their neonicotinoid predecessors, warranting further studies. Environ Toxicol Chem 2020;39:587–594. © 2019 SETAC.","author":[{"dropping-particle":"","family":"Maloney","given":"Erin M.","non-dropping-particle":"","parse-names":false,"suffix":""},{"dropping-particle":"","family":"Sykes","given":"Hunter","non-dropping-particle":"","parse-names":false,"suffix":""},{"dropping-particle":"","family":"Morrissey","given":"Christy","non-dropping-particle":"","parse-names":false,"suffix":""},{"dropping-particle":"","family":"Peru","given":"Kerry M.","non-dropping-particle":"","parse-names":false,"suffix":""},{"dropping-particle":"V.","family":"Headley","given":"John","non-dropping-particle":"","parse-names":false,"suffix":""},{"dropping-particle":"","family":"Liber","given":"Karsten","non-dropping-particle":"","parse-names":false,"suffix":""}],"container-title":"Environmental Toxicology and Chemistry","id":"ITEM-1","issue":"3","issued":{"date-parts":[["2020"]]},"note":"REJECT. This is sister paper to accepted study. Why is LC50 higher in this study??\n\nLc50 is pretty low 7 ug/L. \n\nUnfortunately they fed the organisms... that's not okay for an acute test... See OECD Test No. 235 Method (most up to date). \n\nI should make sure I can use Raby 2018 paper for Chironomid since they got the same numbers anyway!! Wonder what this Maloney paper is... if it has IMI.","page":"587-594","publisher":"John Wiley &amp; Sons, Ltd","title":"Comparing the Acute Toxicity of Imidacloprid with Alternative Systemic Insecticides in the Aquatic Insect Chironomus dilutus","type":"article-journal","volume":"39"},"uris":["http://www.mendeley.com/documents/?uuid=b5a73c7f-8212-495b-be1e-df6484efd3b0"]}],"mendeley":{"formattedCitation":"(Maloney et al., 2020)","plainTextFormattedCitation":"(Maloney et al., 2020)","previouslyFormattedCitation":"(Maloney et al., 2020)"},"properties":{"noteIndex":0},"schema":"https://github.com/citation-style-language/schema/raw/master/csl-citation.json"}</w:instrText>
            </w:r>
            <w:r w:rsidRPr="00F37F1E">
              <w:fldChar w:fldCharType="separate"/>
            </w:r>
            <w:r w:rsidRPr="00F37F1E">
              <w:rPr>
                <w:b w:val="0"/>
                <w:bCs w:val="0"/>
                <w:noProof/>
              </w:rPr>
              <w:t>(Maloney et al., 2020)</w:t>
            </w:r>
            <w:r w:rsidRPr="00F37F1E">
              <w:fldChar w:fldCharType="end"/>
            </w:r>
          </w:p>
        </w:tc>
        <w:tc>
          <w:tcPr>
            <w:tcW w:w="602" w:type="pct"/>
          </w:tcPr>
          <w:p w14:paraId="5D75541C" w14:textId="42A7F3D6"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NS TT</w:t>
            </w:r>
          </w:p>
        </w:tc>
        <w:tc>
          <w:tcPr>
            <w:tcW w:w="2542" w:type="pct"/>
          </w:tcPr>
          <w:p w14:paraId="7928AF7A" w14:textId="14C2D2D1"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Acute test – organisms fed</w:t>
            </w:r>
          </w:p>
        </w:tc>
      </w:tr>
      <w:tr w:rsidR="0063703F" w:rsidRPr="00F37F1E" w14:paraId="3F352F5F"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19986C34" w14:textId="544AB757" w:rsidR="0063703F" w:rsidRPr="00F37F1E" w:rsidRDefault="0063703F" w:rsidP="0063703F">
            <w:pPr>
              <w:rPr>
                <w:b w:val="0"/>
                <w:bCs w:val="0"/>
              </w:rPr>
            </w:pPr>
            <w:r w:rsidRPr="00F37F1E">
              <w:fldChar w:fldCharType="begin" w:fldLock="1"/>
            </w:r>
            <w:r w:rsidRPr="00F37F1E">
              <w:rPr>
                <w:b w:val="0"/>
                <w:bCs w:val="0"/>
              </w:rPr>
              <w:instrText>ADDIN CSL_CITATION {"citationItems":[{"id":"ITEM-1","itemData":{"author":[{"dropping-particle":"","family":"Mcclure","given":"Gene","non-dropping-particle":"","parse-names":false,"suffix":""},{"dropping-particle":"","family":"Dodson","given":"Ron","non-dropping-particle":"","parse-names":false,"suffix":""},{"dropping-particle":"","family":"Erusha","given":"Kimberly","non-dropping-particle":"","parse-names":false,"suffix":""},{"dropping-particle":"","family":"Ph","given":"D","non-dropping-particle":"","parse-names":false,"suffix":""}],"container-title":"Turfgrass and Environmental Research Online","id":"ITEM-1","issue":"6","issued":{"date-parts":[["2002"]]},"note":"... i guess this is a real journal?\n\nThis is all kinds of jenky. Though I'm glad to see this in a turf science journal :P","title":"Turfgrass and Environmental Research Online","type":"article-journal","volume":"1"},"uris":["http://www.mendeley.com/documents/?uuid=bb50fa35-9f89-45e6-acad-c3f9b3ebb9fe"]}],"mendeley":{"formattedCitation":"(Mcclure et al., 2002)","plainTextFormattedCitation":"(Mcclure et al., 2002)","previouslyFormattedCitation":"(Mcclure et al., 2002)"},"properties":{"noteIndex":0},"schema":"https://github.com/citation-style-language/schema/raw/master/csl-citation.json"}</w:instrText>
            </w:r>
            <w:r w:rsidRPr="00F37F1E">
              <w:fldChar w:fldCharType="separate"/>
            </w:r>
            <w:r w:rsidRPr="00F37F1E">
              <w:rPr>
                <w:b w:val="0"/>
                <w:bCs w:val="0"/>
                <w:noProof/>
              </w:rPr>
              <w:t>(Mcclure et al., 2002)</w:t>
            </w:r>
            <w:r w:rsidRPr="00F37F1E">
              <w:fldChar w:fldCharType="end"/>
            </w:r>
          </w:p>
        </w:tc>
        <w:tc>
          <w:tcPr>
            <w:tcW w:w="602" w:type="pct"/>
          </w:tcPr>
          <w:p w14:paraId="077BC4DC" w14:textId="09761390"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MIXTURE</w:t>
            </w:r>
          </w:p>
        </w:tc>
        <w:tc>
          <w:tcPr>
            <w:tcW w:w="2542" w:type="pct"/>
          </w:tcPr>
          <w:p w14:paraId="323BE7B7" w14:textId="6722F9B1"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Merit – only 75% active imidacloprid</w:t>
            </w:r>
          </w:p>
        </w:tc>
      </w:tr>
      <w:tr w:rsidR="0063703F" w:rsidRPr="00F37F1E" w14:paraId="7A5592AD"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325115EB" w14:textId="5B8D5EAF" w:rsidR="0063703F" w:rsidRPr="00F37F1E" w:rsidRDefault="0063703F" w:rsidP="0063703F">
            <w:r>
              <w:fldChar w:fldCharType="begin" w:fldLock="1"/>
            </w:r>
            <w:r>
              <w:rPr>
                <w:b w:val="0"/>
                <w:bCs w:val="0"/>
              </w:rPr>
              <w:instrText>ADDIN CSL_CITATION {"citationItems":[{"id":"ITEM-1","itemData":{"DOI":"10.1016/j.scitotenv.2021.147167","ISSN":"18791026","PMID":"34088063","abstract":"This study aimed to investigate the effect of imidacloprid on structural (invertebrates and primary producers) and functional (organic matter decomposition and physicochemical parameters) characteristics of tropical freshwaters using acute single species and mesocosm studies performed in Ethiopia. The recovery of affected endpoints was also studied by using a mesocosm study period of 21 weeks. Our acute toxicity test showed that Cloeon dipterum (96-h EC50 = 1.5 μg/L) and Caenis horaria (96-h EC50 = 1.9 μg/L) are relatively sensitive arthropods to imidacloprid. The mesocosm experiment evaluated the effects of four applications of imidacloprid with a weekly interval and the results showed that the macroinvertebrate and zooplankton community structure changed significantly due to imidacloprid contamination in mesocosms repeatedly dosed with ≥0.1 and ≥ 0.01 μg/L, respectively (time weighted average concentrations of 112 days (TWA112d) of ≥0.124 and ≥ ≈0.02 μg/L, respectively). The largest responses were found for C. dipterum, C. horaria, Brachionus sp. and Filinia sp. Chlorophyll-a concentrations of periphyton and phytoplankton significantly increased in the ≥0.1 μg/L treatments levels which are indirect effects as a result of the release of grazing pressure. A significant, but quantitatively small, decrease of organic matter decomposition rate was observed in mesocosms treated with repeated doses of 1 μg/L (TWA112d of 2.09 μg/L). No recovery was observed for the macroinvertebrates community during the study period of 21 weeks, but zooplankton recovered after 9 weeks. We observed spatio-temporal related toxicity differences between tropical and temperate aquatic taxa, with tropical taxa generally being more sensitive. This suggests that use of temperate toxicity data for the risk assessment of imidacloprid in tropical region is not recommended.","author":[{"dropping-particle":"","family":"Merga","given":"Lemessa B.","non-dropping-particle":"","parse-names":false,"suffix":""},{"dropping-particle":"","family":"Brink","given":"Paul J.","non-dropping-particle":"Van den","parse-names":false,"suffix":""}],"container-title":"Science of the Total Environment","id":"ITEM-1","issued":{"date-parts":[["2021"]]},"note":"Reject - Formulation IMI not technical grade. Honorable mention\n\nReservations are use of an &amp;quot;imidacloprid formulatiion&amp;quot;. Not sure what that means, however, their results are comparable to other studies for these species. \n\nCorixidae control results not great, but after review of supplemental data, I feel comfortable using this result. No other data available for this class of organism. \n\nOrganisms were not fed during experiment.","page":"147167","publisher":"The Authors","title":"Ecological effects of imidacloprid on a tropical freshwater ecosystem and subsequent recovery dynamics","type":"article-journal","volume":"784"},"uris":["http://www.mendeley.com/documents/?uuid=a1449b85-3a76-4f09-a05b-96df7034d562"]}],"mendeley":{"formattedCitation":"(Merga and Van den Brink, 2021)","plainTextFormattedCitation":"(Merga and Van den Brink, 2021)","previouslyFormattedCitation":"(Merga and Van den Brink, 2021)"},"properties":{"noteIndex":0},"schema":"https://github.com/citation-style-language/schema/raw/master/csl-citation.json"}</w:instrText>
            </w:r>
            <w:r>
              <w:fldChar w:fldCharType="separate"/>
            </w:r>
            <w:r w:rsidRPr="008B21A0">
              <w:rPr>
                <w:b w:val="0"/>
                <w:bCs w:val="0"/>
                <w:noProof/>
              </w:rPr>
              <w:t>(Merga and Van den Brink, 2021)</w:t>
            </w:r>
            <w:r>
              <w:fldChar w:fldCharType="end"/>
            </w:r>
          </w:p>
        </w:tc>
        <w:tc>
          <w:tcPr>
            <w:tcW w:w="602" w:type="pct"/>
          </w:tcPr>
          <w:p w14:paraId="6BC2B6C7" w14:textId="55A7DCB2"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27EAEB67" w14:textId="13E7C25B"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t>Test with formulation not technical grade</w:t>
            </w:r>
          </w:p>
        </w:tc>
      </w:tr>
      <w:tr w:rsidR="0063703F" w:rsidRPr="00F37F1E" w14:paraId="3FE6D553"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0774C1BB" w14:textId="3392BF97" w:rsidR="0063703F" w:rsidRPr="00F37F1E" w:rsidRDefault="0063703F" w:rsidP="0063703F">
            <w:r w:rsidRPr="00F37F1E">
              <w:fldChar w:fldCharType="begin" w:fldLock="1"/>
            </w:r>
            <w:r w:rsidRPr="00F37F1E">
              <w:instrText>ADDIN CSL_CITATION {"citationItems":[{"id":"ITEM-1","itemData":{"DOI":"10.1371/journal.pone.0174171","ISBN":"1111111111","ISSN":"19326203","PMID":"28334022","abstract":"The widespread usage of neonicotinoid insecticides has sparked concern over their effects on non-target organisms. While research has largely focused on terrestrial systems, the low soil binding and high water solubility of neonicotinoids, paired with their extensive use on the landscape, puts aquatic environments at high risk for contamination via runoff events. We assessed the potential threat of these compounds to wetland communities using a combination of field surveys and experimental exposures including concentrations that are representative of what invertebrates experience in the field. In laboratory toxicity experiments, LC50 values ranged from 0.002 ppm to 1.2 ppm for aquatic invertebrates exposed to clothianidin. However, freshwater snails and amphibian larvae showed high tolerance to the chemical with no mortality observed at the highest dissolvable concentration of the insecticide. We also observed behavioral effects of clothianidin. Water bugs, Belostoma flumineum, displayed a dose-dependent reduction in feeding rate following exposure to clothianidin. Similarly, crayfish, Orconectes propinquus, exhibited reduced responsiveness to stimulus with increasing clothianidin concentration. Using a semi-natural mesocosm experiment, we manipulated clothianidin concentration (0.6, 5, and 352 ppb) and the presence of predatory invertebrates to explore community-level effects. We observed high invertebrate predator mortality with increases in clothianidin concentration. With increased predator mortality, prey survival increased by 50% at the highest clothianidin concentration. Thus, clothianidin contamination can result in a top-down trophic cascade in a community dominated by invertebrate predators. In our Indiana field study, we detected clothianidin (max = 176 ppb), imidacloprid (max = 141 ppb), and acetamiprid (max = 7 ppb) in soil samples. In water samples, we detected clothianidin (max = 0.67 ppb), imidacloprid (max = 0.18 ppb), and thiamethoxam (max = 2,568 ppb). Neonicotinoids were detected in &gt;56% of soil samples and &gt;90% of the water samples, which reflects a growing understanding that neonicotinoids are ubiquitous environmental contaminants. Collectively, our results underscore the need for additional research into the effects of neonicotinoids on aquatic communities and ecosystems.","author":[{"dropping-particle":"","family":"Miles","given":"Jesse C.","non-dropping-particle":"","parse-names":false,"suffix":""},{"dropping-particle":"","family":"Hua","given":"Jessica","non-dropping-particle":"","parse-names":false,"suffix":""},{"dropping-particle":"","family":"Sepulveda","given":"Maria S.","non-dropping-particle":"","parse-names":false,"suffix":""},{"dropping-particle":"","family":"Krupke","given":"Christian H.","non-dropping-particle":"","parse-names":false,"suffix":""},{"dropping-particle":"","family":"Hoverman","given":"Jason T.","non-dropping-particle":"","parse-names":false,"suffix":""}],"container-title":"PLoS ONE","id":"ITEM-1","issue":"3","issued":{"date-parts":[["2017"]]},"note":"This is a clothianidin study - moving it into that folder.","page":"1-24","title":"Effects of clothianidin on aquatic communities: Evaluating the impacts of lethal and sublethal exposure to neonicotinoids","type":"article-journal","volume":"12"},"uris":["http://www.mendeley.com/documents/?uuid=0e306f6b-7a25-461f-96ef-75811ad68a38"]}],"mendeley":{"formattedCitation":"(Miles et al., 2017)","plainTextFormattedCitation":"(Miles et al., 2017)","previouslyFormattedCitation":"(Miles et al., 2017)"},"properties":{"noteIndex":0},"schema":"https://github.com/citation-style-language/schema/raw/master/csl-citation.json"}</w:instrText>
            </w:r>
            <w:r w:rsidRPr="00F37F1E">
              <w:fldChar w:fldCharType="separate"/>
            </w:r>
            <w:r w:rsidRPr="00F37F1E">
              <w:rPr>
                <w:b w:val="0"/>
                <w:noProof/>
              </w:rPr>
              <w:t>(Miles et al., 2017)</w:t>
            </w:r>
            <w:r w:rsidRPr="00F37F1E">
              <w:fldChar w:fldCharType="end"/>
            </w:r>
          </w:p>
        </w:tc>
        <w:tc>
          <w:tcPr>
            <w:tcW w:w="602" w:type="pct"/>
          </w:tcPr>
          <w:p w14:paraId="2538E4CC" w14:textId="2E91359C"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NO ORIG</w:t>
            </w:r>
          </w:p>
        </w:tc>
        <w:tc>
          <w:tcPr>
            <w:tcW w:w="2542" w:type="pct"/>
          </w:tcPr>
          <w:p w14:paraId="12AE32FD" w14:textId="03A7159D"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No toxicity data on imidacloprid</w:t>
            </w:r>
          </w:p>
        </w:tc>
      </w:tr>
      <w:tr w:rsidR="0063703F" w:rsidRPr="00F37F1E" w14:paraId="033D8E4A"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75C3330D" w14:textId="17651AA5"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{"citationItems":[{"id":"ITEM-1","itemData":{"DOI":"10.1016/j.aquatox.2011.11.016","ISSN":"0166445X","PMID":"22252165","abstract":"Small streams in agricultural landscape can experience short and repeated pulses of fluctuating pesticide concentrations. A single pesticide pulse may not have adverse effects on macrozoobenthos species but repeated pulses may have, especially if the organisms have not yet fully recovered when the second pesticide pulse occurs. Against this background, a comprehensive indoor stream mesocosm study was carried out in order to evaluate the cumulative effects of repeated insecticide pulses on a macrozoobenthos community. Weekly 12. h pulses of 12μg/L of the insecticide imidacloprid were set 3 times in 4 stream mesocosms in 2 series, one in spring and one in summer. Another 4 mesocosms served as controls. Prior to each pulse series, the mesocosms were stocked with macroinvertebrates from an uncontaminated reference stream using straw bags as attraction devices. The straw bag method proved suitable for establishing a functional macroinvertebrate community in the stream mesocosms. The caddisfly species Neureclipsis sp. reacted immediately and most sensitively after a single imidacloprid pulse whilst insect larvae such as ephemerids and dipteran larvae were negatively affected only after repeated imidacloprid pulses. Effects on insect larvae were more pronounced in the summer series most likely due to increased temperature. Abundance was a less sensitive endpoint than sublethal endpoints such as emergence. The results of the study underline that pulse effects are driven by a number of variables like pulse height, pulse duration, number of pulses, time in between pulses and by the species and live stage specific ability of temperature dependent detoxification which all should be taken into account in the risk assessment of pesticides. © 2011 Elsevier B.V..","author":[{"dropping-particle":"","family":"Mohr","given":"Silvia","non-dropping-particle":"","parse-names":false,"suffix":""},{"dropping-particle":"","family":"Berghahn","given":"Rüdiger","non-dropping-particle":"","parse-names":false,"suffix":""},{"dropping-particle":"","family":"Schmiediche","given":"Ronny","non-dropping-particle":"","parse-names":false,"suffix":""},{"dropping-particle":"","family":"Hübner","given":"Verena","non-dropping-particle":"","parse-names":false,"suffix":""},{"dropping-particle":"","family":"Loth","given":"Stefan","non-dropping-particle":"","parse-names":false,"suffix":""},{"dropping-particle":"","family":"Feibicke","given":"Michael","non-dropping-particle":"","parse-names":false,"suffix":""},{"dropping-particle":"","family":"Mailahn","given":"Wolfgang","non-dropping-particle":"","parse-names":false,"suffix":""},{"dropping-particle":"","family":"Wogram","given":"Jörn","non-dropping-particle":"","parse-names":false,"suffix":""}],"container-title":"Aquatic Toxicology","id":"ITEM-1","issued":{"date-parts":[["2012"]]},"note":"Did not read in depth - mesocosm study so can't use. \n\nImportant to get caddisfly data and chronic emergence data in development of a water quality value.","page":"25-36","publisher":"Elsevier B.V.","title":"Macroinvertebrate community response to repeated short-term pulses of the insecticide imidacloprid","type":"article-journal","volume":"110-111"},"uris":["http://www.mendeley.com/documents/?uuid=e6bb7826-e6ba-42e7-a7cb-eddfeadd0270"]}],"mendeley":{"formattedCitation":"(Mohr et al., 2012)","plainTextFormattedCitation":"(Mohr et al., 2012)","previouslyFormattedCitation":"(Mohr et al., 2012)"},"properties":{"noteIndex":0},"schema":"https://github.com/citation-style-language/schema/raw/master/csl-citation.json"}</w:instrText>
            </w:r>
            <w:r w:rsidRPr="00F37F1E">
              <w:fldChar w:fldCharType="separate"/>
            </w:r>
            <w:r w:rsidRPr="00F37F1E">
              <w:rPr>
                <w:b w:val="0"/>
                <w:bCs w:val="0"/>
                <w:noProof/>
              </w:rPr>
              <w:t>(Mohr et al., 2012)</w:t>
            </w:r>
            <w:r w:rsidRPr="00F37F1E">
              <w:fldChar w:fldCharType="end"/>
            </w:r>
          </w:p>
        </w:tc>
        <w:tc>
          <w:tcPr>
            <w:tcW w:w="602" w:type="pct"/>
          </w:tcPr>
          <w:p w14:paraId="5C8A62FF" w14:textId="647892DB"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NS TT</w:t>
            </w:r>
          </w:p>
        </w:tc>
        <w:tc>
          <w:tcPr>
            <w:tcW w:w="2542" w:type="pct"/>
          </w:tcPr>
          <w:p w14:paraId="4404B26B" w14:textId="3E392C58"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Mesocosm study</w:t>
            </w:r>
          </w:p>
        </w:tc>
      </w:tr>
      <w:tr w:rsidR="0063703F" w:rsidRPr="00F37F1E" w14:paraId="2BCBFEAA"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5B2D33BD" w14:textId="29BC51A9" w:rsidR="0063703F" w:rsidRPr="00F37F1E" w:rsidRDefault="0063703F" w:rsidP="0063703F">
            <w:r w:rsidRPr="00F37F1E">
              <w:fldChar w:fldCharType="begin" w:fldLock="1"/>
            </w:r>
            <w:r w:rsidRPr="00F37F1E">
              <w:instrText>ADDIN CSL_CITATION {"citationItems":[{"id":"ITEM-1","itemData":{"DOI":"10.1016/j.envint.2014.10.024","ISSN":"18736750","PMID":"25454246","abstract":"Neonicotinoids, broad-spectrum systemic insecticides, are the fastest growing class of insecticides worldwide and are now registered for use on hundreds of field crops in over 120 different countries. The environmental profile of this class of pesticides indicate that they are persistent, have high leaching and runoff potential, and are highly toxic to a wide range of invertebrates. Therefore, neonicotinoids represent a significant risk to surface waters and the diverse aquatic and terrestrial fauna that these ecosystems support. This review synthesizes the current state of knowledge on the reported concentrations of neonicotinoids in surface waters from 29 studies in 9 countries world-wide in tandem with published data on their acute and chronic toxicity to 49 species of aquatic insects and crustaceans spanning 12 invertebrate orders. Strong evidence exists that water-borne neonicotinoid exposures are frequent, long-term and at levels (geometric means=0.13μg/L (averages) and 0.63μg/L (maxima)) which commonly exceed several existing water quality guidelines. Imidacloprid is by far the most widely studied neonicotinoid (66% of the 214 toxicity tests reviewed) with differences in sensitivity among aquatic invertebrate species ranging several orders of magnitude; other neonicotinoids display analogous modes of action and similar toxicities, although comparative data are limited. Of the species evaluated, insects belonging to the orders Ephemeroptera, Trichoptera and Diptera appear to be the most sensitive, while those of Crustacea (although not universally so) are less sensitive. In particular, the standard test species Daphnia magna appears to be very tolerant, with 24-96hour LC50 values exceeding 100,000μg/L (geometric mean&gt;44,000μg/L), which is at least 2-3 orders of magnitude higher than the geometric mean of all other invertebrate species tested. Overall, neonicotinoids can exert adverse effects on survival, growth, emergence, mobility, and behavior of many sensitive aquatic invertebrate taxa at concentrations at or below 1μg/L under acute exposure and 0.1μg/L for chronic exposure. Using probabilistic approaches (species sensitivity distributions), we recommend here that ecological thresholds for neonicotinoid water concentrations need to be below 0.2μg/L (short-term acute) or 0.035μg/L (long-term chronic) to avoid lasting effects on aquatic invertebrate communities. The application of safety factors may still be warranted considering potential issues…","author":[{"dropping-particle":"","family":"Morrissey","given":"Christy A.","non-dropping-particle":"","parse-names":false,"suffix":""},{"dropping-particle":"","family":"Mineau","given":"Pierre","non-dropping-particle":"","parse-names":false,"suffix":""},{"dropping-particle":"","family":"Devries","given":"James H.","non-dropping-particle":"","parse-names":false,"suffix":""},{"dropping-particle":"","family":"Sanchez-Bayo","given":"Francisco","non-dropping-particle":"","parse-names":false,"suffix":""},{"dropping-particle":"","family":"Liess","given":"Matthias","non-dropping-particle":"","parse-names":false,"suffix":""},{"dropping-particle":"","family":"Cavallaro","given":"Michael C.","non-dropping-particle":"","parse-names":false,"suffix":""},{"dropping-particle":"","family":"Liber","given":"Karsten","non-dropping-particle":"","parse-names":false,"suffix":""}],"container-title":"Environment International","id":"ITEM-1","issued":{"date-parts":[["2015"]]},"note":"This is a general paper to be read as I'm developing ALV - no original data in this article.","page":"291-303","title":"Neonicotinoid contamination of global surface waters and associated risk to aquatic invertebrates: A review","type":"article-journal","volume":"74"},"uris":["http://www.mendeley.com/documents/?uuid=706f40dd-1f26-4713-bd5d-78b5072da43c"]}],"mendeley":{"formattedCitation":"(Morrissey et al., 2015)","plainTextFormattedCitation":"(Morrissey et al., 2015)","previouslyFormattedCitation":"(Morrissey et al., 2015)"},"properties":{"noteIndex":0},"schema":"https://github.com/citation-style-language/schema/raw/master/csl-citation.json"}</w:instrText>
            </w:r>
            <w:r w:rsidRPr="00F37F1E">
              <w:fldChar w:fldCharType="separate"/>
            </w:r>
            <w:r w:rsidRPr="00F37F1E">
              <w:rPr>
                <w:b w:val="0"/>
                <w:noProof/>
              </w:rPr>
              <w:t>(Morrissey et al., 2015)</w:t>
            </w:r>
            <w:r w:rsidRPr="00F37F1E">
              <w:fldChar w:fldCharType="end"/>
            </w:r>
          </w:p>
        </w:tc>
        <w:tc>
          <w:tcPr>
            <w:tcW w:w="602" w:type="pct"/>
          </w:tcPr>
          <w:p w14:paraId="7026BFA3" w14:textId="12BDEDCE"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NO ORIG</w:t>
            </w:r>
          </w:p>
        </w:tc>
        <w:tc>
          <w:tcPr>
            <w:tcW w:w="2542" w:type="pct"/>
          </w:tcPr>
          <w:p w14:paraId="1992B239" w14:textId="2B4EC551"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Review article</w:t>
            </w:r>
          </w:p>
        </w:tc>
      </w:tr>
      <w:tr w:rsidR="0063703F" w:rsidRPr="00F37F1E" w14:paraId="7440B955"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70786EEF" w14:textId="55E687B0" w:rsidR="0063703F" w:rsidRPr="00F37F1E" w:rsidRDefault="0063703F" w:rsidP="0063703F">
            <w:pPr>
              <w:rPr>
                <w:b w:val="0"/>
                <w:bCs w:val="0"/>
              </w:rPr>
            </w:pPr>
            <w:r w:rsidRPr="00F37F1E">
              <w:fldChar w:fldCharType="begin" w:fldLock="1"/>
            </w:r>
            <w:r w:rsidRPr="00F37F1E">
              <w:rPr>
                <w:b w:val="0"/>
                <w:bCs w:val="0"/>
              </w:rPr>
              <w:instrText>ADDIN CSL_CITATION {"citationItems":[{"id":"ITEM-1","itemData":{"author":[{"dropping-particle":"","family":"Neury-Ormanni","given":"Julie","non-dropping-particle":"","parse-names":false,"suffix":""},{"dropping-particle":"","family":"Vedrenne","given":"Jacky","non-dropping-particle":"","parse-names":false,"suffix":""},{"dropping-particle":"","family":"Morin","given":"Soizic","non-dropping-particle":"","parse-names":false,"suffix":""}],"container-title":"Science of the Total Environment","id":"ITEM-1","issue":"139484","issued":{"date-parts":[["2020"]]},"note":"Reject\n\nEndpoints not relevant. \nmeasured growth but effect was in lag time to exponential growth (not total effect).\n\nIt didn't really test a gradient of concentrations (so also no dose-response curve)","title":"Benthic diatom growth kinetics under combined pressures of microalgal competition, predation and chemical stressors","type":"article-journal","volume":"734"},"uris":["http://www.mendeley.com/documents/?uuid=30f3c40b-53c5-4a2e-947d-bc0ec2241534"]}],"mendeley":{"formattedCitation":"(Neury-Ormanni et al., 2020)","plainTextFormattedCitation":"(Neury-Ormanni et al., 2020)","previouslyFormattedCitation":"(Neury-Ormanni et al., 2020)"},"properties":{"noteIndex":0},"schema":"https://github.com/citation-style-language/schema/raw/master/csl-citation.json"}</w:instrText>
            </w:r>
            <w:r w:rsidRPr="00F37F1E">
              <w:fldChar w:fldCharType="separate"/>
            </w:r>
            <w:r w:rsidRPr="00F37F1E">
              <w:rPr>
                <w:b w:val="0"/>
                <w:bCs w:val="0"/>
                <w:noProof/>
              </w:rPr>
              <w:t>(Neury-Ormanni et al., 2020)</w:t>
            </w:r>
            <w:r w:rsidRPr="00F37F1E">
              <w:fldChar w:fldCharType="end"/>
            </w:r>
          </w:p>
        </w:tc>
        <w:tc>
          <w:tcPr>
            <w:tcW w:w="602" w:type="pct"/>
          </w:tcPr>
          <w:p w14:paraId="5744C647" w14:textId="0EED7DA6"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ENDPT</w:t>
            </w:r>
          </w:p>
        </w:tc>
        <w:tc>
          <w:tcPr>
            <w:tcW w:w="2542" w:type="pct"/>
          </w:tcPr>
          <w:p w14:paraId="04776A96" w14:textId="7BA00E43"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No dose response curve</w:t>
            </w:r>
          </w:p>
        </w:tc>
      </w:tr>
      <w:tr w:rsidR="0063703F" w:rsidRPr="00F37F1E" w14:paraId="76498D76"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6A88AD24" w14:textId="322EF4C9"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{"citationItems":[{"id":"ITEM-1","itemData":{"DOI":"10.1016/j.chemosphere.2018.06.102","ISSN":"18791298","PMID":"29957517","abstract":"Impacts of neonicotinoids on non-target insects, including aquatic species, may significantly influence ecosystem structure and functioning. The present study investigated the sensitivity of Chironomus riparius to imidacloprid exposures during 24-h, 10- and 28-days by assessing larval survival, growth, emergence and oxidative stress-related parameters. C. riparius exhibited high sensitivity compared to other model aquatic species with acute 24-h LC50 being 31.5 μg/L and 10-days LOEC (growth) 0.625 μg/L. A 28-days partial life cycle test demonstrated imidacloprid effects on the emergence of C. riparius. Exposure to sublethal concentrations during 10-days caused an imbalance in the reduced and oxidized glutathione (GSH and GSSG), and slightly induced lipid peroxidation (increased malondialdehyde, MDA). Our results indicate that oxidative stress may be a relevant mechanism in the neonicotinoid toxicity, reflected in the insect development and life cycle parameters.","author":[{"dropping-particle":"","family":"Njattuvetty Chandran","given":"Naveen","non-dropping-particle":"","parse-names":false,"suffix":""},{"dropping-particle":"","family":"Fojtova","given":"Dana","non-dropping-particle":"","parse-names":false,"suffix":""},{"dropping-particle":"","family":"Blahova","given":"Lucie","non-dropping-particle":"","parse-names":false,"suffix":""},{"dropping-particle":"","family":"Rozmankova","given":"Eliska","non-dropping-particle":"","parse-names":false,"suffix":""},{"dropping-particle":"","family":"Blaha","given":"Ludek","non-dropping-particle":"","parse-names":false,"suffix":""}],"container-title":"Chemosphere","id":"ITEM-1","issue":"June","issued":{"date-parts":[["2018"]]},"note":"I think this paper fails initial screen. Endpoints aren't applicable. LC50 acute is based on 24 hour for a midge species...","page":"568-577","publisher":"Elsevier Ltd","title":"Acute and (sub)chronic toxicity of the neonicotinoid imidacloprid on Chironomus riparius","type":"article-journal","volume":"209"},"uris":["http://www.mendeley.com/documents/?uuid=85899ee2-749b-47e6-892e-a8671f8e7465"]}],"mendeley":{"formattedCitation":"(Njattuvetty Chandran et al., 2018)","plainTextFormattedCitation":"(Njattuvetty Chandran et al., 2018)","previouslyFormattedCitation":"(Njattuvetty Chandran et al., 2018)"},"properties":{"noteIndex":0},"schema":"https://github.com/citation-style-language/schema/raw/master/csl-citation.json"}</w:instrText>
            </w:r>
            <w:r w:rsidRPr="00F37F1E">
              <w:fldChar w:fldCharType="separate"/>
            </w:r>
            <w:r w:rsidRPr="00F37F1E">
              <w:rPr>
                <w:b w:val="0"/>
                <w:bCs w:val="0"/>
                <w:noProof/>
              </w:rPr>
              <w:t>(Njattuvetty Chandran et al., 2018)</w:t>
            </w:r>
            <w:r w:rsidRPr="00F37F1E">
              <w:fldChar w:fldCharType="end"/>
            </w:r>
          </w:p>
        </w:tc>
        <w:tc>
          <w:tcPr>
            <w:tcW w:w="602" w:type="pct"/>
          </w:tcPr>
          <w:p w14:paraId="18673764" w14:textId="2C71B964"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R57 NC</w:t>
            </w:r>
          </w:p>
        </w:tc>
        <w:tc>
          <w:tcPr>
            <w:tcW w:w="2542" w:type="pct"/>
          </w:tcPr>
          <w:p w14:paraId="4AC4ADBA" w14:textId="499E7C18"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rPr>
                <w:i/>
                <w:iCs/>
              </w:rPr>
              <w:t xml:space="preserve">C. </w:t>
            </w:r>
            <w:proofErr w:type="spellStart"/>
            <w:r w:rsidRPr="00F37F1E">
              <w:rPr>
                <w:i/>
                <w:iCs/>
              </w:rPr>
              <w:t>riparius</w:t>
            </w:r>
            <w:proofErr w:type="spellEnd"/>
            <w:r w:rsidRPr="00F37F1E">
              <w:t xml:space="preserve"> acute test only 24-hrs long</w:t>
            </w:r>
          </w:p>
        </w:tc>
      </w:tr>
      <w:tr w:rsidR="0063703F" w:rsidRPr="00F37F1E" w14:paraId="3DED4011"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32922A75" w14:textId="29934D56"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{"citationItems":[{"id":"ITEM-1","itemData":{"DOI":"10.1371/journal.pone.0062472","ISSN":"19326203","PMID":"23690941","abstract":"If an organism does not feed, it dies of starvation. Even though some insecticides which are used to control pests in agriculture can interfere with feeding behavior of insects and other invertebrates, the link from chemical exposure via affected feeding activity to impaired life history traits, such as survival, has not received much attention in ecotoxicology. One of these insecticides is the neonicotinoid imidacloprid, a neurotoxic substance acting specifically on the insect nervous system. We show that imidacloprid has the potential to indirectly cause lethality in aquatic invertebrate populations at low, sublethal concentrations by impairing movements and thus feeding. We investigated feeding activity, lipid content, immobility, and survival of the aquatic arthropod Gammarus pulex under exposure to imidacloprid. We performed experiments with 14 and 21 days duration, both including two treatments with two high, one day pulses of imidacloprid and one treatment with a low, constant concentration. Feeding of G. pulex as well as lipid content were significantly reduced under exposure to the low, constant imidacloprid concentration (15 μg/L). Organisms were not able to move and feed - and this caused high mortality after 14 days of constant exposure. In contrast, feeding and lipid content were not affected by repeated imidacloprid pulses. In these treatments, animals were mostly immobilized during the chemical pulses but did recover relatively fast after transfer to clean water. We also performed a starvation experiment without exposure to imidacloprid which showed that starvation alone does not explain the mortality in the constant imidacloprid exposure. Using a multiple stressor toxicokinetic-toxicodynamic modeling approach, we showed that both starvation and other toxic effects of imidacloprid play a role for determining mortality in constant exposure to the insecticide. © 2013 Nyman et al.","author":[{"dropping-particle":"","family":"Nyman","given":"Anna Maija","non-dropping-particle":"","parse-names":false,"suffix":""},{"dropping-particle":"","family":"Hintermeister","given":"Anita","non-dropping-particle":"","parse-names":false,"suffix":""},{"dropping-particle":"","family":"Schirmer","given":"Kristin","non-dropping-particle":"","parse-names":false,"suffix":""},{"dropping-particle":"","family":"Ashauer","given":"Roman","non-dropping-particle":"","parse-names":false,"suffix":""}],"container-title":"PLoS ONE","id":"ITEM-1","issue":"5","issued":{"date-parts":[["2013"]]},"note":"Reject. Not standardized toxicity test. Endpoint not usable.","title":"The Insecticide Imidacloprid Causes Mortality of the Freshwater Amphipod Gammarus pulex by Interfering with Feeding Behavior","type":"article-journal","volume":"8"},"uris":["http://www.mendeley.com/documents/?uuid=410c25cd-60b5-41d5-a276-c7c452500c42"]}],"mendeley":{"formattedCitation":"(Nyman et al., 2013)","plainTextFormattedCitation":"(Nyman et al., 2013)","previouslyFormattedCitation":"(Nyman et al., 2013)"},"properties":{"noteIndex":0},"schema":"https://github.com/citation-style-language/schema/raw/master/csl-citation.json"}</w:instrText>
            </w:r>
            <w:r w:rsidRPr="00F37F1E">
              <w:fldChar w:fldCharType="separate"/>
            </w:r>
            <w:r w:rsidRPr="00F37F1E">
              <w:rPr>
                <w:b w:val="0"/>
                <w:bCs w:val="0"/>
                <w:noProof/>
              </w:rPr>
              <w:t>(Nyman et al., 2013)</w:t>
            </w:r>
            <w:r w:rsidRPr="00F37F1E">
              <w:fldChar w:fldCharType="end"/>
            </w:r>
          </w:p>
        </w:tc>
        <w:tc>
          <w:tcPr>
            <w:tcW w:w="602" w:type="pct"/>
          </w:tcPr>
          <w:p w14:paraId="2C739116" w14:textId="618D79AD"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NS TT</w:t>
            </w:r>
          </w:p>
        </w:tc>
        <w:tc>
          <w:tcPr>
            <w:tcW w:w="2542" w:type="pct"/>
          </w:tcPr>
          <w:p w14:paraId="6891D6E0" w14:textId="2AB4A038"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Pulse experiments; endpoint feeding activity</w:t>
            </w:r>
          </w:p>
        </w:tc>
      </w:tr>
      <w:tr w:rsidR="0063703F" w:rsidRPr="00F37F1E" w14:paraId="6180FAB6"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0B52959E" w14:textId="5654CB72"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{"citationItems":[{"id":"ITEM-1","itemData":{"DOI":"10.1007/s00128-005-0662-7","ISSN":"00074861","PMID":"16097320","author":[{"dropping-particle":"","family":"Overmyer","given":"J. P.","non-dropping-particle":"","parse-names":false,"suffix":""},{"dropping-particle":"","family":"Mason","given":"B. N.","non-dropping-particle":"","parse-names":false,"suffix":""},{"dropping-particle":"","family":"Armbrust","given":"K. L.","non-dropping-particle":"","parse-names":false,"suffix":""}],"container-title":"Bulletin of Environmental Contamination and Toxicology","id":"ITEM-1","issue":"5","issued":{"date-parts":[["2005"]]},"note":"CANNOT Use - they tested 5th instar midge - too old.","page":"872-879","title":"Acute toxicity of imidacloprid and fipronil to a nontarget aquatic insect, Simulium vittatum zetterstedt cytospecies IS-7","type":"article-journal","volume":"74"},"uris":["http://www.mendeley.com/documents/?uuid=fd084319-7ca4-4ed4-a534-056b15349d1c"]}],"mendeley":{"formattedCitation":"(Overmyer et al., 2005)","plainTextFormattedCitation":"(Overmyer et al., 2005)","previouslyFormattedCitation":"(Overmyer et al., 2005)"},"properties":{"noteIndex":0},"schema":"https://github.com/citation-style-language/schema/raw/master/csl-citation.json"}</w:instrText>
            </w:r>
            <w:r w:rsidRPr="00F37F1E">
              <w:fldChar w:fldCharType="separate"/>
            </w:r>
            <w:r w:rsidRPr="00F37F1E">
              <w:rPr>
                <w:b w:val="0"/>
                <w:bCs w:val="0"/>
                <w:noProof/>
              </w:rPr>
              <w:t>(Overmyer et al., 2005)</w:t>
            </w:r>
            <w:r w:rsidRPr="00F37F1E">
              <w:fldChar w:fldCharType="end"/>
            </w:r>
          </w:p>
        </w:tc>
        <w:tc>
          <w:tcPr>
            <w:tcW w:w="602" w:type="pct"/>
          </w:tcPr>
          <w:p w14:paraId="7A427BBA" w14:textId="359E7BD3"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R57 NC</w:t>
            </w:r>
          </w:p>
        </w:tc>
        <w:tc>
          <w:tcPr>
            <w:tcW w:w="2542" w:type="pct"/>
          </w:tcPr>
          <w:p w14:paraId="63918AA6" w14:textId="29CF1EDF"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Uses 5</w:t>
            </w:r>
            <w:r w:rsidRPr="00F37F1E">
              <w:rPr>
                <w:vertAlign w:val="superscript"/>
              </w:rPr>
              <w:t>th</w:t>
            </w:r>
            <w:r w:rsidRPr="00F37F1E">
              <w:t xml:space="preserve"> instar midge</w:t>
            </w:r>
          </w:p>
        </w:tc>
      </w:tr>
      <w:tr w:rsidR="0063703F" w:rsidRPr="00F37F1E" w14:paraId="0B4088F6"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01F29C35" w14:textId="30660AA8" w:rsidR="0063703F" w:rsidRPr="00F37F1E" w:rsidRDefault="0063703F" w:rsidP="0063703F">
            <w:r w:rsidRPr="00F37F1E">
              <w:fldChar w:fldCharType="begin" w:fldLock="1"/>
            </w:r>
            <w:r w:rsidRPr="00F37F1E">
              <w:instrText>ADDIN CSL_CITATION {"citationItems":[{"id":"ITEM-1","itemData":{"DOI":"10.1016/j.ecoenv.2014.07.039","ISSN":"10902414","PMID":"25164202","abstract":"In aquatic ecosystems several stressors may act together and affect the life traits of organisms. Pesticide runoffs are usually associated with high inputs of organic matter and depletion of oxygen in aquatic systems. This study aimed at combining anthropogenic stress (chemicals) and natural stress (food availability) and evaluates their joint effect to the life traits of Daphnia magna. The neonicotinoid insecticide imidacloprid and the heavy metal nickel chloride were used and a 21. d chronic test was carried out to obtain reproduction and growth data. The conceptual model Independent action, usually used for assessing response patterns in chemical mixtures, was used for data interpretation. Results showed an increase in the reproduction and growth pattern of D. magna as food levels increased. Both chemicals significantly impaired the reproduction as well as the somatic growth of the organism while the same happened with food concentrations lower than 3×105cells/mL. It was also observed that food availability did not change the toxicity of imidacloprid and nickel chloride when food levels were higher than 3×105cells/mL. When combined with low food levels, imidacloprid showed a slight increase in toxicity, showing that daphnids become more sensitive with reduced food availability, however in a non-significant way. However, toxicity of nickel appeared to be independent of the food level. Both chemicals induced mortality to the organisms exposed in the absence of food only at the end of the test. © 2014 Elsevier Inc.","author":[{"dropping-particle":"","family":"Pavlaki","given":"Maria D.","non-dropping-particle":"","parse-names":false,"suffix":""},{"dropping-particle":"","family":"Ferreira","given":"Abel L.G.","non-dropping-particle":"","parse-names":false,"suffix":""},{"dropping-particle":"","family":"Soares","given":"Amadeu M.V.M.","non-dropping-particle":"","parse-names":false,"suffix":""},{"dropping-particle":"","family":"Loureiro","given":"Susana","non-dropping-particle":"","parse-names":false,"suffix":""}],"container-title":"Ecotoxicology and Environmental Safety","id":"ITEM-1","issued":{"date-parts":[["2014"]]},"note":"Reject. I can't make heads or tails of their table 1. EC50 food---- what is that? NS TT\n\nNeed to look at this in more detail. Not sure I fully am comprehending their methods/results here.","page":"48-55","publisher":"Elsevier","title":"Changes of chemical chronic toxicity to Daphnia magna under different food regimes","type":"article-journal","volume":"109"},"uris":["http://www.mendeley.com/documents/?uuid=fd0e4f7c-3ba7-4b00-8db6-c86261563bda"]}],"mendeley":{"formattedCitation":"(Pavlaki et al., 2014)","plainTextFormattedCitation":"(Pavlaki et al., 2014)","previouslyFormattedCitation":"(Pavlaki et al., 2014)"},"properties":{"noteIndex":0},"schema":"https://github.com/citation-style-language/schema/raw/master/csl-citation.json"}</w:instrText>
            </w:r>
            <w:r w:rsidRPr="00F37F1E">
              <w:fldChar w:fldCharType="separate"/>
            </w:r>
            <w:r w:rsidRPr="00F37F1E">
              <w:rPr>
                <w:b w:val="0"/>
                <w:noProof/>
              </w:rPr>
              <w:t>(Pavlaki et al., 2014)</w:t>
            </w:r>
            <w:r w:rsidRPr="00F37F1E">
              <w:fldChar w:fldCharType="end"/>
            </w:r>
          </w:p>
        </w:tc>
        <w:tc>
          <w:tcPr>
            <w:tcW w:w="602" w:type="pct"/>
          </w:tcPr>
          <w:p w14:paraId="535F3F6C" w14:textId="32A76117"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NS TT</w:t>
            </w:r>
          </w:p>
        </w:tc>
        <w:tc>
          <w:tcPr>
            <w:tcW w:w="2542" w:type="pct"/>
          </w:tcPr>
          <w:p w14:paraId="0810E57C" w14:textId="06FA50EA"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rPr>
                <w:i/>
                <w:iCs/>
              </w:rPr>
              <w:t>D. magna</w:t>
            </w:r>
            <w:r w:rsidRPr="00F37F1E">
              <w:t xml:space="preserve"> food manipulation experiment</w:t>
            </w:r>
          </w:p>
        </w:tc>
      </w:tr>
      <w:tr w:rsidR="0063703F" w:rsidRPr="00F37F1E" w14:paraId="522340DD"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7A0A19C1" w14:textId="35F39CE0" w:rsidR="0063703F" w:rsidRPr="00F37F1E" w:rsidRDefault="0063703F" w:rsidP="0063703F">
            <w:r>
              <w:fldChar w:fldCharType="begin" w:fldLock="1"/>
            </w:r>
            <w:r>
              <w:rPr>
                <w:b w:val="0"/>
                <w:bCs w:val="0"/>
              </w:rPr>
              <w:instrText>ADDIN CSL_CITATION {"citationItems":[{"id":"ITEM-1","itemData":{"DOI":"10.1016/j.chemosphere.2009.10.066","ISSN":"00456535","PMID":"20004000","abstract":"Risk assessment of toxic substances under ecologically-relevant scenarios which include the presence of natural stressors is essential to understand their indirect toxic effects and to improve prediction of the impacts of contamination on community structure and ecosystem function. Here, we study the effects of the pesticide imidacloprid on the responses of Daphnia magna to a combination of predator-release kairomones from trout and alarm cues from conspecifics, simulating different levels of perceived predation risk. The joint effects of simultaneous exposure to both types of stressors were assessed both by traditional analysis of variance and by employing conceptual models for the evaluation of contaminant mixture exposures. Results demonstrated that pesticide exposure can significantly increase the costs of inducible antipredator defences and impair life-history responses of daphnids to fish predation pressure. Since trait-mediated effects are well-known to play a key role in population dynamics, the combined direct and indirect effects of sub-lethal concentrations of pesticides could induce maladaptive responses in zooplankton populations in the field, reducing their long-term viability. © 2009 Elsevier Ltd.","author":[{"dropping-particle":"","family":"Pestana","given":"João L.T.","non-dropping-particle":"","parse-names":false,"suffix":""},{"dropping-particle":"","family":"Loureiro","given":"Susana","non-dropping-particle":"","parse-names":false,"suffix":""},{"dropping-particle":"","family":"Baird","given":"Donald J.","non-dropping-particle":"","parse-names":false,"suffix":""},{"dropping-particle":"","family":"Soares","given":"Amadeu M.V.M.","non-dropping-particle":"","parse-names":false,"suffix":""}],"container-title":"Chemosphere","id":"ITEM-1","issue":"3","issued":{"date-parts":[["2010"]]},"note":"Reject - honorable mention - is use of pesticide, not pure IMI. Pesticide brand and not pure product. Would expect results to be overly conservative.\n\nNeed to email author for information on:\n1. control results for acute lethality 48-hr experiment\n2. water quality data for acute lethality 48-hr experiment\n3. whether EC50 was using measured or nominal concentrations\n\nSent email on 11/1/2021\n\nEmail reply recieved on 11/2/2021:\n1. What were the control results for acute 48-hr experiment (in absence of a predator cue)? - I think i had 100% survival in the control treatments ( no pesticide) \n2.Was water quality data collected during the experiment (dissolved oxygen, pH, conductivity, etc.) and did they meet OECD 2000 guidelines? - Yes they met the OECD guidelines, I could not find the exact values yet  but oxygen was well above 6mg/L and pH was between 7.5-8.0 and the conductivity was around 500-650 uS/Cm ( ASTM hardwater) \n3.Was the EC50 calculated using measured or nominal concentrations? - Nominal concentrations","page":"241-248","title":"Pesticide exposure and inducible antipredator responses in the zooplankton grazer, Daphnia magna Straus","type":"article-journal","volume":"78"},"uris":["http://www.mendeley.com/documents/?uuid=e70cee38-6cdb-4693-bee7-5c3ddc3501a2"]}],"mendeley":{"formattedCitation":"(Pestana et al., 2010)","plainTextFormattedCitation":"(Pestana et al., 2010)","previouslyFormattedCitation":"(Pestana et al., 2010)"},"properties":{"noteIndex":0},"schema":"https://github.com/citation-style-language/schema/raw/master/csl-citation.json"}</w:instrText>
            </w:r>
            <w:r>
              <w:fldChar w:fldCharType="separate"/>
            </w:r>
            <w:r w:rsidRPr="008B21A0">
              <w:rPr>
                <w:b w:val="0"/>
                <w:bCs w:val="0"/>
                <w:noProof/>
              </w:rPr>
              <w:t>(Pestana et al., 2010)</w:t>
            </w:r>
            <w:r>
              <w:fldChar w:fldCharType="end"/>
            </w:r>
          </w:p>
        </w:tc>
        <w:tc>
          <w:tcPr>
            <w:tcW w:w="602" w:type="pct"/>
          </w:tcPr>
          <w:p w14:paraId="708AEDE8" w14:textId="1C65ADB3"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1CD5D398" w14:textId="44722D6F"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rPr>
                <w:i/>
                <w:iCs/>
              </w:rPr>
            </w:pPr>
            <w:r>
              <w:t>Test with formulation not technical grade</w:t>
            </w:r>
          </w:p>
        </w:tc>
      </w:tr>
      <w:tr w:rsidR="0063703F" w:rsidRPr="00F37F1E" w14:paraId="42B0DF18"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562F6885" w14:textId="3E41AD19" w:rsidR="0063703F" w:rsidRPr="00F37F1E" w:rsidRDefault="0063703F" w:rsidP="0063703F">
            <w:r>
              <w:fldChar w:fldCharType="begin" w:fldLock="1"/>
            </w:r>
            <w:r>
              <w:rPr>
                <w:b w:val="0"/>
                <w:bCs w:val="0"/>
              </w:rPr>
              <w:instrText>ADDIN CSL_CITATION {"citationItems":[{"id":"ITEM-1","itemData":{"DOI":"10.1016/j.aquatox.2009.04.008","ISSN":"0166445X","PMID":"19477535","abstract":"The influence of interactions between pesticide exposure and perceived predation risk on the lethal and sub-lethal responses of two aquatic insects was investigated using the pesticide imidacloprid, and a combination of predator-release kairomones from trout and alarm substances from conspecifics. Laboratory experiments examined feeding and respiration rates of the caddisfly Sericostoma vittatum as well as the growth, emergence and respiration rates of the midge Chironomus riparius, exposed to sub-lethal concentrations of imidacloprid. The effects of the two stressors on burrowing behaviour of both species were also assessed. The results show significant effects of environmentally relevant concentrations of imidacloprid on all endpoints studied. Perceived predation risk also elicited sub-lethal effects in C. riparius and S. vittatum, the latter species being less responsive to predation cues. The effects of simultaneous exposure to both types of stressors were assessed using two different approaches: analysis of variance and conceptual models [concentration addition (CA) and independent action (IA)] normally used for the evaluation of contaminant mixture exposure. Both statistical approaches showed no significant interactions on responses in simultaneous exposures in the majority of parameters assessed with only a signification deviation from the reference CA and IA models being found for C. riparius respiration data contrary to the ANOVA results. Exposure to imidacloprid also compromised antipredator behavioural responses of both insect species, with potential negative consequences in terms of mortality from predation in the field. The results obtained demonstrate that natural and anthropogenic stressors can be treated within the same framework providing compatible data for modelling. For an improved interpretation of ecological effects it will be important to expand the mechanistic study of effects of combined exposure to pesticides and perceived predation risk by measuring different endpoints over a wider range of pesticide concentrations. © 2009 Elsevier B.V.","author":[{"dropping-particle":"","family":"Pestana","given":"João L.T.","non-dropping-particle":"","parse-names":false,"suffix":""},{"dropping-particle":"","family":"Loureiro","given":"Susana","non-dropping-particle":"","parse-names":false,"suffix":""},{"dropping-particle":"","family":"Baird","given":"Donald J.","non-dropping-particle":"","parse-names":false,"suffix":""},{"dropping-particle":"","family":"Soares","given":"Amadeu M.V.M.","non-dropping-particle":"","parse-names":false,"suffix":""}],"container-title":"Aquatic Toxicology","id":"ITEM-1","issue":"2-3","issued":{"date-parts":[["2009"]]},"note":"Reject - honorable mention - is use of pesticide, not pure IMI. \n96-hr EC50 (survival/immobility) = 12.94 ug/L\n\nReject - non-resident species for S. vittatum caddisfly","page":"138-149","title":"Fear and loathing in the benthos: Responses of aquatic insect larvae to the pesticide imidacloprid in the presence of chemical signals of predation risk","type":"article-journal","volume":"93"},"uris":["http://www.mendeley.com/documents/?uuid=edabe709-bd86-4265-a2d1-ecd9f48390a6"]}],"mendeley":{"formattedCitation":"(Pestana et al., 2009)","plainTextFormattedCitation":"(Pestana et al., 2009)","previouslyFormattedCitation":"(Pestana et al., 2009)"},"properties":{"noteIndex":0},"schema":"https://github.com/citation-style-language/schema/raw/master/csl-citation.json"}</w:instrText>
            </w:r>
            <w:r>
              <w:fldChar w:fldCharType="separate"/>
            </w:r>
            <w:r w:rsidRPr="008B21A0">
              <w:rPr>
                <w:b w:val="0"/>
                <w:bCs w:val="0"/>
                <w:noProof/>
              </w:rPr>
              <w:t>(Pestana et al., 2009)</w:t>
            </w:r>
            <w:r>
              <w:fldChar w:fldCharType="end"/>
            </w:r>
          </w:p>
        </w:tc>
        <w:tc>
          <w:tcPr>
            <w:tcW w:w="602" w:type="pct"/>
          </w:tcPr>
          <w:p w14:paraId="73C997DF" w14:textId="641FB43E"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17D432E3" w14:textId="389D4EDC"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rPr>
                <w:i/>
                <w:iCs/>
              </w:rPr>
            </w:pPr>
            <w:r>
              <w:t>Test with formulation not technical grade</w:t>
            </w:r>
          </w:p>
        </w:tc>
      </w:tr>
      <w:tr w:rsidR="00BC7F91" w14:paraId="70BC98A2"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4B3CA942" w14:textId="77777777" w:rsidR="0063703F" w:rsidRPr="008B21A0" w:rsidRDefault="0063703F" w:rsidP="0063703F">
            <w:pPr>
              <w:rPr>
                <w:b w:val="0"/>
                <w:bCs w:val="0"/>
              </w:rPr>
            </w:pPr>
            <w:r>
              <w:fldChar w:fldCharType="begin" w:fldLock="1"/>
            </w:r>
            <w:r>
              <w:rPr>
                <w:b w:val="0"/>
                <w:bCs w:val="0"/>
              </w:rPr>
              <w:instrText>ADDIN CSL_CITATION {"citationItems":[{"id":"ITEM-1","itemData":{"DOI":"10.1016/j.envpol.2016.07.022","ISSN":"18736424","PMID":"27450416","abstract":"Neonicotinoid insecticides can be transported from agricultural fields, where they are used as foliar sprays or seed treatments, to surface waters by surface or sub-surface runoff. Few studies have investigated the toxicity of neonicotinoid or the related butenolide insecticides to freshwater mollusk species. The current study examined the effect of neonicotinoid and butenolide exposures to the early-life stages of the ramshorn snail, Planorbella pilsbryi, and the wavy-rayed lampmussel, Lampsilis fasciola. Juvenile P. pilsbryi were exposed to imidacloprid, clothianidin, or thiamethoxam for 7 or 28 d and mortality, growth, and biomass production were measured. The viability of larval (glochidia) L. fasciola was monitored during a 48 h exposure to six neonicotinoids (imidacloprid, thiamethoxam, clothianidin, acetamiprid, thiacloprid, or dinotefuran), or a butenolide (flupyradifurone). The 7-d LC50s of P. pilsbryi for imidacloprid, clothianidin, and thiamethoxam were ≥4000 μg/L and the 28-d LC50s were ≥182 μg/L. Growth and biomass production were considerably more sensitive endpoints than mortality with EC50s ranging from 33.2 to 122.0 μg/L. The 48-h LC50s for the viability of glochidia were ≥456 μg/L for all seven insecticides tested. Our data indicate that neonicotinoid and butenolide insecticides pose less of a hazard with respect to mortality of the two species of mollusk compared to the potential hazard to other non-target aquatic insects.","author":[{"dropping-particle":"","family":"Prosser","given":"R. S.","non-dropping-particle":"","parse-names":false,"suffix":""},{"dropping-particle":"","family":"Solla","given":"S. R.","non-dropping-particle":"de","parse-names":false,"suffix":""},{"dropping-particle":"","family":"Holman","given":"E. A.M.","non-dropping-particle":"","parse-names":false,"suffix":""},{"dropping-particle":"","family":"Osborne","given":"R.","non-dropping-particle":"","parse-names":false,"suffix":""},{"dropping-particle":"","family":"Robinson","given":"S. A.","non-dropping-particle":"","parse-names":false,"suffix":""},{"dropping-particle":"","family":"Bartlett","given":"A. J.","non-dropping-particle":"","parse-names":false,"suffix":""},{"dropping-particle":"","family":"Maisonneuve","given":"F. J.","non-dropping-particle":"","parse-names":false,"suffix":""},{"dropping-particle":"","family":"Gillis","given":"P. L.","non-dropping-particle":"","parse-names":false,"suffix":""}],"container-title":"Environmental Pollution","id":"ITEM-1","issue":"July","issued":{"date-parts":[["2016"]]},"note":"Accept - no reservations! Can only use chronic Planobella as listed below. See table 3 and pink highlights for follow-up.\n\nPlanorbella pilsbryi - native to US generally:\nhttps://www.itis.gov/servlet/SingleRpt/SingleRpt?search_topic=TSN&amp;amp;search_value=76667#null\n\nLampsilis fasciola - native to continental US\nhttps://www.itis.gov/servlet/SingleRpt/SingleRpt?search_topic=TSN&amp;amp;search_value=79992#null\n\nQuestion for Dennis in pink notes below","page":"428-435","publisher":"Elsevier Ltd","title":"Sensitivity of the early-life stages of freshwater mollusks to neonicotinoid and butenolide insecticides","type":"article-journal","volume":"218"},"uris":["http://www.mendeley.com/documents/?uuid=d74810a0-9b92-4627-a3cf-04b0249bc100"]}],"mendeley":{"formattedCitation":"(Prosser et al., 2016)","plainTextFormattedCitation":"(Prosser et al., 2016)","previouslyFormattedCitation":"(Prosser et al., 2016)"},"properties":{"noteIndex":0},"schema":"https://github.com/citation-style-language/schema/raw/master/csl-citation.json"}</w:instrText>
            </w:r>
            <w:r>
              <w:fldChar w:fldCharType="separate"/>
            </w:r>
            <w:r w:rsidRPr="008B21A0">
              <w:rPr>
                <w:b w:val="0"/>
                <w:bCs w:val="0"/>
                <w:noProof/>
              </w:rPr>
              <w:t>(Prosser et al., 2016)</w:t>
            </w:r>
            <w:r>
              <w:fldChar w:fldCharType="end"/>
            </w:r>
          </w:p>
        </w:tc>
        <w:tc>
          <w:tcPr>
            <w:tcW w:w="602" w:type="pct"/>
          </w:tcPr>
          <w:p w14:paraId="7136358C" w14:textId="2832F6B9" w:rsidR="0063703F" w:rsidRPr="008B21A0" w:rsidRDefault="0063703F" w:rsidP="0063703F">
            <w:pPr>
              <w:cnfStyle w:val="000000000000" w:firstRow="0" w:lastRow="0" w:firstColumn="0" w:lastColumn="0" w:oddVBand="0" w:evenVBand="0" w:oddHBand="0" w:evenHBand="0" w:firstRowFirstColumn="0" w:firstRowLastColumn="0" w:lastRowFirstColumn="0" w:lastRowLastColumn="0"/>
            </w:pPr>
            <w:r>
              <w:t>NO ACR</w:t>
            </w:r>
          </w:p>
        </w:tc>
        <w:tc>
          <w:tcPr>
            <w:tcW w:w="2542" w:type="pct"/>
          </w:tcPr>
          <w:p w14:paraId="47B11D44" w14:textId="04EAD24D" w:rsidR="0063703F" w:rsidRPr="008B21A0" w:rsidRDefault="0063703F" w:rsidP="0063703F">
            <w:pPr>
              <w:cnfStyle w:val="000000000000" w:firstRow="0" w:lastRow="0" w:firstColumn="0" w:lastColumn="0" w:oddVBand="0" w:evenVBand="0" w:oddHBand="0" w:evenHBand="0" w:firstRowFirstColumn="0" w:firstRowLastColumn="0" w:lastRowFirstColumn="0" w:lastRowLastColumn="0"/>
            </w:pPr>
            <w:r>
              <w:t>No acute comparison data – chronic data only</w:t>
            </w:r>
          </w:p>
        </w:tc>
      </w:tr>
      <w:tr w:rsidR="0063703F" w:rsidRPr="00F37F1E" w14:paraId="2A41D909"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08631E88" w14:textId="14DDC834" w:rsidR="0063703F" w:rsidRPr="00F37F1E" w:rsidRDefault="0063703F" w:rsidP="0063703F">
            <w:pPr>
              <w:rPr>
                <w:b w:val="0"/>
                <w:bCs w:val="0"/>
              </w:rPr>
            </w:pPr>
            <w:r w:rsidRPr="00F37F1E">
              <w:fldChar w:fldCharType="begin" w:fldLock="1"/>
            </w:r>
            <w:r>
              <w:rPr>
                <w:b w:val="0"/>
                <w:bCs w:val="0"/>
              </w:rPr>
              <w:instrText>ADDIN CSL_CITATION {"citationItems":[{"id":"ITEM-1","itemData":{"DOI":"10.1016/j.scitotenv.2018.05.259","ISSN":"18791026","PMID":"29929317","abstract":"Neonicotinoid insecticides used in agriculture can enter freshwater environments in pulses; that is, a short-term period of a higher concentration, followed by a period of a comparatively lower concentration. Non-target aquatic arthropods are exposed to these fluctuating concentrations of neonicotinoids. The present study investigated the potential latent effects of a single environmentally-relevant 24-h pulse of imidacloprid and thiamethoxam, in separate experiments, on the early life-stages of four aquatic arthropods (Hyalella azteca, Chironomus dilutus, Hexagenia spp., and Neocloeon triangulifer). At least three nominal pulse concentrations were tested for each neonicotinoid-species combination: 2.5, 5, and 10 μg L−1, which were based on environmental monitoring in Ontario, Canada. After exposure to the pulse, organisms were assessed for survival and immobilization. Surviving organisms were then moved into clean water for a chronic post-treatment period, where endpoints including survival, growth, reproduction or emergence, depending on the species, were evaluated. Immediately after the 24-h pulse, immobilization was seen in C. dilutus and N. triangulifer in the highest imidacloprid concentrations tested (8.8 and 8.9 μg L−1, respectively). After transfer to clean water, immobilized organisms recovered, and no latent toxicity was seen for any of the evaluated endpoints. H. azteca and Hexagenia spp. showed no effects immediately after the imidacloprid pulse, or after the chronic post-treatment period. No effects were seen in any species after the thiamethoxam pulse, or the post-treatment period. The present study shows that toxic effects due to short-term pulse exposures of ~9 μg L−1 imidacloprid can occur in sensitive insect species. However, organisms can recover when the stressor ceases, with no long-term effects on test organisms.","author":[{"dropping-particle":"","family":"Raby","given":"Melanie","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K.","non-dropping-particle":"","parse-names":false,"suffix":""}],"container-title":"Science of the Total Environment","id":"ITEM-1","issued":{"date-parts":[["2018"]]},"note":"provides no new data on toxicity endpoints that are usable. Does show low level pulses have limited effect on test organisms. \n\nNo usable data for caculating ALVs","page":"1543-1552","publisher":"Elsevier B.V.","title":"Chronic effects of an environmentally-relevant, short-term neonicotinoid insecticide pulse on four aquatic invertebrates","type":"article-journal","volume":"639"},"uris":["http://www.mendeley.com/documents/?uuid=3389923e-be29-4d64-8141-34c899a11f68"]}],"mendeley":{"formattedCitation":"(Raby et al., 2018d)","plainTextFormattedCitation":"(Raby et al., 2018d)","previouslyFormattedCitation":"(Raby et al., 2018d)"},"properties":{"noteIndex":0},"schema":"https://github.com/citation-style-language/schema/raw/master/csl-citation.json"}</w:instrText>
            </w:r>
            <w:r w:rsidRPr="00F37F1E">
              <w:fldChar w:fldCharType="separate"/>
            </w:r>
            <w:r w:rsidRPr="00EC08E2">
              <w:rPr>
                <w:b w:val="0"/>
                <w:bCs w:val="0"/>
                <w:noProof/>
              </w:rPr>
              <w:t>(Raby et al., 2018d)</w:t>
            </w:r>
            <w:r w:rsidRPr="00F37F1E">
              <w:fldChar w:fldCharType="end"/>
            </w:r>
          </w:p>
        </w:tc>
        <w:tc>
          <w:tcPr>
            <w:tcW w:w="602" w:type="pct"/>
          </w:tcPr>
          <w:p w14:paraId="5D96F38A" w14:textId="3CFE602C"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NO ORIG</w:t>
            </w:r>
          </w:p>
        </w:tc>
        <w:tc>
          <w:tcPr>
            <w:tcW w:w="2542" w:type="pct"/>
          </w:tcPr>
          <w:p w14:paraId="0309CE74" w14:textId="77777777"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p>
        </w:tc>
      </w:tr>
      <w:tr w:rsidR="0063703F" w:rsidRPr="00F37F1E" w14:paraId="3DBFEBE0"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3DE57736" w14:textId="4A406AA1"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{"citationItems":[{"id":"ITEM-1","itemData":{"DOI":"10.1016/j.aquatox.2018.09.004","ISSN":"18791514","PMID":"30245345","abstract":"Neonicotinoid insecticides are considered contaminants of concern due to their high toxicity potential to non-target terrestrial and aquatic organisms. In this study we evaluated the sensitivity of aquatic invertebrates to a single application of imidacloprid and an equimolar mixture of five neonicotinoids (imidacloprid, acetamiprid, thiacloprid, thiamethoxam, clothianidin) using mesocosms under Mediterranean conditions. Cyclopoida, Cloeon dipterum and Chironomini showed the highest sensitivity to neonicotinoids, with calculated NOECs below 0.2 μg/L. The sensitivity of these taxa was found to be higher than that reported in previous studies performed under less warm conditions, proving the high influence of temperature on neonicotinoid toxicity. The short-term responses of the zooplankton and the macroinvertebrate communities to similar imidacloprid and neonicotinoid mixture concentrations were very similar, suggesting that the concentration addition model can be used as a plausible hyphotesis to assess neonicotinoid mixture effects in aquatic ecosystems. Long-term mixture toxicity assessments, however, should consider the fate of the evaluated substances in the environment of concern. As part of this study, we also demonstrated that Species Sensitivity Distributions constructed with chronic laboratory toxicity data and calculated (multi-substance) Potentially Affected Fractions provide an accurate estimation to asssess the ecotoxicologial risks of imidacloprid and neonicotinoid mixtures to aquatic invertebrate species assemblages.","author":[{"dropping-particle":"","family":"Rico","given":"Andreu","non-dropping-particle":"","parse-names":false,"suffix":""},{"dropping-particle":"","family":"Arenas-Sánchez","given":"Alba","non-dropping-particle":"","parse-names":false,"suffix":""},{"dropping-particle":"","family":"Pasqualini","given":"Julia","non-dropping-particle":"","parse-names":false,"suffix":""},{"dropping-particle":"","family":"García-Astillero","given":"Ariadna","non-dropping-particle":"","parse-names":false,"suffix":""},{"dropping-particle":"","family":"Cherta","given":"Laura","non-dropping-particle":"","parse-names":false,"suffix":""},{"dropping-particle":"","family":"Nozal","given":"Leonor","non-dropping-particle":"","parse-names":false,"suffix":""},{"dropping-particle":"","family":"Vighi","given":"Marco","non-dropping-particle":"","parse-names":false,"suffix":""}],"container-title":"Aquatic Toxicology","id":"ITEM-1","issue":"September","issued":{"date-parts":[["2018"]]},"note":"Study also has data on acetamiprid, thiaclop, thiameth, clothian...\n\nThis is a mesocosm study. With very complicated analysis for joint toxicity of mixed compounds.","page":"130-143","publisher":"Elsevier","title":"Effects of imidacloprid and a neonicotinoid mixture on aquatic invertebrate communities under Mediterranean conditions","type":"article-journal","volume":"204"},"uris":["http://www.mendeley.com/documents/?uuid=0c9788af-ecae-4ef4-bba6-ce7712809795"]}],"mendeley":{"formattedCitation":"(Rico et al., 2018)","plainTextFormattedCitation":"(Rico et al., 2018)","previouslyFormattedCitation":"(Rico et al., 2018)"},"properties":{"noteIndex":0},"schema":"https://github.com/citation-style-language/schema/raw/master/csl-citation.json"}</w:instrText>
            </w:r>
            <w:r w:rsidRPr="00F37F1E">
              <w:fldChar w:fldCharType="separate"/>
            </w:r>
            <w:r w:rsidRPr="00F37F1E">
              <w:rPr>
                <w:b w:val="0"/>
                <w:bCs w:val="0"/>
                <w:noProof/>
              </w:rPr>
              <w:t>(Rico et al., 2018)</w:t>
            </w:r>
            <w:r w:rsidRPr="00F37F1E">
              <w:fldChar w:fldCharType="end"/>
            </w:r>
          </w:p>
        </w:tc>
        <w:tc>
          <w:tcPr>
            <w:tcW w:w="602" w:type="pct"/>
          </w:tcPr>
          <w:p w14:paraId="271B2424" w14:textId="642D365F"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NS TT</w:t>
            </w:r>
          </w:p>
        </w:tc>
        <w:tc>
          <w:tcPr>
            <w:tcW w:w="2542" w:type="pct"/>
          </w:tcPr>
          <w:p w14:paraId="57464488" w14:textId="1B74C208"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Mesocosm study</w:t>
            </w:r>
          </w:p>
        </w:tc>
      </w:tr>
      <w:tr w:rsidR="0063703F" w:rsidRPr="00F37F1E" w14:paraId="37D6E669"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02EC2EF7" w14:textId="0C410522"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{"citationItems":[{"id":"ITEM-1","itemData":{"DOI":"10.1016/j.chemosphere.2017.08.155","ISSN":"18791298","PMID":"28898778","abstract":"Imidacloprid (IMD), a neonicotinoid, is generally considered to be of low toxicity in vertebrates. However, the inhibition of acetylcholine (ACh) receptors can have a profound effect on both the immune and nervous system due to the anti-inflammatory effects of ACh. Vertebrates, such as amphibians, might be affected by IMD because they breed in wetlands where the concentration of IMD is high. In our study, we experimentally exposed Rana catesbeiana tadpoles to environmentally relevant IMD and then quantified the ACh and antibody to non-replicating antigens. We hypothesized that IMD exposure would result in higher AChE and antibody levels. We completed a factorial experiment in which tadpoles were divided into four groups, two of which were exposed to 100 ng/L of IMD. After five weeks, two groups were injected with the novel antigen keyhole limpet hemocyanin (KLH) and two injected with a control. Three weeks later, tadpoles were euthanized and blood samples collected. At 100 ng/L, IMD exposure did not cause a significant difference in AChE levels or KLH-specific IgY antibodies. However, tadpoles injected with KLH had slightly higher levels of AChE. In addition, we saw a trend in total IgM with higher levels in tadpoles exposed to IMD. While we found no effect of IMD at 100 ng/L on antibody response to a novel, non-replicating antigen nor on ACh production, further research is needed to determine if higher concentrations of IMD or parasite infection can influence development of R. catesbeiana.","author":[{"dropping-particle":"","family":"Rios","given":"Francesca M.","non-dropping-particle":"","parse-names":false,"suffix":""},{"dropping-particle":"","family":"Wilcoxen","given":"Travis E.","non-dropping-particle":"","parse-names":false,"suffix":""},{"dropping-particle":"","family":"Zimmerman","given":"Laura M.","non-dropping-particle":"","parse-names":false,"suffix":""}],"container-title":"Chemosphere","id":"ITEM-1","issued":{"date-parts":[["2017"]]},"note":"Reject. \n\nEndpoints not relevant. Not standardized test methods.","page":"465-469","publisher":"Elsevier Ltd","title":"Effects of imidacloprid on Rana catesbeiana immune and nervous system","type":"article-journal","volume":"188"},"uris":["http://www.mendeley.com/documents/?uuid=63ba48e6-12c1-4aa4-8661-b0d300b71f9e"]}],"mendeley":{"formattedCitation":"(Rios et al., 2017)","plainTextFormattedCitation":"(Rios et al., 2017)","previouslyFormattedCitation":"(Rios et al., 2017)"},"properties":{"noteIndex":0},"schema":"https://github.com/citation-style-language/schema/raw/master/csl-citation.json"}</w:instrText>
            </w:r>
            <w:r w:rsidRPr="00F37F1E">
              <w:fldChar w:fldCharType="separate"/>
            </w:r>
            <w:r w:rsidRPr="00F37F1E">
              <w:rPr>
                <w:b w:val="0"/>
                <w:bCs w:val="0"/>
                <w:noProof/>
              </w:rPr>
              <w:t>(Rios et al., 2017)</w:t>
            </w:r>
            <w:r w:rsidRPr="00F37F1E">
              <w:fldChar w:fldCharType="end"/>
            </w:r>
          </w:p>
        </w:tc>
        <w:tc>
          <w:tcPr>
            <w:tcW w:w="602" w:type="pct"/>
          </w:tcPr>
          <w:p w14:paraId="39D269D6" w14:textId="0DAA0A29"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NS TT</w:t>
            </w:r>
          </w:p>
        </w:tc>
        <w:tc>
          <w:tcPr>
            <w:tcW w:w="2542" w:type="pct"/>
          </w:tcPr>
          <w:p w14:paraId="583301BF" w14:textId="01B69A8A"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Endpoint immune response testing</w:t>
            </w:r>
          </w:p>
        </w:tc>
      </w:tr>
      <w:tr w:rsidR="0063703F" w:rsidRPr="00F37F1E" w14:paraId="2711C402"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325FA5F7" w14:textId="31A0BA39" w:rsidR="0063703F" w:rsidRPr="00F37F1E" w:rsidRDefault="0063703F" w:rsidP="0063703F">
            <w:r>
              <w:fldChar w:fldCharType="begin" w:fldLock="1"/>
            </w:r>
            <w:r>
              <w:rPr>
                <w:b w:val="0"/>
                <w:bCs w:val="0"/>
              </w:rPr>
              <w:instrText>ADDIN CSL_CITATION {"citationItems":[{"id":"ITEM-1","itemData":{"DOI":"10.1002/etc.2201","ISSN":"07307268","PMID":"23444274","abstract":"The present study evaluated the acute and chronic toxicity of imidacloprid to a range of freshwater arthropods. Mayfly and caddisfly species were most sensitive to short-term imidacloprid exposures (10 tests), whereas the mayflies showed by far the most sensitive response to long-term exposure of all seven arthropod species tested (28-d EC10 values of approximately 0.03μg/L). The results indicated a high aquatic risk of chronic exposure of imidacloprid to mayflies. © 2013 SETAC.","author":[{"dropping-particle":"","family":"Roessink","given":"Ivo","non-dropping-particle":"","parse-names":false,"suffix":""},{"dropping-particle":"","family":"Merga","given":"Lemessa B.","non-dropping-particle":"","parse-names":false,"suffix":""},{"dropping-particle":"","family":"Zweers","given":"Hans J.","non-dropping-particle":"","parse-names":false,"suffix":""},{"dropping-particle":"","family":"Brink","given":"Paul J.","non-dropping-particle":"Van den","parse-names":false,"suffix":""}],"container-title":"Environmental Toxicology and Chemistry","id":"ITEM-1","issue":"5","issued":{"date-parts":[["2013"]]},"note":"Reject - honorable mention - is use of pesticide, not pure IMI. \n\nCan use data for three species listed in Table 3 96-hr EC50 (mortality + immobilization)\nNotonecta spp. 18.2 ug/L\nLimnephilidae 1.79 ug/L\nCloeon dipterum 1.02 ug/L\n\n28-day chronic EC50 (mortality and immobilization) see table 4\nCloeon dipterum 0.123 ug/L\n\nACR is 336 for Cloeon dipterum","page":"1096-1100","title":"The neonicotinoid imidacloprid shows high chronic toxicity to mayfly nymphs","type":"article-journal","volume":"32"},"uris":["http://www.mendeley.com/documents/?uuid=2f5639c5-f26e-4957-9d94-269136cef002"]}],"mendeley":{"formattedCitation":"(Roessink et al., 2013)","plainTextFormattedCitation":"(Roessink et al., 2013)","previouslyFormattedCitation":"(Roessink et al., 2013)"},"properties":{"noteIndex":0},"schema":"https://github.com/citation-style-language/schema/raw/master/csl-citation.json"}</w:instrText>
            </w:r>
            <w:r>
              <w:fldChar w:fldCharType="separate"/>
            </w:r>
            <w:r w:rsidRPr="007A0C04">
              <w:rPr>
                <w:b w:val="0"/>
                <w:bCs w:val="0"/>
                <w:noProof/>
              </w:rPr>
              <w:t>(Roessink et al., 2013)</w:t>
            </w:r>
            <w:r>
              <w:fldChar w:fldCharType="end"/>
            </w:r>
          </w:p>
        </w:tc>
        <w:tc>
          <w:tcPr>
            <w:tcW w:w="602" w:type="pct"/>
          </w:tcPr>
          <w:p w14:paraId="1A6ED0F8" w14:textId="02354EC3"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28538493" w14:textId="3CB8BD55"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t>Test with formulation not technical grade</w:t>
            </w:r>
          </w:p>
        </w:tc>
      </w:tr>
      <w:tr w:rsidR="0063703F" w:rsidRPr="00F37F1E" w14:paraId="59F70076"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13B883AD" w14:textId="6D42A1BA"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{"citationItems":[{"id":"ITEM-1","itemData":{"DOI":"10.1016/j.chemosphere.2020.129418","ISSN":"18791298","PMID":"33423002","abstract":"Extensive use of neonicotinoids and fipronil, which are popular systemic insecticides used in Japanese rice paddies, has raised concerns about their impacts on nontarget aquatic organisms such as amphibians. This study employed premetamorphic tadpoles of Silurana tropicalis and addressed the toxicity of four neonicotinoids (acetamiprid, clothianidin, dinotefuran, and imidacloprid) and fipronil. Acute toxicity tests were conducted under a 96-h semistatic exposure regime and median lethal concentration (LC50) values were calculated at 24-h intervals. All LC50 values of the four neonicotinoids exceeded 100 mg/L, suggesting their low acute toxicity to amphibians. Fipronil yielded much lower LC50 values (3.00–1.34 mg/L) and was highly toxic compared to the four neonicotinoids. Additionally, exposure to fipronil at &gt;1 mg/L induced axial malformations, suggesting its teratogenicity. However, the LC50 values of fipronil were three orders of magnitude higher than the realistic concentrations in paddy water. Chronic toxicity tests were conducted with morphometric, gravimetric, and thyroid-histological endpoints. Premetamorphic tadpoles were exposed to each insecticide at two test concentrations: 0.1 and 1.0 mg/L for the four neonicotinoids; and 1/100 and 1/10 of the 96-h LC50 value for fipronil. Exposure to each insecticide continued until all tadpoles in the control reached late prometamorphic stages or the initial stage of metamorphic climax. At test termination, all insecticides showed no significant differences in any of the endpoints between the respective controls and chemical exposure groups. Overall, our results suggest that these insecticides alone do not directly affect amphibians through their larval stages at concentrations that likely occur in paddy water.","author":[{"dropping-particle":"","family":"Saka","given":"Masahiro","non-dropping-particle":"","parse-names":false,"suffix":""},{"dropping-particle":"","family":"Tada","given":"Noriko","non-dropping-particle":"","parse-names":false,"suffix":""}],"container-title":"Chemosphere","id":"ITEM-1","issued":{"date-parts":[["2021"]]},"note":"This is not a resident species - cannot use paper\n\nLC50's &amp;gt; 100 mg/L","page":"129418","publisher":"Elsevier Ltd","title":"Acute and chronic toxicity tests of systemic insecticides, four neonicotinoids and fipronil, using the tadpoles of the western clawed frog Silurana tropicalis","type":"article-journal","volume":"270"},"uris":["http://www.mendeley.com/documents/?uuid=e1547ad8-695b-428b-9d5a-23c7f38ad304"]}],"mendeley":{"formattedCitation":"(Saka and Tada, 2021)","plainTextFormattedCitation":"(Saka and Tada, 2021)","previouslyFormattedCitation":"(Saka and Tada, 2021)"},"properties":{"noteIndex":0},"schema":"https://github.com/citation-style-language/schema/raw/master/csl-citation.json"}</w:instrText>
            </w:r>
            <w:r w:rsidRPr="00F37F1E">
              <w:fldChar w:fldCharType="separate"/>
            </w:r>
            <w:r w:rsidRPr="00F37F1E">
              <w:rPr>
                <w:b w:val="0"/>
                <w:bCs w:val="0"/>
                <w:noProof/>
              </w:rPr>
              <w:t>(Saka and Tada, 2021)</w:t>
            </w:r>
            <w:r w:rsidRPr="00F37F1E">
              <w:fldChar w:fldCharType="end"/>
            </w:r>
          </w:p>
        </w:tc>
        <w:tc>
          <w:tcPr>
            <w:tcW w:w="602" w:type="pct"/>
          </w:tcPr>
          <w:p w14:paraId="28A05273" w14:textId="7A4AB1BC"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R57 NC</w:t>
            </w:r>
          </w:p>
        </w:tc>
        <w:tc>
          <w:tcPr>
            <w:tcW w:w="2542" w:type="pct"/>
          </w:tcPr>
          <w:p w14:paraId="2987CE03" w14:textId="23558D51"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proofErr w:type="spellStart"/>
            <w:r w:rsidRPr="00F37F1E">
              <w:rPr>
                <w:i/>
                <w:iCs/>
              </w:rPr>
              <w:t>Silurana</w:t>
            </w:r>
            <w:proofErr w:type="spellEnd"/>
            <w:r w:rsidRPr="00F37F1E">
              <w:rPr>
                <w:i/>
                <w:iCs/>
              </w:rPr>
              <w:t xml:space="preserve"> tropicalis</w:t>
            </w:r>
            <w:r w:rsidRPr="00F37F1E">
              <w:t xml:space="preserve"> not a resident species</w:t>
            </w:r>
          </w:p>
        </w:tc>
      </w:tr>
      <w:tr w:rsidR="0063703F" w:rsidRPr="00F37F1E" w14:paraId="1346A57E"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07597DC4" w14:textId="4B167574" w:rsidR="0063703F" w:rsidRPr="00F37F1E" w:rsidRDefault="0063703F" w:rsidP="0063703F">
            <w:r w:rsidRPr="00F37F1E">
              <w:fldChar w:fldCharType="begin" w:fldLock="1"/>
            </w:r>
            <w:r>
              <w:instrText>ADDIN CSL_CITATION {"citationItems":[{"id":"ITEM-1","itemData":{"DOI":"10.1016/j.aquatox.2006.03.009","ISSN":"0166445X","PMID":"16690142","abstract":"The acute toxicity of imidacloprid, a neonicotinoid insecticide, and zinc pyrithione (Zpt), a biocide used in anti-dandruff shampoos and protective antifouling paints, to three species of ostracods and two waterfleas, including Daphnia magna, was determined and compared under light and dark conditions. Under normal laboratory conditions, UV light had no significant influence on the outcome of toxicity bioassays, although in the case of imidacloprid both EC50 and LC50 calculated values were twice as high under the light as in the dark. No influence of UV light was observed on bioassays conducted with Zpt, in spite of the fast aqueous photolysis exhibited by this compound. Imidacloprid 48-h LC50 for cladocerans (65-133 mg/L) were two orders of magnitude higher than for ostracods (301-715 μg/L); values of EC50 for cladocerans and ostracods were 2-6 mg/L and 3-16 μg/L, respectively. Toxicity of Zpt to both ostracod and cladoceran species appears to be similar, with 48-h LC50 in the range 137-524 and 75-197 μg/L for ostracods and cladocerans, respectively, and similar values for EC50s. The mortality endpoint (LC50), however, is not a reliable predictor of the effects of imidacloprid under field situations (e.g. rice paddies), because the paralysis effect induced by this insecticide takes place at much lower concentrations than those required to cause the death of the animals: regardless of the taxa, differences as large as 100- or 600-fold were observed between the EC50 and LC50 for the same exposures. As a consequence, immobilization tests and EC50 values are recommended for this class of compounds, while caution should be exercised in environmental risk assessments of this and possibly other related neonicotinoid insecticides with similar activity. © 2006 Elsevier B.V. All rights reserved.","author":[{"dropping-particle":"","family":"Sánchez-Bayo","given":"Francisco","non-dropping-particle":"","parse-names":false,"suffix":""},{"dropping-particle":"","family":"Goka","given":"Kouichi","non-dropping-particle":"","parse-names":false,"suffix":""}],"container-title":"Aquatic Toxicology","id":"ITEM-1","issue":"3","issued":{"date-parts":[["2006"]]},"note":"Reject - Daphnid older than 24 months\n\n48-hr ostracod data\nCypridopsis vidua has EC50 = 3 ug/L !!\nChydorus sphaericus is 832 ug/L - control morality &amp;gt;10% Don't use.\n\nNot sure if I can use ostracod endpoint since it was not a 96-hr acute test.","page":"262-271","title":"Influence of light in acute toxicity bioassays of imidacloprid and zinc pyrithione to zooplankton crustaceans","type":"article-journal","volume":"78"},"uris":["http://www.mendeley.com/documents/?uuid=2d46c0f8-0462-4e4f-93ee-763dfb2a86aa"]}],"mendeley":{"formattedCitation":"(Sánchez-Bayo and Goka, 2006)","plainTextFormattedCitation":"(Sánchez-Bayo and Goka, 2006)","previouslyFormattedCitation":"(Sánchez-Bayo and Goka, 2006)"},"properties":{"noteIndex":0},"schema":"https://github.com/citation-style-language/schema/raw/master/csl-citation.json"}</w:instrText>
            </w:r>
            <w:r w:rsidRPr="00F37F1E">
              <w:fldChar w:fldCharType="separate"/>
            </w:r>
            <w:r w:rsidRPr="00F37F1E">
              <w:rPr>
                <w:b w:val="0"/>
                <w:noProof/>
              </w:rPr>
              <w:t>(Sánchez-Bayo and Goka, 2006)</w:t>
            </w:r>
            <w:r w:rsidRPr="00F37F1E">
              <w:fldChar w:fldCharType="end"/>
            </w:r>
          </w:p>
        </w:tc>
        <w:tc>
          <w:tcPr>
            <w:tcW w:w="602" w:type="pct"/>
          </w:tcPr>
          <w:p w14:paraId="0F3A76E3" w14:textId="5B9EA269"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R57 NC</w:t>
            </w:r>
          </w:p>
        </w:tc>
        <w:tc>
          <w:tcPr>
            <w:tcW w:w="2542" w:type="pct"/>
          </w:tcPr>
          <w:p w14:paraId="50EF9C29" w14:textId="2464DAE9"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Daphnid ≥ 24 hours old</w:t>
            </w:r>
          </w:p>
        </w:tc>
      </w:tr>
      <w:tr w:rsidR="0063703F" w:rsidRPr="00F37F1E" w14:paraId="3A6526B7"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6DE6B206" w14:textId="1779D4E0" w:rsidR="0063703F" w:rsidRPr="00F37F1E" w:rsidRDefault="0063703F" w:rsidP="0063703F">
            <w:r w:rsidRPr="00F37F1E">
              <w:fldChar w:fldCharType="begin" w:fldLock="1"/>
            </w:r>
            <w:r w:rsidRPr="00F37F1E">
              <w:instrText>ADDIN CSL_CITATION {"citationItems":[{"id":"ITEM-1","itemData":{"DOI":"10.1016/j.scitotenv.2019.134604","ISSN":"18791026","PMID":"31818558","abstract":"Microplastics (MP) are contaminants of emerging concern in aquatic ecosystems. While the number of studies is rapidly increasing, a comparison of the toxicity of MP and natural particulate matter is largely missing. In addition, research focusses on the impacts of hydrophobic chemicals sorbed to plastics. However, the interactive effects of MP and hydrophilic, dissolved chemicals remain largely unknown. Therefore, we conducted chronic toxicity studies with larvae of the freshwater dipteran Chironomus riparius exposed to unplasticised polyvinyl chloride MP (PVC-MP) as well as kaolin and diatomite as reference materials for 28 days. In addition, we investigated the effects of particles in combination with the neonicotinoid imidacloprid in a multiple-stressor experiment. High concentrations of kaolin positively affected the chironomids. In contrast, exposure to diatomite and PVC-MP reduced the emergence and mass of C. riparius. Likewise, the toxicity of imidacloprid was enhanced in the presence of PVC-MP and slightly decreased in the co-exposure with kaolin. Overall, parallel experiments and chemical analysis indicate that the toxicity of PVC-MP was not caused by leached or sorbed chemicals. Our study demonstrates that PVC-MP induce more severe effects than both natural particulate materials. However, the latter are not benign per se, as the case of diatomite highlights. Considering the high, environmentally irrelevant concentrations needed to induce adverse effects, C. riparius is insensitive to exposures to PVC-MP.","author":[{"dropping-particle":"","family":"Scherer","given":"Christian","non-dropping-particle":"","parse-names":false,"suffix":""},{"dropping-particle":"","family":"Wolf","given":"Raoul","non-dropping-particle":"","parse-names":false,"suffix":""},{"dropping-particle":"","family":"Völker","given":"Johannes","non-dropping-particle":"","parse-names":false,"suffix":""},{"dropping-particle":"","family":"Stock","given":"Friederike","non-dropping-particle":"","parse-names":false,"suffix":""},{"dropping-particle":"","family":"Brennhold","given":"Nicole","non-dropping-particle":"","parse-names":false,"suffix":""},{"dropping-particle":"","family":"Reifferscheid","given":"Georg","non-dropping-particle":"","parse-names":false,"suffix":""},{"dropping-particle":"","family":"Wagner","given":"Martin","non-dropping-particle":"","parse-names":false,"suffix":""}],"container-title":"Science of the Total Environment","id":"ITEM-1","issued":{"date-parts":[["2020"]]},"note":"Reject. This is a multiple stressor experiment.","title":"Toxicity of microplastics and natural particles in the freshwater dipteran Chironomus riparius: Same same but different?","type":"article-journal","volume":"711"},"uris":["http://www.mendeley.com/documents/?uuid=f7faeeb3-d25b-4e65-a55c-7b109dde0035"]}],"mendeley":{"formattedCitation":"(Scherer et al., 2020)","plainTextFormattedCitation":"(Scherer et al., 2020)","previouslyFormattedCitation":"(Scherer et al., 2020)"},"properties":{"noteIndex":0},"schema":"https://github.com/citation-style-language/schema/raw/master/csl-citation.json"}</w:instrText>
            </w:r>
            <w:r w:rsidRPr="00F37F1E">
              <w:fldChar w:fldCharType="separate"/>
            </w:r>
            <w:r w:rsidRPr="00F37F1E">
              <w:rPr>
                <w:b w:val="0"/>
                <w:noProof/>
              </w:rPr>
              <w:t>(Scherer et al., 2020)</w:t>
            </w:r>
            <w:r w:rsidRPr="00F37F1E">
              <w:fldChar w:fldCharType="end"/>
            </w:r>
          </w:p>
        </w:tc>
        <w:tc>
          <w:tcPr>
            <w:tcW w:w="602" w:type="pct"/>
          </w:tcPr>
          <w:p w14:paraId="46489541" w14:textId="507A1698"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MIXTURE</w:t>
            </w:r>
          </w:p>
        </w:tc>
        <w:tc>
          <w:tcPr>
            <w:tcW w:w="2542" w:type="pct"/>
          </w:tcPr>
          <w:p w14:paraId="6992A8DD" w14:textId="5868E7C3"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Multiple stressor: imidacloprid + microplastics</w:t>
            </w:r>
          </w:p>
        </w:tc>
      </w:tr>
      <w:tr w:rsidR="0063703F" w:rsidRPr="00F37F1E" w14:paraId="550BA6E7"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44345B07" w14:textId="3A32947E"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{"citationItems":[{"id":"ITEM-1","itemData":{"DOI":"10.17582/journal.pjz/2018.50.1.299.309","ISSN":"00309923","abstract":"Southern house mosquito, Culex pipiens (Diptera: Culicidae), is most common agent for transferring a mass of pathogens i.e., West Nile Virus (WNV), avian pox virus (APV) etc. in rural and urban areas. To mitigate these problems study was conducted by using binary mixtures of entomopathogenic fungi, Beauveria bassiana (isolates Bb-01, Bb-10), Metarhizium anisopliae var. anisopliae (isolate Ma-11.1, Ma-2.4) and Isaria fumosorosea (isolates If-2.3, If-02) and chemical insecticides i.e., bifenthrin, lambda cyhalothrin, imidacloprid, triazophos, spinosad, pyriproxyfen and nitrinpyrum, as larvicides against C. pipiens. Highest larval percent mortality (73.3 ± 4.7) was observed after application of Ma-11.1(LC40) + nitenpyram (LC40) mixtures under laboratory and field conditions (71.5 ± 7.4). The results showed a significant effect of binary treatments of fungi and chemical insecticides on biological parameters of C. pipiens and its progeny (P&lt;0.05). The insect pathogenic fungi showed compatibility with insecticides and the combined application can improve the management program of C. pipiens.","author":[{"dropping-particle":"","family":"Shoukat","given":"Rana Fartab","non-dropping-particle":"","parse-names":false,"suffix":""},{"dropping-particle":"","family":"Freed","given":"Shoaib","non-dropping-particle":"","parse-names":false,"suffix":""},{"dropping-particle":"","family":"Ahmad","given":"Kanwar Waqas","non-dropping-particle":"","parse-names":false,"suffix":""},{"dropping-particle":"","family":"Ateeq-Ur-Rehman","given":"","non-dropping-particle":"","parse-names":false,"suffix":""}],"container-title":"Pakistan Journal of Zoology","id":"ITEM-1","issue":"1","issued":{"date-parts":[["2018"]]},"note":"REJECT. \n\nThis is a binary tox misxture. Used pesticide product not pure IMI chemical.","page":"299-309","title":"Assessment of binary mixtures of entomopathogenic fungi and chemical insecticides on biological parameters of culex pipiens (diptera: Culicidae) under laboratory and field conditions","type":"article-journal","volume":"50"},"uris":["http://www.mendeley.com/documents/?uuid=12b471eb-1019-493e-9dea-ddea5d1b27a6"]}],"mendeley":{"formattedCitation":"(Shoukat et al., 2018)","plainTextFormattedCitation":"(Shoukat et al., 2018)","previouslyFormattedCitation":"(Shoukat et al., 2018)"},"properties":{"noteIndex":0},"schema":"https://github.com/citation-style-language/schema/raw/master/csl-citation.json"}</w:instrText>
            </w:r>
            <w:r w:rsidRPr="00F37F1E">
              <w:fldChar w:fldCharType="separate"/>
            </w:r>
            <w:r w:rsidRPr="00F37F1E">
              <w:rPr>
                <w:b w:val="0"/>
                <w:bCs w:val="0"/>
                <w:noProof/>
              </w:rPr>
              <w:t>(Shoukat et al., 2018)</w:t>
            </w:r>
            <w:r w:rsidRPr="00F37F1E">
              <w:fldChar w:fldCharType="end"/>
            </w:r>
          </w:p>
        </w:tc>
        <w:tc>
          <w:tcPr>
            <w:tcW w:w="602" w:type="pct"/>
          </w:tcPr>
          <w:p w14:paraId="2794FD8D" w14:textId="1B947D69"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MIXTURE</w:t>
            </w:r>
          </w:p>
        </w:tc>
        <w:tc>
          <w:tcPr>
            <w:tcW w:w="2542" w:type="pct"/>
          </w:tcPr>
          <w:p w14:paraId="19CFD42E" w14:textId="1AFD1B72"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 xml:space="preserve">Bayer </w:t>
            </w:r>
            <w:proofErr w:type="spellStart"/>
            <w:r w:rsidRPr="00F37F1E">
              <w:t>Confidor</w:t>
            </w:r>
            <w:proofErr w:type="spellEnd"/>
            <w:r w:rsidRPr="00F37F1E">
              <w:t xml:space="preserve"> – active % imidacloprid not stated</w:t>
            </w:r>
          </w:p>
        </w:tc>
      </w:tr>
      <w:tr w:rsidR="0063703F" w:rsidRPr="00F37F1E" w14:paraId="6D6B2B7F"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23087341" w14:textId="44BED721" w:rsidR="0063703F" w:rsidRPr="00F37F1E" w:rsidRDefault="0063703F" w:rsidP="0063703F">
            <w:r w:rsidRPr="00F37F1E">
              <w:fldChar w:fldCharType="begin" w:fldLock="1"/>
            </w:r>
            <w:r w:rsidRPr="00F37F1E">
              <w:instrText>ADDIN CSL_CITATION {"citationItems":[{"id":"ITEM-1","itemData":{"DOI":"10.1080/10807039.2014.964071","ISSN":"15497860","abstract":"ABSTRACT: The neonicotinoid insecticide imidacloprid is among the pesticides that most frequently exceed current water quality standards in Dutch surface waters. Recent research shows that effects of imidacloprid on water organisms occur at concentrations below these standards. Mayflies appear to be particularly sensitive with chronic No Observed Effect Concentrations in the nanogram per liter range. The aim of this study was to derive updated water quality standards in accordance with the methodology of the European Water Framework Directive by evaluating the available recent literature on acute and chronic ecotoxicity of imidacloprid to aquatic organisms in laboratory and semi-field experiments. It is concluded that the standard for long-term exposure should be lowered to 8.3 nanograms per liter; the standard for short-term concentration peaks can be maintained at the current value of 0.2 micrograms per liter. The European Commission set restrictions to the use of imidacloprid-based products to reduce the risks for bees and the Dutch national authorities issued emission reduction measures to protect aquatic life. Future monitoring data will ultimately reveal if these measures are sufficient to meet the newly proposed standards.","author":[{"dropping-particle":"","family":"Smit","given":"C. E.","non-dropping-particle":"","parse-names":false,"suffix":""},{"dropping-particle":"","family":"Posthuma-Doodeman","given":"C. J.A.M.","non-dropping-particle":"","parse-names":false,"suffix":""},{"dropping-particle":"","family":"Vlaardingen","given":"P. L.A.","non-dropping-particle":"van","parse-names":false,"suffix":""},{"dropping-particle":"","family":"Jong","given":"F. M.W.","non-dropping-particle":"de","parse-names":false,"suffix":""}],"container-title":"Human and Ecological Risk Assessment","id":"ITEM-1","issue":"6","issued":{"date-parts":[["2015"]]},"note":"REVIEW ARTICLE\n\nGood paper to compare notes with once my literature review is done. No original test data included.","page":"1608-1630","title":"Ecotoxicity of Imidacloprid to Aquatic Organisms: Derivation of Water Quality Standards for Peak and Long-Term Exposure","type":"article-journal","volume":"21"},"uris":["http://www.mendeley.com/documents/?uuid=c27f6d7a-20c7-43d7-a2e5-b06a74097dd6"]}],"mendeley":{"formattedCitation":"(Smit et al., 2015)","plainTextFormattedCitation":"(Smit et al., 2015)","previouslyFormattedCitation":"(Smit et al., 2015)"},"properties":{"noteIndex":0},"schema":"https://github.com/citation-style-language/schema/raw/master/csl-citation.json"}</w:instrText>
            </w:r>
            <w:r w:rsidRPr="00F37F1E">
              <w:fldChar w:fldCharType="separate"/>
            </w:r>
            <w:r w:rsidRPr="00F37F1E">
              <w:rPr>
                <w:b w:val="0"/>
                <w:noProof/>
              </w:rPr>
              <w:t>(Smit et al., 2015)</w:t>
            </w:r>
            <w:r w:rsidRPr="00F37F1E">
              <w:fldChar w:fldCharType="end"/>
            </w:r>
          </w:p>
        </w:tc>
        <w:tc>
          <w:tcPr>
            <w:tcW w:w="602" w:type="pct"/>
          </w:tcPr>
          <w:p w14:paraId="163A41FC" w14:textId="74B1D98E"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NO ORIG</w:t>
            </w:r>
          </w:p>
        </w:tc>
        <w:tc>
          <w:tcPr>
            <w:tcW w:w="2542" w:type="pct"/>
          </w:tcPr>
          <w:p w14:paraId="54020AF5" w14:textId="3DF9F8DB"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Review article</w:t>
            </w:r>
          </w:p>
        </w:tc>
      </w:tr>
      <w:tr w:rsidR="0063703F" w:rsidRPr="00F37F1E" w14:paraId="66B6BD12"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17C31669" w14:textId="4DC812D3" w:rsidR="0063703F" w:rsidRPr="00F37F1E" w:rsidRDefault="0063703F" w:rsidP="0063703F">
            <w:r w:rsidRPr="00F37F1E">
              <w:fldChar w:fldCharType="begin" w:fldLock="1"/>
            </w:r>
            <w:r w:rsidRPr="00F37F1E">
              <w:instrText>ADDIN CSL_CITATION {"citationItems":[{"id":"ITEM-1","itemData":{"DOI":"10.1002/etc.5620161209","ISSN":"07307268","abstract":"The tolerance of four aquatic organisms to four chemicals (aldicarb, dimethoate, imidacloprid, and tebufenozide) was determined using 48-h acute toxicity tests at 27°C. Species included two saline (Artemis sp. and Aedes taeniorhynchus (Wiedemann)) and two freshwater (Daphnia magna Straus and Aedes aegypti (L.)) organisms. Temperature was also evaluated as a toxicity modifying factor for the freshwater species. Two selective insecticides (imidacloprid and tebufenozide) were compared with two broad-spectrum insecticides, aldicarb and dimethoate. In general, A. taeniorhynchus was the most susceptible, and Artemis sp. was the most tolerant to insecticides used under our experimental conditions. Both aldicarb and dimethoate caused neurotoxicity in all organisms tested. Mortality associated with molting suggested that tebufenozide affected the molting process of all organisms, causing the formation of an incompletely sclerotized head capsule and the failure of ecdysis in the mosquito species. These responses resulted in lethal larval molts. Imidacloprid, on the other hand, caused delayed symptoms of general nerve poisoning compared with the two acetylcholine esterase inhibitors. Our results suggest that both tebufenozide and imidacloprid would be selective insecticides that can be used with reasonable environmental safety toward nontarget aquatic crustaceans. There was a greater correlation of susceptibility to test chemicals within taxonomically close organisms than between organisms that share habitats.","author":[{"dropping-particle":"","family":"Song","given":"Mee Young","non-dropping-particle":"","parse-names":false,"suffix":""},{"dropping-particle":"","family":"Stark","given":"John D.","non-dropping-particle":"","parse-names":false,"suffix":""},{"dropping-particle":"","family":"Brown","given":"John J.","non-dropping-particle":"","parse-names":false,"suffix":""}],"container-title":"Environmental Toxicology and Chemistry","id":"ITEM-1","issue":"12","issued":{"date-parts":[["1997"]]},"note":"REJECT - daphnia were fed in this study; method temperature was 27 deg C - which is quite high\n\nDaphnia were fed in this study (acute). Not sure if that is allowed\n\nCan only potentially use daphnid data as mosquito is non resident and other two are saltwater species. \n\nIf we are lacking resident mosquito data at the end of my lit review, however, this might be worth revisiting...","page":"2494-2500","title":"Comparative toxicity of four insecticides, including imidacloprid and tebufenozide, to four aquatic arthropods","type":"article-journal","volume":"16"},"uris":["http://www.mendeley.com/documents/?uuid=4f13f5c8-b1fe-4f04-9f76-f35fce0aa07a"]}],"mendeley":{"formattedCitation":"(Song et al., 1997)","plainTextFormattedCitation":"(Song et al., 1997)","previouslyFormattedCitation":"(Song et al., 1997)"},"properties":{"noteIndex":0},"schema":"https://github.com/citation-style-language/schema/raw/master/csl-citation.json"}</w:instrText>
            </w:r>
            <w:r w:rsidRPr="00F37F1E">
              <w:fldChar w:fldCharType="separate"/>
            </w:r>
            <w:r w:rsidRPr="00F37F1E">
              <w:rPr>
                <w:b w:val="0"/>
                <w:noProof/>
              </w:rPr>
              <w:t>(Song et al., 1997)</w:t>
            </w:r>
            <w:r w:rsidRPr="00F37F1E">
              <w:fldChar w:fldCharType="end"/>
            </w:r>
          </w:p>
        </w:tc>
        <w:tc>
          <w:tcPr>
            <w:tcW w:w="602" w:type="pct"/>
          </w:tcPr>
          <w:p w14:paraId="323F69F3" w14:textId="22AE5CA1"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R57 NC</w:t>
            </w:r>
          </w:p>
        </w:tc>
        <w:tc>
          <w:tcPr>
            <w:tcW w:w="2542" w:type="pct"/>
          </w:tcPr>
          <w:p w14:paraId="45D064C5" w14:textId="3A98EB01"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Acute study – daphnids fed</w:t>
            </w:r>
          </w:p>
        </w:tc>
      </w:tr>
      <w:tr w:rsidR="0063703F" w:rsidRPr="00F37F1E" w14:paraId="05BF0E3C"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44EEC75D" w14:textId="6C5CA105" w:rsidR="0063703F" w:rsidRPr="00F37F1E" w:rsidRDefault="0063703F" w:rsidP="0063703F">
            <w:r>
              <w:fldChar w:fldCharType="begin" w:fldLock="1"/>
            </w:r>
            <w:r>
              <w:instrText>ADDIN CSL_CITATION {"citationItems":[{"id":"ITEM-1","itemData":{"DOI":"10.1016/j.chemosphere.2009.05.002","ISSN":"00456535","PMID":"19505710","abstract":"The use of a very effective insecticide against sucking pests, neonicotinoid imidacloprid, has been increasing extensively. For this reason elevated concentrations are expected in aquatic environment. Despite this fact, there is still a lack of data available on its possible risk for the environment. In this study, the potential hazards of imidacloprid and its commercial product Confidor SL 200 to aquatic environment were identified by the acute and chronic toxicity assessment using bacteria Vibrio fischeri, algae Desmodesmus subspicatus, crustacean Daphnia magna, fish Danio rerio and the ready biodegradability determination. We found out, that imidacloprid was not highly toxic to tested organisms in comparison to some other environmental pollutants tested in the same experimental set-up. Among the organisms tested, water flea D. magna proved to be the most sensitive species after a short-term (48 h EC50 = 56.6 mg L-1) and long-term exposure (21 d NOEC = 1.25 mg L-1). On the contrary, the intensified toxicity of Confidor SL 200 in comparison to analytical grade imidacloprid was observed in the case of algae and slight increase of its toxicity was detected testing daphnids and fish. The activities of cholinesterase, catalase and glutathione S-transferase of daphnids were not early biomarkers of exposure to imidacloprid and its commercial product. Imidacloprid was found persistent in water samples and not readily biodegradable in aquatic environment. Due to increased future predicted use of commercial products containing imidacloprid and the findings of this work, we recommend additional toxicity and biodegradability studies of other commercial products with imidacloprid as an active constituent. © 2009 Elsevier Ltd. All rights reserved.","author":[{"dropping-particle":"","family":"Tišler","given":"Tatjana","non-dropping-particle":"","parse-names":false,"suffix":""},{"dropping-particle":"","family":"Jemec","given":"Anita","non-dropping-particle":"","parse-names":false,"suffix":""},{"dropping-particle":"","family":"Mozetič","given":"Branka","non-dropping-particle":"","parse-names":false,"suffix":""},{"dropping-particle":"","family":"Trebše","given":"Polonca","non-dropping-particle":"","parse-names":false,"suffix":""}],"container-title":"Chemosphere","id":"ITEM-1","issue":"7","issued":{"date-parts":[["2009"]]},"note":"Reject - use formulation not pure product. ISO method unavailable. \n\nthis paper shows Confidor SL 200 (pesticide product) can actually be slightly more toxic than pure IMI due to solvents. Solvents acutally look more toxic than the IMI and makes IMI more toxic.\n\nI will need to show Dennis table 1 and ask him what I can do with this information...","page":"907-914","title":"Hazard identification of imidacloprid to aquatic environment","type":"article-journal","volume":"76"},"uris":["http://www.mendeley.com/documents/?uuid=e16c0de0-c47a-4364-94dc-504be15198b0"]}],"mendeley":{"formattedCitation":"(Tišler et al., 2009)","plainTextFormattedCitation":"(Tišler et al., 2009)","previouslyFormattedCitation":"(Tišler et al., 2009)"},"properties":{"noteIndex":0},"schema":"https://github.com/citation-style-language/schema/raw/master/csl-citation.json"}</w:instrText>
            </w:r>
            <w:r>
              <w:fldChar w:fldCharType="separate"/>
            </w:r>
            <w:r w:rsidRPr="007A0C04">
              <w:rPr>
                <w:b w:val="0"/>
                <w:noProof/>
              </w:rPr>
              <w:t>(Tišler et al., 2009)</w:t>
            </w:r>
            <w:r>
              <w:fldChar w:fldCharType="end"/>
            </w:r>
          </w:p>
        </w:tc>
        <w:tc>
          <w:tcPr>
            <w:tcW w:w="602" w:type="pct"/>
          </w:tcPr>
          <w:p w14:paraId="17630DF5" w14:textId="56B1F7CA"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4E1B3B4E" w14:textId="52B4A7B3"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t>Test with formulation not technical grade</w:t>
            </w:r>
          </w:p>
        </w:tc>
      </w:tr>
      <w:tr w:rsidR="0063703F" w:rsidRPr="00F37F1E" w14:paraId="1ED86559"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0C7E6FA8" w14:textId="2F263B04" w:rsidR="0063703F" w:rsidRPr="00F37F1E" w:rsidRDefault="0063703F" w:rsidP="0063703F">
            <w:pPr>
              <w:rPr>
                <w:b w:val="0"/>
                <w:bCs w:val="0"/>
              </w:rPr>
            </w:pPr>
            <w:r w:rsidRPr="00F37F1E">
              <w:lastRenderedPageBreak/>
              <w:fldChar w:fldCharType="begin" w:fldLock="1"/>
            </w:r>
            <w:r w:rsidRPr="00F37F1E">
              <w:rPr>
                <w:b w:val="0"/>
                <w:bCs w:val="0"/>
              </w:rPr>
              <w:instrText>ADDIN CSL_CITATION {"citationItems":[{"id":"ITEM-1","itemData":{"DOI":"10.1093/toxsci/kft235","ISSN":"10960929","PMID":"24136191","abstract":"There are tens of thousands of man-made chemicals in the environment; The inherent safety of most of these chemicals is not known. Relevant biological platforms and new computational tools are needed to prioritize testing of chemicals with limited human health hazard information. We describe an experimental design for high-throughput characterization of multidimensional in vivo effects with the power to evaluate trends relating to commonly cited chemical predictors. We evaluated all 1060 unique U.S. EPA ToxCast phase 1 and 2 compounds using the embryonic zebrafish and found that 487 induced significant adverse biological responses. The utilization of 18 simultaneously measured endpoints means that the entire system serves as a robust biological sensor for chemical hazard. The experimental design enabled us to describe global patterns of variation across tested compounds, evaluate the concordance of the available in vitro and in vivo phase 1 data with this study, highlight specific mechanisms/value-added/ novel biology related to notochord development, and demonstrate that the developmental zebrafish detects adverse responses that would be missed by less comprehensive testing strategies. © The Author 2013. Published by Oxford University Press on behalf of the Society of Toxicology. All rights reserved.","author":[{"dropping-particle":"","family":"Truong","given":"Lisa","non-dropping-particle":"","parse-names":false,"suffix":""},{"dropping-particle":"","family":"Reif","given":"David M.","non-dropping-particle":"","parse-names":false,"suffix":""},{"dropping-particle":"","family":"Mary","given":"Lindsey St","non-dropping-particle":"","parse-names":false,"suffix":""},{"dropping-particle":"","family":"Geier","given":"Mitra C.","non-dropping-particle":"","parse-names":false,"suffix":""},{"dropping-particle":"","family":"Truong","given":"Hao D.","non-dropping-particle":"","parse-names":false,"suffix":""},{"dropping-particle":"","family":"Tanguay","given":"Robert L.","non-dropping-particle":"","parse-names":false,"suffix":""}],"container-title":"Toxicological Sciences","id":"ITEM-1","issue":"1","issued":{"date-parts":[["2014"]]},"note":"Reject. \n\nEndopoints listed not relevant. Not sure I understand their methods.","page":"212-233","title":"Multidimensional in vivo hazard assessment using zebrafish","type":"article-journal","volume":"137"},"uris":["http://www.mendeley.com/documents/?uuid=c1f1feb4-2b97-455a-bc4a-ce9b4a84c4b7"]}],"mendeley":{"formattedCitation":"(Truong et al., 2014)","plainTextFormattedCitation":"(Truong et al., 2014)","previouslyFormattedCitation":"(Truong et al., 2014)"},"properties":{"noteIndex":0},"schema":"https://github.com/citation-style-language/schema/raw/master/csl-citation.json"}</w:instrText>
            </w:r>
            <w:r w:rsidRPr="00F37F1E">
              <w:fldChar w:fldCharType="separate"/>
            </w:r>
            <w:r w:rsidRPr="00F37F1E">
              <w:rPr>
                <w:b w:val="0"/>
                <w:bCs w:val="0"/>
                <w:noProof/>
              </w:rPr>
              <w:t>(Truong et al., 2014)</w:t>
            </w:r>
            <w:r w:rsidRPr="00F37F1E">
              <w:fldChar w:fldCharType="end"/>
            </w:r>
          </w:p>
        </w:tc>
        <w:tc>
          <w:tcPr>
            <w:tcW w:w="602" w:type="pct"/>
          </w:tcPr>
          <w:p w14:paraId="698E2D10" w14:textId="5851449A"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NS TT</w:t>
            </w:r>
          </w:p>
        </w:tc>
        <w:tc>
          <w:tcPr>
            <w:tcW w:w="2542" w:type="pct"/>
          </w:tcPr>
          <w:p w14:paraId="0E639F06" w14:textId="75205EB5"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proofErr w:type="spellStart"/>
            <w:r w:rsidRPr="00F37F1E">
              <w:t>ToxCast</w:t>
            </w:r>
            <w:proofErr w:type="spellEnd"/>
            <w:r w:rsidRPr="00F37F1E">
              <w:t xml:space="preserve"> predictive modelling</w:t>
            </w:r>
          </w:p>
        </w:tc>
      </w:tr>
      <w:tr w:rsidR="0063703F" w:rsidRPr="00F37F1E" w14:paraId="1525302E"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0768EE3D" w14:textId="25276AC3" w:rsidR="0063703F" w:rsidRPr="00F37F1E" w:rsidRDefault="0063703F" w:rsidP="0063703F">
            <w:pPr>
              <w:rPr>
                <w:b w:val="0"/>
                <w:bCs w:val="0"/>
              </w:rPr>
            </w:pPr>
            <w:r w:rsidRPr="00F37F1E">
              <w:fldChar w:fldCharType="begin" w:fldLock="1"/>
            </w:r>
            <w:r w:rsidRPr="00F37F1E">
              <w:rPr>
                <w:b w:val="0"/>
                <w:bCs w:val="0"/>
              </w:rPr>
              <w:instrText>ADDIN CSL_CITATION {"citationItems":[{"id":"ITEM-1","itemData":{"author":[{"dropping-particle":"","family":"Vehovsky","given":"Agnes","non-dropping-particle":"","parse-names":false,"suffix":""},{"dropping-particle":"","family":"Farkas","given":"Anna","non-dropping-particle":"","parse-names":false,"suffix":""},{"dropping-particle":"","family":"Csikos","given":"Vivien","non-dropping-particle":"","parse-names":false,"suffix":""},{"dropping-particle":"","family":"Szekacs","given":"Andras","non-dropping-particle":"","parse-names":false,"suffix":""},{"dropping-particle":"","family":"Mortl","given":"Maria","non-dropping-particle":"","parse-names":false,"suffix":""},{"dropping-particle":"","family":"Gyori","given":"Janos","non-dropping-particle":"","parse-names":false,"suffix":""}],"container-title":"Aquatic Toxicology","id":"ITEM-1","issued":{"date-parts":[["2015"]]},"note":"REJECT.\n\nMethods and endpoints not validated. Did not use pure product.","page":"148-155","title":"Neonicotinoid insecticides are potential substrates of the multixenobiotic resistance (MXR) mechanism in the non-target invertebrate, Dreissena sp.","type":"article-journal","volume":"205"},"uris":["http://www.mendeley.com/documents/?uuid=3bdabfe0-d602-46db-82f8-b89cb11646be"]}],"mendeley":{"formattedCitation":"(Vehovsky et al., 2015)","plainTextFormattedCitation":"(Vehovsky et al., 2015)","previouslyFormattedCitation":"(Vehovsky et al., 2015)"},"properties":{"noteIndex":0},"schema":"https://github.com/citation-style-language/schema/raw/master/csl-citation.json"}</w:instrText>
            </w:r>
            <w:r w:rsidRPr="00F37F1E">
              <w:fldChar w:fldCharType="separate"/>
            </w:r>
            <w:r w:rsidRPr="00F37F1E">
              <w:rPr>
                <w:b w:val="0"/>
                <w:bCs w:val="0"/>
                <w:noProof/>
              </w:rPr>
              <w:t>(Vehovsky et al., 2015)</w:t>
            </w:r>
            <w:r w:rsidRPr="00F37F1E">
              <w:fldChar w:fldCharType="end"/>
            </w:r>
          </w:p>
        </w:tc>
        <w:tc>
          <w:tcPr>
            <w:tcW w:w="602" w:type="pct"/>
          </w:tcPr>
          <w:p w14:paraId="5F883F06" w14:textId="4BBF3ED0"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MIXTURE</w:t>
            </w:r>
          </w:p>
        </w:tc>
        <w:tc>
          <w:tcPr>
            <w:tcW w:w="2542" w:type="pct"/>
          </w:tcPr>
          <w:p w14:paraId="08E6B11C" w14:textId="17FB96D7" w:rsidR="0063703F" w:rsidRPr="00170FA5" w:rsidRDefault="0063703F" w:rsidP="0063703F">
            <w:pPr>
              <w:cnfStyle w:val="000000100000" w:firstRow="0" w:lastRow="0" w:firstColumn="0" w:lastColumn="0" w:oddVBand="0" w:evenVBand="0" w:oddHBand="1" w:evenHBand="0" w:firstRowFirstColumn="0" w:firstRowLastColumn="0" w:lastRowFirstColumn="0" w:lastRowLastColumn="0"/>
            </w:pPr>
            <w:proofErr w:type="spellStart"/>
            <w:r w:rsidRPr="00170FA5">
              <w:t>Kohinor</w:t>
            </w:r>
            <w:proofErr w:type="spellEnd"/>
            <w:r w:rsidRPr="00170FA5">
              <w:t xml:space="preserve"> – active % imidacloprid not stated</w:t>
            </w:r>
          </w:p>
        </w:tc>
      </w:tr>
      <w:tr w:rsidR="0063703F" w:rsidRPr="00F37F1E" w14:paraId="6E777B67"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1F2320AD" w14:textId="06794D13" w:rsidR="0063703F" w:rsidRPr="00F37F1E" w:rsidRDefault="0063703F" w:rsidP="0063703F">
            <w:r w:rsidRPr="00F37F1E">
              <w:fldChar w:fldCharType="begin" w:fldLock="1"/>
            </w:r>
            <w:r>
              <w:instrText>ADDIN CSL_CITATION {"citationItems":[{"id":"ITEM-1","itemData":{"DOI":"10.1007/s11356-016-8205-9","ISBN":"1135601682","ISSN":"16147499","PMID":"27943158","abstract":"In the present study, we evaluated the individual and mixture toxicities of imidacloprid and other four pesticides (atrazine, chlorpyrifos, butachlor, and λ-cyhalothrin) to the zebrafish (Danio rerio) larvae in order to clarify the interactive effects of pesticides on aquatic organisms. Results from the 96-h semi-static toxicity test indicated that chlorpyrifos, λ-cyhalothrin, and butachlor had the highest toxicities to D. rerio with an LC50 value ranging from 0.28 (0.13</w:instrText>
            </w:r>
            <w:r>
              <w:rPr>
                <w:rFonts w:ascii="Cambria Math" w:hAnsi="Cambria Math" w:cs="Cambria Math"/>
              </w:rPr>
              <w:instrText>∼</w:instrText>
            </w:r>
            <w:r>
              <w:instrText>0.38) to 0.45 (0.31</w:instrText>
            </w:r>
            <w:r>
              <w:rPr>
                <w:rFonts w:ascii="Cambria Math" w:hAnsi="Cambria Math" w:cs="Cambria Math"/>
              </w:rPr>
              <w:instrText>∼</w:instrText>
            </w:r>
            <w:r>
              <w:instrText>0.59) mg AI L</w:instrText>
            </w:r>
            <w:r>
              <w:rPr>
                <w:rFonts w:ascii="Calibri" w:hAnsi="Calibri" w:cs="Calibri"/>
              </w:rPr>
              <w:instrText>−</w:instrText>
            </w:r>
            <w:r>
              <w:instrText>1, followed by atrazine with an LC50 value of 15.63 (10.71</w:instrText>
            </w:r>
            <w:r>
              <w:rPr>
                <w:rFonts w:ascii="Cambria Math" w:hAnsi="Cambria Math" w:cs="Cambria Math"/>
              </w:rPr>
              <w:instrText>∼</w:instrText>
            </w:r>
            <w:r>
              <w:instrText>25.76) mg AI L</w:instrText>
            </w:r>
            <w:r>
              <w:rPr>
                <w:rFonts w:ascii="Calibri" w:hAnsi="Calibri" w:cs="Calibri"/>
              </w:rPr>
              <w:instrText>−</w:instrText>
            </w:r>
            <w:r>
              <w:instrText>1, while imidacloprid exhibited the least toxicity to the organisms with an LC50 value of 143.7 (99.98</w:instrText>
            </w:r>
            <w:r>
              <w:rPr>
                <w:rFonts w:ascii="Cambria Math" w:hAnsi="Cambria Math" w:cs="Cambria Math"/>
              </w:rPr>
              <w:instrText>∼</w:instrText>
            </w:r>
            <w:r>
              <w:instrText>221.6) mg AI L</w:instrText>
            </w:r>
            <w:r>
              <w:rPr>
                <w:rFonts w:ascii="Calibri" w:hAnsi="Calibri" w:cs="Calibri"/>
              </w:rPr>
              <w:instrText>−</w:instrText>
            </w:r>
            <w:r>
              <w:instrText>1. Seven pesticide mixtures (two binary mixtures of imidacloprid</w:instrText>
            </w:r>
            <w:r>
              <w:rPr>
                <w:rFonts w:ascii="Calibri" w:hAnsi="Calibri" w:cs="Calibri"/>
              </w:rPr>
              <w:instrText> </w:instrText>
            </w:r>
            <w:r>
              <w:instrText>+</w:instrText>
            </w:r>
            <w:r>
              <w:rPr>
                <w:rFonts w:ascii="Calibri" w:hAnsi="Calibri" w:cs="Calibri"/>
              </w:rPr>
              <w:instrText> </w:instrText>
            </w:r>
            <w:r>
              <w:instrText>atrazine and imidacloprid</w:instrText>
            </w:r>
            <w:r>
              <w:rPr>
                <w:rFonts w:ascii="Calibri" w:hAnsi="Calibri" w:cs="Calibri"/>
              </w:rPr>
              <w:instrText> </w:instrText>
            </w:r>
            <w:r>
              <w:instrText>+</w:instrText>
            </w:r>
            <w:r>
              <w:rPr>
                <w:rFonts w:ascii="Calibri" w:hAnsi="Calibri" w:cs="Calibri"/>
              </w:rPr>
              <w:instrText> λ</w:instrText>
            </w:r>
            <w:r>
              <w:instrText>-cyhalothrin, two ternary mixtures of imidacloprid</w:instrText>
            </w:r>
            <w:r>
              <w:rPr>
                <w:rFonts w:ascii="Calibri" w:hAnsi="Calibri" w:cs="Calibri"/>
              </w:rPr>
              <w:instrText> </w:instrText>
            </w:r>
            <w:r>
              <w:instrText>+</w:instrText>
            </w:r>
            <w:r>
              <w:rPr>
                <w:rFonts w:ascii="Calibri" w:hAnsi="Calibri" w:cs="Calibri"/>
              </w:rPr>
              <w:instrText> </w:instrText>
            </w:r>
            <w:r>
              <w:instrText>atrazine</w:instrText>
            </w:r>
            <w:r>
              <w:rPr>
                <w:rFonts w:ascii="Calibri" w:hAnsi="Calibri" w:cs="Calibri"/>
              </w:rPr>
              <w:instrText> </w:instrText>
            </w:r>
            <w:r>
              <w:instrText>+</w:instrText>
            </w:r>
            <w:r>
              <w:rPr>
                <w:rFonts w:ascii="Calibri" w:hAnsi="Calibri" w:cs="Calibri"/>
              </w:rPr>
              <w:instrText> λ</w:instrText>
            </w:r>
            <w:r>
              <w:instrText>-cyhalothrin and imidacloprid + butachlor + λ-cyhalothrin, two quaternary mixtures of imidacloprid + atrazine + chlorpyrifos + λ-cyhalothrin and imidacloprid + chlorpyrifos + butachlor + λ-cyhalothrin, and one quinquenary mixture of imidacloprid + atrazine + chlorpyrifos + butachlor + λ-cyhalothrin) exhibited synergistic effects with equitoxic ratio and equivalent concentration on the zebrafish. Our results highlighted that the simultaneous presence of several pesticides in the aquatic environment might lead to increased toxicity, causing serious damage to the aquatic ecosystems compared with their individual toxicities. Therefore, the toxic effects of both individual pesticides and their mixtures should be incorporated into the environmental risk evaluation of pesticides.","author":[{"dropping-particle":"","family":"Wang","given":"Yanhua","non-dropping-particle":"","parse-names":false,"suffix":""},{"dropping-particle":"","family":"Yang","given":"Guiling","non-dropping-particle":"","parse-names":false,"suffix":""},{"dropping-particle":"","family":"Dai","given":"Dejiang","non-dropping-particle":"","parse-names":false,"suffix":""},{"dropping-particle":"","family":"Xu","given":"Zhenlan","non-dropping-particle":"","parse-names":false,"suffix":""},{"dropping-particle":"","family":"Cai","given":"Leiming","non-dropping-particle":"","parse-names":false,"suffix":""},{"dropping-particle":"","family":"Wang","given":"Qiang","non-dropping-particle":"","parse-names":false,"suffix":""},{"dropping-particle":"","family":"Yu","given":"Yijun","non-dropping-particle":"","parse-names":false,"suffix":""}],"container-title":"Environmental Science and Pollution Research","id":"ITEM-1","issue":"5","issued":{"date-parts":[["2017"]]},"note":"Reject - Zebrafish are not resident species. \nFish study - Danio rerio LC50 = 143.7 mg/L !!\n\nOnly tested one life stage and it's not the most sensitive","page":"4528-4536","title":"Individual and mixture effects of five agricultural pesticides on zebrafish (Danio rerio) larvae","type":"article-journal","volume":"24"},"uris":["http://www.mendeley.com/documents/?uuid=7c80edb7-7ba6-4d93-857b-92fea5cd31b1"]}],"mendeley":{"formattedCitation":"(Wang et al., 2017)","plainTextFormattedCitation":"(Wang et al., 2017)","previouslyFormattedCitation":"(Wang et al., 2017)"},"properties":{"noteIndex":0},"schema":"https://github.com/citation-style-language/schema/raw/master/csl-citation.json"}</w:instrText>
            </w:r>
            <w:r w:rsidRPr="00F37F1E">
              <w:fldChar w:fldCharType="separate"/>
            </w:r>
            <w:r w:rsidRPr="00F37F1E">
              <w:rPr>
                <w:b w:val="0"/>
                <w:noProof/>
              </w:rPr>
              <w:t>(Wang et al., 2017)</w:t>
            </w:r>
            <w:r w:rsidRPr="00F37F1E">
              <w:fldChar w:fldCharType="end"/>
            </w:r>
          </w:p>
        </w:tc>
        <w:tc>
          <w:tcPr>
            <w:tcW w:w="602" w:type="pct"/>
          </w:tcPr>
          <w:p w14:paraId="21A94B0A" w14:textId="68D72E40"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NS TT</w:t>
            </w:r>
          </w:p>
        </w:tc>
        <w:tc>
          <w:tcPr>
            <w:tcW w:w="2542" w:type="pct"/>
          </w:tcPr>
          <w:p w14:paraId="76B08F54" w14:textId="6EB3D230" w:rsidR="0063703F" w:rsidRPr="00170FA5" w:rsidRDefault="0063703F" w:rsidP="0063703F">
            <w:pPr>
              <w:cnfStyle w:val="000000000000" w:firstRow="0" w:lastRow="0" w:firstColumn="0" w:lastColumn="0" w:oddVBand="0" w:evenVBand="0" w:oddHBand="0" w:evenHBand="0" w:firstRowFirstColumn="0" w:firstRowLastColumn="0" w:lastRowFirstColumn="0" w:lastRowLastColumn="0"/>
            </w:pPr>
            <w:r w:rsidRPr="00170FA5">
              <w:t>Non-resident species (Zebrafish)</w:t>
            </w:r>
          </w:p>
        </w:tc>
      </w:tr>
      <w:tr w:rsidR="0063703F" w:rsidRPr="00F37F1E" w14:paraId="74CE5C7D"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149B5EDB" w14:textId="55F851E0" w:rsidR="0063703F" w:rsidRPr="00F37F1E" w:rsidRDefault="0063703F" w:rsidP="0063703F">
            <w:r w:rsidRPr="00F37F1E">
              <w:fldChar w:fldCharType="begin" w:fldLock="1"/>
            </w:r>
            <w:r w:rsidRPr="00F37F1E">
              <w:instrText>ADDIN CSL_CITATION {"citationItems":[{"id":"ITEM-1","itemData":{"DOI":"10.1002/etc.3655","ISSN":"15528618","PMID":"27753126","abstract":"A probabilistic ecological risk assessment (ERA) was conducted to determine the potential effects of acute and chronic exposure of aquatic invertebrate communities to imidacloprid arising from labeled agricultural and nonagricultural uses in the United States. Aquatic exposure estimates were derived using a higher-tier refined modeling approach that accounts for realistic variability in environmental and agronomic factors. Toxicity was assessed using refined acute and chronic community-level effect metrics for aquatic invertebrates (i.e., species or taxon sensitivity distributions) developed using the best available data. Acute and chronic probabilistic risk estimates were derived by integrating the exposure distributions for different use patterns with the applicable species or taxon sensitivity distributions to generate risk curves, which plot cumulative probability of exceedance versus the magnitude of effect. Overall, the results of this assessment indicated that the aquatic invertebrate community is unlikely to be adversely affected by acute or chronic exposure to imidacloprid resulting from currently registered uses of imidacloprid in the United States. Environ Toxicol Chem 2017;36:1375–1388. © 2016 SETAC.","author":[{"dropping-particle":"","family":"Whitfield-Aslund","given":"Melissa","non-dropping-particle":"","parse-names":false,"suffix":""},{"dropping-particle":"","family":"Winchell","given":"Michael","non-dropping-particle":"","parse-names":false,"suffix":""},{"dropping-particle":"","family":"Bowers","given":"Lisa","non-dropping-particle":"","parse-names":false,"suffix":""},{"dropping-particle":"","family":"McGee","given":"Sean","non-dropping-particle":"","parse-names":false,"suffix":""},{"dropping-particle":"","family":"Tang","given":"Jane","non-dropping-particle":"","parse-names":false,"suffix":""},{"dropping-particle":"","family":"Padilla","given":"Lauren","non-dropping-particle":"","parse-names":false,"suffix":""},{"dropping-particle":"","family":"Greer","given":"Colleen","non-dropping-particle":"","parse-names":false,"suffix":""},{"dropping-particle":"","family":"Knopper","given":"Loren","non-dropping-particle":"","parse-names":false,"suffix":""},{"dropping-particle":"","family":"Moore","given":"Dwayne R.J.","non-dropping-particle":"","parse-names":false,"suffix":""}],"container-title":"Environmental Toxicology and Chemistry","id":"ITEM-1","issue":"5","issued":{"date-parts":[["2017"]]},"note":"Another reivew article\n\nGood to look at once literature review is complete to see if I'm missing any relevant papers.","page":"1375-1388","title":"Ecological risk assessment for aquatic invertebrate communities exposed to imidacloprid as a result of labeled agricultural and nonagricultural uses in the United States","type":"article-journal","volume":"36"},"uris":["http://www.mendeley.com/documents/?uuid=0dba49f5-0d7c-4e90-935e-f19ba136dd5f"]}],"mendeley":{"formattedCitation":"(Whitfield-Aslund et al., 2017)","plainTextFormattedCitation":"(Whitfield-Aslund et al., 2017)","previouslyFormattedCitation":"(Whitfield-Aslund et al., 2017)"},"properties":{"noteIndex":0},"schema":"https://github.com/citation-style-language/schema/raw/master/csl-citation.json"}</w:instrText>
            </w:r>
            <w:r w:rsidRPr="00F37F1E">
              <w:fldChar w:fldCharType="separate"/>
            </w:r>
            <w:r w:rsidRPr="00F37F1E">
              <w:rPr>
                <w:b w:val="0"/>
                <w:noProof/>
              </w:rPr>
              <w:t>(Whitfield-Aslund et al., 2017)</w:t>
            </w:r>
            <w:r w:rsidRPr="00F37F1E">
              <w:fldChar w:fldCharType="end"/>
            </w:r>
          </w:p>
        </w:tc>
        <w:tc>
          <w:tcPr>
            <w:tcW w:w="602" w:type="pct"/>
          </w:tcPr>
          <w:p w14:paraId="2792B441" w14:textId="218FB9C9"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NO ORIG</w:t>
            </w:r>
          </w:p>
        </w:tc>
        <w:tc>
          <w:tcPr>
            <w:tcW w:w="2542" w:type="pct"/>
          </w:tcPr>
          <w:p w14:paraId="4219DA09" w14:textId="21D714D6" w:rsidR="0063703F" w:rsidRPr="00170FA5" w:rsidRDefault="0063703F" w:rsidP="0063703F">
            <w:pPr>
              <w:cnfStyle w:val="000000100000" w:firstRow="0" w:lastRow="0" w:firstColumn="0" w:lastColumn="0" w:oddVBand="0" w:evenVBand="0" w:oddHBand="1" w:evenHBand="0" w:firstRowFirstColumn="0" w:firstRowLastColumn="0" w:lastRowFirstColumn="0" w:lastRowLastColumn="0"/>
            </w:pPr>
            <w:r w:rsidRPr="00170FA5">
              <w:t>Review article</w:t>
            </w:r>
          </w:p>
        </w:tc>
      </w:tr>
      <w:tr w:rsidR="0063703F" w:rsidRPr="00F37F1E" w14:paraId="0277537F"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01F22FC5" w14:textId="5E878B6B" w:rsidR="0063703F" w:rsidRPr="00F37F1E" w:rsidRDefault="0063703F" w:rsidP="0063703F">
            <w:r w:rsidRPr="00F37F1E">
              <w:fldChar w:fldCharType="begin" w:fldLock="1"/>
            </w:r>
            <w:r w:rsidRPr="00F37F1E">
              <w:instrText>ADDIN CSL_CITATION {"citationItems":[{"id":"ITEM-1","itemData":{"DOI":"10.1021/acs.est.8b04651","ISSN":"15205851","PMID":"30472849","abstract":"Agricultural insecticides occur in U.S. surface waters, yet our knowledge of their current and potential future large-scale risks for biodiversity is restricted. Here, we conducted a meta-analysis of measured insecticide concentrations (MICs; n = 5817; 1962-2017) in U.S. surface waters and sediments reported in 259 peer-reviewed scientific studies for 32 important insecticide compounds and their degradation products (n = 6). To assess overall and substance-specific ecological risks and future implications, MICs were compared with official U.S. Environmental Protection Agency regulatory threshold levels (RTLs) and insecticide use trends. Approximately half of the MICs, i.e., 49.4% (at 69.7% of the 644 sites covered), exceeded their RTLs, indicating substantial risks to the integrity of U.S. aquatic ecosystems and potential shortcomings of regulatory risk assessment procedures. Overall, pyrethroids had the highest exceedance rate (80.7%; n = 1808), followed by organophosphates and carbamates (42.2%, n = 2618), and organochlorines (33.3%, n = 468). Pronounced increasing use trends were found for neonicotinoids, which exceeded their chronic RTLs, i.e., those of high relevance due to neonicotinoids persistence in surface waters, for 56.8% of MICs (22.2% for acute RTLs). A regression analysis of insecticide use trends, although to be interpreted with care, indicated a future increase in applied amounts of several high risk insecticides such as pyrethroids and neonicotinoids, suggesting elevated prospective risks for U.S. surface waters, biodiversity, and endangered species.","author":[{"dropping-particle":"","family":"Wolfram","given":"Jakob","non-dropping-particle":"","parse-names":false,"suffix":""},{"dropping-particle":"","family":"Stehle","given":"Sebastian","non-dropping-particle":"","parse-names":false,"suffix":""},{"dropping-particle":"","family":"Bub","given":"Sascha","non-dropping-particle":"","parse-names":false,"suffix":""},{"dropping-particle":"","family":"Petschick","given":"Lara L.","non-dropping-particle":"","parse-names":false,"suffix":""},{"dropping-particle":"","family":"Schulz","given":"Ralf","non-dropping-particle":"","parse-names":false,"suffix":""}],"container-title":"Environmental Science and Technology","id":"ITEM-1","issue":"24","issued":{"date-parts":[["2018"]]},"note":"This is a review paper, should read before I finalize Imidaclprid numbers","page":"14452-14460","title":"Meta-Analysis of Insecticides in United States Surface Waters: Status and Future Implications","type":"article-journal","volume":"52"},"uris":["http://www.mendeley.com/documents/?uuid=a05c0348-132d-4575-af93-7363eb54376e"]}],"mendeley":{"formattedCitation":"(Wolfram et al., 2018)","plainTextFormattedCitation":"(Wolfram et al., 2018)","previouslyFormattedCitation":"(Wolfram et al., 2018)"},"properties":{"noteIndex":0},"schema":"https://github.com/citation-style-language/schema/raw/master/csl-citation.json"}</w:instrText>
            </w:r>
            <w:r w:rsidRPr="00F37F1E">
              <w:fldChar w:fldCharType="separate"/>
            </w:r>
            <w:r w:rsidRPr="00F37F1E">
              <w:rPr>
                <w:b w:val="0"/>
                <w:noProof/>
              </w:rPr>
              <w:t>(Wolfram et al., 2018)</w:t>
            </w:r>
            <w:r w:rsidRPr="00F37F1E">
              <w:fldChar w:fldCharType="end"/>
            </w:r>
          </w:p>
        </w:tc>
        <w:tc>
          <w:tcPr>
            <w:tcW w:w="602" w:type="pct"/>
          </w:tcPr>
          <w:p w14:paraId="431F3CFB" w14:textId="1A6F4886"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NO ORIG</w:t>
            </w:r>
          </w:p>
        </w:tc>
        <w:tc>
          <w:tcPr>
            <w:tcW w:w="2542" w:type="pct"/>
          </w:tcPr>
          <w:p w14:paraId="20734DAB" w14:textId="3A3DF613" w:rsidR="0063703F" w:rsidRPr="00170FA5" w:rsidRDefault="0063703F" w:rsidP="0063703F">
            <w:pPr>
              <w:cnfStyle w:val="000000000000" w:firstRow="0" w:lastRow="0" w:firstColumn="0" w:lastColumn="0" w:oddVBand="0" w:evenVBand="0" w:oddHBand="0" w:evenHBand="0" w:firstRowFirstColumn="0" w:firstRowLastColumn="0" w:lastRowFirstColumn="0" w:lastRowLastColumn="0"/>
            </w:pPr>
            <w:r w:rsidRPr="00170FA5">
              <w:t>Review article</w:t>
            </w:r>
          </w:p>
        </w:tc>
      </w:tr>
      <w:tr w:rsidR="0063703F" w:rsidRPr="00F37F1E" w14:paraId="2E566010"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7103C95F" w14:textId="43532F7F" w:rsidR="0063703F" w:rsidRPr="00F37F1E" w:rsidRDefault="0063703F" w:rsidP="0063703F">
            <w:r w:rsidRPr="00F37F1E">
              <w:fldChar w:fldCharType="begin" w:fldLock="1"/>
            </w:r>
            <w:r>
              <w:instrText>ADDIN CSL_CITATION {"citationItems":[{"id":"ITEM-1","itemData":{"DOI":"10.1016/j.envpol.2017.12.120","ISSN":"18736424","PMID":"29316522","abstract":"Pesticide contamination is more often found as a mixture of different pesticides in water bodies rather than individual compounds. However, regulatory risk evaluation is mostly based on the effects of individual pesticides. In the present study, we aimed to investigate the individual and joint toxicities of triazophos (TRI) and imidacloprid (IMI) to the zebrafish (Danio rerio) using acute indices and various sublethal endpoints. Results from 96-h semi-static test indicated that the LC50 values of TRI to D. rerio at multiple life stages (embryonic, larval, juvenile and adult stages) ranged from 0.49 (0.36–0.71) to 4.99 (2.06–6.81) mg a.i. L−1, which were higher than those of IMI ranging from 26.39 (19.04–38.01) to 128.9 (68.47–173.6) mg a.i. L−1. Pesticide mixtures of TRI and IMI displayed synergistic response to zebrafish embryos. Activities of carboxylesterase (CarE) and catalase (CAT) were significantly changed in most of the individual and joint exposures of pesticides compared with the control group. The expressions of 26 genes related to oxidative stress, cellular apoptosis, immune system, hypothalamic-pituitary-thyroid and hypothalamic-pituitary-gonadal axis at the mRNA level revealed that zebrafish embryos were affected by the individual or joint pesticides, and greater changes in the expressions of six genes (Mn-sod, CXCL-CIC, Dio1, Dio2, tsh and vtg1) were observed when exposed to joint pesticides compared with their individual pesticides. Taken together, the synergistic effects indicated that it was highly important to incorporate joint toxicity studies, especially at low concentrations, when assessing the risk of pesticides.","author":[{"dropping-particle":"","family":"Wu","given":"Shenggan","non-dropping-particle":"","parse-names":false,"suffix":""},{"dropping-particle":"","family":"Li","given":"Xinfang","non-dropping-particle":"","parse-names":false,"suffix":""},{"dropping-particle":"","family":"Liu","given":"Xinju","non-dropping-particle":"","parse-names":false,"suffix":""},{"dropping-particle":"","family":"Yang","given":"Guiling","non-dropping-particle":"","parse-names":false,"suffix":""},{"dropping-particle":"","family":"An","given":"Xuehua","non-dropping-particle":"","parse-names":false,"suffix":""},{"dropping-particle":"","family":"Wang","given":"Qiang","non-dropping-particle":"","parse-names":false,"suffix":""},{"dropping-particle":"","family":"Wang","given":"Yanhua","non-dropping-particle":"","parse-names":false,"suffix":""}],"container-title":"Environmental Pollution","id":"ITEM-1","issued":{"date-parts":[["2018"]]},"note":"REJECT - Zebrafish are not resident to Great Lakes. \n26.39 mg/L is LC50\n\n26390 ug/L","page":"470-481","publisher":"Elsevier Ltd","title":"Joint toxic effects of triazophos and imidacloprid on zebrafish (Danio rerio)","type":"article-journal","volume":"235"},"uris":["http://www.mendeley.com/documents/?uuid=ef1c62bc-4e0d-4de9-af78-cc679836f6de"]}],"mendeley":{"formattedCitation":"(Wu et al., 2018)","plainTextFormattedCitation":"(Wu et al., 2018)","previouslyFormattedCitation":"(Wu et al., 2018)"},"properties":{"noteIndex":0},"schema":"https://github.com/citation-style-language/schema/raw/master/csl-citation.json"}</w:instrText>
            </w:r>
            <w:r w:rsidRPr="00F37F1E">
              <w:fldChar w:fldCharType="separate"/>
            </w:r>
            <w:r w:rsidRPr="00F37F1E">
              <w:rPr>
                <w:b w:val="0"/>
                <w:noProof/>
              </w:rPr>
              <w:t>(Wu et al., 2018)</w:t>
            </w:r>
            <w:r w:rsidRPr="00F37F1E">
              <w:fldChar w:fldCharType="end"/>
            </w:r>
          </w:p>
        </w:tc>
        <w:tc>
          <w:tcPr>
            <w:tcW w:w="602" w:type="pct"/>
          </w:tcPr>
          <w:p w14:paraId="39512804" w14:textId="76B2E373"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R57 NC</w:t>
            </w:r>
          </w:p>
        </w:tc>
        <w:tc>
          <w:tcPr>
            <w:tcW w:w="2542" w:type="pct"/>
          </w:tcPr>
          <w:p w14:paraId="7978E782" w14:textId="7CD3F395" w:rsidR="0063703F" w:rsidRPr="00170FA5" w:rsidRDefault="0063703F" w:rsidP="0063703F">
            <w:pPr>
              <w:cnfStyle w:val="000000100000" w:firstRow="0" w:lastRow="0" w:firstColumn="0" w:lastColumn="0" w:oddVBand="0" w:evenVBand="0" w:oddHBand="1" w:evenHBand="0" w:firstRowFirstColumn="0" w:firstRowLastColumn="0" w:lastRowFirstColumn="0" w:lastRowLastColumn="0"/>
            </w:pPr>
            <w:r w:rsidRPr="00170FA5">
              <w:t>Non-resident species (Zebrafish)</w:t>
            </w:r>
          </w:p>
        </w:tc>
      </w:tr>
      <w:tr w:rsidR="0063703F" w:rsidRPr="00F37F1E" w14:paraId="51853897"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5BB8E275" w14:textId="61C109AF" w:rsidR="0063703F" w:rsidRPr="00F37F1E" w:rsidRDefault="0063703F" w:rsidP="0063703F">
            <w:r w:rsidRPr="007A0C04">
              <w:rPr>
                <w:b w:val="0"/>
                <w:noProof/>
              </w:rPr>
              <w:t>Xia et al., 2016)</w:t>
            </w:r>
          </w:p>
        </w:tc>
        <w:tc>
          <w:tcPr>
            <w:tcW w:w="602" w:type="pct"/>
          </w:tcPr>
          <w:p w14:paraId="5ED47A8B" w14:textId="4BA7BDC4"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186E10BF" w14:textId="7B329B8F" w:rsidR="0063703F" w:rsidRPr="00170FA5" w:rsidRDefault="0063703F" w:rsidP="0063703F">
            <w:pPr>
              <w:cnfStyle w:val="000000000000" w:firstRow="0" w:lastRow="0" w:firstColumn="0" w:lastColumn="0" w:oddVBand="0" w:evenVBand="0" w:oddHBand="0" w:evenHBand="0" w:firstRowFirstColumn="0" w:firstRowLastColumn="0" w:lastRowFirstColumn="0" w:lastRowLastColumn="0"/>
            </w:pPr>
            <w:r>
              <w:t>Test with formulation not technical grade</w:t>
            </w:r>
          </w:p>
        </w:tc>
      </w:tr>
      <w:tr w:rsidR="0063703F" w:rsidRPr="00F37F1E" w14:paraId="467AF313"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0CF272B2" w14:textId="09EB52D5" w:rsidR="0063703F" w:rsidRPr="00F37F1E" w:rsidRDefault="0063703F" w:rsidP="0063703F">
            <w:r w:rsidRPr="00F37F1E">
              <w:fldChar w:fldCharType="begin" w:fldLock="1"/>
            </w:r>
            <w:r w:rsidRPr="00F37F1E">
              <w:instrText>ADDIN CSL_CITATION {"citationItems":[{"id":"ITEM-1","itemData":{"DOI":"10.1016/j.scitotenv.2018.08.256","ISSN":"18791026","PMID":"30340276","abstract":"Extensive use of neonicotinoid insecticides (NNIs) worldwide calls for further knowledge on their environmental occurrence and risk. The present study highlighted the need for more research on long-term exposure of NNIs in aquatic environment, which is important but remains elusive. Time weighted average concentrations of five commonly used NNIs in urban waterways of Guangzhou, China were measured using newly developed polar organic chemical integrative samplers (POCIS). Acetamiprid (from 18.8 ± 1.9 to 157 ± 31 ng/L; mean ± standard deviation), clothianidin (from 14.8 ± 3.7 to 47.6 ± 10.0 ng/L) and imidacloprid (from 32.9 ± 11.6 to 249 ± 19 ng/L) were detectable in all samples. Thiamethoxam was found at 71.4% of the 21 sampling sites (from not detected to 52.4 ± 9.4 ng/L), while thiacloprid was not detected at any site. Vegetable planting and sewage effluent were the main sources of NNIs in surface water in Guangzhou. Probabilistic environmental exposure distributions were subsequently constructed using the measured concentrations and the exceedances of predicted environmental concentrations of NNI to ecological thresholds were assessed. In Guangzhou, 63.5%, 16.2%, 87.8% and 17.2% of acetamiprid, clothianidin, imidacloprid and thiamethoxam, respectively, exceeded an interim chronic threshold of 35 ng/L for NNIs. Further risk assessment and control measures for the use of NNIs are advocated for protecting the integrity of aquatic ecosystems.","author":[{"dropping-particle":"","family":"Xiong","given":"Jingjing","non-dropping-particle":"","parse-names":false,"suffix":""},{"dropping-particle":"","family":"Wang","given":"Zhen","non-dropping-particle":"","parse-names":false,"suffix":""},{"dropping-particle":"","family":"Ma","given":"Xue","non-dropping-particle":"","parse-names":false,"suffix":""},{"dropping-particle":"","family":"Li","given":"Huizhen","non-dropping-particle":"","parse-names":false,"suffix":""},{"dropping-particle":"","family":"You","given":"Jing","non-dropping-particle":"","parse-names":false,"suffix":""}],"container-title":"Science of the Total Environment","id":"ITEM-1","issued":{"date-parts":[["2019"]]},"note":"Not usable for aquatic life values.","page":"1305-1312","publisher":"Elsevier B.V.","title":"Occurrence and risk of neonicotinoid insecticides in surface water in a rapidly developing region: Application of polar organic chemical integrative samplers","type":"article-journal","volume":"648"},"uris":["http://www.mendeley.com/documents/?uuid=3b176542-6473-4c27-ad86-9f21696c5d7f"]}],"mendeley":{"formattedCitation":"(Xiong et al., 2019)","plainTextFormattedCitation":"(Xiong et al., 2019)","previouslyFormattedCitation":"(Xiong et al., 2019)"},"properties":{"noteIndex":0},"schema":"https://github.com/citation-style-language/schema/raw/master/csl-citation.json"}</w:instrText>
            </w:r>
            <w:r w:rsidRPr="00F37F1E">
              <w:fldChar w:fldCharType="separate"/>
            </w:r>
            <w:r w:rsidRPr="00F37F1E">
              <w:rPr>
                <w:b w:val="0"/>
                <w:noProof/>
              </w:rPr>
              <w:t>(Xiong et al., 2019)</w:t>
            </w:r>
            <w:r w:rsidRPr="00F37F1E">
              <w:fldChar w:fldCharType="end"/>
            </w:r>
          </w:p>
        </w:tc>
        <w:tc>
          <w:tcPr>
            <w:tcW w:w="602" w:type="pct"/>
          </w:tcPr>
          <w:p w14:paraId="4C26C771" w14:textId="3F49DBF0"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NO ORIG</w:t>
            </w:r>
          </w:p>
        </w:tc>
        <w:tc>
          <w:tcPr>
            <w:tcW w:w="2542" w:type="pct"/>
          </w:tcPr>
          <w:p w14:paraId="06BE1D69" w14:textId="1BEEA79D"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p>
        </w:tc>
      </w:tr>
      <w:tr w:rsidR="0063703F" w:rsidRPr="00F37F1E" w14:paraId="46069003"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2C692D9C" w14:textId="3B97D51E" w:rsidR="0063703F" w:rsidRPr="00F37F1E" w:rsidRDefault="0063703F" w:rsidP="0063703F">
            <w:r w:rsidRPr="00F37F1E">
              <w:fldChar w:fldCharType="begin" w:fldLock="1"/>
            </w:r>
            <w:r w:rsidRPr="00F37F1E">
              <w:instrText>ADDIN CSL_CITATION {"citationItems":[{"id":"ITEM-1","itemData":{"DOI":"10.1584/jpestics.G08-26","ISSN":"1348589X","abstract":"A new insecticide bioassay for assessing the effects of acute insecticide toxicity on lotic insects was developed. It uses first-instar larvae of a net-spinning caddisfly, Cheumatopsyche brevilineata. The test method was suitable for 30 insecticides with a range of action mechanisms. Caddisfly larvae were much more sensitive than daphnids to neonicotinoids. The new bioassay is thus a useful and reliable method for assessing the impact of chemicals such as neonicotinoids, whose risks for lotic insects might be underestimated by the daphnid bioassay. © Pesticide Science Society of Japan.","author":[{"dropping-particle":"","family":"Yokoyama","given":"Atsushi","non-dropping-particle":"","parse-names":false,"suffix":""},{"dropping-particle":"","family":"Ohtsu","given":"Kazuhisa","non-dropping-particle":"","parse-names":false,"suffix":""},{"dropping-particle":"","family":"Iwafune","given":"Takashi","non-dropping-particle":"","parse-names":false,"suffix":""},{"dropping-particle":"","family":"Nagai","given":"Takashi","non-dropping-particle":"","parse-names":false,"suffix":""},{"dropping-particle":"","family":"Ishihara","given":"Satoru","non-dropping-particle":"","parse-names":false,"suffix":""},{"dropping-particle":"","family":"Kobara","given":"Yuso","non-dropping-particle":"","parse-names":false,"suffix":""},{"dropping-particle":"","family":"Horio","given":"Takeshi","non-dropping-particle":"","parse-names":false,"suffix":""},{"dropping-particle":"","family":"Endo","given":"Shozo","non-dropping-particle":"","parse-names":false,"suffix":""}],"container-title":"Journal of Pesticide Science","id":"ITEM-1","issue":"1","issued":{"date-parts":[["2009"]]},"note":"Reject with Honorable mention - Caddisfly data, genus resident but species is not. \n\nThis is a novel, new methodology. It assesses toxicity to a sensitive species that does not have a lot of other studies available.","page":"13-20","title":"A useful new insecticide bioassay using first-instar larvae of a net-spinning caddisfly, Cheumatopsyche brevilineata (Trichoptera: Hydropsychidae)","type":"article-journal","volume":"34"},"uris":["http://www.mendeley.com/documents/?uuid=81d28e74-9d2b-46e5-9a63-c4401fd02053"]}],"mendeley":{"formattedCitation":"(Yokoyama et al., 2009)","plainTextFormattedCitation":"(Yokoyama et al., 2009)","previouslyFormattedCitation":"(Yokoyama et al., 2009)"},"properties":{"noteIndex":0},"schema":"https://github.com/citation-style-language/schema/raw/master/csl-citation.json"}</w:instrText>
            </w:r>
            <w:r w:rsidRPr="00F37F1E">
              <w:fldChar w:fldCharType="separate"/>
            </w:r>
            <w:r w:rsidRPr="00F37F1E">
              <w:rPr>
                <w:b w:val="0"/>
                <w:noProof/>
              </w:rPr>
              <w:t>(Yokoyama et al., 2009)</w:t>
            </w:r>
            <w:r w:rsidRPr="00F37F1E">
              <w:fldChar w:fldCharType="end"/>
            </w:r>
          </w:p>
        </w:tc>
        <w:tc>
          <w:tcPr>
            <w:tcW w:w="602" w:type="pct"/>
          </w:tcPr>
          <w:p w14:paraId="5A07752A" w14:textId="3EE61836"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R57 NC</w:t>
            </w:r>
          </w:p>
        </w:tc>
        <w:tc>
          <w:tcPr>
            <w:tcW w:w="2542" w:type="pct"/>
          </w:tcPr>
          <w:p w14:paraId="6B26AEA3" w14:textId="55B95CAA"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Non-resident species of caddisfly</w:t>
            </w:r>
          </w:p>
        </w:tc>
      </w:tr>
      <w:tr w:rsidR="0063703F" w:rsidRPr="00F37F1E" w14:paraId="4C99448F" w14:textId="77777777" w:rsidTr="00293B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3817AF0C" w14:textId="0B7C8B06"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{"citationItems":[{"id":"ITEM-1","itemData":{"DOI":"10.1021/es403360y","ISSN":"0013936X","PMID":"24015875","abstract":"Targeted assays are needed to better evaluate effects of chemicals on organogenesis and begin classification of chemicals by toxicologically relevant modes-of-action. Using transgenic zebrafish (fli1:egfp) that stably express eGFP within vascular endothelial cells, we have developed and optimized a 384-well-based high-content screening (HCS) assay that enables us to screen and identify chemicals affecting cardiovascular function at sublethal, nonteratogenic concentrations. Following static exposure of one embryo per well from 5 to 72 h postfertilization (hpf), automated image acquisition procedures and custom image analysis protocols are used to quantify body length, circulation, heart rate, pericardial area (a biomarker for cardiac looping defects), and intersegmental vessel area within freshly hatched live embryos. After optimizing 72 hpf anesthetization procedures, we evaluated each end point across four independent control plates containing 384 initial embryos per plate. Survival and imaging success rates across these plates ranged from 93 to 99% and 42 to 74%, respectively. Criteria were then defined for assay success and analysis of treatments, and 10 chemicals were screened for targeted effects on cardiovascular function. Compared to existing zebrafish-based assays, this method provides a comprehensive discovery platform with (1) increased sample sizes; (2) broad concentration-response format; and (3) the ability to identify chemicals that target cardiovascular function at nonteratogenic concentrations. © 2013 American Chemical Society.","author":[{"dropping-particle":"","family":"Yozzo","given":"Krystle L.","non-dropping-particle":"","parse-names":false,"suffix":""},{"dropping-particle":"","family":"Isales","given":"Gregory M.","non-dropping-particle":"","parse-names":false,"suffix":""},{"dropping-particle":"","family":"Raftery","given":"Tara D.","non-dropping-particle":"","parse-names":false,"suffix":""},{"dropping-particle":"","family":"Volz","given":"David C.","non-dropping-particle":"","parse-names":false,"suffix":""}],"container-title":"Environmental Science and Technology","id":"ITEM-1","issue":"19","issued":{"date-parts":[["2013"]]},"note":"Reject. Endpoints not relevant, useable per our rules.","page":"11302-11310","title":"High-content screening assay for identification of chemicals impacting cardiovascular function in zebrafish embryos","type":"article-journal","volume":"47"},"uris":["http://www.mendeley.com/documents/?uuid=f50ec2a2-cab7-4eff-bf95-b7528b85dc39"]}],"mendeley":{"formattedCitation":"(Yozzo et al., 2013)","plainTextFormattedCitation":"(Yozzo et al., 2013)","previouslyFormattedCitation":"(Yozzo et al., 2013)"},"properties":{"noteIndex":0},"schema":"https://github.com/citation-style-language/schema/raw/master/csl-citation.json"}</w:instrText>
            </w:r>
            <w:r w:rsidRPr="00F37F1E">
              <w:fldChar w:fldCharType="separate"/>
            </w:r>
            <w:r w:rsidRPr="00F37F1E">
              <w:rPr>
                <w:b w:val="0"/>
                <w:bCs w:val="0"/>
                <w:noProof/>
              </w:rPr>
              <w:t>(Yozzo et al., 2013)</w:t>
            </w:r>
            <w:r w:rsidRPr="00F37F1E">
              <w:fldChar w:fldCharType="end"/>
            </w:r>
          </w:p>
        </w:tc>
        <w:tc>
          <w:tcPr>
            <w:tcW w:w="602" w:type="pct"/>
          </w:tcPr>
          <w:p w14:paraId="7FA320C5" w14:textId="43D312A1"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NS TT</w:t>
            </w:r>
          </w:p>
        </w:tc>
        <w:tc>
          <w:tcPr>
            <w:tcW w:w="2542" w:type="pct"/>
          </w:tcPr>
          <w:p w14:paraId="302D155C" w14:textId="1C7017E2" w:rsidR="0063703F" w:rsidRPr="00F37F1E" w:rsidRDefault="0063703F" w:rsidP="0063703F">
            <w:pPr>
              <w:cnfStyle w:val="000000100000" w:firstRow="0" w:lastRow="0" w:firstColumn="0" w:lastColumn="0" w:oddVBand="0" w:evenVBand="0" w:oddHBand="1" w:evenHBand="0" w:firstRowFirstColumn="0" w:firstRowLastColumn="0" w:lastRowFirstColumn="0" w:lastRowLastColumn="0"/>
            </w:pPr>
            <w:r w:rsidRPr="00F37F1E">
              <w:t>High-content screening assay</w:t>
            </w:r>
          </w:p>
        </w:tc>
      </w:tr>
      <w:tr w:rsidR="0063703F" w:rsidRPr="00F37F1E" w14:paraId="6C02D1A2" w14:textId="77777777" w:rsidTr="00293B21">
        <w:tc>
          <w:tcPr>
            <w:cnfStyle w:val="001000000000" w:firstRow="0" w:lastRow="0" w:firstColumn="1" w:lastColumn="0" w:oddVBand="0" w:evenVBand="0" w:oddHBand="0" w:evenHBand="0" w:firstRowFirstColumn="0" w:firstRowLastColumn="0" w:lastRowFirstColumn="0" w:lastRowLastColumn="0"/>
            <w:tcW w:w="1856" w:type="pct"/>
          </w:tcPr>
          <w:p w14:paraId="06240288" w14:textId="1AD5C104" w:rsidR="0063703F" w:rsidRPr="00F37F1E" w:rsidRDefault="0063703F" w:rsidP="0063703F">
            <w:pPr>
              <w:rPr>
                <w:b w:val="0"/>
                <w:bCs w:val="0"/>
              </w:rPr>
            </w:pPr>
            <w:r w:rsidRPr="00F37F1E">
              <w:fldChar w:fldCharType="begin" w:fldLock="1"/>
            </w:r>
            <w:r w:rsidRPr="00F37F1E">
              <w:rPr>
                <w:b w:val="0"/>
                <w:bCs w:val="0"/>
              </w:rPr>
              <w:instrText>ADDIN CSL_CITATION {"citationItems":[{"id":"ITEM-1","itemData":{"DOI":"10.2166/wst.2008.661","ISBN":"9781843391883","ISSN":"02731223","PMID":"18653963","abstract":"This paper presents experimental results on the effect of temperature on the rate of Imidacloprid removal from waste water using homogeneous photo-Fenton processes. Experiments were conducted in a 2 L photo reactor set at 15-42°C, initial concentrations in the range of 10 to 40 mg L-1 Fe(II) and 100-450 mg L-1 H2O2, 30 150 min processing times. Initial H2O2 concentration determined the extent of the oxidation process, whereas iron concentration played a key role in the process kinetics. Homogeneous photo-Fenton showed a fast initial reaction leading to 50% Imidacloprid degradation after less than 1 min of treatment, followed by a slower process until full removal was achieved. Rapid Fe(II) oxidation to Fe(III) seems responsible for the initial Imidacloprid removal. Imidacloprid removal fitted well a pseudo-first order kinetic scheme, with apparent activation energy of approximately 31.6 kJ/mole. Untreated Imidacloprid samples showed significant acute toxicity to Daphnia magna and genotoxic effects on Bacillus subtilis. Acute toxicity and genotoxicity remained detectable even after complete pesticide removal, showing that toxic by-products were present. The design and operation of photo Fenton processes should focus on toxicity removal rather than on specific target pollutants. © IWA Publishing 2008.","author":[{"dropping-particle":"","family":"Zaror","given":"C.","non-dropping-particle":"","parse-names":false,"suffix":""},{"dropping-particle":"","family":"Segura","given":"C.","non-dropping-particle":"","parse-names":false,"suffix":""},{"dropping-particle":"","family":"Mansilla","given":"H.","non-dropping-particle":"","parse-names":false,"suffix":""},{"dropping-particle":"","family":"Mondaca","given":"M. A.","non-dropping-particle":"","parse-names":false,"suffix":""},{"dropping-particle":"","family":"González","given":"P.","non-dropping-particle":"","parse-names":false,"suffix":""}],"container-title":"Water Science and Technology","id":"ITEM-1","issue":"1","issued":{"date-parts":[["2008"]]},"note":"Reject. \n\nCannot use results as reported.","page":"259-265","title":"Effect of temperature on Imidacloprid oxidation by homogeneous photo-Fenton processes","type":"article-journal","volume":"58"},"uris":["http://www.mendeley.com/documents/?uuid=a9373b3b-1224-4a3b-9b86-5091fa9bc774"]}],"mendeley":{"formattedCitation":"(Zaror et al., 2008)","plainTextFormattedCitation":"(Zaror et al., 2008)","previouslyFormattedCitation":"(Zaror et al., 2008)"},"properties":{"noteIndex":0},"schema":"https://github.com/citation-style-language/schema/raw/master/csl-citation.json"}</w:instrText>
            </w:r>
            <w:r w:rsidRPr="00F37F1E">
              <w:fldChar w:fldCharType="separate"/>
            </w:r>
            <w:r w:rsidRPr="00F37F1E">
              <w:rPr>
                <w:b w:val="0"/>
                <w:bCs w:val="0"/>
                <w:noProof/>
              </w:rPr>
              <w:t>(Zaror et al., 2008)</w:t>
            </w:r>
            <w:r w:rsidRPr="00F37F1E">
              <w:fldChar w:fldCharType="end"/>
            </w:r>
          </w:p>
        </w:tc>
        <w:tc>
          <w:tcPr>
            <w:tcW w:w="602" w:type="pct"/>
          </w:tcPr>
          <w:p w14:paraId="2E81D793" w14:textId="598120BE"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NS TT</w:t>
            </w:r>
          </w:p>
        </w:tc>
        <w:tc>
          <w:tcPr>
            <w:tcW w:w="2542" w:type="pct"/>
          </w:tcPr>
          <w:p w14:paraId="4637F6C6" w14:textId="1A07EFCD" w:rsidR="0063703F" w:rsidRPr="00F37F1E" w:rsidRDefault="0063703F" w:rsidP="0063703F">
            <w:pPr>
              <w:cnfStyle w:val="000000000000" w:firstRow="0" w:lastRow="0" w:firstColumn="0" w:lastColumn="0" w:oddVBand="0" w:evenVBand="0" w:oddHBand="0" w:evenHBand="0" w:firstRowFirstColumn="0" w:firstRowLastColumn="0" w:lastRowFirstColumn="0" w:lastRowLastColumn="0"/>
            </w:pPr>
            <w:r w:rsidRPr="00F37F1E">
              <w:t>No control data; no water quality data</w:t>
            </w:r>
          </w:p>
        </w:tc>
      </w:tr>
    </w:tbl>
    <w:p w14:paraId="0852C138" w14:textId="69CB2370" w:rsidR="001C51CA" w:rsidRPr="00F37F1E" w:rsidRDefault="001C51CA"/>
    <w:p w14:paraId="5992BA4B" w14:textId="075609E5" w:rsidR="0090720D" w:rsidRPr="00F37F1E" w:rsidRDefault="0090720D">
      <w:pPr>
        <w:rPr>
          <w:rFonts w:cstheme="minorHAnsi"/>
          <w:b/>
          <w:bCs/>
        </w:rPr>
      </w:pPr>
    </w:p>
    <w:p w14:paraId="0EE020FD" w14:textId="2BA7A5DC" w:rsidR="00513AD6" w:rsidRDefault="00513AD6">
      <w:pPr>
        <w:rPr>
          <w:rFonts w:cstheme="minorHAnsi"/>
          <w:b/>
          <w:bCs/>
        </w:rPr>
      </w:pPr>
      <w:r w:rsidRPr="00D252B5">
        <w:rPr>
          <w:rFonts w:cstheme="minorHAnsi"/>
          <w:b/>
          <w:bCs/>
        </w:rPr>
        <w:t>References:</w:t>
      </w:r>
    </w:p>
    <w:p w14:paraId="4C6BEDBC" w14:textId="5CE6D9E7" w:rsidR="00804EF7" w:rsidRPr="006A78A5" w:rsidRDefault="00BA5287" w:rsidP="00804EF7">
      <w:pPr>
        <w:widowControl w:val="0"/>
        <w:autoSpaceDE w:val="0"/>
        <w:autoSpaceDN w:val="0"/>
        <w:adjustRightInd w:val="0"/>
        <w:ind w:left="480" w:hanging="480"/>
        <w:rPr>
          <w:rFonts w:ascii="Calibri" w:hAnsi="Calibri" w:cs="Calibri"/>
          <w:noProof/>
          <w:sz w:val="20"/>
          <w:szCs w:val="20"/>
        </w:rPr>
      </w:pPr>
      <w:r w:rsidRPr="006A78A5">
        <w:rPr>
          <w:rFonts w:cstheme="minorHAnsi"/>
          <w:b/>
          <w:bCs/>
          <w:sz w:val="20"/>
          <w:szCs w:val="20"/>
        </w:rPr>
        <w:fldChar w:fldCharType="begin" w:fldLock="1"/>
      </w:r>
      <w:r w:rsidRPr="006A78A5">
        <w:rPr>
          <w:rFonts w:cstheme="minorHAnsi"/>
          <w:b/>
          <w:bCs/>
          <w:sz w:val="20"/>
          <w:szCs w:val="20"/>
        </w:rPr>
        <w:instrText xml:space="preserve">ADDIN Mendeley Bibliography CSL_BIBLIOGRAPHY </w:instrText>
      </w:r>
      <w:r w:rsidRPr="006A78A5">
        <w:rPr>
          <w:rFonts w:cstheme="minorHAnsi"/>
          <w:b/>
          <w:bCs/>
          <w:sz w:val="20"/>
          <w:szCs w:val="20"/>
        </w:rPr>
        <w:fldChar w:fldCharType="separate"/>
      </w:r>
      <w:r w:rsidR="00804EF7" w:rsidRPr="006A78A5">
        <w:rPr>
          <w:rFonts w:ascii="Calibri" w:hAnsi="Calibri" w:cs="Calibri"/>
          <w:noProof/>
          <w:sz w:val="20"/>
          <w:szCs w:val="20"/>
        </w:rPr>
        <w:t>Agatz, A., Ashauer, R., Brown, C.D., 2014. Imidacloprid perturbs feeding of Gammarus pulex at environmentally relevant concentrations. Environ. Toxicol. Chem. 33, 648–653. https://doi.org/10.1002/etc.2480</w:t>
      </w:r>
    </w:p>
    <w:p w14:paraId="638C1E63"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Agatz, A., Brown, C.D., 2013. Evidence for links between feeding inhibition, population characteristics, and sensitivity to acute toxicity for daphnia magna. Environ. Sci. Technol. 47, 9461–9469. https://doi.org/10.1021/es401428h</w:t>
      </w:r>
    </w:p>
    <w:p w14:paraId="117694AF"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Agatz, A., Cole, T.A., Preuss, T.G., Zimmer, E., Brown, C.D., 2013. Feeding inhibition explains effects of imidacloprid on the growth, maturation, reproduction, and survival of Daphnia magna. Environ. Sci. Technol. 47, 2909–2917. https://doi.org/10.1021/es304784t</w:t>
      </w:r>
    </w:p>
    <w:p w14:paraId="0D32B373"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Alexander, A.C., Culp, J.M., Liber, K., Cessna, A.J., 2007. Effects of insecticide exposure on feeding inhibition in mayflies and oligochaetes. Environ. Toxicol. Chem. 26, 1726–1732. https://doi.org/10.1897/07-015R.1</w:t>
      </w:r>
    </w:p>
    <w:p w14:paraId="6D1B0D41"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Ashauer, R., Caravatti, I., Hintermeister, A., Escher, B.I., 2010. Bioaccumulation kinetics of organic xenobiotic pollutants in the freshwater invertebrate Gammarus pulex modeled with prediction intervals. Environ. Toxicol. Chem. 29, 1625–1636. https://doi.org/10.1002/etc.175</w:t>
      </w:r>
    </w:p>
    <w:p w14:paraId="41D86595"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Ashauer, R., Hintermeister, A., Potthoff, E., Escher, B.I., 2011. Acute toxicity of organic chemicals to Gammarus pulex correlates with sensitivity of Daphnia magna across most modes of action. Aquat. Toxicol. 103, 38–45. https://doi.org/10.1016/j.aquatox.2011.02.002</w:t>
      </w:r>
    </w:p>
    <w:p w14:paraId="25BDDF6B"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Augusiak, J., Van den Brink, P.J., 2016. The influence of insecticide exposure and environmental stimuli on the movement behaviour and dispersal of a freshwater isopod. Ecotoxicology 25, 1338–1352. https://doi.org/10.1007/s10646-016-1686-y</w:t>
      </w:r>
    </w:p>
    <w:p w14:paraId="0030E0FE"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Bartlett, A.J., Hedges, A.M., Intini, K.D., Brown, L.R., Maisonneuve, F.J., Robinson, S.A., Gillis, P.L., de Solla, S.R., 2019. Acute and chronic toxicity of neonicotinoid and butenolide insecticides to the freshwater amphipod, Hyalella azteca. Ecotoxicol. Environ. Saf. 175, 215–223. https://doi.org/10.1016/j.ecoenv.2019.03.038</w:t>
      </w:r>
    </w:p>
    <w:p w14:paraId="6E3430EF"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Bartlett, A.J., Hedges, A.M., Intini, K.D., Brown, L.R., Maisonneuve, F.J., Robinson, S.A., Gillis, P.L., de Solla, S.R., 2018. Lethal and sublethal toxicity of neonicotinoid and butenolide insecticides to the mayfly, Hexagenia spp. Environ. Pollut. 238, 63–75. https://doi.org/10.1016/j.envpol.2018.03.004</w:t>
      </w:r>
    </w:p>
    <w:p w14:paraId="634637A9"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Beketov, M.A., Liess, M., 2008. Potential of 11 pesticides to initiate downstream drift of stream macroinvertebrates. Arch. Environ. Contam. Toxicol. 55, 247–253. https://doi.org/10.1007/s00244-007-9104-3</w:t>
      </w:r>
    </w:p>
    <w:p w14:paraId="17D239C5"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Bori, J., Ribalta, C., Domene, X., Riva, M.C., 2015. Containing Formulation : From Soils To Waters 169–176.</w:t>
      </w:r>
    </w:p>
    <w:p w14:paraId="76FEF934"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Böttger, R., Schaller, J., Mohr, S., 2012. Closer to reality - the influence of toxicity test modifications on the sensitivity of Gammarus roeseli to the insecticide imidacloprid. Ecotoxicol. Environ. Saf. 81, 49–54. https://doi.org/10.1016/j.ecoenv.2012.04.015</w:t>
      </w:r>
    </w:p>
    <w:p w14:paraId="2EAB3A66"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Brock, T.C.M., Van Wijngaarden, R.P.A., 2012. Acute toxicity tests with Daphnia magna, Americamysis bahia, Chironomus riparius and Gammarus pulex and implications of new EU requirements for the aquatic effect assessment of insecticides. Environ. Sci. Pollut. Res. 19, 3610–3618. https://doi.org/10.1007/s11356-012-0930-0</w:t>
      </w:r>
    </w:p>
    <w:p w14:paraId="79EC344B"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lastRenderedPageBreak/>
        <w:t>Camp, A.A., Buchwalter, D.B., 2016. Can’t take the heat: Temperature-enhanced toxicity in the mayfly Isonychia bicolor exposed to the neonicotinoid insecticide imidacloprid. Aquat. Toxicol. 178, 49–57. https://doi.org/10.1016/j.aquatox.2016.07.011</w:t>
      </w:r>
    </w:p>
    <w:p w14:paraId="759F07E5"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Cavallaro, M.C., Morrissey, C.A., Headley, J. V., Peru, K.M., Liber, K., 2017. Comparative chronic toxicity of imidacloprid, clothianidin, and thiamethoxam to Chironomus dilutus and estimation of toxic equivalency factors. Environ. Toxicol. Chem. 36, 372–382. https://doi.org/10.1002/etc.3536</w:t>
      </w:r>
    </w:p>
    <w:p w14:paraId="70FED6B2"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Chang, Y., Mao, L., Zhang, L., Zhang, Y., Jiang, H., 2020. Combined toxicity of imidacloprid, acetochlor, and tebuconazole to zebrafish (Danio rerio): acute toxicity and hepatotoxicity assessment. Environ. Sci. Pollut. Res. 27, 10286–10295. https://doi.org/10.1007/s11356-020-07653-3</w:t>
      </w:r>
    </w:p>
    <w:p w14:paraId="7B7F6A43"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Chen, X.D., Culbert, E., Hebert, V., Stark, J.D., 2010. Mixture effects of the nonylphenyl polyethoxylate, R-11 and the insecticide, imidacloprid on population growth rate and other parameters of the crustacean, Ceriodaphnia dubia. Ecotoxicol. Environ. Saf. 73, 132–137. https://doi.org/10.1016/j.ecoenv.2009.09.016</w:t>
      </w:r>
    </w:p>
    <w:p w14:paraId="621C996E"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Chevalier, J., Harscoët, E., Keller, M., Pandard, P., Cachot, J., Grote, M., 2015. Exploration of Daphnia behavioral effect profiles induced by a broad range of toxicants with different modes of action. Environ. Toxicol. Chem. 34, 1760–1769. https://doi.org/10.1002/etc.2979</w:t>
      </w:r>
    </w:p>
    <w:p w14:paraId="7E36EBFF"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Contardo-Jara, V., Gessner, M.O., 2020. Uptake and physiological effects of the neonicotinoid imidacloprid and its commercial formulation Confidor® in a widespread freshwater oligochaete. Environ. Pollut. 264, 114793. https://doi.org/10.1016/j.envpol.2020.114793</w:t>
      </w:r>
    </w:p>
    <w:p w14:paraId="1C088A14"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Covert, S.A., Shoda, M.E., Stackpoole, S.M., Stone, W.W., 2020. Pesticide mixtures show potential toxicity to aquatic life in U.S. streams, water years 2013–2017. Sci. Total Environ. 745, 141285. https://doi.org/10.1016/j.scitotenv.2020.141285</w:t>
      </w:r>
    </w:p>
    <w:p w14:paraId="0EA5DF3C"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Daam, M.A., Santos Pereira, A.C., Silva, E., Caetano, L., Cerejeira, M.J., 2013. Preliminary aquatic risk assessment of imidacloprid after application in an experimental rice plot. Ecotoxicol. Environ. Saf. 97, 78–85. https://doi.org/10.1016/j.ecoenv.2013.07.011</w:t>
      </w:r>
    </w:p>
    <w:p w14:paraId="0C71BC98"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Danis, B.E.G., Marlatt, V.L., 2021. Investigating Acute and Subchronic Effects of Neonicotinoids on Northwestern Salamander Larvae. Arch. Environ. Contam. Toxicol. 80, 691–707. https://doi.org/10.1007/s00244-021-00840-4</w:t>
      </w:r>
    </w:p>
    <w:p w14:paraId="025CC4C0"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Englert, D., Zubrod, J.P., Link, M., Mertins, S., Schulz, R., Bundschuh, M., 2017. Does Waterborne Exposure Explain Effects Caused by Neonicotinoid-Contaminated Plant Material in Aquatic Systems? Environ. Sci. Technol. 51, 5793–5802. https://doi.org/10.1021/acs.est.7b00827</w:t>
      </w:r>
    </w:p>
    <w:p w14:paraId="3BF4AFB3"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Feng, S., Kong, Z., Wang, X., Zhao, L., Peng, P., 2004. Acute toxicity and genotoxicity of two novel pesticides on amphibian, Rana N. Hallowell. Chemosphere 56, 457–463. https://doi.org/10.1016/j.chemosphere.2004.02.010</w:t>
      </w:r>
    </w:p>
    <w:p w14:paraId="3505377A"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Fort, D.J., Mathis, M.B., Kee, F., Whatling, P., Clerkin, D., Staveley, J., Habig, C., 2018. Evaluation of an acute oral gavage method for assessment of pesticide toxicity in terrestrial amphibians. Environ. Toxicol. Chem. 37, 436–450. https://doi.org/10.1002/etc.3976</w:t>
      </w:r>
    </w:p>
    <w:p w14:paraId="242E1ECF"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Frew, J.A., Grue, C.E., 2015. Assessing the risk to green sturgeon from application of imidacloprid to control burrowing shrimp in Willapa Bay, Washington-Part II: Controlled exposure studies. Environ. Toxicol. Chem. 34, 2542–2548. https://doi.org/10.1002/etc.3090</w:t>
      </w:r>
    </w:p>
    <w:p w14:paraId="1860BCB9"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Gagliano, G.G., Roney, D.J., 1992. Early life stage toxicity of SENCOR Technical to the Rainbow Trout (Oncorhynchus mykiss) under flow-through conditions. Kansas City, Missouri.</w:t>
      </w:r>
    </w:p>
    <w:p w14:paraId="5234D0A9"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Gerhardt, A., 2009. Screening the toxicity of Ni, Cd, Cu, ivermectin, and imidacloprid in a short-term automated behavioral toxicity test with tubifex tubifex (muller 1774) (Oligochaeta). Hum. Ecol. Risk Assess. 15, 27–40. https://doi.org/10.1080/10807030802614983</w:t>
      </w:r>
    </w:p>
    <w:p w14:paraId="4F35B9DC"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Grau, R., 1988. Acute toxicity of NTN 33893 technical to rainbow trout (Salmo gairdneri). Kansas City, Missouri.</w:t>
      </w:r>
    </w:p>
    <w:p w14:paraId="5B281E49"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Hassoon, H.A., Salman, S.A., 2016. The Acute Effect of Pesticides Carbaryl and Imidacloprid on Daphnia pulex species. J. Int. Environ. Appl. Sci. 11, 18–25.</w:t>
      </w:r>
    </w:p>
    <w:p w14:paraId="2D1ECFE8"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Hayasaka, D., Korenaga, T., Suzuki, K., Sánchez-Bayo, F., Goka, K., 2012. Differences in susceptibility of five cladoceran species to two systemic insecticides, imidacloprid and fipronil. Ecotoxicology 21, 421–427. https://doi.org/10.1007/s10646-011-0802-2</w:t>
      </w:r>
    </w:p>
    <w:p w14:paraId="121AB4A7"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Hysterophorus, P., Sanodiya, B.S., Thakur, G.S., Debnath, M., Pandey, A.K., Prasadd, G.B.K.S., 2013. Chronic Aspects of Imidacloprid on the Fishes from Cyprinidae Family. Rom. J. Plant Prot. VI, 49–61.</w:t>
      </w:r>
    </w:p>
    <w:p w14:paraId="25911514"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 xml:space="preserve">Ieromina, O., Peijnenburg, W.M., de Snoo, G.., Muller, J., Knepper, T.P., Vijver, M.G., 2014. Impact of Imidacloprid </w:t>
      </w:r>
      <w:r w:rsidRPr="006A78A5">
        <w:rPr>
          <w:rFonts w:ascii="Calibri" w:hAnsi="Calibri" w:cs="Calibri"/>
          <w:noProof/>
          <w:sz w:val="20"/>
          <w:szCs w:val="20"/>
        </w:rPr>
        <w:lastRenderedPageBreak/>
        <w:t>on Daphnia magna Under Different Food Quality Regimes. Environ. Toxicol. Chem. 33, 621–631.</w:t>
      </w:r>
    </w:p>
    <w:p w14:paraId="49E272C3"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Islam, M.A., Hossen, M.S., Sumon, K.A., Rahman, M.M., 2019. Acute Toxicity of Imidacloprid on the Developmental Stages of Common Carp Cyprinus carpio. Toxicol. Environ. Health Sci. 11, 244–251. https://doi.org/10.1007/s13530-019-0410-8</w:t>
      </w:r>
    </w:p>
    <w:p w14:paraId="0F597C28"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Jemec, A., Tišler, T., Drobne, D., Sepčić, K., Fournier, D., Trebše, P., 2007. Comparative toxicity of imidacloprid, of its commercial liquid formulation and of diazinon to a non-target arthropod, the microcrustacean Daphnia magna. Chemosphere 68, 1408–1418. https://doi.org/10.1016/j.chemosphere.2007.04.015</w:t>
      </w:r>
    </w:p>
    <w:p w14:paraId="76FCD1C9"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Kreutzweiser, D., Good, K., Chartrand, D., Scarr, T., Thompson, D., 2007. Non-target effects on aquatic decomposer organisms of imidacloprid as a systemic insecticide to control emerald ash borer in riparian trees. Ecotoxicol. Environ. Saf. 68, 315–325. https://doi.org/10.1016/j.ecoenv.2007.04.011</w:t>
      </w:r>
    </w:p>
    <w:p w14:paraId="5C090241"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Kreutzweiser, D. P., Good, K.P., Chartrand, D.T., Scarr, T.A., Thompson, D.G., 2008. Toxicity of the systemic insecticide, imidacloprid, to forest stream insects and microbial communities. Bull. Environ. Contam. Toxicol. 80, 211–214. https://doi.org/10.1007/s00128-007-9347-8</w:t>
      </w:r>
    </w:p>
    <w:p w14:paraId="60A869BA"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Kreutzweiser, David P., Good, K.P., Chartrand, D.T., Scarr, T.A., Thompson, D.G., 2008. Are Leaves that Fall from Imidacloprid-Treated Maple Trees to Control Asian Longhorned Beetles Toxic to Non-target Decomposer Organisms? J. Environ. Qual. 37, 639–646. https://doi.org/10.2134/jeq2007.0278</w:t>
      </w:r>
    </w:p>
    <w:p w14:paraId="37ECF6E9"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Kreutzweiser, D.P., Thompson, D.G., Scarr, T.A., 2009. Imidacloprid in leaves from systemically treated trees may inhibit litter breakdown by non-target invertebrates. Ecotoxicol. Environ. Saf. 72, 1053–1057. https://doi.org/10.1016/j.ecoenv.2008.09.017</w:t>
      </w:r>
    </w:p>
    <w:p w14:paraId="18C92988"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Kunce, W., Josefsson, S., Örberg, J., Johansson, F., 2015. Combination effects of pyrethroids and neonicotinoids on development and survival of Chironomus riparius. Ecotoxicol. Environ. Saf. 122, 426–431. https://doi.org/10.1016/j.ecoenv.2015.09.008</w:t>
      </w:r>
    </w:p>
    <w:p w14:paraId="784AF48F"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Lanteigne, M., Whiting, S.A., Lydy, M.J., 2015. Mixture Toxicity of Imidacloprid and Cyfluthrin to Two Non-target Species, the Fathead Minnow Pimephales promelas and the Amphipod Hyalella azteca. Arch. Environ. Contam. Toxicol. 68, 354–361. https://doi.org/10.1007/s00244-014-0086-7</w:t>
      </w:r>
    </w:p>
    <w:p w14:paraId="6E950DF4"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LeBlanc, H.M.K., Culp, J.M., Baird, D.J., Alexander, A.C., Cessna, A.J., 2012. Single versus combined lethal effects of three agricultural insecticides on larvae of the freshwater insect Chironomus dilutus. Arch. Environ. Contam. Toxicol. 63, 378–390. https://doi.org/10.1007/s00244-012-9777-0</w:t>
      </w:r>
    </w:p>
    <w:p w14:paraId="67453B28"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Lebrun, J.D., De Jesus, K., Rouillac, L., Ravelli, M., Guenne, A., Tournebize, J., 2020. Single and combined effects of insecticides on multi-level biomarkers in the non-target amphipod Gammarus fossarum exposed to environmentally realistic levels. Aquat. Toxicol. 218, 105357. https://doi.org/10.1016/j.aquatox.2019.105357</w:t>
      </w:r>
    </w:p>
    <w:p w14:paraId="65FB4E90"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Lisa, H., Patrick, W., Travis, S., Julia, E., 2018. Complex mixtures of dissolved pesticides show potential aquatic toxicity in a synoptic study of Midwestern U.S. streams. Sci. Total Environ. 613–614, 1469–1488.</w:t>
      </w:r>
    </w:p>
    <w:p w14:paraId="7501CCC4"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Liu, H., Cupp, E.W., Guo, A., Liu, N., 2004. Insecticide resistance in Alabama and Florida mosquito strains of Aedes albopictus. J. Med. Entomol. 41, 946–952. https://doi.org/10.1603/0022-2585-41.5.946</w:t>
      </w:r>
    </w:p>
    <w:p w14:paraId="61196EF7"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Loureiro, S., Svendsen, C., Ferreira, A.L.G., Pinheiro, C., Ribeiro, F., Soares, A.M.V.M., 2010. Toxicity of three binary mixtures to daphnia magna: Comparing chemical modes of action and deviations from conceptual models. Environ. Toxicol. Chem. 29, 1716–1726. https://doi.org/10.1002/etc.198</w:t>
      </w:r>
    </w:p>
    <w:p w14:paraId="27C2EBFF"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Lukančič, S., Žibrat, U., Mezek, T., Jerebic, A., Simčič, T., Brancelj, A., 2010a. Effects of exposing two non-target crustacean species, asellus aquaticus L., and Gammarus fossarum Koch., to atrazine and imidacloprid. Bull. Environ. Contam. Toxicol. 84, 85–90. https://doi.org/10.1007/s00128-009-9854-x</w:t>
      </w:r>
    </w:p>
    <w:p w14:paraId="7BE46F8C"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Lukančič, S., Žibrat, U., Mezek, T., Jerebic, A., Simčič, T., Brancelj, A., 2010b. A new method for early assessment of effects of exposing two non-target crustacean species, Asellus aquaticus and Gammarus fossarum, to pesticides, a laboratory study. Toxicol. Ind. Health 26, 217–228. https://doi.org/10.1177/0748233710362379</w:t>
      </w:r>
    </w:p>
    <w:p w14:paraId="05984CDE"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Macaulay, S.J., Buchwalter, D.B., Matthaei, C.D., 2020. Water temperature interacts with the insecticide imidacloprid to alter acute lethal and sublethal toxicity to mayfly larvae. New Zeal. J. Mar. Freshw. Res. 54, 115–130. https://doi.org/10.1080/00288330.2019.1614961</w:t>
      </w:r>
    </w:p>
    <w:p w14:paraId="3EC98FA1"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Macaulay, S.J., Hageman, K.J., Alumbaugh, R.E., Lyons, S.M., Piggott, J.J., Matthaei, C.D., 2019. Chronic Toxicities of Neonicotinoids to Nymphs of the Common New Zealand Mayfly Deleatidium spp. Environ. Toxicol. Chem. 38, 2459–2471. https://doi.org/10.1002/etc.4556</w:t>
      </w:r>
    </w:p>
    <w:p w14:paraId="5597E90E"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Malev, O., Klobucar, R.S., Fabbretti, E., Trebse, P., 2012. Comparative toxicity of imidacloprid and its transformation product 6- chloronicotinic acid to non-target aquatic organisms: Microalgae Desmodesmus subspicatus and amphipod Gammarus fossarum. Pestic. Biochem. Physiol. 104, 178–186.</w:t>
      </w:r>
    </w:p>
    <w:p w14:paraId="3FD4A88F"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lastRenderedPageBreak/>
        <w:t>Maloney, E.M., Morrissey, C.A., Headley, J. V., Peru, K.M., Liber, K., 2018. Can chronic exposure to imidacloprid, clothianidin, and thiamethoxam mixtures exert greater than additive toxicity in Chironomus dilutus? Ecotoxicol. Environ. Saf. 156, 354–365. https://doi.org/10.1016/j.ecoenv.2018.03.003</w:t>
      </w:r>
    </w:p>
    <w:p w14:paraId="5C53540F"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Maloney, E.M., Morrissey, C.A., Headley, J. V., Peru, K.M., Liber, K., 2017. Cumulative toxicity of neonicotinoid insecticide mixtures to Chironomus dilutus under acute exposure scenarios. Environ. Toxicol. Chem. 36, 3091–3101. https://doi.org/10.1002/etc.3878</w:t>
      </w:r>
    </w:p>
    <w:p w14:paraId="03CCA2B0"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Maloney, E.M., Sykes, H., Morrissey, C., Peru, K.M., Headley, J. V., Liber, K., 2020. Comparing the Acute Toxicity of Imidacloprid with Alternative Systemic Insecticides in the Aquatic Insect Chironomus dilutus. Environ. Toxicol. Chem. 39, 587–594. https://doi.org/10.1002/etc.4639</w:t>
      </w:r>
    </w:p>
    <w:p w14:paraId="5C89E83E"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Mcclure, G., Dodson, R., Erusha, K., Ph, D., 2002. Turfgrass and Environmental Research Online. Turfgrass Environ. Res. Online 1.</w:t>
      </w:r>
    </w:p>
    <w:p w14:paraId="319F761B"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Merga, L.B., Van den Brink, P.J., 2021. Ecological effects of imidacloprid on a tropical freshwater ecosystem and subsequent recovery dynamics. Sci. Total Environ. 784, 147167. https://doi.org/10.1016/j.scitotenv.2021.147167</w:t>
      </w:r>
    </w:p>
    <w:p w14:paraId="4D82ACA5"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Miles, J.C., Hua, J., Sepulveda, M.S., Krupke, C.H., Hoverman, J.T., 2017. Effects of clothianidin on aquatic communities: Evaluating the impacts of lethal and sublethal exposure to neonicotinoids. PLoS One 12, 1–24. https://doi.org/10.1371/journal.pone.0174171</w:t>
      </w:r>
    </w:p>
    <w:p w14:paraId="292610AE"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Mohr, S., Berghahn, R., Schmiediche, R., Hübner, V., Loth, S., Feibicke, M., Mailahn, W., Wogram, J., 2012. Macroinvertebrate community response to repeated short-term pulses of the insecticide imidacloprid. Aquat. Toxicol. 110–111, 25–36. https://doi.org/10.1016/j.aquatox.2011.11.016</w:t>
      </w:r>
    </w:p>
    <w:p w14:paraId="345ABBC7"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Morrissey, C.A., Mineau, P., Devries, J.H., Sanchez-Bayo, F., Liess, M., Cavallaro, M.C., Liber, K., 2015. Neonicotinoid contamination of global surface waters and associated risk to aquatic invertebrates: A review. Environ. Int. 74, 291–303. https://doi.org/10.1016/j.envint.2014.10.024</w:t>
      </w:r>
    </w:p>
    <w:p w14:paraId="17E28F99"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Neury-Ormanni, J., Vedrenne, J., Morin, S., 2020. Benthic diatom growth kinetics under combined pressures of microalgal competition, predation and chemical stressors. Sci. Total Environ. 734.</w:t>
      </w:r>
    </w:p>
    <w:p w14:paraId="69AB8CF0"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Njattuvetty Chandran, N., Fojtova, D., Blahova, L., Rozmankova, E., Blaha, L., 2018. Acute and (sub)chronic toxicity of the neonicotinoid imidacloprid on Chironomus riparius. Chemosphere 209, 568–577. https://doi.org/10.1016/j.chemosphere.2018.06.102</w:t>
      </w:r>
    </w:p>
    <w:p w14:paraId="754AC167"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Nyman, A.M., Hintermeister, A., Schirmer, K., Ashauer, R., 2013. The Insecticide Imidacloprid Causes Mortality of the Freshwater Amphipod Gammarus pulex by Interfering with Feeding Behavior. PLoS One 8. https://doi.org/10.1371/journal.pone.0062472</w:t>
      </w:r>
    </w:p>
    <w:p w14:paraId="4FEA940A"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Overmyer, J.P., Mason, B.N., Armbrust, K.L., 2005. Acute toxicity of imidacloprid and fipronil to a nontarget aquatic insect, Simulium vittatum zetterstedt cytospecies IS-7. Bull. Environ. Contam. Toxicol. 74, 872–879. https://doi.org/10.1007/s00128-005-0662-7</w:t>
      </w:r>
    </w:p>
    <w:p w14:paraId="753E14C7"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Pavlaki, M.D., Ferreira, A.L.G., Soares, A.M.V.M., Loureiro, S., 2014. Changes of chemical chronic toxicity to Daphnia magna under different food regimes. Ecotoxicol. Environ. Saf. 109, 48–55. https://doi.org/10.1016/j.ecoenv.2014.07.039</w:t>
      </w:r>
    </w:p>
    <w:p w14:paraId="69B00BA1"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Pavlaki, M.D., Pereira, R., Loureiro, S., Soares, A.M.V.M., 2011. Effects of binary mixtures on the life traits of Daphnia magna. Ecotoxicol. Environ. Saf. 74, 99–110. https://doi.org/10.1016/j.ecoenv.2010.07.010</w:t>
      </w:r>
    </w:p>
    <w:p w14:paraId="21BB0AB6"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Pestana, J.L.T., Loureiro, S., Baird, D.J., Soares, A.M.V.M., 2010. Pesticide exposure and inducible antipredator responses in the zooplankton grazer, Daphnia magna Straus. Chemosphere 78, 241–248. https://doi.org/10.1016/j.chemosphere.2009.10.066</w:t>
      </w:r>
    </w:p>
    <w:p w14:paraId="1F96BF30"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Pestana, J.L.T., Loureiro, S., Baird, D.J., Soares, A.M.V.M., 2009. Fear and loathing in the benthos: Responses of aquatic insect larvae to the pesticide imidacloprid in the presence of chemical signals of predation risk. Aquat. Toxicol. 93, 138–149. https://doi.org/10.1016/j.aquatox.2009.04.008</w:t>
      </w:r>
    </w:p>
    <w:p w14:paraId="75314A75"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Prosser, R.S., de Solla, S.R., Holman, E.A.M., Osborne, R., Robinson, S.A., Bartlett, A.J., Maisonneuve, F.J., Gillis, P.L., 2016. Sensitivity of the early-life stages of freshwater mollusks to neonicotinoid and butenolide insecticides. Environ. Pollut. 218, 428–435. https://doi.org/10.1016/j.envpol.2016.07.022</w:t>
      </w:r>
    </w:p>
    <w:p w14:paraId="7F026947"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Qi, S., Wang, D., Zhu, L., Teng, M., Wang, C., Xue, X., Wu, L., 2018. Neonicotinoid insecticides imidacloprid, guadipyr, and cycloxaprid induce acute oxidative stress in Daphnia magna. Ecotoxicol. Environ. Saf. 148, 352–358. https://doi.org/10.1016/j.ecoenv.2017.10.042</w:t>
      </w:r>
    </w:p>
    <w:p w14:paraId="1A8DD5E3"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 xml:space="preserve">Raby, M., Maloney, E., Poirier, D.G., Sibley, P.K., 2019. Acute effects of binary mixtures of imidacloprid and tebuconazole on 4 freshwater invertebrates. Environ. Toxicol. Chem. 38, 1093–1103. </w:t>
      </w:r>
      <w:r w:rsidRPr="006A78A5">
        <w:rPr>
          <w:rFonts w:ascii="Calibri" w:hAnsi="Calibri" w:cs="Calibri"/>
          <w:noProof/>
          <w:sz w:val="20"/>
          <w:szCs w:val="20"/>
        </w:rPr>
        <w:lastRenderedPageBreak/>
        <w:t>https://doi.org/10.1002/etc.4386</w:t>
      </w:r>
    </w:p>
    <w:p w14:paraId="4E531A24"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Raby, M., Nowierski, M., Perlov, D., Zhao, X., Hao, C., Poirier, D.G., Sibley, P.K., 2018a. Acute toxicity of 6 neonicotinoid insecticides to freshwater invertebrates. Environ. Toxicol. Chem. 37, 1430–1445. https://doi.org/10.1002/etc.4088</w:t>
      </w:r>
    </w:p>
    <w:p w14:paraId="651EA527"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Raby, M., Zhao, X., Hao, C., Poirier, D.G., Sibley, P.K., 2018b. Chronic toxicity of 6 neonicotinoid insecticides to Chironomus dilutus and Neocloeon triangulifer. Environ. Toxicol. Chem. 37, 2727–2739. https://doi.org/10.1002/etc.4234</w:t>
      </w:r>
    </w:p>
    <w:p w14:paraId="63B2AD58"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Raby, M., Zhao, X., Hao, C., Poirier, D.G., Sibley, P.K., 2018c. Relative chronic sensitivity of neonicotinoid insecticides to Ceriodaphnia dubia and Daphnia magna. Ecotoxicol. Environ. Saf. 163, 238–244. https://doi.org/10.1016/j.ecoenv.2018.07.086</w:t>
      </w:r>
    </w:p>
    <w:p w14:paraId="58B1038D"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Raby, M., Zhao, X., Hao, C., Poirier, D.G., Sibley, P.K., 2018d. Chronic effects of an environmentally-relevant, short-term neonicotinoid insecticide pulse on four aquatic invertebrates. Sci. Total Environ. 639, 1543–1552. https://doi.org/10.1016/j.scitotenv.2018.05.259</w:t>
      </w:r>
    </w:p>
    <w:p w14:paraId="19E2185C"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Rico, A., Arenas-Sánchez, A., Pasqualini, J., García-Astillero, A., Cherta, L., Nozal, L., Vighi, M., 2018. Effects of imidacloprid and a neonicotinoid mixture on aquatic invertebrate communities under Mediterranean conditions. Aquat. Toxicol. 204, 130–143. https://doi.org/10.1016/j.aquatox.2018.09.004</w:t>
      </w:r>
    </w:p>
    <w:p w14:paraId="11CD36A0"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Rios, F.M., Wilcoxen, T.E., Zimmerman, L.M., 2017. Effects of imidacloprid on Rana catesbeiana immune and nervous system. Chemosphere 188, 465–469. https://doi.org/10.1016/j.chemosphere.2017.08.155</w:t>
      </w:r>
    </w:p>
    <w:p w14:paraId="08B54A41"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Roessink, I., Merga, L.B., Zweers, H.J., Van den Brink, P.J., 2013. The neonicotinoid imidacloprid shows high chronic toxicity to mayfly nymphs. Environ. Toxicol. Chem. 32, 1096–1100. https://doi.org/10.1002/etc.2201</w:t>
      </w:r>
    </w:p>
    <w:p w14:paraId="2DEE66F2"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Saka, M., Tada, N., 2021. Acute and chronic toxicity tests of systemic insecticides, four neonicotinoids and fipronil, using the tadpoles of the western clawed frog Silurana tropicalis. Chemosphere 270, 129418. https://doi.org/10.1016/j.chemosphere.2020.129418</w:t>
      </w:r>
    </w:p>
    <w:p w14:paraId="2DF028C2"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Sánchez-Bayo, F., Goka, K., 2006. Influence of light in acute toxicity bioassays of imidacloprid and zinc pyrithione to zooplankton crustaceans. Aquat. Toxicol. 78, 262–271. https://doi.org/10.1016/j.aquatox.2006.03.009</w:t>
      </w:r>
    </w:p>
    <w:p w14:paraId="715861F5"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Scherer, C., Wolf, R., Völker, J., Stock, F., Brennhold, N., Reifferscheid, G., Wagner, M., 2020. Toxicity of microplastics and natural particles in the freshwater dipteran Chironomus riparius: Same same but different? Sci. Total Environ. 711. https://doi.org/10.1016/j.scitotenv.2019.134604</w:t>
      </w:r>
    </w:p>
    <w:p w14:paraId="66B2D8C8"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Shoukat, R.F., Freed, S., Ahmad, K.W., Ateeq-Ur-Rehman, 2018. Assessment of binary mixtures of entomopathogenic fungi and chemical insecticides on biological parameters of culex pipiens (diptera: Culicidae) under laboratory and field conditions. Pak. J. Zool. 50, 299–309. https://doi.org/10.17582/journal.pjz/2018.50.1.299.309</w:t>
      </w:r>
    </w:p>
    <w:p w14:paraId="76335655"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Smit, C.E., Posthuma-Doodeman, C.J.A.M., van Vlaardingen, P.L.A., de Jong, F.M.W., 2015. Ecotoxicity of Imidacloprid to Aquatic Organisms: Derivation of Water Quality Standards for Peak and Long-Term Exposure. Hum. Ecol. Risk Assess. 21, 1608–1630. https://doi.org/10.1080/10807039.2014.964071</w:t>
      </w:r>
    </w:p>
    <w:p w14:paraId="2A83E760"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Song, M.Y., Stark, J.D., Brown, J.J., 1997. Comparative toxicity of four insecticides, including imidacloprid and tebufenozide, to four aquatic arthropods. Environ. Toxicol. Chem. 16, 2494–2500. https://doi.org/10.1002/etc.5620161209</w:t>
      </w:r>
    </w:p>
    <w:p w14:paraId="21502851"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Stoughton, S.J., Liber, K., Culp, J., Cessna, A., 2008. Acute and chronic toxicity of imidacloprid to the aquatic invertebrates Chironomus tentans and Hyalella azteca under constant- and pulse-exposure conditions. Arch. Environ. Contam. Toxicol. 54, 662–673. https://doi.org/10.1007/s00244-007-9073-6</w:t>
      </w:r>
    </w:p>
    <w:p w14:paraId="1B27681F"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Tišler, T., Jemec, A., Mozetič, B., Trebše, P., 2009. Hazard identification of imidacloprid to aquatic environment. Chemosphere 76, 907–914. https://doi.org/10.1016/j.chemosphere.2009.05.002</w:t>
      </w:r>
    </w:p>
    <w:p w14:paraId="51D225AF"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Truong, L., Reif, D.M., Mary, L.S., Geier, M.C., Truong, H.D., Tanguay, R.L., 2014. Multidimensional in vivo hazard assessment using zebrafish. Toxicol. Sci. 137, 212–233. https://doi.org/10.1093/toxsci/kft235</w:t>
      </w:r>
    </w:p>
    <w:p w14:paraId="05FC7BCD"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Van den Brink, P.J., Van Smeden, J.M., Bekele, R.S., Dierick, W., De Gelder, D.M., Noteboom, M., Roessink, I., 2016. Acute and chronic toxicity of neonicotinoids to nymphs of a mayfly species and some notes on seasonal differences. Environ. Toxicol. Chem. 35, 128–133. https://doi.org/10.1002/etc.3152</w:t>
      </w:r>
    </w:p>
    <w:p w14:paraId="4226170D"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Vehovsky, A., Farkas, A., Csikos, V., Szekacs, A., Mortl, M., Gyori, J., 2015. Neonicotinoid insecticides are potential substrates of the multixenobiotic resistance (MXR) mechanism in the non-target invertebrate, Dreissena sp. Aquat. Toxicol. 205, 148–155.</w:t>
      </w:r>
    </w:p>
    <w:p w14:paraId="4A4F34AC"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 xml:space="preserve">Wang, Y., Yang, G., Dai, D., Xu, Z., Cai, L., Wang, Q., Yu, Y., 2017. Individual and mixture effects of five agricultural pesticides on zebrafish (Danio rerio) larvae. Environ. Sci. Pollut. Res. 24, 4528–4536. </w:t>
      </w:r>
      <w:r w:rsidRPr="006A78A5">
        <w:rPr>
          <w:rFonts w:ascii="Calibri" w:hAnsi="Calibri" w:cs="Calibri"/>
          <w:noProof/>
          <w:sz w:val="20"/>
          <w:szCs w:val="20"/>
        </w:rPr>
        <w:lastRenderedPageBreak/>
        <w:t>https://doi.org/10.1007/s11356-016-8205-9</w:t>
      </w:r>
    </w:p>
    <w:p w14:paraId="5BA49A5A"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Whitfield-Aslund, M., Winchell, M., Bowers, L., McGee, S., Tang, J., Padilla, L., Greer, C., Knopper, L., Moore, D.R.J., 2017. Ecological risk assessment for aquatic invertebrate communities exposed to imidacloprid as a result of labeled agricultural and nonagricultural uses in the United States. Environ. Toxicol. Chem. 36, 1375–1388. https://doi.org/10.1002/etc.3655</w:t>
      </w:r>
    </w:p>
    <w:p w14:paraId="54C24FCD"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Wolfram, J., Stehle, S., Bub, S., Petschick, L.L., Schulz, R., 2018. Meta-Analysis of Insecticides in United States Surface Waters: Status and Future Implications. Environ. Sci. Technol. 52, 14452–14460. https://doi.org/10.1021/acs.est.8b04651</w:t>
      </w:r>
    </w:p>
    <w:p w14:paraId="3D7C54E6"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Wu, S., Li, X., Liu, X., Yang, G., An, X., Wang, Q., Wang, Y., 2018. Joint toxic effects of triazophos and imidacloprid on zebrafish (Danio rerio). Environ. Pollut. 235, 470–481. https://doi.org/10.1016/j.envpol.2017.12.120</w:t>
      </w:r>
    </w:p>
    <w:p w14:paraId="65D1C4D5"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Xia, Xiaohua, Xia, Xiaopei, Huo, W., Dong, H., Zhang, L., Chang, Z., 2016. Toxic effects of imidacloprid on adult loach (Misgurnus anguillicaudatus). Environ. Toxicol. Pharmacol. 45, 132–139. https://doi.org/10.1016/j.etap.2016.05.030</w:t>
      </w:r>
    </w:p>
    <w:p w14:paraId="3B7911F2"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Xiong, J., Wang, Z., Ma, X., Li, H., You, J., 2019. Occurrence and risk of neonicotinoid insecticides in surface water in a rapidly developing region: Application of polar organic chemical integrative samplers. Sci. Total Environ. 648, 1305–1312. https://doi.org/10.1016/j.scitotenv.2018.08.256</w:t>
      </w:r>
    </w:p>
    <w:p w14:paraId="2EB24057"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Yokoyama, A., Ohtsu, K., Iwafune, T., Nagai, T., Ishihara, S., Kobara, Y., Horio, T., Endo, S., 2009. A useful new insecticide bioassay using first-instar larvae of a net-spinning caddisfly, Cheumatopsyche brevilineata (Trichoptera: Hydropsychidae). J. Pestic. Sci. 34, 13–20. https://doi.org/10.1584/jpestics.G08-26</w:t>
      </w:r>
    </w:p>
    <w:p w14:paraId="075B11C4"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Yozzo, K.L., Isales, G.M., Raftery, T.D., Volz, D.C., 2013. High-content screening assay for identification of chemicals impacting cardiovascular function in zebrafish embryos. Environ. Sci. Technol. 47, 11302–11310. https://doi.org/10.1021/es403360y</w:t>
      </w:r>
    </w:p>
    <w:p w14:paraId="4BC53C9B" w14:textId="77777777" w:rsidR="00804EF7" w:rsidRPr="006A78A5" w:rsidRDefault="00804EF7" w:rsidP="00804EF7">
      <w:pPr>
        <w:widowControl w:val="0"/>
        <w:autoSpaceDE w:val="0"/>
        <w:autoSpaceDN w:val="0"/>
        <w:adjustRightInd w:val="0"/>
        <w:ind w:left="480" w:hanging="480"/>
        <w:rPr>
          <w:rFonts w:ascii="Calibri" w:hAnsi="Calibri" w:cs="Calibri"/>
          <w:noProof/>
          <w:sz w:val="20"/>
          <w:szCs w:val="20"/>
        </w:rPr>
      </w:pPr>
      <w:r w:rsidRPr="006A78A5">
        <w:rPr>
          <w:rFonts w:ascii="Calibri" w:hAnsi="Calibri" w:cs="Calibri"/>
          <w:noProof/>
          <w:sz w:val="20"/>
          <w:szCs w:val="20"/>
        </w:rPr>
        <w:t>Zaror, C., Segura, C., Mansilla, H., Mondaca, M.A., González, P., 2008. Effect of temperature on Imidacloprid oxidation by homogeneous photo-Fenton processes. Water Sci. Technol. 58, 259–265. https://doi.org/10.2166/wst.2008.661</w:t>
      </w:r>
    </w:p>
    <w:p w14:paraId="42836AD5" w14:textId="0967B370" w:rsidR="00050664" w:rsidRPr="00D252B5" w:rsidRDefault="00BA5287">
      <w:pPr>
        <w:rPr>
          <w:rFonts w:cstheme="minorHAnsi"/>
          <w:b/>
          <w:bCs/>
        </w:rPr>
      </w:pPr>
      <w:r w:rsidRPr="006A78A5">
        <w:rPr>
          <w:rFonts w:cstheme="minorHAnsi"/>
          <w:b/>
          <w:bCs/>
          <w:sz w:val="20"/>
          <w:szCs w:val="20"/>
        </w:rPr>
        <w:fldChar w:fldCharType="end"/>
      </w:r>
    </w:p>
    <w:p w14:paraId="58FA9F72" w14:textId="0F5A27E2" w:rsidR="00A735E6" w:rsidRDefault="00A735E6">
      <w:pPr>
        <w:rPr>
          <w:rFonts w:cstheme="minorHAnsi"/>
        </w:rPr>
      </w:pPr>
      <w:r>
        <w:rPr>
          <w:rFonts w:cstheme="minorHAnsi"/>
        </w:rPr>
        <w:br w:type="page"/>
      </w:r>
    </w:p>
    <w:p w14:paraId="02552B6B" w14:textId="77777777" w:rsidR="00AB1145" w:rsidRPr="00900D0C" w:rsidRDefault="00AB1145" w:rsidP="00AB1145">
      <w:pPr>
        <w:rPr>
          <w:b/>
          <w:bCs/>
          <w:sz w:val="28"/>
          <w:szCs w:val="28"/>
        </w:rPr>
      </w:pPr>
      <w:r w:rsidRPr="00900D0C">
        <w:rPr>
          <w:b/>
          <w:bCs/>
          <w:sz w:val="28"/>
          <w:szCs w:val="28"/>
        </w:rPr>
        <w:lastRenderedPageBreak/>
        <w:t xml:space="preserve">Development of Aquatic Life Values for </w:t>
      </w:r>
      <w:r>
        <w:rPr>
          <w:b/>
          <w:bCs/>
          <w:sz w:val="28"/>
          <w:szCs w:val="28"/>
        </w:rPr>
        <w:t>Clothianidin</w:t>
      </w:r>
      <w:r w:rsidRPr="00900D0C">
        <w:rPr>
          <w:b/>
          <w:bCs/>
          <w:sz w:val="28"/>
          <w:szCs w:val="28"/>
        </w:rPr>
        <w:t xml:space="preserve"> (CAS</w:t>
      </w:r>
      <w:r>
        <w:rPr>
          <w:b/>
          <w:bCs/>
          <w:sz w:val="28"/>
          <w:szCs w:val="28"/>
        </w:rPr>
        <w:t xml:space="preserve"> 210880-92-5</w:t>
      </w:r>
      <w:r w:rsidRPr="00900D0C">
        <w:rPr>
          <w:b/>
          <w:bCs/>
          <w:sz w:val="28"/>
          <w:szCs w:val="28"/>
        </w:rPr>
        <w:t>)</w:t>
      </w:r>
    </w:p>
    <w:p w14:paraId="186F6311" w14:textId="77777777" w:rsidR="00AB1145" w:rsidRPr="000E3EDB" w:rsidRDefault="00AB1145" w:rsidP="00AB1145">
      <w:r w:rsidRPr="000E3EDB">
        <w:t>Date:</w:t>
      </w:r>
      <w:r>
        <w:t xml:space="preserve"> October 20, 2022</w:t>
      </w:r>
    </w:p>
    <w:p w14:paraId="043849B1" w14:textId="77777777" w:rsidR="00AB1145" w:rsidRPr="000E3EDB" w:rsidRDefault="00AB1145" w:rsidP="00AB1145">
      <w:r w:rsidRPr="000E3EDB">
        <w:t>By: Sara Nedrich</w:t>
      </w:r>
    </w:p>
    <w:p w14:paraId="7E6FAC7E" w14:textId="77777777" w:rsidR="00AB1145" w:rsidRDefault="00AB1145" w:rsidP="00AB1145">
      <w:pPr>
        <w:rPr>
          <w:b/>
          <w:bCs/>
        </w:rPr>
      </w:pPr>
    </w:p>
    <w:p w14:paraId="1D394986" w14:textId="77777777" w:rsidR="00AB1145" w:rsidRPr="00406BE7" w:rsidRDefault="00AB1145" w:rsidP="00AB1145">
      <w:pPr>
        <w:rPr>
          <w:b/>
          <w:bCs/>
        </w:rPr>
      </w:pPr>
      <w:r>
        <w:rPr>
          <w:b/>
          <w:bCs/>
        </w:rPr>
        <w:t>Literature Search Overview</w:t>
      </w:r>
    </w:p>
    <w:p w14:paraId="39C654F3" w14:textId="77777777" w:rsidR="00AB1145" w:rsidRPr="007D13E1" w:rsidRDefault="00AB1145" w:rsidP="00AB1145">
      <w:r w:rsidRPr="007D13E1">
        <w:t xml:space="preserve">A </w:t>
      </w:r>
      <w:proofErr w:type="spellStart"/>
      <w:r w:rsidRPr="007D13E1">
        <w:t>Scifinder</w:t>
      </w:r>
      <w:proofErr w:type="spellEnd"/>
      <w:r w:rsidRPr="007D13E1">
        <w:t xml:space="preserve"> literature search was conducted on December 13</w:t>
      </w:r>
      <w:r w:rsidRPr="007D13E1">
        <w:rPr>
          <w:vertAlign w:val="superscript"/>
        </w:rPr>
        <w:t>th</w:t>
      </w:r>
      <w:r w:rsidRPr="007D13E1">
        <w:t xml:space="preserve">, 2021, and included a reference search via CAS ‘210880-92-5’. The search terms were refined by language (English), and search terms ‘aquatic’ AND one of the following: ‘LC50’, ‘EC50’, ‘chronic’, or ‘acute’.  The resulting 42 abstracts were reviewed (Appendix A), and </w:t>
      </w:r>
      <w:r>
        <w:t>21</w:t>
      </w:r>
      <w:r w:rsidRPr="007D13E1">
        <w:t xml:space="preserve"> articles were sufficiently relevant to be selected for full article review. </w:t>
      </w:r>
    </w:p>
    <w:p w14:paraId="08B5BBC2" w14:textId="77777777" w:rsidR="00AB1145" w:rsidRPr="003F090C" w:rsidRDefault="00AB1145" w:rsidP="00AB1145">
      <w:pPr>
        <w:rPr>
          <w:i/>
          <w:iCs/>
        </w:rPr>
      </w:pPr>
    </w:p>
    <w:p w14:paraId="3EF0ADE9" w14:textId="77777777" w:rsidR="00AB1145" w:rsidRPr="000F3134" w:rsidRDefault="00AB1145" w:rsidP="00AB1145">
      <w:r w:rsidRPr="000F3134">
        <w:t>An ECOTOX search from was conducted on December 13</w:t>
      </w:r>
      <w:r w:rsidRPr="000F3134">
        <w:rPr>
          <w:vertAlign w:val="superscript"/>
        </w:rPr>
        <w:t>th</w:t>
      </w:r>
      <w:r w:rsidRPr="000F3134">
        <w:t xml:space="preserve">, 2021, for CAS # 210880-92-5, with any studies including aqueous (salt or freshwater) or unreported exposure media. This search yielded 33 references. References that included species non-resident to the United States or studies with inadequate endpoints or test durations were excluded. This resulted in 10 additional publications selected for full article review. </w:t>
      </w:r>
      <w:r>
        <w:t xml:space="preserve">Additional applicable studies included in the USEPA Pesticide Ecotoxicity Database were requested from the EPA through the Freedom of Information Act (FOIA) on January 24, 2022. The EPA studies were received on October 4, 2022 and reviewed for applicability. During the extended review period, one additional study was identified for review by a google scholar alert and was included in our review. </w:t>
      </w:r>
    </w:p>
    <w:p w14:paraId="324C9278" w14:textId="77777777" w:rsidR="00AB1145" w:rsidRPr="003F090C" w:rsidRDefault="00AB1145" w:rsidP="00AB1145">
      <w:pPr>
        <w:rPr>
          <w:i/>
          <w:iCs/>
        </w:rPr>
      </w:pPr>
    </w:p>
    <w:p w14:paraId="3E9BE2BB" w14:textId="77777777" w:rsidR="00AB1145" w:rsidRDefault="00AB1145" w:rsidP="00AB1145">
      <w:r w:rsidRPr="00A04E3A">
        <w:t xml:space="preserve">The full article review resulted in </w:t>
      </w:r>
      <w:r>
        <w:t>9</w:t>
      </w:r>
      <w:r w:rsidRPr="00A04E3A">
        <w:t xml:space="preserve"> articles of acceptable data quality to be used in calculation of aquatic life values for clothianidin. These articles were classed as type 1 (accept without reservations) or type 2 (accept with reservations). Table 1 includes a list of the acceptable studies and information on any reservations. The articles that were reviewed in full and rejected were grouped into several ‘rejection’ classes as described in Table 2. </w:t>
      </w:r>
    </w:p>
    <w:p w14:paraId="7D55F14D" w14:textId="77777777" w:rsidR="00AB1145" w:rsidRPr="002F2BB9" w:rsidRDefault="00AB1145" w:rsidP="00AB1145"/>
    <w:p w14:paraId="65172137" w14:textId="77777777" w:rsidR="00AB1145" w:rsidRDefault="00AB1145" w:rsidP="00AB1145">
      <w:pPr>
        <w:rPr>
          <w:b/>
          <w:bCs/>
        </w:rPr>
      </w:pPr>
      <w:r w:rsidRPr="00FF0BA5">
        <w:rPr>
          <w:b/>
          <w:bCs/>
        </w:rPr>
        <w:t xml:space="preserve">Aquatic Life </w:t>
      </w:r>
      <w:r>
        <w:rPr>
          <w:b/>
          <w:bCs/>
        </w:rPr>
        <w:t>Values</w:t>
      </w:r>
    </w:p>
    <w:p w14:paraId="436219C4" w14:textId="77777777" w:rsidR="00AB1145" w:rsidRPr="000900A6" w:rsidRDefault="00AB1145" w:rsidP="00AB1145">
      <w:r w:rsidRPr="003E6FF2">
        <w:t xml:space="preserve">Tier II aquatic life values were developed for clothianidin. Data lacking for development of Tier I values </w:t>
      </w:r>
      <w:r w:rsidRPr="003E6FF2">
        <w:rPr>
          <w:shd w:val="clear" w:color="auto" w:fill="FFFFFF" w:themeFill="background1"/>
        </w:rPr>
        <w:t xml:space="preserve">included an acceptable salmonid fish study for acute and chronic endpoints. The tier II final acute value (FAV) is 0.58 </w:t>
      </w:r>
      <w:r w:rsidRPr="003E6FF2">
        <w:rPr>
          <w:rFonts w:cstheme="minorHAnsi"/>
          <w:shd w:val="clear" w:color="auto" w:fill="FFFFFF" w:themeFill="background1"/>
        </w:rPr>
        <w:t>µ</w:t>
      </w:r>
      <w:r w:rsidRPr="003E6FF2">
        <w:rPr>
          <w:shd w:val="clear" w:color="auto" w:fill="FFFFFF" w:themeFill="background1"/>
        </w:rPr>
        <w:t>g</w:t>
      </w:r>
      <w:r>
        <w:rPr>
          <w:shd w:val="clear" w:color="auto" w:fill="FFFFFF" w:themeFill="background1"/>
        </w:rPr>
        <w:t>/</w:t>
      </w:r>
      <w:r w:rsidRPr="003E6FF2">
        <w:rPr>
          <w:shd w:val="clear" w:color="auto" w:fill="FFFFFF" w:themeFill="background1"/>
        </w:rPr>
        <w:t xml:space="preserve">L and the acute maximum value (AMV) is 0.29 </w:t>
      </w:r>
      <w:r w:rsidRPr="003E6FF2">
        <w:rPr>
          <w:rFonts w:cstheme="minorHAnsi"/>
          <w:shd w:val="clear" w:color="auto" w:fill="FFFFFF" w:themeFill="background1"/>
        </w:rPr>
        <w:t>µ</w:t>
      </w:r>
      <w:r w:rsidRPr="003E6FF2">
        <w:rPr>
          <w:shd w:val="clear" w:color="auto" w:fill="FFFFFF" w:themeFill="background1"/>
        </w:rPr>
        <w:t>g</w:t>
      </w:r>
      <w:r>
        <w:rPr>
          <w:shd w:val="clear" w:color="auto" w:fill="FFFFFF" w:themeFill="background1"/>
        </w:rPr>
        <w:t>/</w:t>
      </w:r>
      <w:r w:rsidRPr="003E6FF2">
        <w:rPr>
          <w:shd w:val="clear" w:color="auto" w:fill="FFFFFF" w:themeFill="background1"/>
        </w:rPr>
        <w:t xml:space="preserve">L. The tier II FCV is 0.081 </w:t>
      </w:r>
      <w:r w:rsidRPr="003E6FF2">
        <w:rPr>
          <w:rFonts w:cstheme="minorHAnsi"/>
          <w:shd w:val="clear" w:color="auto" w:fill="FFFFFF" w:themeFill="background1"/>
        </w:rPr>
        <w:t>µ</w:t>
      </w:r>
      <w:r w:rsidRPr="003E6FF2">
        <w:rPr>
          <w:shd w:val="clear" w:color="auto" w:fill="FFFFFF" w:themeFill="background1"/>
        </w:rPr>
        <w:t>g</w:t>
      </w:r>
      <w:r>
        <w:rPr>
          <w:shd w:val="clear" w:color="auto" w:fill="FFFFFF" w:themeFill="background1"/>
        </w:rPr>
        <w:t>/</w:t>
      </w:r>
      <w:r w:rsidRPr="003E6FF2">
        <w:rPr>
          <w:shd w:val="clear" w:color="auto" w:fill="FFFFFF" w:themeFill="background1"/>
        </w:rPr>
        <w:t>L.</w:t>
      </w:r>
      <w:r>
        <w:t xml:space="preserve"> </w:t>
      </w:r>
    </w:p>
    <w:p w14:paraId="2583456D" w14:textId="77777777" w:rsidR="00AB1145" w:rsidRPr="002F2BB9" w:rsidRDefault="00AB1145" w:rsidP="00AB1145"/>
    <w:p w14:paraId="380B3C8B" w14:textId="77777777" w:rsidR="00AB1145" w:rsidRPr="00D320BA" w:rsidRDefault="00AB1145" w:rsidP="00AB1145"/>
    <w:p w14:paraId="221E6116" w14:textId="77777777" w:rsidR="00AB1145" w:rsidRDefault="00AB1145" w:rsidP="00AB1145">
      <w:r>
        <w:br w:type="page"/>
      </w:r>
    </w:p>
    <w:p w14:paraId="027F5280" w14:textId="77777777" w:rsidR="00AB1145" w:rsidRDefault="00AB1145" w:rsidP="00AB1145">
      <w:r>
        <w:lastRenderedPageBreak/>
        <w:t>Table 1. Acceptable studies included in aquatic life value calculations (WQ = water quality).</w:t>
      </w:r>
    </w:p>
    <w:tbl>
      <w:tblPr>
        <w:tblStyle w:val="GridTable6Colorful"/>
        <w:tblW w:w="9535" w:type="dxa"/>
        <w:tblLook w:val="04A0" w:firstRow="1" w:lastRow="0" w:firstColumn="1" w:lastColumn="0" w:noHBand="0" w:noVBand="1"/>
      </w:tblPr>
      <w:tblGrid>
        <w:gridCol w:w="3235"/>
        <w:gridCol w:w="1170"/>
        <w:gridCol w:w="5130"/>
      </w:tblGrid>
      <w:tr w:rsidR="00AB1145" w:rsidRPr="008B21A0" w14:paraId="06B2C374" w14:textId="77777777" w:rsidTr="00FF13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698CB33E" w14:textId="77777777" w:rsidR="00AB1145" w:rsidRPr="008B21A0" w:rsidRDefault="00AB1145" w:rsidP="00FF13D1">
            <w:r w:rsidRPr="008B21A0">
              <w:t>Reference</w:t>
            </w:r>
          </w:p>
        </w:tc>
        <w:tc>
          <w:tcPr>
            <w:tcW w:w="1170" w:type="dxa"/>
          </w:tcPr>
          <w:p w14:paraId="55C53AF3" w14:textId="77777777" w:rsidR="00AB1145" w:rsidRPr="008B21A0" w:rsidRDefault="00AB1145" w:rsidP="00FF13D1">
            <w:pPr>
              <w:cnfStyle w:val="100000000000" w:firstRow="1" w:lastRow="0" w:firstColumn="0" w:lastColumn="0" w:oddVBand="0" w:evenVBand="0" w:oddHBand="0" w:evenHBand="0" w:firstRowFirstColumn="0" w:firstRowLastColumn="0" w:lastRowFirstColumn="0" w:lastRowLastColumn="0"/>
            </w:pPr>
            <w:r w:rsidRPr="008B21A0">
              <w:t>Type?</w:t>
            </w:r>
          </w:p>
        </w:tc>
        <w:tc>
          <w:tcPr>
            <w:tcW w:w="5130" w:type="dxa"/>
          </w:tcPr>
          <w:p w14:paraId="0A735C90" w14:textId="77777777" w:rsidR="00AB1145" w:rsidRPr="008B21A0" w:rsidRDefault="00AB1145" w:rsidP="00FF13D1">
            <w:pPr>
              <w:cnfStyle w:val="100000000000" w:firstRow="1" w:lastRow="0" w:firstColumn="0" w:lastColumn="0" w:oddVBand="0" w:evenVBand="0" w:oddHBand="0" w:evenHBand="0" w:firstRowFirstColumn="0" w:firstRowLastColumn="0" w:lastRowFirstColumn="0" w:lastRowLastColumn="0"/>
            </w:pPr>
            <w:r w:rsidRPr="008B21A0">
              <w:t>Reservations (if any)</w:t>
            </w:r>
          </w:p>
        </w:tc>
      </w:tr>
      <w:tr w:rsidR="00AB1145" w14:paraId="613D9741"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1300E307" w14:textId="77777777" w:rsidR="00AB1145" w:rsidRPr="008B21A0" w:rsidRDefault="00AB1145" w:rsidP="00FF13D1">
            <w:pPr>
              <w:rPr>
                <w:b w:val="0"/>
                <w:bCs w:val="0"/>
              </w:rPr>
            </w:pPr>
            <w:r>
              <w:fldChar w:fldCharType="begin" w:fldLock="1"/>
            </w:r>
            <w:r>
              <w:rPr>
                <w:b w:val="0"/>
                <w:bCs w:val="0"/>
              </w:rPr>
              <w:instrText>ADDIN CSL_CITATION {"citationItems":[{"id":"ITEM-1","itemData":{"DOI":"10.1002/ps.1817","ISSN":"1526498X","PMID":"19623546","abstract":"Background: Most insecticides used to control rice water weevil (Lissorhoptrus oryzophilus Kuscel) infestations are pyrethroids. However, pyrethroids are highly toxic to non-target crayfish associated with rice-crayfish crop rotations. One solution to the near-exclusive reliance on pyrethroids in a rice-crayfish pest management program is to incorporate neonicotinoid insecticides, which are insect specific and effective against weevils but not extremely toxic to crayfish. This study aimed to take the first step to assess neonicotinoids as alternatives to pyrethroids in rice-crayfish crop rotations by measuring the acute toxicities of three candidate neonicotinoid insecticides, clothianidin, dinotefuran and thiamethoxam, to juvenile Procambarus clarkii (Girard) crayfish and comparing them with the acute toxicities of two currently used pyrethroid insecticides, lambda-cyhalothrin and etofenprox. Results: Neonicotinoid insecticides are at least 2-3 orders of magnitude less acutely toxic (96 h LC50) than pyrethroids to juvenile Procambarid crayfish: lambda-cyhalothrin (0.16 μg AI L-1) = etofenprox (0.29 μg AI L-1) clothianidin (59 μg AI L-1) &gt; thiamethoxam (967 μg AI L-1) &gt; dinotefuran (2032 μg AI L-1). Conclusion: Neonicotinoid insecticides appear to be much less hazardous alternatives to pyrethroids in rice-crayfish crop rotations. Further field-level neonicotinoid acute and chronic toxicity testing with crayfish is needed. © 2009 Society of Chemical Industry.","author":[{"dropping-particle":"","family":"Barbee","given":"Gary C.","non-dropping-particle":"","parse-names":false,"suffix":""},{"dropping-particle":"","family":"Stout","given":"Michael J.","non-dropping-particle":"","parse-names":false,"suffix":""}],"container-title":"Pest Management Science","id":"ITEM-1","issue":"11","issued":{"date-parts":[["2009"]]},"note":"Accept with reservations. They were field collected specimens - also an invasive crayfish. LC50 (survival) = 59 ug/L. appears they used unmeasured concentrations...","page":"1250-1256","title":"Comparative acute toxicity of neonicotinoid and pyrethroid insecticides to non-target crayfish (Procambarus clarkii) associated with rice-crayfish crop rotations","type":"article-journal","volume":"65"},"uris":["http://www.mendeley.com/documents/?uuid=0b5bea5e-6229-4b8d-9f47-cf8ecb65fb92"]}],"mendeley":{"formattedCitation":"(Barbee and Stout, 2009)","plainTextFormattedCitation":"(Barbee and Stout, 2009)","previouslyFormattedCitation":"(Barbee and Stout, 2009)"},"properties":{"noteIndex":0},"schema":"https://github.com/citation-style-language/schema/raw/master/csl-citation.json"}</w:instrText>
            </w:r>
            <w:r>
              <w:fldChar w:fldCharType="separate"/>
            </w:r>
            <w:r w:rsidRPr="009D0A34">
              <w:rPr>
                <w:b w:val="0"/>
                <w:bCs w:val="0"/>
                <w:noProof/>
              </w:rPr>
              <w:t>(Barbee and Stout, 2009)</w:t>
            </w:r>
            <w:r>
              <w:fldChar w:fldCharType="end"/>
            </w:r>
          </w:p>
        </w:tc>
        <w:tc>
          <w:tcPr>
            <w:tcW w:w="1170" w:type="dxa"/>
          </w:tcPr>
          <w:p w14:paraId="24124BA0" w14:textId="77777777" w:rsidR="00AB1145" w:rsidRPr="008B21A0" w:rsidRDefault="00AB1145" w:rsidP="00FF13D1">
            <w:pPr>
              <w:cnfStyle w:val="000000100000" w:firstRow="0" w:lastRow="0" w:firstColumn="0" w:lastColumn="0" w:oddVBand="0" w:evenVBand="0" w:oddHBand="1" w:evenHBand="0" w:firstRowFirstColumn="0" w:firstRowLastColumn="0" w:lastRowFirstColumn="0" w:lastRowLastColumn="0"/>
            </w:pPr>
            <w:r>
              <w:t>Acute-2</w:t>
            </w:r>
          </w:p>
        </w:tc>
        <w:tc>
          <w:tcPr>
            <w:tcW w:w="5130" w:type="dxa"/>
          </w:tcPr>
          <w:p w14:paraId="6CEC08EC"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t>Nominal concentrations</w:t>
            </w:r>
          </w:p>
          <w:p w14:paraId="361F30BC"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t>Field collected specimens</w:t>
            </w:r>
          </w:p>
          <w:p w14:paraId="659D5E75" w14:textId="77777777" w:rsidR="00AB1145" w:rsidRPr="008B21A0" w:rsidRDefault="00AB1145" w:rsidP="00FF13D1">
            <w:pPr>
              <w:cnfStyle w:val="000000100000" w:firstRow="0" w:lastRow="0" w:firstColumn="0" w:lastColumn="0" w:oddVBand="0" w:evenVBand="0" w:oddHBand="1" w:evenHBand="0" w:firstRowFirstColumn="0" w:firstRowLastColumn="0" w:lastRowFirstColumn="0" w:lastRowLastColumn="0"/>
            </w:pPr>
            <w:r>
              <w:t>Invasive species of crayfish tested</w:t>
            </w:r>
          </w:p>
        </w:tc>
      </w:tr>
      <w:tr w:rsidR="00AB1145" w14:paraId="5EC1D0DB" w14:textId="77777777" w:rsidTr="00FF13D1">
        <w:tc>
          <w:tcPr>
            <w:cnfStyle w:val="001000000000" w:firstRow="0" w:lastRow="0" w:firstColumn="1" w:lastColumn="0" w:oddVBand="0" w:evenVBand="0" w:oddHBand="0" w:evenHBand="0" w:firstRowFirstColumn="0" w:firstRowLastColumn="0" w:lastRowFirstColumn="0" w:lastRowLastColumn="0"/>
            <w:tcW w:w="3235" w:type="dxa"/>
          </w:tcPr>
          <w:p w14:paraId="12E06FE8" w14:textId="77777777" w:rsidR="00AB1145" w:rsidRPr="003A53DE" w:rsidRDefault="00AB1145" w:rsidP="00FF13D1">
            <w:pPr>
              <w:rPr>
                <w:b w:val="0"/>
                <w:bCs w:val="0"/>
              </w:rPr>
            </w:pPr>
            <w:r>
              <w:fldChar w:fldCharType="begin" w:fldLock="1"/>
            </w:r>
            <w:r>
              <w:rPr>
                <w:b w:val="0"/>
                <w:bCs w:val="0"/>
              </w:rPr>
              <w:instrText>ADDIN CSL_CITATION {"citationItems":[{"id":"ITEM-1","itemData":{"DOI":"10.1002/etc.2800","ISSN":"15528618","PMID":"25376402","abstract":"Despite the extensive use of the neonicotinoid insecticide clothianidin, and its known toxicity to beneficial insects such as pollinators, little attention has been given to its fate under agricultural field conditions. The present study investigated the fate and toxicity of clothianidin applied every other year as a corn seed-coating at 2 different rates, 0.25mg/seed and 0.50mg/seed, in an agricultural field undergoing a corn-soybean annual rotation, and conservation tillage. Concentrations were measured in soil, surface runoff, infiltration, and groundwater from 2011 to 2013. Clothianidin was detected at low concentrations in soil and water throughout the 2-yr corn and soybean rotation. Low and no-tillage had little or no effect on clothianidin concentrations. Laboratory toxicity bioassays were performed on nontarget species, including Daphnia magna, Hyalella azteca, Chironomus dilutus, Pimephales promelas and Eisenia fetida. Risk quotients were calculated from clothianidin concentrations measured in the field and compared with the laboratory toxicity bioassay results to assess the environmental risk of the insecticide. The risk quotient was found to be lower than the level of concern for C. dilutus, which was the most sensitive species tested; therefore, no short-term environmental risk was expected for the species investigated in the present study.","author":[{"dropping-particle":"","family":"Perre","given":"Chloé","non-dropping-particle":"de","parse-names":false,"suffix":""},{"dropping-particle":"","family":"Murphy","given":"Tracye M.","non-dropping-particle":"","parse-names":false,"suffix":""},{"dropping-particle":"","family":"Lydy","given":"Michael J.","non-dropping-particle":"","parse-names":false,"suffix":""}],"container-title":"Environmental Toxicology and Chemistry","id":"ITEM-1","issue":"2","issued":{"date-parts":[["2015"]]},"note":"Accept with reservations. H. azteca were fed. water quality not provided for pH, but control data adequate.\n\nNeed email to author on control data. Sent email on 1/11/22. Sent reminder email 1/26/22. \n\nAuthors confirmed water quality via email (DO only). Did not have more specific control data but I checked cited methodology and it's all EPA for the species I'm interested in. \n\nCannot use E. fetida data. H. azteca were fed - maybe cannot use.","page":"258-265","title":"Fate and effects of clothianidin in fields using conservation practices","type":"article-journal","volume":"34"},"uris":["http://www.mendeley.com/documents/?uuid=fedfb70a-aa56-4907-a42e-83b478e22af7"]}],"mendeley":{"formattedCitation":"(de Perre et al., 2015)","plainTextFormattedCitation":"(de Perre et al., 2015)","previouslyFormattedCitation":"(de Perre et al., 2015)"},"properties":{"noteIndex":0},"schema":"https://github.com/citation-style-language/schema/raw/master/csl-citation.json"}</w:instrText>
            </w:r>
            <w:r>
              <w:fldChar w:fldCharType="separate"/>
            </w:r>
            <w:r w:rsidRPr="003A53DE">
              <w:rPr>
                <w:b w:val="0"/>
                <w:bCs w:val="0"/>
                <w:noProof/>
              </w:rPr>
              <w:t>(de Perre et al., 2015)</w:t>
            </w:r>
            <w:r>
              <w:fldChar w:fldCharType="end"/>
            </w:r>
          </w:p>
        </w:tc>
        <w:tc>
          <w:tcPr>
            <w:tcW w:w="1170" w:type="dxa"/>
          </w:tcPr>
          <w:p w14:paraId="4731E236" w14:textId="77777777" w:rsidR="00AB1145" w:rsidRDefault="00AB1145" w:rsidP="00FF13D1">
            <w:pPr>
              <w:cnfStyle w:val="000000000000" w:firstRow="0" w:lastRow="0" w:firstColumn="0" w:lastColumn="0" w:oddVBand="0" w:evenVBand="0" w:oddHBand="0" w:evenHBand="0" w:firstRowFirstColumn="0" w:firstRowLastColumn="0" w:lastRowFirstColumn="0" w:lastRowLastColumn="0"/>
            </w:pPr>
            <w:r>
              <w:t>Acute-2</w:t>
            </w:r>
          </w:p>
        </w:tc>
        <w:tc>
          <w:tcPr>
            <w:tcW w:w="5130" w:type="dxa"/>
          </w:tcPr>
          <w:p w14:paraId="5FBFFDAB" w14:textId="77777777" w:rsidR="00AB1145" w:rsidRDefault="00AB1145" w:rsidP="00FF13D1">
            <w:pPr>
              <w:cnfStyle w:val="000000000000" w:firstRow="0" w:lastRow="0" w:firstColumn="0" w:lastColumn="0" w:oddVBand="0" w:evenVBand="0" w:oddHBand="0" w:evenHBand="0" w:firstRowFirstColumn="0" w:firstRowLastColumn="0" w:lastRowFirstColumn="0" w:lastRowLastColumn="0"/>
            </w:pPr>
            <w:r>
              <w:rPr>
                <w:i/>
                <w:iCs/>
              </w:rPr>
              <w:t>H. azteca</w:t>
            </w:r>
            <w:r>
              <w:t xml:space="preserve"> were fed</w:t>
            </w:r>
          </w:p>
          <w:p w14:paraId="637370F8" w14:textId="77777777" w:rsidR="00AB1145" w:rsidRPr="0038677E" w:rsidRDefault="00AB1145" w:rsidP="00FF13D1">
            <w:pPr>
              <w:cnfStyle w:val="000000000000" w:firstRow="0" w:lastRow="0" w:firstColumn="0" w:lastColumn="0" w:oddVBand="0" w:evenVBand="0" w:oddHBand="0" w:evenHBand="0" w:firstRowFirstColumn="0" w:firstRowLastColumn="0" w:lastRowFirstColumn="0" w:lastRowLastColumn="0"/>
            </w:pPr>
            <w:r>
              <w:t>pH not measured during test, but high control survival</w:t>
            </w:r>
          </w:p>
        </w:tc>
      </w:tr>
      <w:tr w:rsidR="00AB1145" w14:paraId="47C21A67"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4C763793" w14:textId="77777777" w:rsidR="00AB1145" w:rsidRPr="008B21A0" w:rsidRDefault="00AB1145" w:rsidP="00FF13D1">
            <w:pPr>
              <w:rPr>
                <w:b w:val="0"/>
                <w:bCs w:val="0"/>
              </w:rPr>
            </w:pPr>
            <w:r>
              <w:fldChar w:fldCharType="begin" w:fldLock="1"/>
            </w:r>
            <w:r>
              <w:rPr>
                <w:b w:val="0"/>
                <w:bCs w:val="0"/>
              </w:rPr>
              <w:instrText>ADDIN CSL_CITATION {"citationItems":[{"id":"ITEM-1","itemData":{"DOI":"10.1002/etc.3878","ISSN":"15528618","PMID":"28636110","abstract":"Extensive agricultural use of neonicotinoid insecticide products has resulted in the presence of neonicotinoid mixtures in surface waters worldwide. Although many aquatic insect species are known to be sensitive to neonicotinoids, the impact of neonicotinoid mixtures is poorly understood. In the present study, the cumulative toxicities of binary and ternary mixtures of select neonicotinoids (imidacloprid, clothianidin, and thiamethoxam) were characterized under acute (96-h) exposure scenarios using the larval midge Chironomus dilutus as a representative aquatic insect species. Using the MIXTOX approach, predictive parametric models were fitted and statistically compared with observed toxicity in subsequent mixture tests. Single-compound toxicity tests yielded median lethal concentration (LC50) values of 4.63, 5.93, and 55.34 μg/L for imidacloprid, clothianidin, and thiamethoxam, respectively. Because of the similar modes of action of neonicotinoids, concentration-additive cumulative mixture toxicity was the predicted model. However, we found that imidacloprid–clothianidin mixtures demonstrated response-additive dose-level–dependent synergism, clothianidin–thiamethoxam mixtures demonstrated concentration-additive synergism, and imidacloprid–thiamethoxam mixtures demonstrated response-additive dose-ratio–dependent synergism, with toxicity shifting from antagonism to synergism as the relative concentration of thiamethoxam increased. Imidacloprid–clothianidin–thiamethoxam ternary mixtures demonstrated response-additive synergism. These results indicate that, under acute exposure scenarios, the toxicity of neonicotinoid mixtures to C. dilutus cannot be predicted using the common assumption of additive joint activity. Indeed, the overarching trend of synergistic deviation emphasizes the need for further research into the ecotoxicological effects of neonicotinoid insecticide mixtures in field settings, the development of better toxicity models for neonicotinoid mixture exposures, and the consideration of mixture effects when setting water quality guidelines for this class of pesticides. Environ Toxicol Chem 2017;36:3091–3101. © 2017 SETAC.","author":[{"dropping-particle":"","family":"Maloney","given":"Erin M.","non-dropping-particle":"","parse-names":false,"suffix":""},{"dropping-particle":"","family":"Morrissey","given":"Christy A.","non-dropping-particle":"","parse-names":false,"suffix":""},{"dropping-particle":"V.","family":"Headley","given":"John","non-dropping-particle":"","parse-names":false,"suffix":""},{"dropping-particle":"","family":"Peru","given":"Kerry M.","non-dropping-particle":"","parse-names":false,"suffix":""},{"dropping-particle":"","family":"Liber","given":"Karsten","non-dropping-particle":"","parse-names":false,"suffix":""}],"container-title":"Environmental Toxicology and Chemistry","id":"ITEM-1","issue":"11","issued":{"date-parts":[["2017"]]},"note":"Accept with res - chironomids were fed :(. \n\nIncludes acute LC50 for imidacloprid, clothianidin, and thiamethoxam\n\nPassed initial screen - double check methods highlighted in pink\n\nLC50 = 4.63 ug/L for IMI\nLC50 = 5.93 ug/L for CLO\nLC50 = 55.34 ug/L for THIA\n\nThis paper has info on synergistic (as opposed to additive) toxicity","page":"3091-3101","title":"Cumulative toxicity of neonicotinoid insecticide mixtures to Chironomus dilutus under acute exposure scenarios","type":"article-journal","volume":"36"},"uris":["http://www.mendeley.com/documents/?uuid=5791fe5f-5180-4776-aa4f-fa97fdb3ccca"]}],"mendeley":{"formattedCitation":"(Maloney et al., 2017)","plainTextFormattedCitation":"(Maloney et al., 2017)","previouslyFormattedCitation":"(Maloney et al., 2017)"},"properties":{"noteIndex":0},"schema":"https://github.com/citation-style-language/schema/raw/master/csl-citation.json"}</w:instrText>
            </w:r>
            <w:r>
              <w:fldChar w:fldCharType="separate"/>
            </w:r>
            <w:r w:rsidRPr="009D0A34">
              <w:rPr>
                <w:b w:val="0"/>
                <w:bCs w:val="0"/>
                <w:noProof/>
              </w:rPr>
              <w:t>(Maloney et al., 2017)</w:t>
            </w:r>
            <w:r>
              <w:fldChar w:fldCharType="end"/>
            </w:r>
          </w:p>
        </w:tc>
        <w:tc>
          <w:tcPr>
            <w:tcW w:w="1170" w:type="dxa"/>
          </w:tcPr>
          <w:p w14:paraId="6E3EF052" w14:textId="77777777" w:rsidR="00AB1145" w:rsidRPr="008B21A0" w:rsidRDefault="00AB1145" w:rsidP="00FF13D1">
            <w:pPr>
              <w:cnfStyle w:val="000000100000" w:firstRow="0" w:lastRow="0" w:firstColumn="0" w:lastColumn="0" w:oddVBand="0" w:evenVBand="0" w:oddHBand="1" w:evenHBand="0" w:firstRowFirstColumn="0" w:firstRowLastColumn="0" w:lastRowFirstColumn="0" w:lastRowLastColumn="0"/>
            </w:pPr>
            <w:r>
              <w:t>Acute-2</w:t>
            </w:r>
          </w:p>
        </w:tc>
        <w:tc>
          <w:tcPr>
            <w:tcW w:w="5130" w:type="dxa"/>
          </w:tcPr>
          <w:p w14:paraId="7F966588" w14:textId="77777777" w:rsidR="00AB1145" w:rsidRPr="008B21A0" w:rsidRDefault="00AB1145" w:rsidP="00FF13D1">
            <w:pPr>
              <w:cnfStyle w:val="000000100000" w:firstRow="0" w:lastRow="0" w:firstColumn="0" w:lastColumn="0" w:oddVBand="0" w:evenVBand="0" w:oddHBand="1" w:evenHBand="0" w:firstRowFirstColumn="0" w:firstRowLastColumn="0" w:lastRowFirstColumn="0" w:lastRowLastColumn="0"/>
            </w:pPr>
            <w:r w:rsidRPr="00B401C1">
              <w:rPr>
                <w:i/>
                <w:iCs/>
              </w:rPr>
              <w:t xml:space="preserve">C. </w:t>
            </w:r>
            <w:proofErr w:type="spellStart"/>
            <w:r w:rsidRPr="00B401C1">
              <w:rPr>
                <w:i/>
                <w:iCs/>
              </w:rPr>
              <w:t>dilutus</w:t>
            </w:r>
            <w:proofErr w:type="spellEnd"/>
            <w:r>
              <w:t xml:space="preserve"> were fed</w:t>
            </w:r>
          </w:p>
        </w:tc>
      </w:tr>
      <w:tr w:rsidR="00AB1145" w14:paraId="416BD261" w14:textId="77777777" w:rsidTr="00FF13D1">
        <w:tc>
          <w:tcPr>
            <w:cnfStyle w:val="001000000000" w:firstRow="0" w:lastRow="0" w:firstColumn="1" w:lastColumn="0" w:oddVBand="0" w:evenVBand="0" w:oddHBand="0" w:evenHBand="0" w:firstRowFirstColumn="0" w:firstRowLastColumn="0" w:lastRowFirstColumn="0" w:lastRowLastColumn="0"/>
            <w:tcW w:w="3235" w:type="dxa"/>
          </w:tcPr>
          <w:p w14:paraId="7C7BAEF7" w14:textId="77777777" w:rsidR="00AB1145" w:rsidRDefault="00AB1145" w:rsidP="00FF13D1">
            <w:r>
              <w:fldChar w:fldCharType="begin" w:fldLock="1"/>
            </w:r>
            <w:r>
              <w:instrText>ADDIN CSL_CITATION {"citationItems":[{"id":"ITEM-1","itemData":{"author":[{"dropping-particle":"","family":"Palmer","given":"Susan J.","non-dropping-particle":"","parse-names":false,"suffix":""},{"dropping-particle":"","family":"MacGregor","given":"Jon","non-dropping-particle":"","parse-names":false,"suffix":""},{"dropping-particle":"","family":"Krueger","given":"Henry O.","non-dropping-particle":"","parse-names":false,"suffix":""}],"id":"ITEM-1","issued":{"date-parts":[["2000"]]},"title":"TI-435 Technical: A 96-Hour Static Acute Toxicity Test with the Bluegill (Lepomis macrochirus)","type":"report"},"uris":["http://www.mendeley.com/documents/?uuid=ccfa5ba0-61f3-4a74-82f0-f908f26ff25e"]}],"mendeley":{"formattedCitation":"(Palmer et al., 2000a)","plainTextFormattedCitation":"(Palmer et al., 2000a)","previouslyFormattedCitation":"(Palmer et al., 2000a)"},"properties":{"noteIndex":0},"schema":"https://github.com/citation-style-language/schema/raw/master/csl-citation.json"}</w:instrText>
            </w:r>
            <w:r>
              <w:fldChar w:fldCharType="separate"/>
            </w:r>
            <w:r w:rsidRPr="00B42666">
              <w:rPr>
                <w:b w:val="0"/>
                <w:noProof/>
              </w:rPr>
              <w:t>(Palmer et al., 2000a)</w:t>
            </w:r>
            <w:r>
              <w:fldChar w:fldCharType="end"/>
            </w:r>
          </w:p>
        </w:tc>
        <w:tc>
          <w:tcPr>
            <w:tcW w:w="1170" w:type="dxa"/>
          </w:tcPr>
          <w:p w14:paraId="2FF439DC" w14:textId="77777777" w:rsidR="00AB1145" w:rsidRDefault="00AB1145" w:rsidP="00FF13D1">
            <w:pPr>
              <w:cnfStyle w:val="000000000000" w:firstRow="0" w:lastRow="0" w:firstColumn="0" w:lastColumn="0" w:oddVBand="0" w:evenVBand="0" w:oddHBand="0" w:evenHBand="0" w:firstRowFirstColumn="0" w:firstRowLastColumn="0" w:lastRowFirstColumn="0" w:lastRowLastColumn="0"/>
            </w:pPr>
            <w:r>
              <w:t>Acute-2</w:t>
            </w:r>
          </w:p>
        </w:tc>
        <w:tc>
          <w:tcPr>
            <w:tcW w:w="5130" w:type="dxa"/>
          </w:tcPr>
          <w:p w14:paraId="475C77C6" w14:textId="77777777" w:rsidR="00AB1145" w:rsidRPr="00F845F2" w:rsidRDefault="00AB1145" w:rsidP="00FF13D1">
            <w:pPr>
              <w:cnfStyle w:val="000000000000" w:firstRow="0" w:lastRow="0" w:firstColumn="0" w:lastColumn="0" w:oddVBand="0" w:evenVBand="0" w:oddHBand="0" w:evenHBand="0" w:firstRowFirstColumn="0" w:firstRowLastColumn="0" w:lastRowFirstColumn="0" w:lastRowLastColumn="0"/>
            </w:pPr>
            <w:r w:rsidRPr="00F845F2">
              <w:t xml:space="preserve">Dose response completed for range finding test only, definitive test is </w:t>
            </w:r>
            <w:r>
              <w:t xml:space="preserve">a </w:t>
            </w:r>
            <w:r w:rsidRPr="00F845F2">
              <w:t>&gt; value</w:t>
            </w:r>
          </w:p>
        </w:tc>
      </w:tr>
      <w:tr w:rsidR="00AB1145" w14:paraId="6CA1A63E"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607298D8" w14:textId="77777777" w:rsidR="00AB1145" w:rsidRDefault="00AB1145" w:rsidP="00FF13D1">
            <w:r>
              <w:fldChar w:fldCharType="begin" w:fldLock="1"/>
            </w:r>
            <w:r>
              <w:instrText>ADDIN CSL_CITATION {"citationItems":[{"id":"ITEM-1","itemData":{"author":[{"dropping-particle":"","family":"Palmer","given":"Susan J.","non-dropping-particle":"","parse-names":false,"suffix":""},{"dropping-particle":"","family":"MacGregor","given":"Jon A.","non-dropping-particle":"","parse-names":false,"suffix":""},{"dropping-particle":"","family":"Krueger","given":"Henry O.","non-dropping-particle":"","parse-names":false,"suffix":""}],"id":"ITEM-1","issued":{"date-parts":[["2000"]]},"title":"TI-435 Technical: A 48-Hour Static Acute Toxicity Test with the Cladoceran (Daphnia magna)","type":"report"},"uris":["http://www.mendeley.com/documents/?uuid=5d0e8244-0883-4e70-8cec-e4b11d8d944d"]}],"mendeley":{"formattedCitation":"(Palmer et al., 2000b)","plainTextFormattedCitation":"(Palmer et al., 2000b)","previouslyFormattedCitation":"(Palmer et al., 2000b)"},"properties":{"noteIndex":0},"schema":"https://github.com/citation-style-language/schema/raw/master/csl-citation.json"}</w:instrText>
            </w:r>
            <w:r>
              <w:fldChar w:fldCharType="separate"/>
            </w:r>
            <w:r w:rsidRPr="00B42666">
              <w:rPr>
                <w:b w:val="0"/>
                <w:noProof/>
              </w:rPr>
              <w:t>(Palmer et al., 2000b)</w:t>
            </w:r>
            <w:r>
              <w:fldChar w:fldCharType="end"/>
            </w:r>
          </w:p>
        </w:tc>
        <w:tc>
          <w:tcPr>
            <w:tcW w:w="1170" w:type="dxa"/>
          </w:tcPr>
          <w:p w14:paraId="275E8CDB"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t>Acute-1</w:t>
            </w:r>
          </w:p>
        </w:tc>
        <w:tc>
          <w:tcPr>
            <w:tcW w:w="5130" w:type="dxa"/>
          </w:tcPr>
          <w:p w14:paraId="714E8718" w14:textId="77777777" w:rsidR="00AB1145" w:rsidRPr="00B401C1" w:rsidRDefault="00AB1145" w:rsidP="00FF13D1">
            <w:pPr>
              <w:cnfStyle w:val="000000100000" w:firstRow="0" w:lastRow="0" w:firstColumn="0" w:lastColumn="0" w:oddVBand="0" w:evenVBand="0" w:oddHBand="1" w:evenHBand="0" w:firstRowFirstColumn="0" w:firstRowLastColumn="0" w:lastRowFirstColumn="0" w:lastRowLastColumn="0"/>
              <w:rPr>
                <w:i/>
                <w:iCs/>
              </w:rPr>
            </w:pPr>
          </w:p>
        </w:tc>
      </w:tr>
      <w:tr w:rsidR="00AB1145" w14:paraId="4EBA1F87" w14:textId="77777777" w:rsidTr="00FF13D1">
        <w:tc>
          <w:tcPr>
            <w:cnfStyle w:val="001000000000" w:firstRow="0" w:lastRow="0" w:firstColumn="1" w:lastColumn="0" w:oddVBand="0" w:evenVBand="0" w:oddHBand="0" w:evenHBand="0" w:firstRowFirstColumn="0" w:firstRowLastColumn="0" w:lastRowFirstColumn="0" w:lastRowLastColumn="0"/>
            <w:tcW w:w="3235" w:type="dxa"/>
          </w:tcPr>
          <w:p w14:paraId="1073828D" w14:textId="77777777" w:rsidR="00AB1145" w:rsidRPr="008B21A0" w:rsidRDefault="00AB1145" w:rsidP="00FF13D1">
            <w:pPr>
              <w:rPr>
                <w:b w:val="0"/>
                <w:bCs w:val="0"/>
              </w:rPr>
            </w:pPr>
            <w:r>
              <w:fldChar w:fldCharType="begin" w:fldLock="1"/>
            </w:r>
            <w:r>
              <w:rPr>
                <w:b w:val="0"/>
                <w:bCs w:val="0"/>
              </w:rPr>
              <w:instrText>ADDIN CSL_CITATION {"citationItems":[{"id":"ITEM-1","itemData":{"DOI":"10.1002/etc.4088","ISSN":"15528618","PMID":"29336495","abstract":"Neonicotinoids are a group of insecticides commonly used in agriculture. Due to their high water solubility, neonicotinoids can be transported to surface waters and have the potential to be toxic to aquatic life. The present study assessed and compared the acute (48- or 96-h) toxicity of 6 neonicotinoids (acetamiprid, clothianidin, dinotefuran, imidacloprid, thiacloprid, and thiamethoxam) to 21 laboratory-cultured and field-collected aquatic invertebrates spanning 10 aquatic arthropod orders. Test conditions mimicked species’ habitat, with lentic taxa exposed under static conditions, and lotic taxa exposed under recirculating systems. Median lethal concentrations (LC50s) and median effect concentrations (EC50s; immobility) were calculated and used to construct separate lethal- and immobilization-derived species sensitivity distributions for each neonicotinoid, from which 5th percentile hazard concentrations (HC5s) were calculated. The results showed that the most sensitive invertebrates were insects from the orders Ephemeroptera (Neocloeon triangulifer) and Diptera (Chironomus dilutus), whereas cladocerans (Daphnia magna, Ceriodaphnia dubia) were the least sensitive. The HC5s were compared with neonicotinoid environmental concentrations from Ontario (Canada) monitoring studies. For all neonicotinoids except imidacloprid, the resulting hazard quotients indicated little to no hazard in terms of acute toxicity to aquatic communities in Ontario freshwater streams. For the neonicotinoid imidacloprid, a moderate hazard was found when only invertebrate immobilization, and not lethality, data were considered. Environ Toxicol Chem 2018;37:1430–1445. © 2018 SETAC.","author":[{"dropping-particle":"","family":"Raby","given":"Melanie","non-dropping-particle":"","parse-names":false,"suffix":""},{"dropping-particle":"","family":"Nowierski","given":"Monica","non-dropping-particle":"","parse-names":false,"suffix":""},{"dropping-particle":"","family":"Perlov","given":"Dmitri","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K.","non-dropping-particle":"","parse-names":false,"suffix":""}],"container-title":"Environmental Toxicology and Chemistry","id":"ITEM-1","issue":"5","issued":{"date-parts":[["2018"]]},"note":"Accept without reservations. \n\nHas 6 different neonicts. Acet, cloth, dino, imidaclop, thiaclop, thiamethox","page":"1430-1445","title":"Acute toxicity of 6 neonicotinoid insecticides to freshwater invertebrates","type":"article-journal","volume":"37"},"uris":["http://www.mendeley.com/documents/?uuid=482b230e-29a7-4d0b-bdf7-a79811b2a5ec"]}],"mendeley":{"formattedCitation":"(Raby et al., 2018a)","plainTextFormattedCitation":"(Raby et al., 2018a)","previouslyFormattedCitation":"(Raby et al., 2018a)"},"properties":{"noteIndex":0},"schema":"https://github.com/citation-style-language/schema/raw/master/csl-citation.json"}</w:instrText>
            </w:r>
            <w:r>
              <w:fldChar w:fldCharType="separate"/>
            </w:r>
            <w:r w:rsidRPr="009D0A34">
              <w:rPr>
                <w:b w:val="0"/>
                <w:bCs w:val="0"/>
                <w:noProof/>
              </w:rPr>
              <w:t>(Raby et al., 2018a)</w:t>
            </w:r>
            <w:r>
              <w:fldChar w:fldCharType="end"/>
            </w:r>
          </w:p>
        </w:tc>
        <w:tc>
          <w:tcPr>
            <w:tcW w:w="1170" w:type="dxa"/>
          </w:tcPr>
          <w:p w14:paraId="3A640F99" w14:textId="77777777" w:rsidR="00AB1145" w:rsidRPr="008B21A0" w:rsidRDefault="00AB1145" w:rsidP="00FF13D1">
            <w:pPr>
              <w:cnfStyle w:val="000000000000" w:firstRow="0" w:lastRow="0" w:firstColumn="0" w:lastColumn="0" w:oddVBand="0" w:evenVBand="0" w:oddHBand="0" w:evenHBand="0" w:firstRowFirstColumn="0" w:firstRowLastColumn="0" w:lastRowFirstColumn="0" w:lastRowLastColumn="0"/>
            </w:pPr>
            <w:r>
              <w:t>Acute-2</w:t>
            </w:r>
          </w:p>
        </w:tc>
        <w:tc>
          <w:tcPr>
            <w:tcW w:w="5130" w:type="dxa"/>
          </w:tcPr>
          <w:p w14:paraId="2BB73926" w14:textId="77777777" w:rsidR="00AB1145" w:rsidRDefault="00AB1145" w:rsidP="00FF13D1">
            <w:pPr>
              <w:cnfStyle w:val="000000000000" w:firstRow="0" w:lastRow="0" w:firstColumn="0" w:lastColumn="0" w:oddVBand="0" w:evenVBand="0" w:oddHBand="0" w:evenHBand="0" w:firstRowFirstColumn="0" w:firstRowLastColumn="0" w:lastRowFirstColumn="0" w:lastRowLastColumn="0"/>
            </w:pPr>
            <w:r w:rsidRPr="00044048">
              <w:rPr>
                <w:i/>
                <w:iCs/>
              </w:rPr>
              <w:t xml:space="preserve">C. </w:t>
            </w:r>
            <w:proofErr w:type="spellStart"/>
            <w:r w:rsidRPr="00044048">
              <w:rPr>
                <w:i/>
                <w:iCs/>
              </w:rPr>
              <w:t>dilutus</w:t>
            </w:r>
            <w:proofErr w:type="spellEnd"/>
            <w:r w:rsidRPr="00044048">
              <w:rPr>
                <w:i/>
                <w:iCs/>
              </w:rPr>
              <w:t>, N. triangulifer, H. azteca</w:t>
            </w:r>
            <w:r>
              <w:t xml:space="preserve"> were fed</w:t>
            </w:r>
          </w:p>
          <w:p w14:paraId="2F18351B" w14:textId="77777777" w:rsidR="00AB1145" w:rsidRPr="00D34C9B" w:rsidRDefault="00AB1145" w:rsidP="00FF13D1">
            <w:pPr>
              <w:cnfStyle w:val="000000000000" w:firstRow="0" w:lastRow="0" w:firstColumn="0" w:lastColumn="0" w:oddVBand="0" w:evenVBand="0" w:oddHBand="0" w:evenHBand="0" w:firstRowFirstColumn="0" w:firstRowLastColumn="0" w:lastRowFirstColumn="0" w:lastRowLastColumn="0"/>
            </w:pPr>
            <w:proofErr w:type="spellStart"/>
            <w:r>
              <w:rPr>
                <w:i/>
                <w:iCs/>
              </w:rPr>
              <w:t>Hexagenia</w:t>
            </w:r>
            <w:proofErr w:type="spellEnd"/>
            <w:r>
              <w:rPr>
                <w:i/>
                <w:iCs/>
              </w:rPr>
              <w:t xml:space="preserve"> sp.</w:t>
            </w:r>
            <w:r>
              <w:t xml:space="preserve"> control mortality was 13%</w:t>
            </w:r>
          </w:p>
        </w:tc>
      </w:tr>
      <w:tr w:rsidR="00AB1145" w14:paraId="0DEABA2C"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55586C43" w14:textId="77777777" w:rsidR="00AB1145" w:rsidRPr="008B21A0" w:rsidRDefault="00AB1145" w:rsidP="00FF13D1">
            <w:pPr>
              <w:rPr>
                <w:b w:val="0"/>
                <w:bCs w:val="0"/>
              </w:rPr>
            </w:pPr>
            <w:r>
              <w:fldChar w:fldCharType="begin" w:fldLock="1"/>
            </w:r>
            <w:r>
              <w:rPr>
                <w:b w:val="0"/>
                <w:bCs w:val="0"/>
              </w:rPr>
              <w:instrText>ADDIN CSL_CITATION {"citationItems":[{"id":"ITEM-1","itemData":{"DOI":"10.1016/j.ecoenv.2018.07.086","ISSN":"10902414","PMID":"30056337","abstract":"Neonicotinoid insecticides are a group of plant protectants frequently detected in surface waters at low concentrations. Aquatic invertebrates therefore have the potential to be exposed chronically to low concentrations of neonicotinoids. The cladocerans Daphnia magna and Ceriodaphnia dubia are among the most commonly used invertebrate test species in aquatic toxicology. Both species are known to be acutely insensitive to neonicotinoids, and while chronic toxicity has been characterized for D. magna, little research has been conducted with C. dubia. In the present study we conducted 7-d static-renewal life cycle tests for 6 neonicotinoids (acetamiprid, clothianidin, dinotefuran, imidacloprid, thiacloprid, and thiamethoxam) with C. dubia, and a 21-d test with imidacloprid with D. magna. 7-d LC50s for C. dubia ranged from 8.42 mg L−1 for imidacloprid to &gt; 100 mg L−1 for clothianidin; 7-d reproduction EC50s were 2.98 for thiacloprid, to &gt; 67 mg L−1 for dinotefuran. D. magna were less sensitive than C. dubia to imidacloprid, by 4-fold for lethality and 1.5-fold for reproduction; however, acute-to-chronic ratios (ACRs) were similar. ACRs, based on 48-h acute LC50s and 7- or 21-d chronic reproduction EC10s, ranged from 5.4 for acetamiprid to 53.0 for imidacloprid (mean 36.6, CV = 51%). Chronic toxicity values for both species were orders of magnitude greater than concentrations reported in the environment, and thus hazard to these cladocerans is negligible.","author":[{"dropping-particle":"","family":"Raby","given":"Melanie","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K.","non-dropping-particle":"","parse-names":false,"suffix":""}],"container-title":"Ecotoxicology and Environmental Safety","id":"ITEM-1","issue":"March","issued":{"date-parts":[["2018"]]},"note":"Accept. for Imi and Clo. Can use for ACR with a 7-d C.\n\nReject for Thiamethoxam. Cannot calculate an ARC. control results seem off.","page":"238-244","publisher":"Elsevier Inc.","title":"Relative chronic sensitivity of neonicotinoid insecticides to Ceriodaphnia dubia and Daphnia magna","type":"article-journal","volume":"163"},"uris":["http://www.mendeley.com/documents/?uuid=b209d094-990e-4319-afa9-4fd5127d1370"]}],"mendeley":{"formattedCitation":"(Raby et al., 2018b)","plainTextFormattedCitation":"(Raby et al., 2018b)","previouslyFormattedCitation":"(Raby et al., 2018d)"},"properties":{"noteIndex":0},"schema":"https://github.com/citation-style-language/schema/raw/master/csl-citation.json"}</w:instrText>
            </w:r>
            <w:r>
              <w:fldChar w:fldCharType="separate"/>
            </w:r>
            <w:r w:rsidRPr="00E22597">
              <w:rPr>
                <w:b w:val="0"/>
                <w:bCs w:val="0"/>
                <w:noProof/>
              </w:rPr>
              <w:t>(Raby et al., 2018b)</w:t>
            </w:r>
            <w:r>
              <w:fldChar w:fldCharType="end"/>
            </w:r>
          </w:p>
        </w:tc>
        <w:tc>
          <w:tcPr>
            <w:tcW w:w="1170" w:type="dxa"/>
          </w:tcPr>
          <w:p w14:paraId="3C3E2799" w14:textId="77777777" w:rsidR="00AB1145" w:rsidRPr="008B21A0" w:rsidRDefault="00AB1145" w:rsidP="00FF13D1">
            <w:pPr>
              <w:cnfStyle w:val="000000100000" w:firstRow="0" w:lastRow="0" w:firstColumn="0" w:lastColumn="0" w:oddVBand="0" w:evenVBand="0" w:oddHBand="1" w:evenHBand="0" w:firstRowFirstColumn="0" w:firstRowLastColumn="0" w:lastRowFirstColumn="0" w:lastRowLastColumn="0"/>
            </w:pPr>
            <w:r>
              <w:t>Chronic-1</w:t>
            </w:r>
          </w:p>
        </w:tc>
        <w:tc>
          <w:tcPr>
            <w:tcW w:w="5130" w:type="dxa"/>
          </w:tcPr>
          <w:p w14:paraId="3781E995" w14:textId="77777777" w:rsidR="00AB1145" w:rsidRPr="008B21A0" w:rsidRDefault="00AB1145" w:rsidP="00FF13D1">
            <w:pPr>
              <w:cnfStyle w:val="000000100000" w:firstRow="0" w:lastRow="0" w:firstColumn="0" w:lastColumn="0" w:oddVBand="0" w:evenVBand="0" w:oddHBand="1" w:evenHBand="0" w:firstRowFirstColumn="0" w:firstRowLastColumn="0" w:lastRowFirstColumn="0" w:lastRowLastColumn="0"/>
            </w:pPr>
          </w:p>
        </w:tc>
      </w:tr>
      <w:tr w:rsidR="00AB1145" w14:paraId="00F5E77F" w14:textId="77777777" w:rsidTr="00FF13D1">
        <w:tc>
          <w:tcPr>
            <w:cnfStyle w:val="001000000000" w:firstRow="0" w:lastRow="0" w:firstColumn="1" w:lastColumn="0" w:oddVBand="0" w:evenVBand="0" w:oddHBand="0" w:evenHBand="0" w:firstRowFirstColumn="0" w:firstRowLastColumn="0" w:lastRowFirstColumn="0" w:lastRowLastColumn="0"/>
            <w:tcW w:w="3235" w:type="dxa"/>
          </w:tcPr>
          <w:p w14:paraId="00F4D094" w14:textId="77777777" w:rsidR="00AB1145" w:rsidRPr="008B21A0" w:rsidRDefault="00AB1145" w:rsidP="00FF13D1">
            <w:pPr>
              <w:rPr>
                <w:b w:val="0"/>
                <w:bCs w:val="0"/>
              </w:rPr>
            </w:pPr>
            <w:r>
              <w:fldChar w:fldCharType="begin" w:fldLock="1"/>
            </w:r>
            <w:r>
              <w:rPr>
                <w:b w:val="0"/>
                <w:bCs w:val="0"/>
              </w:rPr>
              <w:instrText>ADDIN CSL_CITATION {"citationItems":[{"id":"ITEM-1","itemData":{"DOI":"10.1002/etc.4234","ISSN":"15528618","PMID":"30055027","abstract":"Neonicotinoid insecticides are frequently detected in surface waters near agricultural areas, leading to a potential for chronic exposure to sensitive aquatic species. The midge Chironomus dilutus and the mayfly Neocloeon triangulifer have been shown to be acutely sensitive to neonicotinoids. Previous studies have established chronic effects of some neonicotinoids on C. dilutus, but reproduction has not been studied. Toxic effects have not been assessed using N. triangulifer. We present the results of chronic, static-renewal tests for 6 neonicotinoids (acetamiprid, clothianidin, dinotefuran, imidacloprid, thiacloprid, and thiamethoxam) with C. dilutus (≤56-d in length) and N. triangulifer (≤32-d in length). Emergence was generally the most sensitive endpoint for both species across all neonicotinoids. Effect concentrations, 10% (EC10s; emergence) were 0.03 to 1.1 μg L −1 for acetamiprid, clothianidin, imidacloprid, and thiacloprid. Dinotefuran and thiamethoxam were less potent, with EC10s (C. dilutus) or median effect concentrations (EC50s; N. triangulifer) of 2.2 to 11.2 μg L −1 . Hazard was assessed through comparison of neonicotinoid environmental concentrations from agricultural surface waters in Ontario (Canada) with either the 5th percentile hazard concentration (for imidacloprid) or species-specific EC10s from the present study (for all remaining neonicotinoids). The resulting hazard quotients (HQs) indicated little to no hazard (HQ &lt;1) in terms of chronic toxicity for acetamiprid, dinotefuran, thiacloprid, or thiamethoxam. A moderate hazard (HQ &gt;1) was found for emergence of N. triangulifer for clothianidin, and a high hazard (HQ = 74) was found for imidacloprid. Environ Toxicol Chem 2018;37:2727–2739. © 2018 SETAC.","author":[{"dropping-particle":"","family":"Raby","given":"Melanie","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K.","non-dropping-particle":"","parse-names":false,"suffix":""}],"container-title":"Environmental Toxicology and Chemistry","id":"ITEM-1","issue":"10","issued":{"date-parts":[["2018"]]},"note":"Accept.\n\nDoes all 6 neonicts.\n\nEmergence is endpoint, LC50 is 0.24 ug/L C. dilutus\nEmergence LC50 1.75 ug/L for N. triangulifer\n\nEC10 c. dilutus = 0.13 ug/L\nEC10 n. triangulifer = 1.12 ug/L","page":"2727-2739","title":"Chronic toxicity of 6 neonicotinoid insecticides to Chironomus dilutus and Neocloeon triangulifer","type":"article-journal","volume":"37"},"uris":["http://www.mendeley.com/documents/?uuid=8b13766a-cb6b-4549-aecc-56b5ad9a1519"]}],"mendeley":{"formattedCitation":"(Raby et al., 2018c)","plainTextFormattedCitation":"(Raby et al., 2018c)","previouslyFormattedCitation":"(Raby et al., 2018b)"},"properties":{"noteIndex":0},"schema":"https://github.com/citation-style-language/schema/raw/master/csl-citation.json"}</w:instrText>
            </w:r>
            <w:r>
              <w:fldChar w:fldCharType="separate"/>
            </w:r>
            <w:r w:rsidRPr="00E22597">
              <w:rPr>
                <w:b w:val="0"/>
                <w:bCs w:val="0"/>
                <w:noProof/>
              </w:rPr>
              <w:t>(Raby et al., 2018c)</w:t>
            </w:r>
            <w:r>
              <w:fldChar w:fldCharType="end"/>
            </w:r>
          </w:p>
        </w:tc>
        <w:tc>
          <w:tcPr>
            <w:tcW w:w="1170" w:type="dxa"/>
          </w:tcPr>
          <w:p w14:paraId="4AF25FC8" w14:textId="77777777" w:rsidR="00AB1145" w:rsidRPr="008B21A0" w:rsidRDefault="00AB1145" w:rsidP="00FF13D1">
            <w:pPr>
              <w:cnfStyle w:val="000000000000" w:firstRow="0" w:lastRow="0" w:firstColumn="0" w:lastColumn="0" w:oddVBand="0" w:evenVBand="0" w:oddHBand="0" w:evenHBand="0" w:firstRowFirstColumn="0" w:firstRowLastColumn="0" w:lastRowFirstColumn="0" w:lastRowLastColumn="0"/>
            </w:pPr>
            <w:r>
              <w:t>Chronic-1</w:t>
            </w:r>
          </w:p>
        </w:tc>
        <w:tc>
          <w:tcPr>
            <w:tcW w:w="5130" w:type="dxa"/>
          </w:tcPr>
          <w:p w14:paraId="4F516754" w14:textId="77777777" w:rsidR="00AB1145" w:rsidRPr="008B21A0" w:rsidRDefault="00AB1145" w:rsidP="00FF13D1">
            <w:pPr>
              <w:cnfStyle w:val="000000000000" w:firstRow="0" w:lastRow="0" w:firstColumn="0" w:lastColumn="0" w:oddVBand="0" w:evenVBand="0" w:oddHBand="0" w:evenHBand="0" w:firstRowFirstColumn="0" w:firstRowLastColumn="0" w:lastRowFirstColumn="0" w:lastRowLastColumn="0"/>
            </w:pPr>
          </w:p>
        </w:tc>
      </w:tr>
      <w:tr w:rsidR="00AB1145" w14:paraId="16415026"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74BEAEC7" w14:textId="77777777" w:rsidR="00AB1145" w:rsidRPr="008B21A0" w:rsidRDefault="00AB1145" w:rsidP="00FF13D1">
            <w:pPr>
              <w:rPr>
                <w:b w:val="0"/>
                <w:bCs w:val="0"/>
              </w:rPr>
            </w:pPr>
            <w:r>
              <w:fldChar w:fldCharType="begin" w:fldLock="1"/>
            </w:r>
            <w:r>
              <w:rPr>
                <w:b w:val="0"/>
                <w:bCs w:val="0"/>
              </w:rPr>
              <w:instrText>ADDIN CSL_CITATION {"citationItems":[{"id":"ITEM-1","itemData":{"DOI":"10.1080/03067319.2017.1363196","ISSN":"10290397","abstract":"Formulating agents used in pesticide products have been regarded as inactive/inert components; however, several studies confirmed additive, synergistic or antagonistic effects between the active ingredients (AIs) and additives, or the individual toxicity of the formulating agents. The worldwide used neonicotinoid insecticides and their components can reach surface waters, due to their physico-chemical properties (e.g. water solubility) or improper application in chemical plant protection technology, and can adversely affect non-target aquatic organisms. Formulated pesticides were analysed for alkane sulphonate surfactants by using liquid chromatography coupled with tandem mass spectrometry. In acute immobilisation tests on Daphnia magna, differences were found among the toxicity of the investigated neonicotinoid AIs and formulations. The toxicity of a formulated insecticide (Apache 50 WG®– AI: clothianidin) was found to be 46.5 times more toxic than explained by its AI, probably due to toxic effect of the formulating agents on D. magna. In contrast, two preparations (Calypso 480SC®–AI: thiacloprid, Actara 240 SC®– AI: thiamethoxam) were 2–3 times less toxic than their AIs. Results indicate possible synergistic/antagonistic interaction with the AIs.","author":[{"dropping-particle":"","family":"Takács","given":"Eszter","non-dropping-particle":"","parse-names":false,"suffix":""},{"dropping-particle":"","family":"Klátyik","given":"Szandra","non-dropping-particle":"","parse-names":false,"suffix":""},{"dropping-particle":"","family":"Mörtl","given":"Mária","non-dropping-particle":"","parse-names":false,"suffix":""},{"dropping-particle":"","family":"Rácz","given":"Gergely","non-dropping-particle":"","parse-names":false,"suffix":""},{"dropping-particle":"","family":"Kovács","given":"Krisztina","non-dropping-particle":"","parse-names":false,"suffix":""},{"dropping-particle":"","family":"Darvas","given":"Béla","non-dropping-particle":"","parse-names":false,"suffix":""},{"dropping-particle":"","family":"Székács","given":"András","non-dropping-particle":"","parse-names":false,"suffix":""}],"container-title":"International Journal of Environmental Analytical Chemistry","id":"ITEM-1","issue":"9","issued":{"date-parts":[["2017"]]},"note":"Accept with Reservations. LC50 is above highest tested limits. Insufficient water quality data but meet survival for control. No supplemental info for this study. \n\nLC50 calculated above solubility limits at 531.4 mg/L I think we would instead say the LC50 is &amp;gt;340 mg/L (the highest concentration tested).","page":"885-900","publisher":"Taylor &amp; Francis","title":"Effects of neonicotinoid insecticide formulations and their components on Daphnia magna–the role of active ingredients and co-formulants","type":"article-journal","volume":"97"},"uris":["http://www.mendeley.com/documents/?uuid=7c0fdbd3-0202-4ca6-90d0-591f3819f689"]}],"mendeley":{"formattedCitation":"(Takács et al., 2017)","plainTextFormattedCitation":"(Takács et al., 2017)","previouslyFormattedCitation":"(Takács et al., 2017)"},"properties":{"noteIndex":0},"schema":"https://github.com/citation-style-language/schema/raw/master/csl-citation.json"}</w:instrText>
            </w:r>
            <w:r>
              <w:fldChar w:fldCharType="separate"/>
            </w:r>
            <w:r w:rsidRPr="009D0A34">
              <w:rPr>
                <w:b w:val="0"/>
                <w:bCs w:val="0"/>
                <w:noProof/>
              </w:rPr>
              <w:t>(Takács et al., 2017)</w:t>
            </w:r>
            <w:r>
              <w:fldChar w:fldCharType="end"/>
            </w:r>
          </w:p>
        </w:tc>
        <w:tc>
          <w:tcPr>
            <w:tcW w:w="1170" w:type="dxa"/>
          </w:tcPr>
          <w:p w14:paraId="5243F89C" w14:textId="77777777" w:rsidR="00AB1145" w:rsidRPr="008B21A0" w:rsidRDefault="00AB1145" w:rsidP="00FF13D1">
            <w:pPr>
              <w:cnfStyle w:val="000000100000" w:firstRow="0" w:lastRow="0" w:firstColumn="0" w:lastColumn="0" w:oddVBand="0" w:evenVBand="0" w:oddHBand="1" w:evenHBand="0" w:firstRowFirstColumn="0" w:firstRowLastColumn="0" w:lastRowFirstColumn="0" w:lastRowLastColumn="0"/>
            </w:pPr>
            <w:r>
              <w:t>Acute-2</w:t>
            </w:r>
          </w:p>
        </w:tc>
        <w:tc>
          <w:tcPr>
            <w:tcW w:w="5130" w:type="dxa"/>
          </w:tcPr>
          <w:p w14:paraId="14A568D8"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t>Water quality data lacking but control survival 100%</w:t>
            </w:r>
          </w:p>
          <w:p w14:paraId="28B3D6B9" w14:textId="77777777" w:rsidR="00AB1145" w:rsidRPr="008B21A0" w:rsidRDefault="00AB1145" w:rsidP="00FF13D1">
            <w:pPr>
              <w:cnfStyle w:val="000000100000" w:firstRow="0" w:lastRow="0" w:firstColumn="0" w:lastColumn="0" w:oddVBand="0" w:evenVBand="0" w:oddHBand="1" w:evenHBand="0" w:firstRowFirstColumn="0" w:firstRowLastColumn="0" w:lastRowFirstColumn="0" w:lastRowLastColumn="0"/>
            </w:pPr>
            <w:r>
              <w:t>Calculated LC50 is above solubility limit</w:t>
            </w:r>
          </w:p>
        </w:tc>
      </w:tr>
    </w:tbl>
    <w:p w14:paraId="62AC8C95" w14:textId="77777777" w:rsidR="00AB1145" w:rsidRDefault="00AB1145" w:rsidP="00AB1145"/>
    <w:p w14:paraId="109A149C" w14:textId="77777777" w:rsidR="00AB1145" w:rsidRDefault="00AB1145" w:rsidP="00AB1145">
      <w:r>
        <w:br w:type="page"/>
      </w:r>
    </w:p>
    <w:p w14:paraId="02156E68" w14:textId="77777777" w:rsidR="00AB1145" w:rsidRDefault="00AB1145" w:rsidP="00AB1145">
      <w:r>
        <w:lastRenderedPageBreak/>
        <w:t xml:space="preserve">Table 2. Rejected studies and ‘rejection’ classes with short description as needed. Class definitions are: non-compliant with Rule 57 (R57 NC), non-standardized toxicity test methods (NS TT), endpoint not usable in calculations (ENDPT), no original toxicity test data included (NO ORIG), exposure not purely imidacloprid (MIXTURE), and chronic study with unacceptable or unavailable acute-to-chronic ratio (NO ACR). </w:t>
      </w:r>
    </w:p>
    <w:tbl>
      <w:tblPr>
        <w:tblStyle w:val="GridTable6Colorful"/>
        <w:tblW w:w="5000" w:type="pct"/>
        <w:tblLook w:val="04A0" w:firstRow="1" w:lastRow="0" w:firstColumn="1" w:lastColumn="0" w:noHBand="0" w:noVBand="1"/>
      </w:tblPr>
      <w:tblGrid>
        <w:gridCol w:w="3378"/>
        <w:gridCol w:w="1310"/>
        <w:gridCol w:w="4662"/>
      </w:tblGrid>
      <w:tr w:rsidR="00AB1145" w:rsidRPr="00F37F1E" w14:paraId="460488A3" w14:textId="77777777" w:rsidTr="00FF13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0B393512" w14:textId="77777777" w:rsidR="00AB1145" w:rsidRPr="00F37F1E" w:rsidRDefault="00AB1145" w:rsidP="00FF13D1">
            <w:r w:rsidRPr="00F37F1E">
              <w:t>Reference</w:t>
            </w:r>
          </w:p>
        </w:tc>
        <w:tc>
          <w:tcPr>
            <w:tcW w:w="602" w:type="pct"/>
          </w:tcPr>
          <w:p w14:paraId="2CB5AA3E" w14:textId="77777777" w:rsidR="00AB1145" w:rsidRPr="00F37F1E" w:rsidRDefault="00AB1145" w:rsidP="00FF13D1">
            <w:pPr>
              <w:cnfStyle w:val="100000000000" w:firstRow="1" w:lastRow="0" w:firstColumn="0" w:lastColumn="0" w:oddVBand="0" w:evenVBand="0" w:oddHBand="0" w:evenHBand="0" w:firstRowFirstColumn="0" w:firstRowLastColumn="0" w:lastRowFirstColumn="0" w:lastRowLastColumn="0"/>
            </w:pPr>
            <w:r w:rsidRPr="00F37F1E">
              <w:t>Class</w:t>
            </w:r>
          </w:p>
        </w:tc>
        <w:tc>
          <w:tcPr>
            <w:tcW w:w="2542" w:type="pct"/>
          </w:tcPr>
          <w:p w14:paraId="5050C78F" w14:textId="77777777" w:rsidR="00AB1145" w:rsidRPr="00F37F1E" w:rsidRDefault="00AB1145" w:rsidP="00FF13D1">
            <w:pPr>
              <w:cnfStyle w:val="100000000000" w:firstRow="1" w:lastRow="0" w:firstColumn="0" w:lastColumn="0" w:oddVBand="0" w:evenVBand="0" w:oddHBand="0" w:evenHBand="0" w:firstRowFirstColumn="0" w:firstRowLastColumn="0" w:lastRowFirstColumn="0" w:lastRowLastColumn="0"/>
            </w:pPr>
            <w:r w:rsidRPr="00F37F1E">
              <w:t xml:space="preserve">Comment </w:t>
            </w:r>
          </w:p>
        </w:tc>
      </w:tr>
      <w:tr w:rsidR="00AB1145" w:rsidRPr="00F37F1E" w14:paraId="0B974504"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36FAA28B" w14:textId="77777777" w:rsidR="00AB1145" w:rsidRPr="00F37F1E" w:rsidRDefault="00AB1145" w:rsidP="00FF13D1">
            <w:pPr>
              <w:rPr>
                <w:b w:val="0"/>
                <w:bCs w:val="0"/>
              </w:rPr>
            </w:pPr>
            <w:r>
              <w:fldChar w:fldCharType="begin" w:fldLock="1"/>
            </w:r>
            <w:r>
              <w:rPr>
                <w:b w:val="0"/>
                <w:bCs w:val="0"/>
              </w:rPr>
              <w:instrText>ADDIN CSL_CITATION {"citationItems":[{"id":"ITEM-1","itemData":{"DOI":"10.1016/j.envpol.2018.03.004","ISSN":"18736424","PMID":"29544197","abstract":"Neonicotinoid insecticides are environmentally persistent and highly water-soluble, and thus are prone to leaching into surface waters where they may negatively affect non-target aquatic insects. Most of the research to date has focused on imidacloprid, and few data are available regarding the effects of other neonicotinoids or their proposed replacements (butenolide insecticides). The objective of this study was to assess the toxicity of six neonicotinoids (imidacloprid, thiamethoxam, acetamiprid, clothianidin, thiacloprid, and dinotefuran) and one butenolide (flupyradifurone) to Hexagenia spp. (mayfly larvae). Acute (96-h), water-only tests were conducted, and survival and behaviour (number of surviving mayflies inhabiting artificial burrows) were assessed. Acute sublethal tests were also conducted with imidacloprid, acetamiprid, and thiacloprid, and in addition to survival and behaviour, mobility (ability to burrow into sediment) and recovery (survival and growth following 21 d in clean sediment) were measured. Sublethal effects occurred at much lower concentrations than survival: 96-h LC50s ranged from 780 μg/L (acetamiprid) to &gt;10,000 μg/L (dinotefuran), whereas 96-h EC50s ranged from 4.0 μg/L (acetamiprid) to 630 μg/L (thiamethoxam). Flupyradifurone was intermediate in toxicity, with a 96-h LC50 of 2000 μg/L and a 96-h EC50 of 81 μg/L. Behaviour and mobility were impaired significantly and to a similar degree in sublethal exposures to 10 μg/L imidacloprid, acetamiprid, and thiacloprid, and survival and growth following the recovery period were significantly lower in mayflies exposed to 10 μg/L acetamiprid and thiacloprid, respectively. A suite of effects on mayfly swimming behaviour/ability and respiration were also observed, but not quantified, following exposures to imidacloprid, acetamiprid, and thiacloprid at 1 μg/L and higher. Imidacloprid concentrations measured in North American surface waters have been found to meet or exceed those causing toxicity to Hexagenia, indicating that environmental concentrations may adversely affect Hexagenia and similarly sensitive non-target aquatic species. The sublethal toxicity of neonicotinoids to Hexagenia varies 160-fold, with imidacloprid, acetamiprid, and thiacloprid being the most toxic.","author":[{"dropping-particle":"","family":"Bartlett","given":"Adrienne J.","non-dropping-particle":"","parse-names":false,"suffix":""},{"dropping-particle":"","family":"Hedges","given":"Amanda M.","non-dropping-particle":"","parse-names":false,"suffix":""},{"dropping-particle":"","family":"Intini","given":"Kyna D.","non-dropping-particle":"","parse-names":false,"suffix":""},{"dropping-particle":"","family":"Brown","given":"Lisa R.","non-dropping-particle":"","parse-names":false,"suffix":""},{"dropping-particle":"","family":"Maisonneuve","given":"France J.","non-dropping-particle":"","parse-names":false,"suffix":""},{"dropping-particle":"","family":"Robinson","given":"Stacey A.","non-dropping-particle":"","parse-names":false,"suffix":""},{"dropping-particle":"","family":"Gillis","given":"Patricia L.","non-dropping-particle":"","parse-names":false,"suffix":""},{"dropping-particle":"","family":"Solla","given":"Shane R.","non-dropping-particle":"de","parse-names":false,"suffix":""}],"container-title":"Environmental Pollution","id":"ITEM-1","issued":{"date-parts":[["2018"]]},"note":"Accept with reservations IMI. \nReject for Clothianidin and Thiacloprid - poor data quality. \n\nOnly reservation is that their number seems high as compared to other studies. They did not typical feeding I think, using ground Tetra-min flakes as opposed to diatoms. I also did not double check WQ data, but it is cited in supplemental table 2. \n\nThis paper can be used for thia, acetami, clothian, thiaclop, and dinotefuran as well\n\nI would compare this to other mayfly studies before accepting results. See pink note.","page":"63-75","publisher":"Elsevier Ltd","title":"Lethal and sublethal toxicity of neonicotinoid and butenolide insecticides to the mayfly, Hexagenia spp.","type":"article-journal","volume":"238"},"uris":["http://www.mendeley.com/documents/?uuid=c9281d26-5dd5-4c05-8139-50816c940165"]}],"mendeley":{"formattedCitation":"(Bartlett et al., 2018)","plainTextFormattedCitation":"(Bartlett et al., 2018)","previouslyFormattedCitation":"(Bartlett et al., 2018)"},"properties":{"noteIndex":0},"schema":"https://github.com/citation-style-language/schema/raw/master/csl-citation.json"}</w:instrText>
            </w:r>
            <w:r>
              <w:fldChar w:fldCharType="separate"/>
            </w:r>
            <w:r w:rsidRPr="005B7009">
              <w:rPr>
                <w:b w:val="0"/>
                <w:bCs w:val="0"/>
                <w:noProof/>
              </w:rPr>
              <w:t>(Bartlett et al., 2018)</w:t>
            </w:r>
            <w:r>
              <w:fldChar w:fldCharType="end"/>
            </w:r>
          </w:p>
        </w:tc>
        <w:tc>
          <w:tcPr>
            <w:tcW w:w="602" w:type="pct"/>
          </w:tcPr>
          <w:p w14:paraId="483A735B"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05684121"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Dose response curve non-linear</w:t>
            </w:r>
          </w:p>
        </w:tc>
      </w:tr>
      <w:tr w:rsidR="00AB1145" w:rsidRPr="00F37F1E" w14:paraId="064C0D66"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453F5C81" w14:textId="77777777" w:rsidR="00AB1145" w:rsidRPr="00F37F1E" w:rsidRDefault="00AB1145" w:rsidP="00FF13D1">
            <w:pPr>
              <w:rPr>
                <w:b w:val="0"/>
                <w:bCs w:val="0"/>
              </w:rPr>
            </w:pPr>
            <w:r>
              <w:fldChar w:fldCharType="begin" w:fldLock="1"/>
            </w:r>
            <w:r>
              <w:rPr>
                <w:b w:val="0"/>
                <w:bCs w:val="0"/>
              </w:rPr>
              <w:instrText>ADDIN CSL_CITATION {"citationItems":[{"id":"ITEM-1","itemData":{"DOI":"10.1016/j.ecoenv.2019.03.038","ISSN":"10902414","PMID":"30901639","abstract":"Neonicotinoids are the most widely used insecticides in the world. They are preferentially toxic to insects while displaying a low toxicity toward vertebrates, and this selective toxicity has resulted in the rapid and ubiquitous use of these compounds. However, neonicotinoids have been detected in agricultural surface waters and are known to cause adverse effects in non-target aquatic organisms. A wide range of toxicity has been reported for aquatic crustaceans, but most of the studies focus on the acute effects of imidacloprid, and few data are available regarding chronic effects of other neonicotinoids or neonicotinoid replacements (e.g., butenolides). The objective of this study was to assess the acute and chronic toxicity of six neonicotinoids (imidacloprid, thiamethoxam, acetamiprid, clothianidin, thiacloprid, and dinotefuran) and one butenolide (flupyradifurone) to the freshwater amphipod Hyalella azteca. Chronic (28-d), water-only, static-renewal tests were conducted. Survival was assessed weekly, and growth was measured at the end of the exposure. Effects of neonicotinoids varied depending on the compound. Acute (7-d) LC50s were 4.0, 4.7, 60, 68, 230, and 290 μg/L for clothianidin, acetamiprid, dinotefuran, thiacloprid, imidacloprid, and thiamethoxam, respectively. Chronic (28-d) survival and growth were reduced at similar concentrations to acute (7-d) survival for thiamethoxam, acetamiprid, clothianidin, and dinotefuran. However, chronic survival and growth of amphipods exposed to imidacloprid and thiacloprid were reduced at lower concentrations than acute survival, with respective 28-d LC50s of 90 and 44 μg/L, and EC50s of 4 and 3 μg/L. Flupyradifurone was intermediate in toxicity compared to the neonicotinoids: 7-d LC50, 28-d LC50, and 28-d EC50 were 26, 20, and 16 μg/L, respectively. The concentrations of imidacloprid and clothianidin reported for North American surface waters fall within the effect ranges observed in this study, indicating the potential for these compounds to cause adverse effects to indigenous populations of H. azteca.","author":[{"dropping-particle":"","family":"Bartlett","given":"Adrienne J.","non-dropping-particle":"","parse-names":false,"suffix":""},{"dropping-particle":"","family":"Hedges","given":"Amanda M.","non-dropping-particle":"","parse-names":false,"suffix":""},{"dropping-particle":"","family":"Intini","given":"Kyna D.","non-dropping-particle":"","parse-names":false,"suffix":""},{"dropping-particle":"","family":"Brown","given":"Lisa R.","non-dropping-particle":"","parse-names":false,"suffix":""},{"dropping-particle":"","family":"Maisonneuve","given":"France J.","non-dropping-particle":"","parse-names":false,"suffix":""},{"dropping-particle":"","family":"Robinson","given":"Stacey A.","non-dropping-particle":"","parse-names":false,"suffix":""},{"dropping-particle":"","family":"Gillis","given":"Patricia L.","non-dropping-particle":"","parse-names":false,"suffix":""},{"dropping-particle":"","family":"Solla","given":"Shane R.","non-dropping-particle":"de","parse-names":false,"suffix":""}],"container-title":"Ecotoxicology and Environmental Safety","id":"ITEM-1","issued":{"date-parts":[["2019"]]},"note":"ACCEPT -Chronic\nREJECT - Acute\n\nI have no reservations about this study except the 7-day acute. I think we have to use 4-day only. use of 28-day chronic should be fine. May be able to calculate ACR for hyalella as well. \n\nThis study includes acetamiprid, clothianidin, dinotefuran, flupyradifurone, thiacloprid, and thiamethoxam as well.","page":"215-223","title":"Acute and chronic toxicity of neonicotinoid and butenolide insecticides to the freshwater amphipod, Hyalella azteca","type":"article-journal","volume":"175"},"uris":["http://www.mendeley.com/documents/?uuid=5bf4a870-e4fa-447d-b9a2-28776617ab52"]}],"mendeley":{"formattedCitation":"(Bartlett et al., 2019)","plainTextFormattedCitation":"(Bartlett et al., 2019)","previouslyFormattedCitation":"(Bartlett et al., 2019)"},"properties":{"noteIndex":0},"schema":"https://github.com/citation-style-language/schema/raw/master/csl-citation.json"}</w:instrText>
            </w:r>
            <w:r>
              <w:fldChar w:fldCharType="separate"/>
            </w:r>
            <w:r w:rsidRPr="005B7009">
              <w:rPr>
                <w:b w:val="0"/>
                <w:bCs w:val="0"/>
                <w:noProof/>
              </w:rPr>
              <w:t>(Bartlett et al., 2019)</w:t>
            </w:r>
            <w:r>
              <w:fldChar w:fldCharType="end"/>
            </w:r>
            <w:r w:rsidRPr="00F37F1E">
              <w:rPr>
                <w:b w:val="0"/>
                <w:bCs w:val="0"/>
              </w:rPr>
              <w:t xml:space="preserve"> </w:t>
            </w:r>
          </w:p>
        </w:tc>
        <w:tc>
          <w:tcPr>
            <w:tcW w:w="602" w:type="pct"/>
          </w:tcPr>
          <w:p w14:paraId="2ACCA797"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084626D2"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Acute study duration too long</w:t>
            </w:r>
          </w:p>
        </w:tc>
      </w:tr>
      <w:tr w:rsidR="00AB1145" w:rsidRPr="00F37F1E" w14:paraId="18F57E65"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2EAAC3FE" w14:textId="77777777" w:rsidR="00AB1145" w:rsidRPr="00F37F1E" w:rsidRDefault="00AB1145" w:rsidP="00FF13D1">
            <w:pPr>
              <w:rPr>
                <w:b w:val="0"/>
                <w:bCs w:val="0"/>
              </w:rPr>
            </w:pPr>
            <w:r>
              <w:fldChar w:fldCharType="begin" w:fldLock="1"/>
            </w:r>
            <w:r>
              <w:rPr>
                <w:b w:val="0"/>
                <w:bCs w:val="0"/>
              </w:rPr>
              <w:instrText>ADDIN CSL_CITATION {"citationItems":[{"id":"ITEM-1","itemData":{"DOI":"10.1016/j.scitotenv.2020.139264","ISSN":"18791026","PMID":"32485446","abstract":"Aquatic invertebrates exposed to pesticides may develop pesticide resistance. Based on a meta-analysis we revealed environmental factors driving the magnitude of resistance in the freshwater amphipod Gammarus pulex in the field. We showed that (i) insecticide tolerance of G. pulex increased with pesticide contamination in agricultural streams generally by a factor of up to 4. Tolerance increased even at concentrations lower than what is considered safe in regulatory risk assessment (ii) The increase in insecticide tolerance was pronounced at high test concentrations; comparing the LC50 of populations therefore potentially underestimates the development of resistance. (iii) Insecticide resistance in agricultural streams diminished during the spraying season, suggesting that adverse effects of sublethal concentrations in the short term contrast long-term adaptation to insecticide exposure. (iv) We found that resistance was especially high in populations characterized not only by high pesticide exposure, but also by large distance (&gt;3.3 km) from non-polluted stream sections and by low species diversity within the invertebrate community. We conclude that the test concentration, the timing of measurement, distance to refuge areas and species diversity mediate the observed response of aquatic communities to pesticide pollution and need to be considered for the sustainable management of agricultural practices.","author":[{"dropping-particle":"","family":"Becker","given":"Jeremias Martin","non-dropping-particle":"","parse-names":false,"suffix":""},{"dropping-particle":"","family":"Russo","given":"Renato","non-dropping-particle":"","parse-names":false,"suffix":""},{"dropping-particle":"","family":"Shahid","given":"Naeem","non-dropping-particle":"","parse-names":false,"suffix":""},{"dropping-particle":"","family":"Liess","given":"Matthias","non-dropping-particle":"","parse-names":false,"suffix":""}],"container-title":"Science of the Total Environment","id":"ITEM-1","issued":{"date-parts":[["2020"]]},"note":"Reject. Can't use non-resident species","publisher":"Elsevier B.V.","title":"Drivers of pesticide resistance in freshwater amphipods","type":"article-journal","volume":"735"},"uris":["http://www.mendeley.com/documents/?uuid=d0cb28ed-6e4b-4a8b-8357-80968a3c0c68"]}],"mendeley":{"formattedCitation":"(Becker et al., 2020)","plainTextFormattedCitation":"(Becker et al., 2020)","previouslyFormattedCitation":"(Becker et al., 2020)"},"properties":{"noteIndex":0},"schema":"https://github.com/citation-style-language/schema/raw/master/csl-citation.json"}</w:instrText>
            </w:r>
            <w:r>
              <w:fldChar w:fldCharType="separate"/>
            </w:r>
            <w:r w:rsidRPr="005B7009">
              <w:rPr>
                <w:b w:val="0"/>
                <w:bCs w:val="0"/>
                <w:noProof/>
              </w:rPr>
              <w:t>(Becker et al., 2020)</w:t>
            </w:r>
            <w:r>
              <w:fldChar w:fldCharType="end"/>
            </w:r>
          </w:p>
        </w:tc>
        <w:tc>
          <w:tcPr>
            <w:tcW w:w="602" w:type="pct"/>
          </w:tcPr>
          <w:p w14:paraId="682DBB1E"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3D70518E"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Non-resident species tested</w:t>
            </w:r>
          </w:p>
        </w:tc>
      </w:tr>
      <w:tr w:rsidR="00AB1145" w:rsidRPr="00F37F1E" w14:paraId="7EC767DE"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1CFE98F3" w14:textId="77777777" w:rsidR="00AB1145" w:rsidRPr="00F37F1E" w:rsidRDefault="00AB1145" w:rsidP="00FF13D1">
            <w:r>
              <w:fldChar w:fldCharType="begin" w:fldLock="1"/>
            </w:r>
            <w:r>
              <w:instrText>ADDIN CSL_CITATION {"citationItems":[{"id":"ITEM-1","itemData":{"DOI":"10.1002/etc.3536","ISSN":"15528618","PMID":"27329202","abstract":"Nontarget aquatic insects are susceptible to chronic neonicotinoid insecticide exposure during the early stages of development from repeated runoff events and prolonged persistence of these chemicals. Investigations on the chronic toxicity of neonicotinoids to aquatic invertebrates have been limited to a few species and under different laboratory conditions that often preclude direct comparisons of the relative toxicity of different compounds. In the present study, full life-cycle toxicity tests using Chironomus dilutus were performed to compare the toxicity of 3 commonly used neonicotinoids: imidacloprid, clothianidin, and thiamethoxam. Test conditions followed a static-renewal exposure protocol in which lethal and sublethal endpoints were assessed on days 14 and 40. Reduced emergence success, advanced emergence timing, and male-biased sex ratios were sensitive responses to low-level neonicotinoid exposure. The 14-d median lethal concentrations for imidacloprid, clothianidin, and thiamethoxam were 1.52 μg/L, 2.41 μg/L, and 23.60 μg/L, respectively. The 40-d median effect concentrations (emergence) for imidacloprid, clothianidin, and thiamethoxam were 0.39 μg/L, 0.28 μg/L, and 4.13 μg/L, respectively. Toxic equivalence relative to imidacloprid was estimated through a 3-point response average of equivalencies calculated at 20%, 50%, and 90% lethal and effect concentrations. Relative to imidacloprid (toxic equivalency factor [TEF] = 1.0), chronic (lethality) 14-d TEFs for clothianidin and thiamethoxam were 1.05 and 0.14, respectively, and chronic (emergence inhibition) 40-d TEFs were 1.62 and 0.11, respectively. These population-relevant endpoints and TEFs suggest that imidacloprid and clothianidin exert comparable chronic toxicity to C. dilutus, whereas thiamethoxam induced comparable effects only at concentrations an order of magnitude higher. However, the authors caution that under field conditions, thiamethoxam readily degrades to clothianidin, thereby likely enhancing toxicity. Environ Toxicol Chem 2017;36:372–382. © 2016 SETAC.","author":[{"dropping-particle":"","family":"Cavallaro","given":"Michael C.","non-dropping-particle":"","parse-names":false,"suffix":""},{"dropping-particle":"","family":"Morrissey","given":"Christy A.","non-dropping-particle":"","parse-names":false,"suffix":""},{"dropping-particle":"V.","family":"Headley","given":"John","non-dropping-particle":"","parse-names":false,"suffix":""},{"dropping-particle":"","family":"Peru","given":"Kerry M.","non-dropping-particle":"","parse-names":false,"suffix":""},{"dropping-particle":"","family":"Liber","given":"Karsten","non-dropping-particle":"","parse-names":false,"suffix":""}],"container-title":"Environmental Toxicology and Chemistry","id":"ITEM-1","issue":"2","issued":{"date-parts":[["2017"]]},"note":"REJECT. Chronic study with no acute comparison.\nMight be an honorable mention since it's a good study.\n\nThis is a very good article. I think I can use 40 Day LC50's. Not sure about sex ratio endpoint...","page":"372-382","title":"Comparative chronic toxicity of imidacloprid, clothianidin, and thiamethoxam to Chironomus dilutus and estimation of toxic equivalency factors","type":"article-journal","volume":"36"},"uris":["http://www.mendeley.com/documents/?uuid=87131076-391f-403a-9b71-c43d9ba4cf93"]}],"mendeley":{"formattedCitation":"(Cavallaro et al., 2017)","plainTextFormattedCitation":"(Cavallaro et al., 2017)","previouslyFormattedCitation":"(Cavallaro et al., 2017)"},"properties":{"noteIndex":0},"schema":"https://github.com/citation-style-language/schema/raw/master/csl-citation.json"}</w:instrText>
            </w:r>
            <w:r>
              <w:fldChar w:fldCharType="separate"/>
            </w:r>
            <w:r w:rsidRPr="005B7009">
              <w:rPr>
                <w:b w:val="0"/>
                <w:noProof/>
              </w:rPr>
              <w:t>(Cavallaro et al., 2017)</w:t>
            </w:r>
            <w:r>
              <w:fldChar w:fldCharType="end"/>
            </w:r>
          </w:p>
        </w:tc>
        <w:tc>
          <w:tcPr>
            <w:tcW w:w="602" w:type="pct"/>
          </w:tcPr>
          <w:p w14:paraId="6E3E54DA"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NO ACR</w:t>
            </w:r>
          </w:p>
        </w:tc>
        <w:tc>
          <w:tcPr>
            <w:tcW w:w="2542" w:type="pct"/>
          </w:tcPr>
          <w:p w14:paraId="684A2056"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rsidRPr="004F441F">
              <w:rPr>
                <w:i/>
                <w:iCs/>
              </w:rPr>
              <w:t xml:space="preserve">C. </w:t>
            </w:r>
            <w:proofErr w:type="spellStart"/>
            <w:r w:rsidRPr="004F441F">
              <w:rPr>
                <w:i/>
                <w:iCs/>
              </w:rPr>
              <w:t>dilutus</w:t>
            </w:r>
            <w:proofErr w:type="spellEnd"/>
            <w:r>
              <w:t>, 40-day emergence</w:t>
            </w:r>
          </w:p>
        </w:tc>
      </w:tr>
      <w:tr w:rsidR="00AB1145" w:rsidRPr="00F37F1E" w14:paraId="13B0B8E9"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42E8ADAE" w14:textId="77777777" w:rsidR="00AB1145" w:rsidRDefault="00AB1145" w:rsidP="00FF13D1">
            <w:r>
              <w:fldChar w:fldCharType="begin" w:fldLock="1"/>
            </w:r>
            <w:r>
              <w:instrText>ADDIN CSL_CITATION {"citationItems":[{"id":"ITEM-1","itemData":{"DOI":"10.1002/etc.4187","ISSN":"15528618","PMID":"29877579","abstract":"Seasonal aquatic insect emergence represents a critical subsidy link between aquatic and terrestrial ecosystems. Early and late instar larvae developing in wetlands near neonicotinoid-treated cropland can be at risk of chronic insecticide exposure. In the present study, an in situ wetland limnocorral experiment compared emergent insect community responses to imidacloprid, clothianidin, and thiamethoxam. Twenty-one limnocorrals were dosed weekly for 9 wk to target peak nominal doses of 0.0, 0.05, or 0.5 μg/L, followed by a 6-wk recovery period. Thirty-nine aquatic insect taxa were recorded but 11 taxa groups made up 97% of the community composition. Principal response curves (PRCs) indicated that during the dosing period, community composition among the treatments resembled the controls. During the 6-wk recovery period, significant deviance was observed in the high imidacloprid treatment with similar trends in the clothianidin treatment, suggesting that community effects from neonicotinoid exposure can be delayed. Non-biting midges (Diptera: Chironomidae) and damselflies (Odonata: Zygoptera) emerged 18 to 25 d earlier than controls in the imidacloprid and clothianidin neonicotinoid treatments, with no effects from thiamethoxam treatments. These data suggest that phenology and subtle community effects can occur at measured neonicotinoid concentrations of 0.045 (imidacloprid) and 0.038 μg/L (clothianidin) under chronic repeated exposure conditions. Synchronization and community dynamics are critical to aquatic insects and consumers; thus, neonicotinoids may have broad implications for wetland ecosystem function. Environ Toxicol Chem 2018;37:2401–2412. © 2018 SETAC.","author":[{"dropping-particle":"","family":"Cavallaro","given":"Michael C.","non-dropping-particle":"","parse-names":false,"suffix":""},{"dropping-particle":"","family":"Liber","given":"Karsten","non-dropping-particle":"","parse-names":false,"suffix":""},{"dropping-particle":"V.","family":"Headley","given":"John","non-dropping-particle":"","parse-names":false,"suffix":""},{"dropping-particle":"","family":"Peru","given":"Kerry M.","non-dropping-particle":"","parse-names":false,"suffix":""},{"dropping-particle":"","family":"Morrissey","given":"Christy A.","non-dropping-particle":"","parse-names":false,"suffix":""}],"container-title":"Environmental Toxicology and Chemistry","id":"ITEM-1","issue":"9","issued":{"date-parts":[["2018"]]},"note":"Reject. This is a mesocosm paper.\n\nI need to read this in more depth. What are the community effects. Would be good to give this an honorable mention or flag it for our wetland biologists.","page":"2401-2412","title":"Community-level and phenological responses of emerging aquatic insects exposed to 3 neonicotinoid insecticides: An in situ wetland limnocorral approach","type":"article-journal","volume":"37"},"uris":["http://www.mendeley.com/documents/?uuid=578110d5-911a-4b4a-a41e-966c2de5f7ac"]}],"mendeley":{"formattedCitation":"(Cavallaro et al., 2018)","plainTextFormattedCitation":"(Cavallaro et al., 2018)","previouslyFormattedCitation":"(Cavallaro et al., 2018)"},"properties":{"noteIndex":0},"schema":"https://github.com/citation-style-language/schema/raw/master/csl-citation.json"}</w:instrText>
            </w:r>
            <w:r>
              <w:fldChar w:fldCharType="separate"/>
            </w:r>
            <w:r w:rsidRPr="00C972CA">
              <w:rPr>
                <w:b w:val="0"/>
                <w:noProof/>
              </w:rPr>
              <w:t>(Cavallaro et al., 2018)</w:t>
            </w:r>
            <w:r>
              <w:fldChar w:fldCharType="end"/>
            </w:r>
          </w:p>
        </w:tc>
        <w:tc>
          <w:tcPr>
            <w:tcW w:w="602" w:type="pct"/>
          </w:tcPr>
          <w:p w14:paraId="735BB3C4"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200C51F4"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Mesocosm study</w:t>
            </w:r>
          </w:p>
        </w:tc>
      </w:tr>
      <w:tr w:rsidR="00AB1145" w:rsidRPr="00F37F1E" w14:paraId="7EF2586F"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7DB2901E" w14:textId="77777777" w:rsidR="00AB1145" w:rsidRPr="00F37F1E" w:rsidRDefault="00AB1145" w:rsidP="00FF13D1">
            <w:pPr>
              <w:rPr>
                <w:b w:val="0"/>
                <w:bCs w:val="0"/>
              </w:rPr>
            </w:pPr>
            <w:r>
              <w:fldChar w:fldCharType="begin" w:fldLock="1"/>
            </w:r>
            <w:r>
              <w:rPr>
                <w:b w:val="0"/>
                <w:bCs w:val="0"/>
              </w:rPr>
              <w:instrText>ADDIN CSL_CITATION {"citationItems":[{"id":"ITEM-1","itemData":{"DOI":"10.1007/s00244-021-00840-4","ISBN":"0123456789","ISSN":"14320703","PMID":"33880625","abstract":"This research investigated the adverse effects of neonicotinoids on the Northwestern salamander (Ambystoma gracile; NWS) after acute and subchronic exposures during early aquatic life stages via whole organism (i.e., growth, development) and molecular (i.e., gene expression) level endpoints. In a 96-h exposure, NWS larvae were exposed to four imidacloprid concentrations (250, 750, 2250, 6750 µg/L) and a water control treatment, and no effects on survival, body weight, snout-vent length (SVL), and total body length were observed. However, a significant 1.70- and 2.33-fold decrease in thyroid receptor β (TRβ) mRNA expression levels were detected in the larvae exposed to 750 and 2250 µg/L imidacloprid, respectively, compared with the larvae in the water control. In subsequent subchronic experiments, NWS larvae were exposed for 35 days to imidacloprid alone and an equal part mixture of neonicotinoids (imidacloprid, clothianidin, and thiamethoxam (ICT)) at three concentrations (10, 100 and 1000 µg total neonicotinoids/L) and a water control. In these experiments, there were no effects on larval survival, body weight, SVL, and total body length. However, advanced development of larvae in the 100 µg/L imidacloprid treatment was observed compared with the control after 35-day imidacloprid exposure, providing some evidence of disruption of the thyroid endocrine axis at an environmentally relevant concentration. Ultimately, there is a paucity of studies conducted examining the sensitivity of salamanders to pollutants; thus, this study reports novel findings that will contribute to understanding the sensitivity of a Caudate amphibian model to a common environmental pollutant.","author":[{"dropping-particle":"","family":"Danis","given":"Blake E.G.","non-dropping-particle":"","parse-names":false,"suffix":""},{"dropping-particle":"","family":"Marlatt","given":"Vicki L.","non-dropping-particle":"","parse-names":false,"suffix":""}],"container-title":"Archives of Environmental Contamination and Toxicology","id":"ITEM-1","issue":"4","issued":{"date-parts":[["2021"]]},"note":"Accept with reservations - IMI. No dose response curve established. \n\nReject for Clothianidin and Thiamethoxam - tested it as mixture only. \n\nThis paper indicates imidacloprid has no acute/chronic toxicity below 6750 ug/L or 6.75 mg/L. \n\nThis paper will not influence aquatic life value, but should be included to show we reviewed a salamander species.","page":"691-707","publisher":"Springer US","title":"Investigating Acute and Subchronic Effects of Neonicotinoids on Northwestern Salamander Larvae","type":"article-journal","volume":"80"},"uris":["http://www.mendeley.com/documents/?uuid=903af3d2-fcbc-41a4-adf7-caa5b58ba40a"]}],"mendeley":{"formattedCitation":"(Danis and Marlatt, 2021)","plainTextFormattedCitation":"(Danis and Marlatt, 2021)","previouslyFormattedCitation":"(Danis and Marlatt, 2021)"},"properties":{"noteIndex":0},"schema":"https://github.com/citation-style-language/schema/raw/master/csl-citation.json"}</w:instrText>
            </w:r>
            <w:r>
              <w:fldChar w:fldCharType="separate"/>
            </w:r>
            <w:r w:rsidRPr="005B7009">
              <w:rPr>
                <w:b w:val="0"/>
                <w:bCs w:val="0"/>
                <w:noProof/>
              </w:rPr>
              <w:t>(Danis and Marlatt, 2021)</w:t>
            </w:r>
            <w:r>
              <w:fldChar w:fldCharType="end"/>
            </w:r>
          </w:p>
        </w:tc>
        <w:tc>
          <w:tcPr>
            <w:tcW w:w="602" w:type="pct"/>
          </w:tcPr>
          <w:p w14:paraId="464FC80F"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MIXTURE</w:t>
            </w:r>
          </w:p>
        </w:tc>
        <w:tc>
          <w:tcPr>
            <w:tcW w:w="2542" w:type="pct"/>
          </w:tcPr>
          <w:p w14:paraId="7DBAB658"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p>
        </w:tc>
      </w:tr>
      <w:tr w:rsidR="00AB1145" w:rsidRPr="00F37F1E" w14:paraId="37738010"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32378DF1" w14:textId="77777777" w:rsidR="00AB1145" w:rsidRDefault="00AB1145" w:rsidP="00FF13D1">
            <w:r>
              <w:fldChar w:fldCharType="begin" w:fldLock="1"/>
            </w:r>
            <w:r>
              <w:instrText>ADDIN CSL_CITATION {"citationItems":[{"id":"ITEM-1","itemData":{"author":[{"dropping-particle":"","family":"Drottar","given":"Kurt R.","non-dropping-particle":"","parse-names":false,"suffix":""},{"dropping-particle":"","family":"Krueger","given":"Henry O.","non-dropping-particle":"","parse-names":false,"suffix":""}],"id":"ITEM-1","issued":{"date-parts":[["2000"]]},"title":"TI-435 Technical: An Early Life-Stage Toxicity Test with the Fathead Minnow (Pimephales promelas)","type":"report"},"uris":["http://www.mendeley.com/documents/?uuid=7f310788-bddf-45f4-aaed-2ed7eb2318b5"]}],"mendeley":{"formattedCitation":"(Drottar and Krueger, 2000)","plainTextFormattedCitation":"(Drottar and Krueger, 2000)","previouslyFormattedCitation":"(Drottar and Krueger, 2000)"},"properties":{"noteIndex":0},"schema":"https://github.com/citation-style-language/schema/raw/master/csl-citation.json"}</w:instrText>
            </w:r>
            <w:r>
              <w:fldChar w:fldCharType="separate"/>
            </w:r>
            <w:r w:rsidRPr="0058151F">
              <w:rPr>
                <w:b w:val="0"/>
                <w:noProof/>
              </w:rPr>
              <w:t>(Drottar and Krueger, 2000)</w:t>
            </w:r>
            <w:r>
              <w:fldChar w:fldCharType="end"/>
            </w:r>
          </w:p>
        </w:tc>
        <w:tc>
          <w:tcPr>
            <w:tcW w:w="602" w:type="pct"/>
          </w:tcPr>
          <w:p w14:paraId="184D1485"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6018EE1C"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Control results lower than dosed treatments</w:t>
            </w:r>
          </w:p>
        </w:tc>
      </w:tr>
      <w:tr w:rsidR="00AB1145" w:rsidRPr="00F37F1E" w14:paraId="3C7AC88E"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6504C21F" w14:textId="77777777" w:rsidR="00AB1145" w:rsidRPr="00F37F1E" w:rsidRDefault="00AB1145" w:rsidP="00FF13D1">
            <w:pPr>
              <w:rPr>
                <w:b w:val="0"/>
                <w:bCs w:val="0"/>
              </w:rPr>
            </w:pPr>
            <w:r>
              <w:fldChar w:fldCharType="begin" w:fldLock="1"/>
            </w:r>
            <w:r>
              <w:rPr>
                <w:b w:val="0"/>
                <w:bCs w:val="0"/>
              </w:rPr>
              <w:instrText>ADDIN CSL_CITATION {"citationItems":[{"id":"ITEM-1","itemData":{"DOI":"10.1584/jpestics.D12-061","ISSN":"1348589X","abstract":"The acute toxicity (48-hr) of old (imidacloprid) and new (clothianidin) neonicotinoid insecticides to five cladoceran species and species sensitivity distribution (SSD) for cladocerans and other aquatic organisms to these insecticides are compared here. The sensitivities to both insecticides were in the following descending order: Ceriodaphnia&gt;Daphnia&gt;Moina. Differences in the 5% hazardous concentration (HC5) threshold between the two species taxa to each compound indicated that clothianidin was 4 times less toxic than imidacloprid only to cladocerans. © Pesticide Science Society of Japan.","author":[{"dropping-particle":"","family":"Hayasaka","given":"Daisuke","non-dropping-particle":"","parse-names":false,"suffix":""},{"dropping-particle":"","family":"Suzuki","given":"Kazutaka","non-dropping-particle":"","parse-names":false,"suffix":""},{"dropping-particle":"","family":"Nomura","given":"Takuji","non-dropping-particle":"","parse-names":false,"suffix":""},{"dropping-particle":"","family":"Nishiyama","given":"Mio","non-dropping-particle":"","parse-names":false,"suffix":""},{"dropping-particle":"","family":"Nagai","given":"Takashi","non-dropping-particle":"","parse-names":false,"suffix":""},{"dropping-particle":"","family":"Sánchez-Bayo","given":"Francisco","non-dropping-particle":"","parse-names":false,"suffix":""},{"dropping-particle":"","family":"Goka","given":"Koichi","non-dropping-particle":"","parse-names":false,"suffix":""}],"container-title":"Journal of Pesticide Science","id":"ITEM-1","issue":"1","issued":{"date-parts":[["2013"]]},"note":"REJECT. Used formulation.\n\nThis is the same numbers as other Hyas... paper.","page":"44-47","title":"Comparison of acute toxicity of two neonicotinoid insecticides, imidacloprid and clothianidin, to five cladoceran species","type":"article-journal","volume":"38"},"uris":["http://www.mendeley.com/documents/?uuid=9672c224-bb5b-4729-bf27-31f3295dbd9a"]}],"mendeley":{"formattedCitation":"(Hayasaka et al., 2013)","plainTextFormattedCitation":"(Hayasaka et al., 2013)","previouslyFormattedCitation":"(Hayasaka et al., 2013)"},"properties":{"noteIndex":0},"schema":"https://github.com/citation-style-language/schema/raw/master/csl-citation.json"}</w:instrText>
            </w:r>
            <w:r>
              <w:fldChar w:fldCharType="separate"/>
            </w:r>
            <w:r w:rsidRPr="005B7009">
              <w:rPr>
                <w:b w:val="0"/>
                <w:bCs w:val="0"/>
                <w:noProof/>
              </w:rPr>
              <w:t>(Hayasaka et al., 2013)</w:t>
            </w:r>
            <w:r>
              <w:fldChar w:fldCharType="end"/>
            </w:r>
          </w:p>
        </w:tc>
        <w:tc>
          <w:tcPr>
            <w:tcW w:w="602" w:type="pct"/>
          </w:tcPr>
          <w:p w14:paraId="02981713"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MIXTURE</w:t>
            </w:r>
          </w:p>
        </w:tc>
        <w:tc>
          <w:tcPr>
            <w:tcW w:w="2542" w:type="pct"/>
          </w:tcPr>
          <w:p w14:paraId="1FB9F864"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Used formulation</w:t>
            </w:r>
          </w:p>
        </w:tc>
      </w:tr>
      <w:tr w:rsidR="00AB1145" w:rsidRPr="00F37F1E" w14:paraId="4E81E7D1"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4D6CD138" w14:textId="77777777" w:rsidR="00AB1145" w:rsidRPr="00F37F1E" w:rsidRDefault="00AB1145" w:rsidP="00FF13D1">
            <w:pPr>
              <w:rPr>
                <w:b w:val="0"/>
                <w:bCs w:val="0"/>
              </w:rPr>
            </w:pPr>
            <w:r>
              <w:fldChar w:fldCharType="begin" w:fldLock="1"/>
            </w:r>
            <w:r>
              <w:rPr>
                <w:b w:val="0"/>
                <w:bCs w:val="0"/>
              </w:rPr>
              <w:instrText>ADDIN CSL_CITATION {"citationItems":[{"id":"ITEM-1","itemData":{"DOI":"10.1007/s00128-019-02703-0","ISBN":"0123456789","ISSN":"14320800","PMID":"31492972","abstract":"Neonicotinoid insecticides are highly water soluble with relatively long half-lives, which allows them to move into and persist in aquatic ecosystems. However, little is known of the impacts of neonicotinoids on non-target vertebrates, especially at sublethal concentrations. We evaluated the effects of the neonicotinoid clothianidin on the behavior of southern leopard frog tadpoles (Rana sphenocephala) after a 96-h exposure at 6 concentrations, including 0 (control), 0.375, 0.75, 1.5, 3.0, 6.0 µg/L. We quantified total displacement, mean velocity, maximum velocity, and time spent moving of tadpoles for 1 h post-exposure. Total displacement and mean velocity of tadpoles decreased with clothianidin exposure. Maximum velocity decreased linearly with concentration, but there was no relationship between time spent moving and clothianidin concentration. Our results suggest exposure to clothianidin at sublethal concentrations can affect movement behavior of non-target organisms such as tadpoles.","author":[{"dropping-particle":"","family":"Holtswarth","given":"Jordan N.","non-dropping-particle":"","parse-names":false,"suffix":""},{"dropping-particle":"","family":"Rowland","given":"Freya E.","non-dropping-particle":"","parse-names":false,"suffix":""},{"dropping-particle":"","family":"Puglis","given":"Holly J.","non-dropping-particle":"","parse-names":false,"suffix":""},{"dropping-particle":"","family":"Hladik","given":"Michelle L.","non-dropping-particle":"","parse-names":false,"suffix":""},{"dropping-particle":"","family":"Webb","given":"Elisabeth B.","non-dropping-particle":"","parse-names":false,"suffix":""}],"container-title":"Bulletin of Environmental Contamination and Toxicology","id":"ITEM-1","issue":"5","issued":{"date-parts":[["2019"]]},"note":"Reject... all sublethal impacts followed a quadratic regression... huh? This is not clothianidin at work here. What in the actual F?","page":"717-722","title":"Effects of the Neonicotinoid Insecticide Clothianidin on Southern Leopard Frog (Rana sphenocephala) Tadpole Behavior","type":"article-journal","volume":"103"},"uris":["http://www.mendeley.com/documents/?uuid=41a63040-b479-43fc-9acb-09cd17b78915"]}],"mendeley":{"formattedCitation":"(Holtswarth et al., 2019)","plainTextFormattedCitation":"(Holtswarth et al., 2019)","previouslyFormattedCitation":"(Holtswarth et al., 2019)"},"properties":{"noteIndex":0},"schema":"https://github.com/citation-style-language/schema/raw/master/csl-citation.json"}</w:instrText>
            </w:r>
            <w:r>
              <w:fldChar w:fldCharType="separate"/>
            </w:r>
            <w:r w:rsidRPr="005B7009">
              <w:rPr>
                <w:b w:val="0"/>
                <w:bCs w:val="0"/>
                <w:noProof/>
              </w:rPr>
              <w:t>(Holtswarth et al., 2019)</w:t>
            </w:r>
            <w:r>
              <w:fldChar w:fldCharType="end"/>
            </w:r>
          </w:p>
        </w:tc>
        <w:tc>
          <w:tcPr>
            <w:tcW w:w="602" w:type="pct"/>
          </w:tcPr>
          <w:p w14:paraId="62A31ED1"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26E23116"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Dose response curve non-linear</w:t>
            </w:r>
          </w:p>
        </w:tc>
      </w:tr>
      <w:tr w:rsidR="00AB1145" w:rsidRPr="00F37F1E" w14:paraId="6FE3966C"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68A71A0F" w14:textId="77777777" w:rsidR="00AB1145" w:rsidRPr="00F37F1E" w:rsidRDefault="00AB1145" w:rsidP="00FF13D1">
            <w:r>
              <w:fldChar w:fldCharType="begin" w:fldLock="1"/>
            </w:r>
            <w:r>
              <w:instrText>ADDIN CSL_CITATION {"citationItems":[{"id":"ITEM-1","itemData":{"DOI":"10.1002/etc.4556","ISSN":"15528618","PMID":"31373707","abstract":"Neonicotinoid insecticides have been shown to have high chronic toxicity relative to acute toxicity, and therefore short-term toxicity tests ≤96 h in duration may underestimate their environmental risks. Among nontarget aquatic invertebrates, insects of the orders Diptera and Ephemeroptera have been found to be the most sensitive to neonicotinoids. To undertake a more accurate assessment of the risks posed by neonicotinoids to freshwater ecosystems, more data are needed from long-term tests employing the most sensitive taxa. Using nymphs of the common New Zealand mayfly genus Deleatidium spp., we performed 28-d static-renewal exposures with the widely used neonicotinoids imidacloprid, clothianidin, and thiamethoxam. We monitored survival, immobility, impairment, and mayfly moulting propensity at varying time points throughout the experiment. Imidacloprid and clothianidin exerted strong chronic toxicity effects on Deleatidium nymphs, with 28-d median lethal concentrations (LC50s) of 0.28 and 1.36 µg/L, respectively, whereas thiamethoxam was the least toxic, with a 28-d LC50 &gt; 4 µg/L (highest concentration tested). Mayfly moulting propensity was also negatively affected by clothianidin (during 3 of 4 wk), imidacloprid (2 of 4 wk), and thiamethoxam (1 of 4 wk). Comparisons with published neonicotinoid chronic toxicity data for other mayfly taxa and larvae of the midge genus Chironomus showed similar sensitivities for mayflies and midges, suggesting that experiments using these taxa provide reliable assessments of the threats of neonicotinoids to the most vulnerable freshwater species. Environ Toxicol Chem 2019;38:2459–2471. © 2019 SETAC.","author":[{"dropping-particle":"","family":"Macaulay","given":"Samuel J.","non-dropping-particle":"","parse-names":false,"suffix":""},{"dropping-particle":"","family":"Hageman","given":"Kimberly J.","non-dropping-particle":"","parse-names":false,"suffix":""},{"dropping-particle":"","family":"Alumbaugh","given":"Robert E.","non-dropping-particle":"","parse-names":false,"suffix":""},{"dropping-particle":"","family":"Lyons","given":"Sean M.","non-dropping-particle":"","parse-names":false,"suffix":""},{"dropping-particle":"","family":"Piggott","given":"Jeremy J.","non-dropping-particle":"","parse-names":false,"suffix":""},{"dropping-particle":"","family":"Matthaei","given":"Christoph D.","non-dropping-particle":"","parse-names":false,"suffix":""}],"container-title":"Environmental Toxicology and Chemistry","id":"ITEM-1","issue":"11","issued":{"date-parts":[["2019"]]},"note":"Reject. Deleatidium sp. is endemic to New Zealand. Honorable mention due to low LC50 28-d chronic value of 0.28 ug/L\n\nIMI, CLOT, THIA","page":"2459-2471","publisher":"John Wiley &amp; Sons, Ltd","title":"Chronic Toxicities of Neonicotinoids to Nymphs of the Common New Zealand Mayfly Deleatidium spp.","type":"article-journal","volume":"38"},"uris":["http://www.mendeley.com/documents/?uuid=c7c4ce3b-b14d-4ac5-ab98-4bbd6dec3f10"]}],"mendeley":{"formattedCitation":"(Macaulay et al., 2019)","plainTextFormattedCitation":"(Macaulay et al., 2019)","previouslyFormattedCitation":"(Macaulay et al., 2019)"},"properties":{"noteIndex":0},"schema":"https://github.com/citation-style-language/schema/raw/master/csl-citation.json"}</w:instrText>
            </w:r>
            <w:r>
              <w:fldChar w:fldCharType="separate"/>
            </w:r>
            <w:r w:rsidRPr="005B7009">
              <w:rPr>
                <w:b w:val="0"/>
                <w:noProof/>
              </w:rPr>
              <w:t>(Macaulay et al., 2019)</w:t>
            </w:r>
            <w:r>
              <w:fldChar w:fldCharType="end"/>
            </w:r>
            <w:r w:rsidRPr="00F37F1E">
              <w:t xml:space="preserve"> </w:t>
            </w:r>
          </w:p>
        </w:tc>
        <w:tc>
          <w:tcPr>
            <w:tcW w:w="602" w:type="pct"/>
          </w:tcPr>
          <w:p w14:paraId="6D9FA92F"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212A53F5"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Non-resident species tested</w:t>
            </w:r>
          </w:p>
        </w:tc>
      </w:tr>
      <w:tr w:rsidR="00AB1145" w:rsidRPr="00F37F1E" w14:paraId="32FE1778"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090EA4D3" w14:textId="77777777" w:rsidR="00AB1145" w:rsidRPr="00F37F1E" w:rsidRDefault="00AB1145" w:rsidP="00FF13D1">
            <w:pPr>
              <w:rPr>
                <w:b w:val="0"/>
                <w:bCs w:val="0"/>
              </w:rPr>
            </w:pPr>
            <w:r>
              <w:fldChar w:fldCharType="begin" w:fldLock="1"/>
            </w:r>
            <w:r>
              <w:rPr>
                <w:b w:val="0"/>
                <w:bCs w:val="0"/>
              </w:rPr>
              <w:instrText>ADDIN CSL_CITATION {"citationItems":[{"id":"ITEM-1","itemData":{"DOI":"10.1016/j.envpol.2018.09.008","ISSN":"18736424","PMID":"30408860","abstract":"Neonicotinoid insecticide mixtures are frequently detected in aquatic environments in agricultural regions. Recent laboratory studies have indicated that neonicotinoid mixtures can elicit greater-than-additive toxicity in sensitive aquatic insects (e.g. Chironomus dilutus). However, this has yet to be validated under field conditions. In this study, we compared the chronic (28- and 56-day) toxicity of three neonicotinoids (imidacloprid, clothianidin, and thiamethoxam) and their mixtures to natural aquatic insect communities. Using experimental in-situ enclosures (limnocorrals), we exposed wetland insects to single-compounds and binary mixtures at equitoxic concentrations (1 toxic unit under the principle of Concentration Addition). We assessed the composition of all emerged insect taxa and the cumulative Chironomidae emergence and biomass over time. In treated limnocorrals, there were subtle shifts in community composition, with greater mean proportions of emergent Trichoptera and Odonata. Cumulative emergence and biomass increased over time and there was a significant interaction between time and treatment. At 28 days, cumulative Chironomidae emergence and biomass were not significantly different between neonicotinoid treatments and controls. However, cumulative emergence in the imidacloprid, clothianidin, and clothianidin-thiamethoxam treatments were 42%, 20%, and 44% lower than predicted from applied doses. At 56 days, effects on cumulative emergence and biomass were significant for imidacloprid, clothianidin, and the clothianidin-thiamethoxam mixture. Contrary to laboratory predictions, mixtures were not more toxic than single compounds under semi-controlled field settings. Furthermore, only clothianidin significantly shifted sex-ratios towards female-dominated populations. Results showed that the responses of natural Chironomidae populations to neonicotinoids and their mixtures cannot be adequately predicted from laboratory-derived single-species models, and although occasional overdosing may have influenced the magnitude of effects, reductions in Chironomidae emergence and biomass can occur at average neonicotinoid concentrations below some current water quality guidelines. Therefore, neonicotinoid guidelines should be revised to ensure that Chironomidae and other sensitive aquatic insects inhabiting agricultural wetlands are adequately protected. Lab-derived, single species models cannot adequately predict single compound and neonicotinoid mixtur…","author":[{"dropping-particle":"","family":"Maloney","given":"E. M.","non-dropping-particle":"","parse-names":false,"suffix":""},{"dropping-particle":"","family":"Liber","given":"K.","non-dropping-particle":"","parse-names":false,"suffix":""},{"dropping-particle":"V.","family":"Headley","given":"J.","non-dropping-particle":"","parse-names":false,"suffix":""},{"dropping-particle":"","family":"Peru","given":"K. M.","non-dropping-particle":"","parse-names":false,"suffix":""},{"dropping-particle":"","family":"Morrissey","given":"C. A.","non-dropping-particle":"","parse-names":false,"suffix":""}],"container-title":"Environmental Pollution","id":"ITEM-1","issued":{"date-parts":[["2018"]]},"note":"Reject. This is a field study - limnocorral","page":"1727-1739","publisher":"Elsevier Ltd","title":"Neonicotinoid insecticide mixtures: Evaluation of laboratory-based toxicity predictions under semi-controlled field conditions","type":"article-journal","volume":"243"},"uris":["http://www.mendeley.com/documents/?uuid=349d17c7-34b2-47da-884d-6bbb9e61ecf2"]}],"mendeley":{"formattedCitation":"(Maloney et al., 2018a)","plainTextFormattedCitation":"(Maloney et al., 2018a)","previouslyFormattedCitation":"(Maloney et al., 2018a)"},"properties":{"noteIndex":0},"schema":"https://github.com/citation-style-language/schema/raw/master/csl-citation.json"}</w:instrText>
            </w:r>
            <w:r>
              <w:fldChar w:fldCharType="separate"/>
            </w:r>
            <w:r w:rsidRPr="005B7009">
              <w:rPr>
                <w:b w:val="0"/>
                <w:bCs w:val="0"/>
                <w:noProof/>
              </w:rPr>
              <w:t>(Maloney et al., 2018a)</w:t>
            </w:r>
            <w:r>
              <w:fldChar w:fldCharType="end"/>
            </w:r>
          </w:p>
        </w:tc>
        <w:tc>
          <w:tcPr>
            <w:tcW w:w="602" w:type="pct"/>
          </w:tcPr>
          <w:p w14:paraId="11D5E23C"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5554D862"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Mesocosm study</w:t>
            </w:r>
          </w:p>
        </w:tc>
      </w:tr>
      <w:tr w:rsidR="00AB1145" w:rsidRPr="00F37F1E" w14:paraId="0F9F4971"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58D737B3" w14:textId="77777777" w:rsidR="00AB1145" w:rsidRPr="00F37F1E" w:rsidRDefault="00AB1145" w:rsidP="00FF13D1">
            <w:r>
              <w:fldChar w:fldCharType="begin" w:fldLock="1"/>
            </w:r>
            <w:r>
              <w:instrText>ADDIN CSL_CITATION {"citationItems":[{"id":"ITEM-1","itemData":{"DOI":"10.1016/j.ecoenv.2018.03.003","ISSN":"10902414","PMID":"29573726","abstract":"Widespread agricultural use of neonicotinoid insecticides has resulted in frequent detection of mixtures of these compounds in global surface waters. Recent evidence suggests that neonicotinoid mixtures can elicit synergistic toxicity in aquatic insects under acute exposure conditions, however this has not been validated for longer exposures more commonly encountered in the environment. Therefore, we aimed to characterize the chronic (28-day) toxicity of imidacloprid, clothianidin, and thiamethoxam mixtures under different doses and mixture ratios to determine if the assumption of synergistic toxicity would hold under more environmentally realistic exposure settings. The sensitive aquatic insect Chironomus dilutus was used as a representative test species, and successful emergence was used as a chronic endpoint. Applying the MIXTOX modeling approach, predictive parametric models were fitted using single-compound toxicity data and statistically compared to observed toxicity in subsequent mixture tests. Imidacloprid-clothianidin, clothianidin-thiamethoxam and imidacloprid-clothianidin-thiamethoxam mixtures did not significantly deviate from concentration-additive toxicity. However, the cumulative toxicity of the imidacloprid-thiamethoxam mixture deviated from the concentration-additive reference model, displaying dose-ratio dependent synergism and resulting in up to a 10% greater reduction in emergence from that predicted by concentration addition. Furthermore, exposure to select neonicotinoid mixtures above 1.0 toxic unit tended to shift sex-ratios toward more male-dominated populations. Results indicate that, similar to acute exposures, the general assumption of joint additivity cannot adequately describe chronic cumulative toxicity of all neonicotinoid mixtures. Indeed, our observations of weak synergism and sex-ratio shifts elicited by some mixture combinations should be considered in water quality guideline development and environmental risk assessment practices for neonicotinoid insecticides, and explored in further investigations of the effects of neonicotinoid mixtures on aquatic communities.","author":[{"dropping-particle":"","family":"Maloney","given":"E. M.","non-dropping-particle":"","parse-names":false,"suffix":""},{"dropping-particle":"","family":"Morrissey","given":"C. A.","non-dropping-particle":"","parse-names":false,"suffix":""},{"dropping-particle":"V.","family":"Headley","given":"J.","non-dropping-particle":"","parse-names":false,"suffix":""},{"dropping-particle":"","family":"Peru","given":"K. M.","non-dropping-particle":"","parse-names":false,"suffix":""},{"dropping-particle":"","family":"Liber","given":"K.","non-dropping-particle":"","parse-names":false,"suffix":""}],"container-title":"Ecotoxicology and Environmental Safety","id":"ITEM-1","issue":"August","issued":{"date-parts":[["2018"]]},"note":"REJECT. This is sister paper to accepted study. No ORIG\n\nThis is a sister paper to their other one looking at acute toxicity.","page":"354-365","publisher":"Elsevier Inc.","title":"Can chronic exposure to imidacloprid, clothianidin, and thiamethoxam mixtures exert greater than additive toxicity in Chironomus dilutus?","type":"article-journal","volume":"156"},"uris":["http://www.mendeley.com/documents/?uuid=31b44653-fe3d-4284-9aa7-1bd001b61783"]}],"mendeley":{"formattedCitation":"(Maloney et al., 2018b)","plainTextFormattedCitation":"(Maloney et al., 2018b)","previouslyFormattedCitation":"(Maloney et al., 2018b)"},"properties":{"noteIndex":0},"schema":"https://github.com/citation-style-language/schema/raw/master/csl-citation.json"}</w:instrText>
            </w:r>
            <w:r>
              <w:fldChar w:fldCharType="separate"/>
            </w:r>
            <w:r w:rsidRPr="005B7009">
              <w:rPr>
                <w:b w:val="0"/>
                <w:noProof/>
              </w:rPr>
              <w:t>(Maloney et al., 2018b)</w:t>
            </w:r>
            <w:r>
              <w:fldChar w:fldCharType="end"/>
            </w:r>
          </w:p>
        </w:tc>
        <w:tc>
          <w:tcPr>
            <w:tcW w:w="602" w:type="pct"/>
          </w:tcPr>
          <w:p w14:paraId="5380B773"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NO ORIG</w:t>
            </w:r>
          </w:p>
        </w:tc>
        <w:tc>
          <w:tcPr>
            <w:tcW w:w="2542" w:type="pct"/>
          </w:tcPr>
          <w:p w14:paraId="0C0AA66D"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p>
        </w:tc>
      </w:tr>
      <w:tr w:rsidR="00AB1145" w:rsidRPr="00F37F1E" w14:paraId="7AFCCCEB"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6CD11D1C" w14:textId="77777777" w:rsidR="00AB1145" w:rsidRPr="00F37F1E" w:rsidRDefault="00AB1145" w:rsidP="00FF13D1">
            <w:pPr>
              <w:rPr>
                <w:b w:val="0"/>
                <w:bCs w:val="0"/>
              </w:rPr>
            </w:pPr>
            <w:r>
              <w:fldChar w:fldCharType="begin" w:fldLock="1"/>
            </w:r>
            <w:r>
              <w:rPr>
                <w:b w:val="0"/>
                <w:bCs w:val="0"/>
              </w:rPr>
              <w:instrText>ADDIN CSL_CITATION {"citationItems":[{"id":"ITEM-1","itemData":{"DOI":"10.1016/j.aquatox.2020.105701","ISSN":"18791514","PMID":"33249296","abstract":"Neonicotinoids are neuroactive insecticides commonly detected in freshwater ecosystems. Recent studies have indicated that these compounds are markedly toxic to Chironomidae, a widespread family of ecologically important aquatic insects. However, despite their sensitivity, the pharmacological mechanisms driving neonicotinoid toxicity have yet to be characterized in these insect species. Here, we used a combination of saturation and competition binding studies to characterize neonicotinoid binding properties to nicotinic acetylcholine receptors (nAChR) in two different Chironomidae (Chironomus riparius and Chironomus dilutus) at two different life stages (larval and adult). Using radiolabeled imidacloprid ([3H]-IMI), we characterized and compared receptor density (Bmax), imidacloprid binding affinity (KD), and receptor binding affinity (Ki) to three different neonicotinoid competitors (imidacloprid, clothianidin, and thiamethoxam). We then compared receptor density and binding affinity parameters derived for Chironomidae to data previously generated for other dipterans and agricultural pests. We found that there were limited differences in neonicotinoid binding between C. riparius and C. dilutus, with both organisms demonstrating high affinities for imidacloprid (KD = 0.22−0.87 nM) and high receptor densities (Bmax = 0.92–6.53 pmol/mg). However, there were significant differences between life-stages, with larvae expressing higher densities of nicotinic acetylcholine receptors and higher imidacloprid affinities than adults. Moreover, there were compound-specific differences in receptor affinity, with larval stages displaying relative affinities (Ki) that generally correlated with acute neonicotinoid toxicity (e.g. clothianidin ≥ imidacloprid &gt;&gt;&gt; thiamethoxam). Finally, compared to other dipterans and agricultural pests, Chironomidae display very high densities of high affinity nicotinic acetylcholine receptors, which likely contribute to their sensitivity. Results indicated that receptor-level differences in neonicotinoid binding may be responsible for ecotoxicological differences amongst distinct insect species, and they likely play a role in life stage-, and compound-level toxicity differences previously observed for Chironomidae. Overall, this study highlights the value of understanding the toxicological mechanisms of action of neonicotinoids in sensitive, non-target aquatic insects, to better predict adverse effects associated with unintentional neoni…","author":[{"dropping-particle":"","family":"Maloney","given":"E. M.","non-dropping-particle":"","parse-names":false,"suffix":""},{"dropping-particle":"","family":"Taillebois","given":"E.","non-dropping-particle":"","parse-names":false,"suffix":""},{"dropping-particle":"","family":"Gilles","given":"N.","non-dropping-particle":"","parse-names":false,"suffix":""},{"dropping-particle":"","family":"Morrissey","given":"C. A.","non-dropping-particle":"","parse-names":false,"suffix":""},{"dropping-particle":"","family":"Liber","given":"K.","non-dropping-particle":"","parse-names":false,"suffix":""},{"dropping-particle":"","family":"Servent","given":"D.","non-dropping-particle":"","parse-names":false,"suffix":""},{"dropping-particle":"","family":"Thany","given":"S. H.","non-dropping-particle":"","parse-names":false,"suffix":""}],"container-title":"Aquatic Toxicology","id":"ITEM-1","issue":"November 2020","issued":{"date-parts":[["2021"]]},"note":"Reject. This is a very interesting biochemical study. helps to explain differences in neonict toxicities to chironomids. Honorable mention. Need to still read in full. ","publisher":"Elsevier B.V.","title":"Binding properties to nicotinic acetylcholine receptors can explain differential toxicity of neonicotinoid insecticides in Chironomidae","type":"article-journal","volume":"230"},"uris":["http://www.mendeley.com/documents/?uuid=a6bbd3bb-bf42-416c-92a2-e097da43e7b5"]}],"mendeley":{"formattedCitation":"(Maloney et al., 2021)","plainTextFormattedCitation":"(Maloney et al., 2021)","previouslyFormattedCitation":"(Maloney et al., 2021)"},"properties":{"noteIndex":0},"schema":"https://github.com/citation-style-language/schema/raw/master/csl-citation.json"}</w:instrText>
            </w:r>
            <w:r>
              <w:fldChar w:fldCharType="separate"/>
            </w:r>
            <w:r w:rsidRPr="005B7009">
              <w:rPr>
                <w:b w:val="0"/>
                <w:bCs w:val="0"/>
                <w:noProof/>
              </w:rPr>
              <w:t>(Maloney et al., 2021)</w:t>
            </w:r>
            <w:r>
              <w:fldChar w:fldCharType="end"/>
            </w:r>
          </w:p>
        </w:tc>
        <w:tc>
          <w:tcPr>
            <w:tcW w:w="602" w:type="pct"/>
          </w:tcPr>
          <w:p w14:paraId="2D56A9B1"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NO ORIG</w:t>
            </w:r>
          </w:p>
        </w:tc>
        <w:tc>
          <w:tcPr>
            <w:tcW w:w="2542" w:type="pct"/>
          </w:tcPr>
          <w:p w14:paraId="70B8C224" w14:textId="77777777" w:rsidR="00AB1145" w:rsidRPr="00170FA5" w:rsidRDefault="00AB1145" w:rsidP="00FF13D1">
            <w:pPr>
              <w:cnfStyle w:val="000000100000" w:firstRow="0" w:lastRow="0" w:firstColumn="0" w:lastColumn="0" w:oddVBand="0" w:evenVBand="0" w:oddHBand="1" w:evenHBand="0" w:firstRowFirstColumn="0" w:firstRowLastColumn="0" w:lastRowFirstColumn="0" w:lastRowLastColumn="0"/>
            </w:pPr>
          </w:p>
        </w:tc>
      </w:tr>
      <w:tr w:rsidR="00AB1145" w:rsidRPr="00F37F1E" w14:paraId="308D7D5F"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4F4E5EAA" w14:textId="77777777" w:rsidR="00AB1145" w:rsidRPr="00F37F1E" w:rsidRDefault="00AB1145" w:rsidP="00FF13D1">
            <w:r>
              <w:fldChar w:fldCharType="begin" w:fldLock="1"/>
            </w:r>
            <w:r>
              <w:instrText xml:space="preserve">ADDIN CSL_CITATION {"citationItems":[{"id":"ITEM-1","itemData":{"DOI":"10.1016/j.aquatox.2019.105335","ISSN":"18791514","PMID":"31706209","abstract":"One of the categories of environmental contaminants possibly contributing to declining sockeye salmon (Oncorhynchus nerka) in the Fraser River, British Columbia, Canada is pesticides. In this 4-month study, the effects of environmentally relevant concentrations of a waterborne neonicotinoid, clothianidin (0.15, 1.5, 15 and 150 μg/L), on embryonic, alevin and early swim-up fry sockeye salmon derived from four unique genetic crosses of the Pitt River, BC stock were investigated. There were no significant effects of clothianidin on survival, hatching, growth or deformities, although genetic variation significantly affected these endpoints. Clothianidin caused a significant 4.7-fold increase in whole body 17β-estradiol levels in swim-up fry after exposure to 0.15 μg/L, but no effects were observed on testosterone levels. In addition, hepatic expression of the gene encoding glucocorticoid receptor 2 was also impacted at the highest concentration of clothianidin tested, and was found to be </w:instrText>
            </w:r>
            <w:r>
              <w:rPr>
                <w:rFonts w:ascii="Cambria Math" w:hAnsi="Cambria Math" w:cs="Cambria Math"/>
              </w:rPr>
              <w:instrText>∼</w:instrText>
            </w:r>
            <w:r>
              <w:instrText>4-fold lower compared to the sockeye reared in control water. These results indicate additional examination of clothianidin and its effects on salmonid gonad development and the reproductive and stress endocrine axes in general, is warranted.","author":[{"dropping-particle":"","family":"Marlatt","given":"Vicki Lee","non-dropping-particle":"","parse-names":false,"suffix":""},{"dropping-particle":"","family":"Leung","given":"Tsz Yin Ginny","non-dropping-particle":"","parse-names":false,"suffix":""},{"dropping-particle":"","family":"Calbick","given":"Sarah","non-dropping-particle":"","parse-names":false,"suffix":""},{"dropping-particle":"","family":"Metcalfe","given":"Chris","non-dropping-particle":"","parse-names":false,"suffix":""},{"dropping-particle":"","family":"Kennedy","given":"Christopher","non-dropping-particle":"","parse-names":false,"suffix":""}],"container-title":"Aquatic Toxicology","id":"ITEM-1","issue":"September","issued":{"date-parts":[["2019"]]},"note":"This is a chronic 118-day study. Review again later if there is a paired acute study for sockeye salmon.\n\nLikely Reject. Verify against chronic methods.\n\nChronic study without paired ACR","page":"1-14","publisher":"Elsevier","title":"Sub-lethal effects of a neonicotinoid, clothianidin, on wild early life stage sockeye salmon (Oncorhynchus nerka)","type":"article-journal","volume":"217"},"uris":["http://www.mendeley.com/documents/?uuid=0e86b5bb-650a-4faa-9f3b-27433933de8e"]}],"mendeley":{"formattedCitation":"(Marlatt et al., 2019)","plainTextFormattedCitation":"(Marlatt et al., 2019)","previouslyFormattedCitation":"(Marlatt et al., 2019)"},"properties":{"noteIndex":0},"schema":"https://github.com/citation-style-language/schema/raw/master/csl-citation.json"}</w:instrText>
            </w:r>
            <w:r>
              <w:fldChar w:fldCharType="separate"/>
            </w:r>
            <w:r w:rsidRPr="005B7009">
              <w:rPr>
                <w:b w:val="0"/>
                <w:noProof/>
              </w:rPr>
              <w:t>(Marlatt et al., 2019)</w:t>
            </w:r>
            <w:r>
              <w:fldChar w:fldCharType="end"/>
            </w:r>
          </w:p>
        </w:tc>
        <w:tc>
          <w:tcPr>
            <w:tcW w:w="602" w:type="pct"/>
          </w:tcPr>
          <w:p w14:paraId="0C926D03"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NO ACR</w:t>
            </w:r>
          </w:p>
        </w:tc>
        <w:tc>
          <w:tcPr>
            <w:tcW w:w="2542" w:type="pct"/>
          </w:tcPr>
          <w:p w14:paraId="686CC9FA" w14:textId="77777777" w:rsidR="00AB1145" w:rsidRPr="00170FA5" w:rsidRDefault="00AB1145" w:rsidP="00FF13D1">
            <w:pPr>
              <w:cnfStyle w:val="000000000000" w:firstRow="0" w:lastRow="0" w:firstColumn="0" w:lastColumn="0" w:oddVBand="0" w:evenVBand="0" w:oddHBand="0" w:evenHBand="0" w:firstRowFirstColumn="0" w:firstRowLastColumn="0" w:lastRowFirstColumn="0" w:lastRowLastColumn="0"/>
            </w:pPr>
            <w:r>
              <w:t>Sockeye salmon, 4-month endocrine study</w:t>
            </w:r>
          </w:p>
        </w:tc>
      </w:tr>
      <w:tr w:rsidR="00AB1145" w:rsidRPr="00F37F1E" w14:paraId="3BCC1E3D"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3F0F8186" w14:textId="77777777" w:rsidR="00AB1145" w:rsidRDefault="00AB1145" w:rsidP="00FF13D1">
            <w:r>
              <w:fldChar w:fldCharType="begin" w:fldLock="1"/>
            </w:r>
            <w:r>
              <w:instrText>ADDIN CSL_CITATION {"citationItems":[{"id":"ITEM-1","itemData":{"author":[{"dropping-particle":"","family":"Mattock","given":"S.D.","non-dropping-particle":"","parse-names":false,"suffix":""}],"id":"ITEM-1","issued":{"date-parts":[["2001"]]},"title":"TI-435 Comparative Acute Toxicity of Chironomus riparius with TMZU, MU, TZNG, and MNG","type":"report"},"uris":["http://www.mendeley.com/documents/?uuid=2d94d02b-1c9d-419b-b16c-1805fb595557"]}],"mendeley":{"formattedCitation":"(Mattock, 2001)","plainTextFormattedCitation":"(Mattock, 2001)","previouslyFormattedCitation":"(Mattock, 2001)"},"properties":{"noteIndex":0},"schema":"https://github.com/citation-style-language/schema/raw/master/csl-citation.json"}</w:instrText>
            </w:r>
            <w:r>
              <w:fldChar w:fldCharType="separate"/>
            </w:r>
            <w:r w:rsidRPr="003D74A9">
              <w:rPr>
                <w:b w:val="0"/>
                <w:noProof/>
              </w:rPr>
              <w:t>(Mattock, 2001)</w:t>
            </w:r>
            <w:r>
              <w:fldChar w:fldCharType="end"/>
            </w:r>
          </w:p>
        </w:tc>
        <w:tc>
          <w:tcPr>
            <w:tcW w:w="602" w:type="pct"/>
          </w:tcPr>
          <w:p w14:paraId="50E8CD9E"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0E24FB5F"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t>Used first instar midges instead of 2</w:t>
            </w:r>
            <w:r w:rsidRPr="00A14147">
              <w:rPr>
                <w:vertAlign w:val="superscript"/>
              </w:rPr>
              <w:t>nd</w:t>
            </w:r>
            <w:r>
              <w:t xml:space="preserve"> or 3</w:t>
            </w:r>
            <w:r w:rsidRPr="00A14147">
              <w:rPr>
                <w:vertAlign w:val="superscript"/>
              </w:rPr>
              <w:t>rd</w:t>
            </w:r>
            <w:r>
              <w:t xml:space="preserve"> </w:t>
            </w:r>
          </w:p>
        </w:tc>
      </w:tr>
      <w:tr w:rsidR="00AB1145" w:rsidRPr="00F37F1E" w14:paraId="6648FC8E"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20B0E2E1" w14:textId="77777777" w:rsidR="00AB1145" w:rsidRPr="00F37F1E" w:rsidRDefault="00AB1145" w:rsidP="00FF13D1">
            <w:r>
              <w:fldChar w:fldCharType="begin" w:fldLock="1"/>
            </w:r>
            <w:r>
              <w:instrText>ADDIN CSL_CITATION {"citationItems":[{"id":"ITEM-1","itemData":{"DOI":"10.1371/journal.pone.0174171","ISBN":"1111111111","ISSN":"19326203","PMID":"28334022","abstract":"The widespread usage of neonicotinoid insecticides has sparked concern over their effects on non-target organisms. While research has largely focused on terrestrial systems, the low soil binding and high water solubility of neonicotinoids, paired with their extensive use on the landscape, puts aquatic environments at high risk for contamination via runoff events. We assessed the potential threat of these compounds to wetland communities using a combination of field surveys and experimental exposures including concentrations that are representative of what invertebrates experience in the field. In laboratory toxicity experiments, LC50 values ranged from 0.002 ppm to 1.2 ppm for aquatic invertebrates exposed to clothianidin. However, freshwater snails and amphibian larvae showed high tolerance to the chemical with no mortality observed at the highest dissolvable concentration of the insecticide. We also observed behavioral effects of clothianidin. Water bugs, Belostoma flumineum, displayed a dose-dependent reduction in feeding rate following exposure to clothianidin. Similarly, crayfish, Orconectes propinquus, exhibited reduced responsiveness to stimulus with increasing clothianidin concentration. Using a semi-natural mesocosm experiment, we manipulated clothianidin concentration (0.6, 5, and 352 ppb) and the presence of predatory invertebrates to explore community-level effects. We observed high invertebrate predator mortality with increases in clothianidin concentration. With increased predator mortality, prey survival increased by 50% at the highest clothianidin concentration. Thus, clothianidin contamination can result in a top-down trophic cascade in a community dominated by invertebrate predators. In our Indiana field study, we detected clothianidin (max = 176 ppb), imidacloprid (max = 141 ppb), and acetamiprid (max = 7 ppb) in soil samples. In water samples, we detected clothianidin (max = 0.67 ppb), imidacloprid (max = 0.18 ppb), and thiamethoxam (max = 2,568 ppb). Neonicotinoids were detected in &gt;56% of soil samples and &gt;90% of the water samples, which reflects a growing understanding that neonicotinoids are ubiquitous environmental contaminants. Collectively, our results underscore the need for additional research into the effects of neonicotinoids on aquatic communities and ecosystems.","author":[{"dropping-particle":"","family":"Miles","given":"Jesse C.","non-dropping-particle":"","parse-names":false,"suffix":""},{"dropping-particle":"","family":"Hua","given":"Jessica","non-dropping-particle":"","parse-names":false,"suffix":""},{"dropping-particle":"","family":"Sepulveda","given":"Maria S.","non-dropping-particle":"","parse-names":false,"suffix":""},{"dropping-particle":"","family":"Krupke","given":"Christian H.","non-dropping-particle":"","parse-names":false,"suffix":""},{"dropping-particle":"","family":"Hoverman","given":"Jason T.","non-dropping-particle":"","parse-names":false,"suffix":""}],"container-title":"PLoS ONE","id":"ITEM-1","issue":"3","issued":{"date-parts":[["2017"]]},"note":"Reject. Used a formulation. \n\nHonorable mention - due to the number of species tested. Looked for chronic / sublethal endpoints and acute (48-hr)","page":"1-25","title":"Effects of clothianidin on aquatic communities: Evaluating the impacts of lethal and sublethal exposure to neonicotinoids","type":"article-journal","volume":"12"},"uris":["http://www.mendeley.com/documents/?uuid=257b2280-ea0b-416d-b4e6-7f148bdd05cd"]}],"mendeley":{"formattedCitation":"(Miles et al., 2017)","plainTextFormattedCitation":"(Miles et al., 2017)","previouslyFormattedCitation":"(Miles et al., 2017)"},"properties":{"noteIndex":0},"schema":"https://github.com/citation-style-language/schema/raw/master/csl-citation.json"}</w:instrText>
            </w:r>
            <w:r>
              <w:fldChar w:fldCharType="separate"/>
            </w:r>
            <w:r w:rsidRPr="005B7009">
              <w:rPr>
                <w:b w:val="0"/>
                <w:noProof/>
              </w:rPr>
              <w:t>(Miles et al., 2017)</w:t>
            </w:r>
            <w:r>
              <w:fldChar w:fldCharType="end"/>
            </w:r>
          </w:p>
        </w:tc>
        <w:tc>
          <w:tcPr>
            <w:tcW w:w="602" w:type="pct"/>
          </w:tcPr>
          <w:p w14:paraId="3CFC879D"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MIXTURE</w:t>
            </w:r>
          </w:p>
        </w:tc>
        <w:tc>
          <w:tcPr>
            <w:tcW w:w="2542" w:type="pct"/>
          </w:tcPr>
          <w:p w14:paraId="3EEB5C84" w14:textId="77777777" w:rsidR="00AB1145" w:rsidRPr="00170FA5" w:rsidRDefault="00AB1145" w:rsidP="00FF13D1">
            <w:pPr>
              <w:cnfStyle w:val="000000000000" w:firstRow="0" w:lastRow="0" w:firstColumn="0" w:lastColumn="0" w:oddVBand="0" w:evenVBand="0" w:oddHBand="0" w:evenHBand="0" w:firstRowFirstColumn="0" w:firstRowLastColumn="0" w:lastRowFirstColumn="0" w:lastRowLastColumn="0"/>
            </w:pPr>
            <w:r>
              <w:t>Used formulation</w:t>
            </w:r>
          </w:p>
        </w:tc>
      </w:tr>
      <w:tr w:rsidR="00AB1145" w:rsidRPr="00F37F1E" w14:paraId="38E3BF8F"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190DD42A" w14:textId="77777777" w:rsidR="00AB1145" w:rsidRDefault="00AB1145" w:rsidP="00FF13D1">
            <w:r>
              <w:fldChar w:fldCharType="begin" w:fldLock="1"/>
            </w:r>
            <w:r>
              <w:instrText>ADDIN CSL_CITATION {"citationItems":[{"id":"ITEM-1","itemData":{"author":[{"dropping-particle":"","family":"Noack","given":"Martina","non-dropping-particle":"","parse-names":false,"suffix":""},{"dropping-particle":"","family":"Geffke","given":"Thomas","non-dropping-particle":"","parse-names":false,"suffix":""}],"id":"ITEM-1","issued":{"date-parts":[["1998"]]},"note":"Accepted, but rejected - but cannot use since no paired study.","title":"TI 435 Technical: Daphnia magna Reproduction Test (21 d)","type":"report"},"uris":["http://www.mendeley.com/documents/?uuid=2853e40c-b62b-450d-b9e5-da3f59d59f6a"]}],"mendeley":{"formattedCitation":"(Noack and Geffke, 1998)","plainTextFormattedCitation":"(Noack and Geffke, 1998)","previouslyFormattedCitation":"(Noack and Geffke, 1998)"},"properties":{"noteIndex":0},"schema":"https://github.com/citation-style-language/schema/raw/master/csl-citation.json"}</w:instrText>
            </w:r>
            <w:r>
              <w:fldChar w:fldCharType="separate"/>
            </w:r>
            <w:r w:rsidRPr="004D1D67">
              <w:rPr>
                <w:b w:val="0"/>
                <w:noProof/>
              </w:rPr>
              <w:t>(Noack and Geffke, 1998)</w:t>
            </w:r>
            <w:r>
              <w:fldChar w:fldCharType="end"/>
            </w:r>
          </w:p>
        </w:tc>
        <w:tc>
          <w:tcPr>
            <w:tcW w:w="602" w:type="pct"/>
          </w:tcPr>
          <w:p w14:paraId="42911D68"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t>NO ACR</w:t>
            </w:r>
          </w:p>
        </w:tc>
        <w:tc>
          <w:tcPr>
            <w:tcW w:w="2542" w:type="pct"/>
          </w:tcPr>
          <w:p w14:paraId="542209EE"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t>No paired acute study</w:t>
            </w:r>
          </w:p>
        </w:tc>
      </w:tr>
      <w:tr w:rsidR="00AB1145" w:rsidRPr="00F37F1E" w14:paraId="62BC4397"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1438B176" w14:textId="77777777" w:rsidR="00AB1145" w:rsidRDefault="00AB1145" w:rsidP="00FF13D1">
            <w:r>
              <w:fldChar w:fldCharType="begin" w:fldLock="1"/>
            </w:r>
            <w:r>
              <w:instrText>ADDIN CSL_CITATION {"citationItems":[{"id":"ITEM-1","itemData":{"author":[{"dropping-particle":"","family":"Picard","given":"Christian R.","non-dropping-particle":"","parse-names":false,"suffix":""}],"id":"ITEM-1","issued":{"date-parts":[["2016"]]},"title":"Life-Cycle Toxicity Test Exposing Midges (Chironomus dilutus) to Clothianidin Applied to Sediment Under Static-Renewal Conditions Following EPA Test Methods","type":"report"},"uris":["http://www.mendeley.com/documents/?uuid=226f553c-51e1-4d57-bde3-76ef547ab94c"]}],"mendeley":{"formattedCitation":"(Picard, 2016)","plainTextFormattedCitation":"(Picard, 2016)","previouslyFormattedCitation":"(Picard, 2016)"},"properties":{"noteIndex":0},"schema":"https://github.com/citation-style-language/schema/raw/master/csl-citation.json"}</w:instrText>
            </w:r>
            <w:r>
              <w:fldChar w:fldCharType="separate"/>
            </w:r>
            <w:r w:rsidRPr="00EF782E">
              <w:rPr>
                <w:b w:val="0"/>
                <w:noProof/>
              </w:rPr>
              <w:t>(Picard, 2016)</w:t>
            </w:r>
            <w:r>
              <w:fldChar w:fldCharType="end"/>
            </w:r>
          </w:p>
        </w:tc>
        <w:tc>
          <w:tcPr>
            <w:tcW w:w="602" w:type="pct"/>
          </w:tcPr>
          <w:p w14:paraId="5DFCAD8B" w14:textId="77777777" w:rsidR="00AB1145" w:rsidRDefault="00AB1145" w:rsidP="00FF13D1">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419A97BF" w14:textId="77777777" w:rsidR="00AB1145" w:rsidRDefault="00AB1145" w:rsidP="00FF13D1">
            <w:pPr>
              <w:cnfStyle w:val="000000000000" w:firstRow="0" w:lastRow="0" w:firstColumn="0" w:lastColumn="0" w:oddVBand="0" w:evenVBand="0" w:oddHBand="0" w:evenHBand="0" w:firstRowFirstColumn="0" w:firstRowLastColumn="0" w:lastRowFirstColumn="0" w:lastRowLastColumn="0"/>
            </w:pPr>
            <w:r>
              <w:t>Sediment study (not water)</w:t>
            </w:r>
          </w:p>
        </w:tc>
      </w:tr>
      <w:tr w:rsidR="00AB1145" w:rsidRPr="00F37F1E" w14:paraId="16160FD3"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6B79E373" w14:textId="77777777" w:rsidR="00AB1145" w:rsidRPr="00F37F1E" w:rsidRDefault="00AB1145" w:rsidP="00FF13D1">
            <w:pPr>
              <w:rPr>
                <w:b w:val="0"/>
                <w:bCs w:val="0"/>
              </w:rPr>
            </w:pPr>
            <w:r>
              <w:fldChar w:fldCharType="begin" w:fldLock="1"/>
            </w:r>
            <w:r>
              <w:rPr>
                <w:b w:val="0"/>
                <w:bCs w:val="0"/>
              </w:rPr>
              <w:instrText>ADDIN CSL_CITATION {"citationItems":[{"id":"ITEM-1","itemData":{"DOI":"10.1016/j.envpol.2016.07.022","ISSN":"18736424","PMID":"27450416","abstract":"Neonicotinoid insecticides can be transported from agricultural fields, where they are used as foliar sprays or seed treatments, to surface waters by surface or sub-surface runoff. Few studies have investigated the toxicity of neonicotinoid or the related butenolide insecticides to freshwater mollusk species. The current study examined the effect of neonicotinoid and butenolide exposures to the early-life stages of the ramshorn snail, Planorbella pilsbryi, and the wavy-rayed lampmussel, Lampsilis fasciola. Juvenile P. pilsbryi were exposed to imidacloprid, clothianidin, or thiamethoxam for 7 or 28 d and mortality, growth, and biomass production were measured. The viability of larval (glochidia) L. fasciola was monitored during a 48 h exposure to six neonicotinoids (imidacloprid, thiamethoxam, clothianidin, acetamiprid, thiacloprid, or dinotefuran), or a butenolide (flupyradifurone). The 7-d LC50s of P. pilsbryi for imidacloprid, clothianidin, and thiamethoxam were ≥4000 μg/L and the 28-d LC50s were ≥182 μg/L. Growth and biomass production were considerably more sensitive endpoints than mortality with EC50s ranging from 33.2 to 122.0 μg/L. The 48-h LC50s for the viability of glochidia were ≥456 μg/L for all seven insecticides tested. Our data indicate that neonicotinoid and butenolide insecticides pose less of a hazard with respect to mortality of the two species of mollusk compared to the potential hazard to other non-target aquatic insects.","author":[{"dropping-particle":"","family":"Prosser","given":"R. S.","non-dropping-particle":"","parse-names":false,"suffix":""},{"dropping-particle":"","family":"Solla","given":"S. R.","non-dropping-particle":"de","parse-names":false,"suffix":""},{"dropping-particle":"","family":"Holman","given":"E. A.M.","non-dropping-particle":"","parse-names":false,"suffix":""},{"dropping-particle":"","family":"Osborne","given":"R.","non-dropping-particle":"","parse-names":false,"suffix":""},{"dropping-particle":"","family":"Robinson","given":"S. A.","non-dropping-particle":"","parse-names":false,"suffix":""},{"dropping-particle":"","family":"Bartlett","given":"A. J.","non-dropping-particle":"","parse-names":false,"suffix":""},{"dropping-particle":"","family":"Maisonneuve","given":"F. J.","non-dropping-particle":"","parse-names":false,"suffix":""},{"dropping-particle":"","family":"Gillis","given":"P. L.","non-dropping-particle":"","parse-names":false,"suffix":""}],"container-title":"Environmental Pollution","id":"ITEM-1","issue":"July","issued":{"date-parts":[["2016"]]},"note":"Reject - chronic with no acute comparison. Honorable mention\n\nAccept - no reservations! Can only use chronic Planobella as listed below. See table 3 and pink highlights for follow-up.\n\nPlanorbella pilsbryi - native to US generally:\nhttps://www.itis.gov/servlet/SingleRpt/SingleRpt?search_topic=TSN&amp;amp;search_value=76667#null\n\nLampsilis fasciola - native to continental US\nhttps://www.itis.gov/servlet/SingleRpt/SingleRpt?search_topic=TSN&amp;amp;search_value=79992#null\n\nQuestion for Dennis in pink notes below","page":"428-435","publisher":"Elsevier Ltd","title":"Sensitivity of the early-life stages of freshwater mollusks to neonicotinoid and butenolide insecticides","type":"article-journal","volume":"218"},"uris":["http://www.mendeley.com/documents/?uuid=d74810a0-9b92-4627-a3cf-04b0249bc100"]}],"mendeley":{"formattedCitation":"(Prosser et al., 2016)","plainTextFormattedCitation":"(Prosser et al., 2016)","previouslyFormattedCitation":"(Prosser et al., 2016)"},"properties":{"noteIndex":0},"schema":"https://github.com/citation-style-language/schema/raw/master/csl-citation.json"}</w:instrText>
            </w:r>
            <w:r>
              <w:fldChar w:fldCharType="separate"/>
            </w:r>
            <w:r w:rsidRPr="005B7009">
              <w:rPr>
                <w:b w:val="0"/>
                <w:bCs w:val="0"/>
                <w:noProof/>
              </w:rPr>
              <w:t>(Prosser et al., 2016)</w:t>
            </w:r>
            <w:r>
              <w:fldChar w:fldCharType="end"/>
            </w:r>
          </w:p>
        </w:tc>
        <w:tc>
          <w:tcPr>
            <w:tcW w:w="602" w:type="pct"/>
          </w:tcPr>
          <w:p w14:paraId="3E17ACB0"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t>NO ACR</w:t>
            </w:r>
          </w:p>
          <w:p w14:paraId="2D48A3CC"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56C08400"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t>Ramshorn snail, 28-day growth &amp; biomass</w:t>
            </w:r>
          </w:p>
          <w:p w14:paraId="3294EB5D" w14:textId="77777777" w:rsidR="00AB1145" w:rsidRPr="00170FA5" w:rsidRDefault="00AB1145" w:rsidP="00FF13D1">
            <w:pPr>
              <w:cnfStyle w:val="000000100000" w:firstRow="0" w:lastRow="0" w:firstColumn="0" w:lastColumn="0" w:oddVBand="0" w:evenVBand="0" w:oddHBand="1" w:evenHBand="0" w:firstRowFirstColumn="0" w:firstRowLastColumn="0" w:lastRowFirstColumn="0" w:lastRowLastColumn="0"/>
            </w:pPr>
            <w:r>
              <w:t xml:space="preserve">Wavy-rayed </w:t>
            </w:r>
            <w:proofErr w:type="spellStart"/>
            <w:r>
              <w:t>lampmussel</w:t>
            </w:r>
            <w:proofErr w:type="spellEnd"/>
            <w:r>
              <w:t>, test duration too short</w:t>
            </w:r>
          </w:p>
        </w:tc>
      </w:tr>
      <w:tr w:rsidR="00AB1145" w:rsidRPr="00F37F1E" w14:paraId="64CD622F"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6769DE9A" w14:textId="77777777" w:rsidR="00AB1145" w:rsidRDefault="00AB1145" w:rsidP="00FF13D1">
            <w:r>
              <w:fldChar w:fldCharType="begin" w:fldLock="1"/>
            </w:r>
            <w:r>
              <w:instrText>ADDIN CSL_CITATION {"citationItems":[{"id":"ITEM-1","itemData":{"author":[{"dropping-particle":"","family":"Putt","given":"Arthur E.","non-dropping-particle":"","parse-names":false,"suffix":""}],"id":"ITEM-1","issued":{"date-parts":[["2006"]]},"title":"Clothianidin - Toxicity to Midge (Chironomus riparius) During a 10-Day Sediment Exposure","type":"report"},"uris":["http://www.mendeley.com/documents/?uuid=0a981a1c-46f9-4143-a3b7-225204dbc756"]}],"mendeley":{"formattedCitation":"(Putt, 2006)","plainTextFormattedCitation":"(Putt, 2006)","previouslyFormattedCitation":"(Putt, 2006)"},"properties":{"noteIndex":0},"schema":"https://github.com/citation-style-language/schema/raw/master/csl-citation.json"}</w:instrText>
            </w:r>
            <w:r>
              <w:fldChar w:fldCharType="separate"/>
            </w:r>
            <w:r w:rsidRPr="0000615C">
              <w:rPr>
                <w:b w:val="0"/>
                <w:noProof/>
              </w:rPr>
              <w:t>(Putt, 2006)</w:t>
            </w:r>
            <w:r>
              <w:fldChar w:fldCharType="end"/>
            </w:r>
          </w:p>
        </w:tc>
        <w:tc>
          <w:tcPr>
            <w:tcW w:w="602" w:type="pct"/>
          </w:tcPr>
          <w:p w14:paraId="638DA8B0" w14:textId="77777777" w:rsidR="00AB1145" w:rsidRDefault="00AB1145" w:rsidP="00FF13D1">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4C8D539C" w14:textId="77777777" w:rsidR="00AB1145" w:rsidRDefault="00AB1145" w:rsidP="00FF13D1">
            <w:pPr>
              <w:cnfStyle w:val="000000000000" w:firstRow="0" w:lastRow="0" w:firstColumn="0" w:lastColumn="0" w:oddVBand="0" w:evenVBand="0" w:oddHBand="0" w:evenHBand="0" w:firstRowFirstColumn="0" w:firstRowLastColumn="0" w:lastRowFirstColumn="0" w:lastRowLastColumn="0"/>
            </w:pPr>
            <w:r>
              <w:t>Sediment study (not water)</w:t>
            </w:r>
          </w:p>
        </w:tc>
      </w:tr>
      <w:tr w:rsidR="00AB1145" w:rsidRPr="00F37F1E" w14:paraId="03C431F9"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363C8F19" w14:textId="77777777" w:rsidR="00AB1145" w:rsidRPr="00F37F1E" w:rsidRDefault="00AB1145" w:rsidP="00FF13D1">
            <w:pPr>
              <w:rPr>
                <w:b w:val="0"/>
                <w:bCs w:val="0"/>
              </w:rPr>
            </w:pPr>
            <w:r>
              <w:fldChar w:fldCharType="begin" w:fldLock="1"/>
            </w:r>
            <w:r>
              <w:rPr>
                <w:b w:val="0"/>
                <w:bCs w:val="0"/>
              </w:rPr>
              <w:instrText>ADDIN CSL_CITATION {"citationItems":[{"id":"ITEM-1","itemData":{"DOI":"10.1002/etc.4511","ISSN":"15528618","PMID":"31386781","abstract":"Neonicotinoid insecticides are used extensively in agriculture and, as a consequence, are now detectable in nearby aquatic environments. Few studies have evaluated the effects of neonicotinoids on amphibians in these aquatic environments. In the present study, we examined the effects of 2 commercial formulations of neonicotinoids (active ingredients clothianidin and thiamethoxam) on survival and life-history traits of wood frogs (Lithobates sylvaticus) and northern leopard frogs (Lithobates pipiens). We used artificial pond mesocosms to assess the effects of these neonicotinoids, at nominal concentrations of 2.5 and 250 µg/L, on amphibian larval development through metamorphosis. We found no differences between controls and neonicotinoid exposure for any of the endpoints assessed for either wood frogs or leopard frogs. The present study suggests that concentrations meeting or exceeding observed levels of clothianidin and thiamethoxam in surface waters will not directly affect metamorphosis in 2 amphibians. Environ Toxicol Chem 2019;38:1967–1977. © 2019 SETAC.","author":[{"dropping-particle":"","family":"Robinson","given":"S.A.","non-dropping-particle":"","parse-names":false,"suffix":""},{"dropping-particle":"","family":"Richardson","given":"S. D.","non-dropping-particle":"","parse-names":false,"suffix":""},{"dropping-particle":"","family":"Dalton","given":"R. L.","non-dropping-particle":"","parse-names":false,"suffix":""},{"dropping-particle":"","family":"Maisonneuve","given":"F.","non-dropping-particle":"","parse-names":false,"suffix":""},{"dropping-particle":"","family":"Bartlett","given":"A. J.","non-dropping-particle":"","parse-names":false,"suffix":""},{"dropping-particle":"","family":"Solla","given":"S. R.","non-dropping-particle":"de","parse-names":false,"suffix":""},{"dropping-particle":"","family":"Trudeau","given":"V. L.","non-dropping-particle":"","parse-names":false,"suffix":""},{"dropping-particle":"","family":"Waltho","given":"N.","non-dropping-particle":"","parse-names":false,"suffix":""}],"container-title":"Environmental Toxicology and Chemistry","id":"ITEM-1","issue":"9","issued":{"date-parts":[["2019"]]},"note":"Reject. This is a mesocosm study - was conducted outside with water from a pond. \n\nChronic study without paired ACR","page":"1967-1977","publisher":"John Wiley &amp; Sons, Ltd","title":"Assessment of Sublethal Effects of Neonicotinoid Insecticides on the Life-History Traits of 2 Frog Species","type":"article-journal","volume":"38"},"uris":["http://www.mendeley.com/documents/?uuid=b32d8bdf-4c68-4e10-843f-1e83afeca359"]}],"mendeley":{"formattedCitation":"(Robinson et al., 2019b)","plainTextFormattedCitation":"(Robinson et al., 2019b)","previouslyFormattedCitation":"(Robinson et al., 2019b)"},"properties":{"noteIndex":0},"schema":"https://github.com/citation-style-language/schema/raw/master/csl-citation.json"}</w:instrText>
            </w:r>
            <w:r>
              <w:fldChar w:fldCharType="separate"/>
            </w:r>
            <w:r w:rsidRPr="002265CB">
              <w:rPr>
                <w:b w:val="0"/>
                <w:bCs w:val="0"/>
                <w:noProof/>
              </w:rPr>
              <w:t>(Robinson et al., 2019b)</w:t>
            </w:r>
            <w:r>
              <w:fldChar w:fldCharType="end"/>
            </w:r>
          </w:p>
        </w:tc>
        <w:tc>
          <w:tcPr>
            <w:tcW w:w="602" w:type="pct"/>
          </w:tcPr>
          <w:p w14:paraId="4C4A8CBF"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NO ORIG</w:t>
            </w:r>
          </w:p>
        </w:tc>
        <w:tc>
          <w:tcPr>
            <w:tcW w:w="2542" w:type="pct"/>
          </w:tcPr>
          <w:p w14:paraId="63064CFB"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p>
        </w:tc>
      </w:tr>
      <w:tr w:rsidR="00AB1145" w:rsidRPr="00F37F1E" w14:paraId="3C4AB3FE"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18BDC971" w14:textId="77777777" w:rsidR="00AB1145" w:rsidRPr="00F37F1E" w:rsidRDefault="00AB1145" w:rsidP="00FF13D1">
            <w:r>
              <w:fldChar w:fldCharType="begin" w:fldLock="1"/>
            </w:r>
            <w:r>
              <w:instrText>ADDIN CSL_CITATION {"citationItems":[{"id":"ITEM-1","itemData":{"DOI":"10.1007/s00436-019-06385-9","ISSN":"14321955","PMID":"31300888","abstract":"Little information is available on the effects of neonicotinoid insecticides on vertebrates. Previous work using amphibians found chronic exposure to some neonicotinoids had no detrimental effects on fitness-relevant traits. However, there is some evidence of more subtle effects of neonicotinoids on immune traits and evidence that other pesticides can suppress tadpole immunity resulting in elevated levels of parasitism in the exposed tadpoles. The objective of our study was to assess whether neonicotinoid exposure affected tadpole immunometrics and susceptibility to parasitic helminths. We assessed northern leopard frog tadpole (Lithobates pipiens) levels of parasitism and leukocyte profiles following exposure to environmentally relevant concentrations of clothianidin and free-living infective cercariae of a helminth parasite, an Echinostoma sp. trematode. When comparing tadpoles from controls to either 1 or 100 μg/L clothianidin treatments, we found similar measures of parasitism (i.e. prevalence, abundance and intensity of echinostome cysts) and similar leukocyte profiles. We also confirmed that clothianidin was not lethal for cercariae; however, slight reductions in swimming activity were detected at the lowest exposure concentration of 0.23 μg/L. Our results show that exposure to clothianidin during the larval amphibian stage does not affect leukocyte profiles or susceptibility to parasitism by larval trematodes in northern leopard frogs although other aspects such as length of host exposure require further study.","author":[{"dropping-particle":"","family":"Robinson","given":"S.A.","non-dropping-particle":"","parse-names":false,"suffix":""},{"dropping-particle":"","family":"Gavel","given":"M. J.","non-dropping-particle":"","parse-names":false,"suffix":""},{"dropping-particle":"","family":"Richardson","given":"S. D.","non-dropping-particle":"","parse-names":false,"suffix":""},{"dropping-particle":"","family":"Chlebak","given":"R. J.","non-dropping-particle":"","parse-names":false,"suffix":""},{"dropping-particle":"","family":"Milotic","given":"D.","non-dropping-particle":"","parse-names":false,"suffix":""},{"dropping-particle":"","family":"Koprivnikar","given":"J.","non-dropping-particle":"","parse-names":false,"suffix":""},{"dropping-particle":"","family":"Forbes","given":"M. R.","non-dropping-particle":"","parse-names":false,"suffix":""}],"container-title":"Parasitology Research","id":"ITEM-1","issue":"9","issued":{"date-parts":[["2019"]]},"note":"Reject. No usable tox data.","page":"2621-2633","publisher":"Parasitology Research","title":"Sub-chronic exposure to a neonicotinoid does not affect susceptibility of larval leopard frogs to infection by trematode parasites, via either depressed cercarial performance or host immunity","type":"article-journal","volume":"118"},"uris":["http://www.mendeley.com/documents/?uuid=c31c7cec-27b6-41a1-8316-27967880491f"]}],"mendeley":{"formattedCitation":"(Robinson et al., 2019a)","plainTextFormattedCitation":"(Robinson et al., 2019a)","previouslyFormattedCitation":"(Robinson et al., 2019a)"},"properties":{"noteIndex":0},"schema":"https://github.com/citation-style-language/schema/raw/master/csl-citation.json"}</w:instrText>
            </w:r>
            <w:r>
              <w:fldChar w:fldCharType="separate"/>
            </w:r>
            <w:r w:rsidRPr="002265CB">
              <w:rPr>
                <w:b w:val="0"/>
                <w:noProof/>
              </w:rPr>
              <w:t>(Robinson et al., 2019a)</w:t>
            </w:r>
            <w:r>
              <w:fldChar w:fldCharType="end"/>
            </w:r>
          </w:p>
        </w:tc>
        <w:tc>
          <w:tcPr>
            <w:tcW w:w="602" w:type="pct"/>
          </w:tcPr>
          <w:p w14:paraId="43E5BF6E"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5FEDAE75"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Mesocosm study</w:t>
            </w:r>
          </w:p>
        </w:tc>
      </w:tr>
      <w:tr w:rsidR="00AB1145" w:rsidRPr="00F37F1E" w14:paraId="598461D5"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18E7E9EC" w14:textId="77777777" w:rsidR="00AB1145" w:rsidRPr="00F37F1E" w:rsidRDefault="00AB1145" w:rsidP="00FF13D1">
            <w:pPr>
              <w:rPr>
                <w:b w:val="0"/>
                <w:bCs w:val="0"/>
              </w:rPr>
            </w:pPr>
            <w:r>
              <w:fldChar w:fldCharType="begin" w:fldLock="1"/>
            </w:r>
            <w:r>
              <w:rPr>
                <w:b w:val="0"/>
                <w:bCs w:val="0"/>
              </w:rPr>
              <w:instrText>ADDIN CSL_CITATION {"citationItems":[{"id":"ITEM-1","itemData":{"DOI":"10.1002/etc.4248","ISSN":"15528618","PMID":"30094868","abstract":"Freshwater mussels contribute important ecological functions to aquatic systems. The water filtered by mussel assemblages can improve water quality, and the mixing of sediments by burrowing mussels can improve oxygen content and release nutrients. However, nearly 70% of North American freshwater mussel species are listed as either endangered, threatened, or in decline. In Ontario, 28 species are in decline or in need of protection. Even though freshwater mussels have a heightened sensitivity to some contaminants, few studies have investigated the risks that various pesticide classes pose to one freshwater mussel species or among life stages. Lampsilis siliquoidea and Villosa iris were the focus of the present study, with the latter currently listed as of “special concern” in Canada. A potential risk to the recovery of freshwater mussel species is the presence and persistence of pesticides in Ontario surface waters. Acute (48 h) toxicity tests were performed with V. iris glochidia to determine the effect on viability (surrogate for survival) following exposure to 4 fungicides (azoxystrobin, boscalid, metalaxyl, and myclobutanil), 3 neonicotinoids (clothianidin, imidacloprid, and thiamethoxam), 2 carbamates (carbaryl and malathion), 1 organophosphate (chlorpyrifos), and 1 butenolide (flupyradifurone). Juvenile and adult L. siliquoidea were also exposed to azoxystrobin, clothianidin, imidacloprid (juvenile only), and carbaryl (adult only). Our study found in general that all life stages were insensitive to the pesticides tested, with median effect and lethal concentrations &gt;161 µg/L. The pesticides tested likely represent a minimal risk (hazard quotients &lt;5.4 × 10 −3 ) to freshwater mussel viability and survival in acute (48 h) and subchronic (28 d) exposures, respectively, in Ontario streams where pesticide concentrations were considerably lower than those tested in the present study. Environ Toxicol Chem 2018;37:2871–2880. © 2018 SETAC.","author":[{"dropping-particle":"","family":"Salerno","given":"Joseph","non-dropping-particle":"","parse-names":false,"suffix":""},{"dropping-particle":"","family":"Bennett","given":"Charles J.","non-dropping-particle":"","parse-names":false,"suffix":""},{"dropping-particle":"","family":"Holman","given":"Emily","non-dropping-particle":"","parse-names":false,"suffix":""},{"dropping-particle":"","family":"Gillis","given":"Patricia L.","non-dropping-particle":"","parse-names":false,"suffix":""},{"dropping-particle":"","family":"Sibley","given":"Paul K.","non-dropping-particle":"","parse-names":false,"suffix":""},{"dropping-particle":"","family":"Prosser","given":"Ryan S.","non-dropping-particle":"","parse-names":false,"suffix":""}],"container-title":"Environmental Toxicology and Chemistry","id":"ITEM-1","issue":"11","issued":{"date-parts":[["2018"]]},"note":"Accept. But cannot develop ACR... no partner paper.\n\nCould develop ACR from this paper\n\nFrom supplement:\nwater hardness = 95.2 mg/L CaCO3\nExcellent water quality data, looks like water temperature increased from 17 to 21 throughout study 48-hr V. iris\nOther studies no WQ issues observed\nmeasured vs. nominal concentrations listed\n28-d LC50 for L. siliquoidea is &amp;gt;9033 ug/L (juvenile); NOEC 9033\nXX - shouldn't use due to control survival - LC50 for V. iris glochida is &amp;gt;13800 ug/L\n\nIt has numbers for imidacloprid too... that I probably should have used:\n28-d LC50 for L. siliquoidea is &amp;gt;9121 ug/L (juvenile); NOE 9121\nXX - shouldn't use due to control survival - LC50 for V. iris glochida is &amp;gt;16800 ug/L\n","page":"2871-2880","title":"Sensitivity of multiple life stages of 2 freshwater mussel species (Unionidae) to various pesticides detected in Ontario (Canada) surface waters","type":"article-journal","volume":"37"},"uris":["http://www.mendeley.com/documents/?uuid=5d693378-8f64-4988-9bb5-de66619a47c6"]}],"mendeley":{"formattedCitation":"(Salerno et al., 2018)","plainTextFormattedCitation":"(Salerno et al., 2018)","previouslyFormattedCitation":"(Salerno et al., 2018)"},"properties":{"noteIndex":0},"schema":"https://github.com/citation-style-language/schema/raw/master/csl-citation.json"}</w:instrText>
            </w:r>
            <w:r>
              <w:fldChar w:fldCharType="separate"/>
            </w:r>
            <w:r w:rsidRPr="00A6434B">
              <w:rPr>
                <w:b w:val="0"/>
                <w:bCs w:val="0"/>
                <w:noProof/>
              </w:rPr>
              <w:t>(Salerno et al., 2018)</w:t>
            </w:r>
            <w:r>
              <w:fldChar w:fldCharType="end"/>
            </w:r>
          </w:p>
        </w:tc>
        <w:tc>
          <w:tcPr>
            <w:tcW w:w="602" w:type="pct"/>
          </w:tcPr>
          <w:p w14:paraId="1405C3A0"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t>R57 NC</w:t>
            </w:r>
          </w:p>
          <w:p w14:paraId="3C2E9024"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NO ACR</w:t>
            </w:r>
          </w:p>
        </w:tc>
        <w:tc>
          <w:tcPr>
            <w:tcW w:w="2542" w:type="pct"/>
          </w:tcPr>
          <w:p w14:paraId="615C85B3" w14:textId="77777777" w:rsidR="00AB1145" w:rsidRDefault="00AB1145" w:rsidP="00FF13D1">
            <w:pPr>
              <w:cnfStyle w:val="000000100000" w:firstRow="0" w:lastRow="0" w:firstColumn="0" w:lastColumn="0" w:oddVBand="0" w:evenVBand="0" w:oddHBand="1" w:evenHBand="0" w:firstRowFirstColumn="0" w:firstRowLastColumn="0" w:lastRowFirstColumn="0" w:lastRowLastColumn="0"/>
            </w:pPr>
            <w:r w:rsidRPr="00F2712E">
              <w:rPr>
                <w:i/>
                <w:iCs/>
              </w:rPr>
              <w:t>V. iris</w:t>
            </w:r>
            <w:r>
              <w:t xml:space="preserve"> </w:t>
            </w:r>
            <w:proofErr w:type="spellStart"/>
            <w:r>
              <w:t>glochida</w:t>
            </w:r>
            <w:proofErr w:type="spellEnd"/>
            <w:r>
              <w:t>, test duration too short</w:t>
            </w:r>
          </w:p>
          <w:p w14:paraId="35820EF3" w14:textId="77777777" w:rsidR="00AB1145" w:rsidRPr="008E70CF" w:rsidRDefault="00AB1145" w:rsidP="00FF13D1">
            <w:pPr>
              <w:cnfStyle w:val="000000100000" w:firstRow="0" w:lastRow="0" w:firstColumn="0" w:lastColumn="0" w:oddVBand="0" w:evenVBand="0" w:oddHBand="1" w:evenHBand="0" w:firstRowFirstColumn="0" w:firstRowLastColumn="0" w:lastRowFirstColumn="0" w:lastRowLastColumn="0"/>
            </w:pPr>
            <w:r>
              <w:rPr>
                <w:i/>
                <w:iCs/>
              </w:rPr>
              <w:t xml:space="preserve">L. </w:t>
            </w:r>
            <w:proofErr w:type="spellStart"/>
            <w:r>
              <w:rPr>
                <w:i/>
                <w:iCs/>
              </w:rPr>
              <w:t>siliquoidea</w:t>
            </w:r>
            <w:proofErr w:type="spellEnd"/>
            <w:r>
              <w:t>, 28-day survival</w:t>
            </w:r>
          </w:p>
        </w:tc>
      </w:tr>
      <w:tr w:rsidR="00AB1145" w:rsidRPr="00F37F1E" w14:paraId="431A9A32"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46AA1540" w14:textId="77777777" w:rsidR="00AB1145" w:rsidRDefault="00AB1145" w:rsidP="00FF13D1">
            <w:r>
              <w:fldChar w:fldCharType="begin" w:fldLock="1"/>
            </w:r>
            <w:r>
              <w:instrText>ADDIN CSL_CITATION {"citationItems":[{"id":"ITEM-1","itemData":{"author":[{"dropping-particle":"","family":"Schmidt","given":"Travis S","non-dropping-particle":"","parse-names":false,"suffix":""},{"dropping-particle":"","family":"Miller","given":"Janet L","non-dropping-particle":"","parse-names":false,"suffix":""},{"dropping-particle":"","family":"Mahler","given":"Barbara J","non-dropping-particle":"","parse-names":false,"suffix":""},{"dropping-particle":"Van","family":"Metre","given":"Peter C","non-dropping-particle":"","parse-names":false,"suffix":""},{"dropping-particle":"","family":"Nowell","given":"Lisa H","non-dropping-particle":"","parse-names":false,"suffix":""},{"dropping-particle":"","family":"Sandstrom","given":"Mark W","non-dropping-particle":"","parse-names":false,"suffix":""},{"dropping-particle":"","family":"Carlisle","given":"Daren M","non-dropping-particle":"","parse-names":false,"suffix":""},{"dropping-particle":"","family":"Moran","given":"Patrick W","non-dropping-particle":"","parse-names":false,"suffix":""},{"dropping-particle":"","family":"Bradley","given":"Paul M","non-dropping-particle":"","parse-names":false,"suffix":""}],"container-title":"Ecology","id":"ITEM-1","issued":{"date-parts":[["2022"]]},"note":"Reject. Mesocosm study - cannot be used to develop WQS.\n\nThese results suggest there may be a synergist effect to neonics greater than additive toxicity. I need a lot more data and from lab derived studies (not mesocosm) to actually incorporate this into WQVs.","page":"1-13","title":"Ecological consequences of neonicotinoid mixtures in streams","type":"article-journal","volume":"8"},"uris":["http://www.mendeley.com/documents/?uuid=93a45d7d-f0f1-4da4-8af1-ae5f3dca6b15"]}],"mendeley":{"formattedCitation":"(Schmidt et al., 2022)","plainTextFormattedCitation":"(Schmidt et al., 2022)","previouslyFormattedCitation":"(Schmidt et al., 2022)"},"properties":{"noteIndex":0},"schema":"https://github.com/citation-style-language/schema/raw/master/csl-citation.json"}</w:instrText>
            </w:r>
            <w:r>
              <w:fldChar w:fldCharType="separate"/>
            </w:r>
            <w:r w:rsidRPr="009C487B">
              <w:rPr>
                <w:b w:val="0"/>
                <w:noProof/>
              </w:rPr>
              <w:t>(Schmidt et al., 2022)</w:t>
            </w:r>
            <w:r>
              <w:fldChar w:fldCharType="end"/>
            </w:r>
          </w:p>
        </w:tc>
        <w:tc>
          <w:tcPr>
            <w:tcW w:w="602" w:type="pct"/>
          </w:tcPr>
          <w:p w14:paraId="05FE0F2C" w14:textId="77777777" w:rsidR="00AB1145" w:rsidRDefault="00AB1145" w:rsidP="00FF13D1">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7E98B311" w14:textId="77777777" w:rsidR="00AB1145" w:rsidRDefault="00AB1145" w:rsidP="00FF13D1">
            <w:pPr>
              <w:cnfStyle w:val="000000000000" w:firstRow="0" w:lastRow="0" w:firstColumn="0" w:lastColumn="0" w:oddVBand="0" w:evenVBand="0" w:oddHBand="0" w:evenHBand="0" w:firstRowFirstColumn="0" w:firstRowLastColumn="0" w:lastRowFirstColumn="0" w:lastRowLastColumn="0"/>
            </w:pPr>
            <w:r>
              <w:t>Mesocosm study</w:t>
            </w:r>
          </w:p>
        </w:tc>
      </w:tr>
      <w:tr w:rsidR="00AB1145" w:rsidRPr="00F37F1E" w14:paraId="30BD969E"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6E9A564A" w14:textId="77777777" w:rsidR="00AB1145" w:rsidRPr="00F37F1E" w:rsidRDefault="00AB1145" w:rsidP="00FF13D1">
            <w:r>
              <w:fldChar w:fldCharType="begin" w:fldLock="1"/>
            </w:r>
            <w:r>
              <w:instrText>ADDIN CSL_CITATION {"citationItems":[{"id":"ITEM-1","itemData":{"DOI":"10.1016/j.scitotenv.2017.11.220","ISSN":"18791026","PMID":"29195196","abstract":"Exposure to pesticides affects non-target aquatic communities, with substantial consequences on ecosystem services. Adaptation of exposed populations may reduce the effects of pesticides. However, it is not known under which conditions adaptation occurs when only a low toxic pressure from pesticides is present. Here, we show that Gammarus pulex, a dominant macroinvertebrate species in many agricultural streams, acquires increased tolerance to pesticides when recolonization from non-contaminated refuge areas is low. Populations in the field that were exposed to pesticides at concentrations several orders of magnitude below considerable acute effects showed almost 3-fold higher tolerance to the neonicotinoid insecticide clothianidin (mean EC50 218 μg L− 1) compared with non-exposed populations (mean EC50 81 μg L− 1). This tolerance of exposed populations increased from 2- to 4-fold with increasing distance to the next refuge area (0 to 10 km). We conclude that the development of tolerance for non-target species may occur at very low concentrations, much below those affecting sensitive test organisms and also lower than those predicted to be safe by governmental risk assessment frameworks.","author":[{"dropping-particle":"","family":"Shahid","given":"Naeem","non-dropping-particle":"","parse-names":false,"suffix":""},{"dropping-particle":"","family":"Becker","given":"Jeremias Martin","non-dropping-particle":"","parse-names":false,"suffix":""},{"dropping-particle":"","family":"Krauss","given":"Martin","non-dropping-particle":"","parse-names":false,"suffix":""},{"dropping-particle":"","family":"Brack","given":"Werner","non-dropping-particle":"","parse-names":false,"suffix":""},{"dropping-particle":"","family":"Liess","given":"Matthias","non-dropping-particle":"","parse-names":false,"suffix":""}],"container-title":"Science of the Total Environment","id":"ITEM-1","issued":{"date-parts":[["2018"]]},"note":"Reject. Gammarus pulex not resident species. Interesting paper. Honorable mention to show organisms can adapt to clothianidin exposure.","page":"479-485","title":"Adaptation of Gammarus pulex to agricultural insecticide contamination in streams","type":"article-journal","volume":"621"},"uris":["http://www.mendeley.com/documents/?uuid=92879041-c996-44ee-8046-409ae0d82a00"]}],"mendeley":{"formattedCitation":"(Shahid et al., 2018)","plainTextFormattedCitation":"(Shahid et al., 2018)","previouslyFormattedCitation":"(Shahid et al., 2018)"},"properties":{"noteIndex":0},"schema":"https://github.com/citation-style-language/schema/raw/master/csl-citation.json"}</w:instrText>
            </w:r>
            <w:r>
              <w:fldChar w:fldCharType="separate"/>
            </w:r>
            <w:r w:rsidRPr="002265CB">
              <w:rPr>
                <w:b w:val="0"/>
                <w:noProof/>
              </w:rPr>
              <w:t>(Shahid et al., 2018)</w:t>
            </w:r>
            <w:r>
              <w:fldChar w:fldCharType="end"/>
            </w:r>
          </w:p>
        </w:tc>
        <w:tc>
          <w:tcPr>
            <w:tcW w:w="602" w:type="pct"/>
          </w:tcPr>
          <w:p w14:paraId="31ED44D4"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76763AE0"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Non-resident species tested</w:t>
            </w:r>
          </w:p>
        </w:tc>
      </w:tr>
      <w:tr w:rsidR="00AB1145" w:rsidRPr="00F37F1E" w14:paraId="60643BD6"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7447ECF5" w14:textId="77777777" w:rsidR="00AB1145" w:rsidRPr="00F37F1E" w:rsidRDefault="00AB1145" w:rsidP="00FF13D1">
            <w:pPr>
              <w:rPr>
                <w:b w:val="0"/>
                <w:bCs w:val="0"/>
              </w:rPr>
            </w:pPr>
            <w:r>
              <w:fldChar w:fldCharType="begin" w:fldLock="1"/>
            </w:r>
            <w:r>
              <w:rPr>
                <w:b w:val="0"/>
                <w:bCs w:val="0"/>
              </w:rPr>
              <w:instrText>ADDIN CSL_CITATION {"citationItems":[{"id":"ITEM-1","itemData":{"DOI":"10.1093/toxsci/kft235","ISSN":"10960929","PMID":"24136191","abstract":"There are tens of thousands of man-made chemicals in the environment; The inherent safety of most of these chemicals is not known. Relevant biological platforms and new computational tools are needed to prioritize testing of chemicals with limited human health hazard information. We describe an experimental design for high-throughput characterization of multidimensional in vivo effects with the power to evaluate trends relating to commonly cited chemical predictors. We evaluated all 1060 unique U.S. EPA ToxCast phase 1 and 2 compounds using the embryonic zebrafish and found that 487 induced significant adverse biological responses. The utilization of 18 simultaneously measured endpoints means that the entire system serves as a robust biological sensor for chemical hazard. The experimental design enabled us to describe global patterns of variation across tested compounds, evaluate the concordance of the available in vitro and in vivo phase 1 data with this study, highlight specific mechanisms/value-added/ novel biology related to notochord development, and demonstrate that the developmental zebrafish detects adverse responses that would be missed by less comprehensive testing strategies. © The Author 2013. Published by Oxford University Press on behalf of the Society of Toxicology. All rights reserved.","author":[{"dropping-particle":"","family":"Truong","given":"Lisa","non-dropping-particle":"","parse-names":false,"suffix":""},{"dropping-particle":"","family":"Reif","given":"David M.","non-dropping-particle":"","parse-names":false,"suffix":""},{"dropping-particle":"","family":"Mary","given":"Lindsey St","non-dropping-particle":"","parse-names":false,"suffix":""},{"dropping-particle":"","family":"Geier","given":"Mitra C.","non-dropping-particle":"","parse-names":false,"suffix":""},{"dropping-particle":"","family":"Truong","given":"Hao D.","non-dropping-particle":"","parse-names":false,"suffix":""},{"dropping-particle":"","family":"Tanguay","given":"Robert L.","non-dropping-particle":"","parse-names":false,"suffix":""}],"container-title":"Toxicological Sciences","id":"ITEM-1","issue":"1","issued":{"date-parts":[["2014"]]},"note":"Reject. \n\nEndopoints listed not relevant. Not sure I understand their methods.\nZebrafish non-resident species","page":"212-233","title":"Multidimensional in vivo hazard assessment using zebrafish","type":"article-journal","volume":"137"},"uris":["http://www.mendeley.com/documents/?uuid=c1f1feb4-2b97-455a-bc4a-ce9b4a84c4b7"]}],"mendeley":{"formattedCitation":"(Truong et al., 2014)","plainTextFormattedCitation":"(Truong et al., 2014)","previouslyFormattedCitation":"(Truong et al., 2014)"},"properties":{"noteIndex":0},"schema":"https://github.com/citation-style-language/schema/raw/master/csl-citation.json"}</w:instrText>
            </w:r>
            <w:r>
              <w:fldChar w:fldCharType="separate"/>
            </w:r>
            <w:r w:rsidRPr="002265CB">
              <w:rPr>
                <w:b w:val="0"/>
                <w:bCs w:val="0"/>
                <w:noProof/>
              </w:rPr>
              <w:t>(Truong et al., 2014)</w:t>
            </w:r>
            <w:r>
              <w:fldChar w:fldCharType="end"/>
            </w:r>
          </w:p>
        </w:tc>
        <w:tc>
          <w:tcPr>
            <w:tcW w:w="602" w:type="pct"/>
          </w:tcPr>
          <w:p w14:paraId="065A70BD"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56A3AE58"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Non-resident species tested</w:t>
            </w:r>
          </w:p>
        </w:tc>
      </w:tr>
      <w:tr w:rsidR="00AB1145" w:rsidRPr="00F37F1E" w14:paraId="11EC2787"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005860BB" w14:textId="77777777" w:rsidR="00AB1145" w:rsidRPr="00F37F1E" w:rsidRDefault="00AB1145" w:rsidP="00FF13D1">
            <w:pPr>
              <w:rPr>
                <w:b w:val="0"/>
                <w:bCs w:val="0"/>
              </w:rPr>
            </w:pPr>
            <w:r>
              <w:fldChar w:fldCharType="begin" w:fldLock="1"/>
            </w:r>
            <w:r>
              <w:rPr>
                <w:b w:val="0"/>
                <w:bCs w:val="0"/>
              </w:rPr>
              <w:instrText>ADDIN CSL_CITATION {"citationItems":[{"id":"ITEM-1","itemData":{"author":[{"dropping-particle":"","family":"Vehovsky","given":"Agnes","non-dropping-particle":"","parse-names":false,"suffix":""},{"dropping-particle":"","family":"Farkas","given":"Anna","non-dropping-particle":"","parse-names":false,"suffix":""},{"dropping-particle":"","family":"Csikos","given":"Vivien","non-dropping-particle":"","parse-names":false,"suffix":""},{"dropping-particle":"","family":"Szekacs","given":"Andras","non-dropping-particle":"","parse-names":false,"suffix":""},{"dropping-particle":"","family":"Mortl","given":"Maria","non-dropping-particle":"","parse-names":false,"suffix":""},{"dropping-particle":"","family":"Gyori","given":"Janos","non-dropping-particle":"","parse-names":false,"suffix":""}],"container-title":"Aquatic Toxicology","id":"ITEM-1","issued":{"date-parts":[["2015"]]},"note":"REJECT.\n\nMethods and endpoints not validated. Did not use pure product.","page":"148-155","title":"Neonicotinoid insecticides are potential substrates of the multixenobiotic resistance (MXR) mechanism in the non-target invertebrate, Dreissena sp.","type":"article-journal","volume":"205"},"uris":["http://www.mendeley.com/documents/?uuid=3bdabfe0-d602-46db-82f8-b89cb11646be"]}],"mendeley":{"formattedCitation":"(Vehovsky et al., 2015)","plainTextFormattedCitation":"(Vehovsky et al., 2015)","previouslyFormattedCitation":"(Vehovsky et al., 2015)"},"properties":{"noteIndex":0},"schema":"https://github.com/citation-style-language/schema/raw/master/csl-citation.json"}</w:instrText>
            </w:r>
            <w:r>
              <w:fldChar w:fldCharType="separate"/>
            </w:r>
            <w:r w:rsidRPr="002265CB">
              <w:rPr>
                <w:b w:val="0"/>
                <w:bCs w:val="0"/>
                <w:noProof/>
              </w:rPr>
              <w:t>(Vehovsky et al., 2015)</w:t>
            </w:r>
            <w:r>
              <w:fldChar w:fldCharType="end"/>
            </w:r>
          </w:p>
        </w:tc>
        <w:tc>
          <w:tcPr>
            <w:tcW w:w="602" w:type="pct"/>
          </w:tcPr>
          <w:p w14:paraId="59838D32"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MIXTURE</w:t>
            </w:r>
          </w:p>
        </w:tc>
        <w:tc>
          <w:tcPr>
            <w:tcW w:w="2542" w:type="pct"/>
          </w:tcPr>
          <w:p w14:paraId="26CC97E6"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Used formulation</w:t>
            </w:r>
          </w:p>
        </w:tc>
      </w:tr>
      <w:tr w:rsidR="00AB1145" w:rsidRPr="00F37F1E" w14:paraId="504A812B"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2BB518C5" w14:textId="77777777" w:rsidR="00AB1145" w:rsidRPr="00F37F1E" w:rsidRDefault="00AB1145" w:rsidP="00FF13D1">
            <w:pPr>
              <w:rPr>
                <w:b w:val="0"/>
                <w:bCs w:val="0"/>
              </w:rPr>
            </w:pPr>
            <w:r>
              <w:fldChar w:fldCharType="begin" w:fldLock="1"/>
            </w:r>
            <w:r>
              <w:rPr>
                <w:b w:val="0"/>
                <w:bCs w:val="0"/>
              </w:rPr>
              <w:instrText>ADDIN CSL_CITATION {"citationItems":[{"id":"ITEM-1","itemData":{"DOI":"10.15832/ankutbd.446448","ISSN":"21489297","abstract":"The effects of ozone treatment on the degradation and toxicity of nine pesticides were determined with different chromatographic techniques, using bubbled ozone and distilled water and two different buffer solutions as test media. The toxicity experiments were performed using Daphnia magna, a cladoceran fresh water flea. The results revealed that thiacloprid and acetamiprid can only be degraded by ozonation to a limited extent (max 2.6%). The other seven pesticides were successfully degraded by ozone. The degradation rates (%) were found to be 93, 99, 95, 99, 87, 98, and 85 for fenazaquin, lambda cyhalothrin, azoxystrobin, chlorpyrifos, spiromesifen, clothianidin and thiamethoxam, respectively, after 5 minutes of ozone treatment in distilled water. The ozone treatment yielded reduced toxicity in fenazaquin, lambda cyhalothrin, azoxystrobin, chlorpyrifos and spiromesifen. However, the degradation products of clothianidin and thiamethoxam were found to be more toxic than the pesticide itself. In general, the use of buffer solutions has no significant effect on pesticide degradation compared to water as an ozonation medium.","author":[{"dropping-particle":"","family":"Velioglu","given":"Yakup Sedat","non-dropping-particle":"","parse-names":false,"suffix":""},{"dropping-particle":"","family":"Fikirdeşici-Ergen","given":"Şeyda","non-dropping-particle":"","parse-names":false,"suffix":""},{"dropping-particle":"","family":"Aksu","given":"Pelin","non-dropping-particle":"","parse-names":false,"suffix":""},{"dropping-particle":"","family":"Altindağ","given":"Ahmet","non-dropping-particle":"","parse-names":false,"suffix":""}],"container-title":"Tarim Bilimleri Dergisi","id":"ITEM-1","issue":"2","issued":{"date-parts":[["2018"]]},"note":"Reject. No citations for methods or analysis of water quality. No mention of this being a controlled study.","page":"245-255","title":"Effects of ozone treatment on the degradation and toxicity of several pesticides in different groups","type":"article-journal","volume":"24"},"uris":["http://www.mendeley.com/documents/?uuid=81dfb084-b231-4dda-9d83-998b5a2c8352"]}],"mendeley":{"formattedCitation":"(Velioglu et al., 2018)","plainTextFormattedCitation":"(Velioglu et al., 2018)","previouslyFormattedCitation":"(Velioglu et al., 2018)"},"properties":{"noteIndex":0},"schema":"https://github.com/citation-style-language/schema/raw/master/csl-citation.json"}</w:instrText>
            </w:r>
            <w:r>
              <w:fldChar w:fldCharType="separate"/>
            </w:r>
            <w:r w:rsidRPr="002265CB">
              <w:rPr>
                <w:b w:val="0"/>
                <w:bCs w:val="0"/>
                <w:noProof/>
              </w:rPr>
              <w:t>(Velioglu et al., 2018)</w:t>
            </w:r>
            <w:r>
              <w:fldChar w:fldCharType="end"/>
            </w:r>
          </w:p>
        </w:tc>
        <w:tc>
          <w:tcPr>
            <w:tcW w:w="602" w:type="pct"/>
          </w:tcPr>
          <w:p w14:paraId="5D841648"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2F57A465"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Not a controlled study</w:t>
            </w:r>
          </w:p>
        </w:tc>
      </w:tr>
      <w:tr w:rsidR="00AB1145" w:rsidRPr="00F37F1E" w14:paraId="738E8F15"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554A3D97" w14:textId="77777777" w:rsidR="00AB1145" w:rsidRPr="00F37F1E" w:rsidRDefault="00AB1145" w:rsidP="00FF13D1">
            <w:r>
              <w:fldChar w:fldCharType="begin" w:fldLock="1"/>
            </w:r>
            <w:r>
              <w:instrText>ADDIN CSL_CITATION {"citationItems":[{"id":"ITEM-1","itemData":{"DOI":"10.1039/d1em00065a","ISSN":"20507895","PMID":"33889902","abstract":"Neonicotinoids in aquatic systems have been predominantly associated with agriculture, but some are increasingly being linked to municipal wastewater. Thus, the aim of this work was to understand the municipal wastewater contribution to neonicotinoids in a representative, characterized effluent-dominated temperate-region stream. Our approach was to quantify the spatiotemporal concentrations of imidacloprid, clothianidin, thiamethoxam, and transformation product imidacloprid urea: 0.1 km upstream, the municipal wastewater effluent, and 0.1 and 5.1 km downstream from the wastewater outfall (collected twice-monthly for one year under baseflow conditions). Quantified results demonstrated that wastewater effluent was a point-source of imidacloprid (consistently) and clothianidin (episodically), where chronic invertebrate exposure benchmarks were exceeded for imidacloprid (36/52 samples; 3/52 &gt; acute exposure benchmark) and clothianidin (8/52 samples). Neonicotinoids persisted downstream where mass loads were not significantly different than those in the effluent. The combined analysis of neonicotinoid effluent concentrations, instream seasonality, and registered uses in Iowa all indicate imidacloprid, and seasonally clothianidin, were driven by wastewater effluent, whereas thiamethoxam and imidacloprid urea were primarily from upstream non-point sources (or potential in-stream transformation for imidacloprid urea). This is the first study to quantify neonicotinoid persistence in an effluent-dominated stream throughout the year - implicating wastewater effluent as a point-source for imidacloprid (year-round) and clothianidin (seasonal). These findings suggest possible overlooked neonicotinoid indoor human exposure routes with subsequent implications for instream ecotoxicological exposure.","author":[{"dropping-particle":"","family":"Webb","given":"Danielle T.","non-dropping-particle":"","parse-names":false,"suffix":""},{"dropping-particle":"","family":"Zhi","given":"Hui","non-dropping-particle":"","parse-names":false,"suffix":""},{"dropping-particle":"","family":"Kolpin","given":"Dana W.","non-dropping-particle":"","parse-names":false,"suffix":""},{"dropping-particle":"","family":"Klaper","given":"Rebecca D.","non-dropping-particle":"","parse-names":false,"suffix":""},{"dropping-particle":"","family":"Iwanowicz","given":"Luke R.","non-dropping-particle":"","parse-names":false,"suffix":""},{"dropping-particle":"","family":"Lefevre","given":"Gregory H.","non-dropping-particle":"","parse-names":false,"suffix":""}],"container-title":"Environmental Science: Processes and Impacts","id":"ITEM-1","issue":"5","issued":{"date-parts":[["2021"]]},"note":"Reject. There is no tox data in this article. Seems like a good one to read though. Read abstract and discussion sections.","page":"678-688","publisher":"Royal Society of Chemistry","title":"Emerging investigator series: Municipal wastewater as a year-round point source of neonicotinoid insecticides that persist in an effluent-dominated stream","type":"article-journal","volume":"23"},"uris":["http://www.mendeley.com/documents/?uuid=f6cc1aa7-b4b3-458e-9109-6f48e82fc954"]}],"mendeley":{"formattedCitation":"(Webb et al., 2021)","plainTextFormattedCitation":"(Webb et al., 2021)","previouslyFormattedCitation":"(Webb et al., 2021)"},"properties":{"noteIndex":0},"schema":"https://github.com/citation-style-language/schema/raw/master/csl-citation.json"}</w:instrText>
            </w:r>
            <w:r>
              <w:fldChar w:fldCharType="separate"/>
            </w:r>
            <w:r w:rsidRPr="002265CB">
              <w:rPr>
                <w:b w:val="0"/>
                <w:noProof/>
              </w:rPr>
              <w:t>(Webb et al., 2021)</w:t>
            </w:r>
            <w:r>
              <w:fldChar w:fldCharType="end"/>
            </w:r>
          </w:p>
        </w:tc>
        <w:tc>
          <w:tcPr>
            <w:tcW w:w="602" w:type="pct"/>
          </w:tcPr>
          <w:p w14:paraId="1C29A412"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NO ORIG</w:t>
            </w:r>
          </w:p>
        </w:tc>
        <w:tc>
          <w:tcPr>
            <w:tcW w:w="2542" w:type="pct"/>
          </w:tcPr>
          <w:p w14:paraId="048814B1"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p>
        </w:tc>
      </w:tr>
      <w:tr w:rsidR="00AB1145" w:rsidRPr="00F37F1E" w14:paraId="7A0CCF4A"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3F140F17" w14:textId="77777777" w:rsidR="00AB1145" w:rsidRDefault="00AB1145" w:rsidP="00FF13D1">
            <w:r>
              <w:fldChar w:fldCharType="begin" w:fldLock="1"/>
            </w:r>
            <w:r>
              <w:instrText>ADDIN CSL_CITATION {"citationItems":[{"id":"ITEM-1","itemData":{"author":[{"dropping-particle":"","family":"Wilhelmy","given":"Hermann","non-dropping-particle":"","parse-names":false,"suffix":""},{"dropping-particle":"","family":"Geffke","given":"Thomas","non-dropping-particle":"","parse-names":false,"suffix":""}],"id":"ITEM-1","issued":{"date-parts":[["1998"]]},"title":"TI-435 Technical: Fish (Rainbow Trout), Acute Toxicity Test, 96-h, Limit Test","type":"report"},"uris":["http://www.mendeley.com/documents/?uuid=80ae50dc-2b72-45dd-a6e6-efb7b3593ba6"]}],"mendeley":{"formattedCitation":"(Wilhelmy and Geffke, 1998)","plainTextFormattedCitation":"(Wilhelmy and Geffke, 1998)","previouslyFormattedCitation":"(Wilhelmy and Geffke, 1998)"},"properties":{"noteIndex":0},"schema":"https://github.com/citation-style-language/schema/raw/master/csl-citation.json"}</w:instrText>
            </w:r>
            <w:r>
              <w:fldChar w:fldCharType="separate"/>
            </w:r>
            <w:r w:rsidRPr="00F4753A">
              <w:rPr>
                <w:b w:val="0"/>
                <w:noProof/>
              </w:rPr>
              <w:t>(Wilhelmy and Geffke, 1998)</w:t>
            </w:r>
            <w:r>
              <w:fldChar w:fldCharType="end"/>
            </w:r>
          </w:p>
        </w:tc>
        <w:tc>
          <w:tcPr>
            <w:tcW w:w="602" w:type="pct"/>
          </w:tcPr>
          <w:p w14:paraId="7F93C5EF" w14:textId="77777777" w:rsidR="00AB1145" w:rsidRDefault="00AB1145" w:rsidP="00FF13D1">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631D6732" w14:textId="77777777" w:rsidR="00AB1145" w:rsidRPr="00F37F1E" w:rsidRDefault="00AB1145" w:rsidP="00FF13D1">
            <w:pPr>
              <w:cnfStyle w:val="000000000000" w:firstRow="0" w:lastRow="0" w:firstColumn="0" w:lastColumn="0" w:oddVBand="0" w:evenVBand="0" w:oddHBand="0" w:evenHBand="0" w:firstRowFirstColumn="0" w:firstRowLastColumn="0" w:lastRowFirstColumn="0" w:lastRowLastColumn="0"/>
            </w:pPr>
            <w:r>
              <w:t>Only one replicate; no dose-response curve</w:t>
            </w:r>
          </w:p>
        </w:tc>
      </w:tr>
      <w:tr w:rsidR="00AB1145" w:rsidRPr="00F37F1E" w14:paraId="7B6BB5CF"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587939D3" w14:textId="77777777" w:rsidR="00AB1145" w:rsidRPr="00F37F1E" w:rsidRDefault="00AB1145" w:rsidP="00FF13D1">
            <w:r>
              <w:fldChar w:fldCharType="begin" w:fldLock="1"/>
            </w:r>
            <w:r>
              <w:instrText>ADDIN CSL_CITATION {"citationItems":[{"id":"ITEM-1","itemData":{"DOI":"10.1584/jpestics.G08-26","ISSN":"1348589X","abstract":"A new insecticide bioassay for assessing the effects of acute insecticide toxicity on lotic insects was developed. It uses first-instar larvae of a net-spinning caddisfly, Cheumatopsyche brevilineata. The test method was suitable for 30 insecticides with a range of action mechanisms. Caddisfly larvae were much more sensitive than daphnids to neonicotinoids. The new bioassay is thus a useful and reliable method for assessing the impact of chemicals such as neonicotinoids, whose risks for lotic insects might be underestimated by the daphnid bioassay. © Pesticide Science Society of Japan.","author":[{"dropping-particle":"","family":"Yokoyama","given":"Atsushi","non-dropping-particle":"","parse-names":false,"suffix":""},{"dropping-particle":"","family":"Ohtsu","given":"Kazuhisa","non-dropping-particle":"","parse-names":false,"suffix":""},{"dropping-particle":"","family":"Iwafune","given":"Takashi","non-dropping-particle":"","parse-names":false,"suffix":""},{"dropping-particle":"","family":"Nagai","given":"Takashi","non-dropping-particle":"","parse-names":false,"suffix":""},{"dropping-particle":"","family":"Ishihara","given":"Satoru","non-dropping-particle":"","parse-names":false,"suffix":""},{"dropping-particle":"","family":"Kobara","given":"Yuso","non-dropping-particle":"","parse-names":false,"suffix":""},{"dropping-particle":"","family":"Horio","given":"Takeshi","non-dropping-particle":"","parse-names":false,"suffix":""},{"dropping-particle":"","family":"Endo","given":"Shozo","non-dropping-particle":"","parse-names":false,"suffix":""}],"container-title":"Journal of Pesticide Science","id":"ITEM-1","issue":"1","issued":{"date-parts":[["2009"]]},"note":"Reject with Honorable mention - Caddisfly data, genus resident but species is not. \n\nThis is a novel, new methodology. It assesses toxicity to a sensitive species that does not have a lot of other studies available.","page":"13-20","title":"A useful new insecticide bioassay using first-instar larvae of a net-spinning caddisfly, Cheumatopsyche brevilineata (Trichoptera: Hydropsychidae)","type":"article-journal","volume":"34"},"uris":["http://www.mendeley.com/documents/?uuid=81d28e74-9d2b-46e5-9a63-c4401fd02053"]}],"mendeley":{"formattedCitation":"(Yokoyama et al., 2009)","plainTextFormattedCitation":"(Yokoyama et al., 2009)","previouslyFormattedCitation":"(Yokoyama et al., 2009)"},"properties":{"noteIndex":0},"schema":"https://github.com/citation-style-language/schema/raw/master/csl-citation.json"}</w:instrText>
            </w:r>
            <w:r>
              <w:fldChar w:fldCharType="separate"/>
            </w:r>
            <w:r w:rsidRPr="002265CB">
              <w:rPr>
                <w:b w:val="0"/>
                <w:noProof/>
              </w:rPr>
              <w:t>(Yokoyama et al., 2009)</w:t>
            </w:r>
            <w:r>
              <w:fldChar w:fldCharType="end"/>
            </w:r>
          </w:p>
        </w:tc>
        <w:tc>
          <w:tcPr>
            <w:tcW w:w="602" w:type="pct"/>
          </w:tcPr>
          <w:p w14:paraId="3DAC3BE1" w14:textId="77777777" w:rsidR="00AB1145" w:rsidRPr="00F37F1E" w:rsidRDefault="00AB1145"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1381F39E" w14:textId="77777777" w:rsidR="00AB1145" w:rsidRPr="00240990" w:rsidRDefault="00AB1145" w:rsidP="00FF13D1">
            <w:pPr>
              <w:cnfStyle w:val="000000100000" w:firstRow="0" w:lastRow="0" w:firstColumn="0" w:lastColumn="0" w:oddVBand="0" w:evenVBand="0" w:oddHBand="1" w:evenHBand="0" w:firstRowFirstColumn="0" w:firstRowLastColumn="0" w:lastRowFirstColumn="0" w:lastRowLastColumn="0"/>
            </w:pPr>
            <w:r>
              <w:t>Non-resident species tested</w:t>
            </w:r>
          </w:p>
        </w:tc>
      </w:tr>
    </w:tbl>
    <w:p w14:paraId="6E2AB5FD" w14:textId="77777777" w:rsidR="00AB1145" w:rsidRDefault="00AB1145" w:rsidP="00AB1145"/>
    <w:p w14:paraId="7794AB69" w14:textId="77777777" w:rsidR="00AB1145" w:rsidRDefault="00AB1145" w:rsidP="00AB1145"/>
    <w:p w14:paraId="1D80C8C4" w14:textId="77777777" w:rsidR="00AB1145" w:rsidRDefault="00AB1145" w:rsidP="00AB1145"/>
    <w:p w14:paraId="70A2D726" w14:textId="77777777" w:rsidR="00AB1145" w:rsidRPr="00F37F1E" w:rsidRDefault="00AB1145" w:rsidP="00AB1145">
      <w:pPr>
        <w:rPr>
          <w:rFonts w:cstheme="minorHAnsi"/>
          <w:b/>
          <w:bCs/>
        </w:rPr>
      </w:pPr>
    </w:p>
    <w:p w14:paraId="3224C5BD" w14:textId="77777777" w:rsidR="00AB1145" w:rsidRDefault="00AB1145" w:rsidP="00AB1145">
      <w:pPr>
        <w:rPr>
          <w:rFonts w:cstheme="minorHAnsi"/>
          <w:b/>
          <w:bCs/>
        </w:rPr>
      </w:pPr>
      <w:r w:rsidRPr="00D252B5">
        <w:rPr>
          <w:rFonts w:cstheme="minorHAnsi"/>
          <w:b/>
          <w:bCs/>
        </w:rPr>
        <w:t>References:</w:t>
      </w:r>
    </w:p>
    <w:p w14:paraId="47C2C418"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6A78A5">
        <w:rPr>
          <w:rFonts w:cstheme="minorHAnsi"/>
          <w:b/>
          <w:bCs/>
          <w:sz w:val="20"/>
          <w:szCs w:val="20"/>
        </w:rPr>
        <w:lastRenderedPageBreak/>
        <w:fldChar w:fldCharType="begin" w:fldLock="1"/>
      </w:r>
      <w:r w:rsidRPr="006A78A5">
        <w:rPr>
          <w:rFonts w:cstheme="minorHAnsi"/>
          <w:b/>
          <w:bCs/>
          <w:sz w:val="20"/>
          <w:szCs w:val="20"/>
        </w:rPr>
        <w:instrText xml:space="preserve">ADDIN Mendeley Bibliography CSL_BIBLIOGRAPHY </w:instrText>
      </w:r>
      <w:r w:rsidRPr="006A78A5">
        <w:rPr>
          <w:rFonts w:cstheme="minorHAnsi"/>
          <w:b/>
          <w:bCs/>
          <w:sz w:val="20"/>
          <w:szCs w:val="20"/>
        </w:rPr>
        <w:fldChar w:fldCharType="separate"/>
      </w:r>
      <w:r w:rsidRPr="00E22597">
        <w:rPr>
          <w:rFonts w:ascii="Calibri" w:hAnsi="Calibri" w:cs="Calibri"/>
          <w:noProof/>
          <w:sz w:val="20"/>
        </w:rPr>
        <w:t>Barbee, G.C., Stout, M.J., 2009. Comparative acute toxicity of neonicotinoid and pyrethroid insecticides to non-target crayfish (Procambarus clarkii) associated with rice-crayfish crop rotations. Pest Manag. Sci. 65, 1250–1256. https://doi.org/10.1002/ps.1817</w:t>
      </w:r>
    </w:p>
    <w:p w14:paraId="15E99DCB"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Bartlett, A.J., Hedges, A.M., Intini, K.D., Brown, L.R., Maisonneuve, F.J., Robinson, S.A., Gillis, P.L., de Solla, S.R., 2019. Acute and chronic toxicity of neonicotinoid and butenolide insecticides to the freshwater amphipod, Hyalella azteca. Ecotoxicol. Environ. Saf. 175, 215–223. https://doi.org/10.1016/j.ecoenv.2019.03.038</w:t>
      </w:r>
    </w:p>
    <w:p w14:paraId="3E573CC1"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Bartlett, A.J., Hedges, A.M., Intini, K.D., Brown, L.R., Maisonneuve, F.J., Robinson, S.A., Gillis, P.L., de Solla, S.R., 2018. Lethal and sublethal toxicity of neonicotinoid and butenolide insecticides to the mayfly, Hexagenia spp. Environ. Pollut. 238, 63–75. https://doi.org/10.1016/j.envpol.2018.03.004</w:t>
      </w:r>
    </w:p>
    <w:p w14:paraId="33C280F2"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Becker, J.M., Russo, R., Shahid, N., Liess, M., 2020. Drivers of pesticide resistance in freshwater amphipods. Sci. Total Environ. 735. https://doi.org/10.1016/j.scitotenv.2020.139264</w:t>
      </w:r>
    </w:p>
    <w:p w14:paraId="47D98CAB"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Cavallaro, M.C., Liber, K., Headley, J. V., Peru, K.M., Morrissey, C.A., 2018. Community-level and phenological responses of emerging aquatic insects exposed to 3 neonicotinoid insecticides: An in situ wetland limnocorral approach. Environ. Toxicol. Chem. 37, 2401–2412. https://doi.org/10.1002/etc.4187</w:t>
      </w:r>
    </w:p>
    <w:p w14:paraId="7FF66445"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Cavallaro, M.C., Morrissey, C.A., Headley, J. V., Peru, K.M., Liber, K., 2017. Comparative chronic toxicity of imidacloprid, clothianidin, and thiamethoxam to Chironomus dilutus and estimation of toxic equivalency factors. Environ. Toxicol. Chem. 36, 372–382. https://doi.org/10.1002/etc.3536</w:t>
      </w:r>
    </w:p>
    <w:p w14:paraId="2A719757"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Danis, B.E.G., Marlatt, V.L., 2021. Investigating Acute and Subchronic Effects of Neonicotinoids on Northwestern Salamander Larvae. Arch. Environ. Contam. Toxicol. 80, 691–707. https://doi.org/10.1007/s00244-021-00840-4</w:t>
      </w:r>
    </w:p>
    <w:p w14:paraId="62C7AA36"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de Perre, C., Murphy, T.M., Lydy, M.J., 2015. Fate and effects of clothianidin in fields using conservation practices. Environ. Toxicol. Chem. 34, 258–265. https://doi.org/10.1002/etc.2800</w:t>
      </w:r>
    </w:p>
    <w:p w14:paraId="20D9D002"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Drottar, K.R., Krueger, H.O., 2000. TI-435 Technical: An Early Life-Stage Toxicity Test with the Fathead Minnow (Pimephales promelas).</w:t>
      </w:r>
    </w:p>
    <w:p w14:paraId="5F0D8FE7"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Hayasaka, D., Suzuki, K., Nomura, T., Nishiyama, M., Nagai, T., Sánchez-Bayo, F., Goka, K., 2013. Comparison of acute toxicity of two neonicotinoid insecticides, imidacloprid and clothianidin, to five cladoceran species. J. Pestic. Sci. 38, 44–47. https://doi.org/10.1584/jpestics.D12-061</w:t>
      </w:r>
    </w:p>
    <w:p w14:paraId="26566D15"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Holtswarth, J.N., Rowland, F.E., Puglis, H.J., Hladik, M.L., Webb, E.B., 2019. Effects of the Neonicotinoid Insecticide Clothianidin on Southern Leopard Frog (Rana sphenocephala) Tadpole Behavior. Bull. Environ. Contam. Toxicol. 103, 717–722. https://doi.org/10.1007/s00128-019-02703-0</w:t>
      </w:r>
    </w:p>
    <w:p w14:paraId="5CA38223"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Macaulay, S.J., Hageman, K.J., Alumbaugh, R.E., Lyons, S.M., Piggott, J.J., Matthaei, C.D., 2019. Chronic Toxicities of Neonicotinoids to Nymphs of the Common New Zealand Mayfly Deleatidium spp. Environ. Toxicol. Chem. 38, 2459–2471. https://doi.org/10.1002/etc.4556</w:t>
      </w:r>
    </w:p>
    <w:p w14:paraId="07C46BCF"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Maloney, E.M., Liber, K., Headley, J. V., Peru, K.M., Morrissey, C.A., 2018a. Neonicotinoid insecticide mixtures: Evaluation of laboratory-based toxicity predictions under semi-controlled field conditions. Environ. Pollut. 243, 1727–1739. https://doi.org/10.1016/j.envpol.2018.09.008</w:t>
      </w:r>
    </w:p>
    <w:p w14:paraId="156897AE"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Maloney, E.M., Morrissey, C.A., Headley, J. V., Peru, K.M., Liber, K., 2018b. Can chronic exposure to imidacloprid, clothianidin, and thiamethoxam mixtures exert greater than additive toxicity in Chironomus dilutus? Ecotoxicol. Environ. Saf. 156, 354–365. https://doi.org/10.1016/j.ecoenv.2018.03.003</w:t>
      </w:r>
    </w:p>
    <w:p w14:paraId="688F9984"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Maloney, E.M., Morrissey, C.A., Headley, J. V., Peru, K.M., Liber, K., 2017. Cumulative toxicity of neonicotinoid insecticide mixtures to Chironomus dilutus under acute exposure scenarios. Environ. Toxicol. Chem. 36, 3091–3101. https://doi.org/10.1002/etc.3878</w:t>
      </w:r>
    </w:p>
    <w:p w14:paraId="68015CB4"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Maloney, E.M., Taillebois, E., Gilles, N., Morrissey, C.A., Liber, K., Servent, D., Thany, S.H., 2021. Binding properties to nicotinic acetylcholine receptors can explain differential toxicity of neonicotinoid insecticides in Chironomidae. Aquat. Toxicol. 230. https://doi.org/10.1016/j.aquatox.2020.105701</w:t>
      </w:r>
    </w:p>
    <w:p w14:paraId="174E59FB"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Marlatt, V.L., Leung, T.Y.G., Calbick, S., Metcalfe, C., Kennedy, C., 2019. Sub-lethal effects of a neonicotinoid, clothianidin, on wild early life stage sockeye salmon (Oncorhynchus nerka). Aquat. Toxicol. 217, 1–14. https://doi.org/10.1016/j.aquatox.2019.105335</w:t>
      </w:r>
    </w:p>
    <w:p w14:paraId="33DEBDF0"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Mattock, S.D., 2001. TI-435 Comparative Acute Toxicity of Chironomus riparius with TMZU, MU, TZNG, and MNG.</w:t>
      </w:r>
    </w:p>
    <w:p w14:paraId="03296C2B"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Miles, J.C., Hua, J., Sepulveda, M.S., Krupke, C.H., Hoverman, J.T., 2017. Effects of clothianidin on aquatic communities: Evaluating the impacts of lethal and sublethal exposure to neonicotinoids. PLoS One 12, 1–25. https://doi.org/10.1371/journal.pone.0174171</w:t>
      </w:r>
    </w:p>
    <w:p w14:paraId="67276823"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Noack, M., Geffke, T., 1998. TI 435 Technical: Daphnia magna Reproduction Test (21 d).</w:t>
      </w:r>
    </w:p>
    <w:p w14:paraId="6DD30199"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lastRenderedPageBreak/>
        <w:t>Palmer, S.J., MacGregor, J., Krueger, H.O., 2000a. TI-435 Technical: A 96-Hour Static Acute Toxicity Test with the Bluegill (Lepomis macrochirus).</w:t>
      </w:r>
    </w:p>
    <w:p w14:paraId="52F1373A"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Palmer, S.J., MacGregor, J.A., Krueger, H.O., 2000b. TI-435 Technical: A 48-Hour Static Acute Toxicity Test with the Cladoceran (Daphnia magna).</w:t>
      </w:r>
    </w:p>
    <w:p w14:paraId="0AE09499"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Picard, C.R., 2016. Life-Cycle Toxicity Test Exposing Midges (Chironomus dilutus) to Clothianidin Applied to Sediment Under Static-Renewal Conditions Following EPA Test Methods.</w:t>
      </w:r>
    </w:p>
    <w:p w14:paraId="64B173F7"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Prosser, R.S., de Solla, S.R., Holman, E.A.M., Osborne, R., Robinson, S.A., Bartlett, A.J., Maisonneuve, F.J., Gillis, P.L., 2016. Sensitivity of the early-life stages of freshwater mollusks to neonicotinoid and butenolide insecticides. Environ. Pollut. 218, 428–435. https://doi.org/10.1016/j.envpol.2016.07.022</w:t>
      </w:r>
    </w:p>
    <w:p w14:paraId="06BAC864"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Putt, A.E., 2006. Clothianidin - Toxicity to Midge (Chironomus riparius) During a 10-Day Sediment Exposure.</w:t>
      </w:r>
    </w:p>
    <w:p w14:paraId="46A648E5"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Raby, M., Nowierski, M., Perlov, D., Zhao, X., Hao, C., Poirier, D.G., Sibley, P.K., 2018a. Acute toxicity of 6 neonicotinoid insecticides to freshwater invertebrates. Environ. Toxicol. Chem. 37, 1430–1445. https://doi.org/10.1002/etc.4088</w:t>
      </w:r>
    </w:p>
    <w:p w14:paraId="7447453E"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Raby, M., Zhao, X., Hao, C., Poirier, D.G., Sibley, P.K., 2018b. Relative chronic sensitivity of neonicotinoid insecticides to Ceriodaphnia dubia and Daphnia magna. Ecotoxicol. Environ. Saf. 163, 238–244. https://doi.org/10.1016/j.ecoenv.2018.07.086</w:t>
      </w:r>
    </w:p>
    <w:p w14:paraId="6D38435F"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Raby, M., Zhao, X., Hao, C., Poirier, D.G., Sibley, P.K., 2018c. Chronic toxicity of 6 neonicotinoid insecticides to Chironomus dilutus and Neocloeon triangulifer. Environ. Toxicol. Chem. 37, 2727–2739. https://doi.org/10.1002/etc.4234</w:t>
      </w:r>
    </w:p>
    <w:p w14:paraId="227D8A6D"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Robinson, S.A., Gavel, M.J., Richardson, S.D., Chlebak, R.J., Milotic, D., Koprivnikar, J., Forbes, M.R., 2019a. Sub-chronic exposure to a neonicotinoid does not affect susceptibility of larval leopard frogs to infection by trematode parasites, via either depressed cercarial performance or host immunity. Parasitol. Res. 118, 2621–2633. https://doi.org/10.1007/s00436-019-06385-9</w:t>
      </w:r>
    </w:p>
    <w:p w14:paraId="45343543"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Robinson, S.A., Richardson, S.D., Dalton, R.L., Maisonneuve, F., Bartlett, A.J., de Solla, S.R., Trudeau, V.L., Waltho, N., 2019b. Assessment of Sublethal Effects of Neonicotinoid Insecticides on the Life-History Traits of 2 Frog Species. Environ. Toxicol. Chem. 38, 1967–1977. https://doi.org/10.1002/etc.4511</w:t>
      </w:r>
    </w:p>
    <w:p w14:paraId="7EEC37FB"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Salerno, J., Bennett, C.J., Holman, E., Gillis, P.L., Sibley, P.K., Prosser, R.S., 2018. Sensitivity of multiple life stages of 2 freshwater mussel species (Unionidae) to various pesticides detected in Ontario (Canada) surface waters. Environ. Toxicol. Chem. 37, 2871–2880. https://doi.org/10.1002/etc.4248</w:t>
      </w:r>
    </w:p>
    <w:p w14:paraId="472CA6EC"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Schmidt, T.S., Miller, J.L., Mahler, B.J., Metre, P.C. Van, Nowell, L.H., Sandstrom, M.W., Carlisle, D.M., Moran, P.W., Bradley, P.M., 2022. Ecological consequences of neonicotinoid mixtures in streams. Ecology 8, 1–13.</w:t>
      </w:r>
    </w:p>
    <w:p w14:paraId="170C86A0"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Shahid, N., Becker, J.M., Krauss, M., Brack, W., Liess, M., 2018. Adaptation of Gammarus pulex to agricultural insecticide contamination in streams. Sci. Total Environ. 621, 479–485. https://doi.org/10.1016/j.scitotenv.2017.11.220</w:t>
      </w:r>
    </w:p>
    <w:p w14:paraId="56956843"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Takács, E., Klátyik, S., Mörtl, M., Rácz, G., Kovács, K., Darvas, B., Székács, A., 2017. Effects of neonicotinoid insecticide formulations and their components on Daphnia magna–the role of active ingredients and co-formulants. Int. J. Environ. Anal. Chem. 97, 885–900. https://doi.org/10.1080/03067319.2017.1363196</w:t>
      </w:r>
    </w:p>
    <w:p w14:paraId="3CCDBEC3"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Truong, L., Reif, D.M., Mary, L.S., Geier, M.C., Truong, H.D., Tanguay, R.L., 2014. Multidimensional in vivo hazard assessment using zebrafish. Toxicol. Sci. 137, 212–233. https://doi.org/10.1093/toxsci/kft235</w:t>
      </w:r>
    </w:p>
    <w:p w14:paraId="3C1C124F"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Vehovsky, A., Farkas, A., Csikos, V., Szekacs, A., Mortl, M., Gyori, J., 2015. Neonicotinoid insecticides are potential substrates of the multixenobiotic resistance (MXR) mechanism in the non-target invertebrate, Dreissena sp. Aquat. Toxicol. 205, 148–155.</w:t>
      </w:r>
    </w:p>
    <w:p w14:paraId="1BF747E1"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Velioglu, Y.S., Fikirdeşici-Ergen, Ş., Aksu, P., Altindağ, A., 2018. Effects of ozone treatment on the degradation and toxicity of several pesticides in different groups. Tarim Bilim. Derg. 24, 245–255. https://doi.org/10.15832/ankutbd.446448</w:t>
      </w:r>
    </w:p>
    <w:p w14:paraId="788D3AC8"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Webb, D.T., Zhi, H., Kolpin, D.W., Klaper, R.D., Iwanowicz, L.R., Lefevre, G.H., 2021. Emerging investigator series: Municipal wastewater as a year-round point source of neonicotinoid insecticides that persist in an effluent-dominated stream. Environ. Sci. Process. Impacts 23, 678–688. https://doi.org/10.1039/d1em00065a</w:t>
      </w:r>
    </w:p>
    <w:p w14:paraId="5D1505C3"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Wilhelmy, H., Geffke, T., 1998. TI-435 Technical: Fish (Rainbow Trout), Acute Toxicity Test, 96-h, Limit Test.</w:t>
      </w:r>
    </w:p>
    <w:p w14:paraId="0A8AF477" w14:textId="77777777" w:rsidR="00AB1145" w:rsidRPr="00E22597" w:rsidRDefault="00AB1145" w:rsidP="00AB1145">
      <w:pPr>
        <w:widowControl w:val="0"/>
        <w:autoSpaceDE w:val="0"/>
        <w:autoSpaceDN w:val="0"/>
        <w:adjustRightInd w:val="0"/>
        <w:ind w:left="480" w:hanging="480"/>
        <w:rPr>
          <w:rFonts w:ascii="Calibri" w:hAnsi="Calibri" w:cs="Calibri"/>
          <w:noProof/>
          <w:sz w:val="20"/>
        </w:rPr>
      </w:pPr>
      <w:r w:rsidRPr="00E22597">
        <w:rPr>
          <w:rFonts w:ascii="Calibri" w:hAnsi="Calibri" w:cs="Calibri"/>
          <w:noProof/>
          <w:sz w:val="20"/>
        </w:rPr>
        <w:t>Yokoyama, A., Ohtsu, K., Iwafune, T., Nagai, T., Ishihara, S., Kobara, Y., Horio, T., Endo, S., 2009. A useful new insecticide bioassay using first-instar larvae of a net-spinning caddisfly, Cheumatopsyche brevilineata (Trichoptera: Hydropsychidae). J. Pestic. Sci. 34, 13–20. https://doi.org/10.1584/jpestics.G08-26</w:t>
      </w:r>
    </w:p>
    <w:p w14:paraId="0FD13EEB" w14:textId="77777777" w:rsidR="00AB1145" w:rsidRPr="00D252B5" w:rsidRDefault="00AB1145" w:rsidP="00AB1145">
      <w:pPr>
        <w:rPr>
          <w:rFonts w:cstheme="minorHAnsi"/>
          <w:b/>
          <w:bCs/>
        </w:rPr>
      </w:pPr>
      <w:r w:rsidRPr="006A78A5">
        <w:rPr>
          <w:rFonts w:cstheme="minorHAnsi"/>
          <w:b/>
          <w:bCs/>
          <w:sz w:val="20"/>
          <w:szCs w:val="20"/>
        </w:rPr>
        <w:lastRenderedPageBreak/>
        <w:fldChar w:fldCharType="end"/>
      </w:r>
    </w:p>
    <w:p w14:paraId="69676DFF" w14:textId="77777777" w:rsidR="00AB1145" w:rsidRPr="00692880" w:rsidRDefault="00AB1145" w:rsidP="00AB1145">
      <w:pPr>
        <w:rPr>
          <w:rFonts w:cstheme="minorHAnsi"/>
        </w:rPr>
      </w:pPr>
    </w:p>
    <w:p w14:paraId="10B8B6BC" w14:textId="6CF042A2" w:rsidR="00AB1145" w:rsidRDefault="00AB1145">
      <w:pPr>
        <w:rPr>
          <w:rFonts w:cstheme="minorHAnsi"/>
        </w:rPr>
      </w:pPr>
      <w:r>
        <w:rPr>
          <w:rFonts w:cstheme="minorHAnsi"/>
        </w:rPr>
        <w:br w:type="page"/>
      </w:r>
    </w:p>
    <w:p w14:paraId="684EFC99" w14:textId="77777777" w:rsidR="006028FA" w:rsidRPr="00900D0C" w:rsidRDefault="006028FA" w:rsidP="006028FA">
      <w:pPr>
        <w:rPr>
          <w:b/>
          <w:bCs/>
          <w:sz w:val="28"/>
          <w:szCs w:val="28"/>
        </w:rPr>
      </w:pPr>
      <w:r w:rsidRPr="00900D0C">
        <w:rPr>
          <w:b/>
          <w:bCs/>
          <w:sz w:val="28"/>
          <w:szCs w:val="28"/>
        </w:rPr>
        <w:lastRenderedPageBreak/>
        <w:t xml:space="preserve">Development of Aquatic Life Values for </w:t>
      </w:r>
      <w:r>
        <w:rPr>
          <w:b/>
          <w:bCs/>
          <w:sz w:val="28"/>
          <w:szCs w:val="28"/>
        </w:rPr>
        <w:t>Thiamethoxam</w:t>
      </w:r>
      <w:r w:rsidRPr="00900D0C">
        <w:rPr>
          <w:b/>
          <w:bCs/>
          <w:sz w:val="28"/>
          <w:szCs w:val="28"/>
        </w:rPr>
        <w:t xml:space="preserve"> (CAS</w:t>
      </w:r>
      <w:r>
        <w:rPr>
          <w:b/>
          <w:bCs/>
          <w:sz w:val="28"/>
          <w:szCs w:val="28"/>
        </w:rPr>
        <w:t xml:space="preserve"> 153719-23-4</w:t>
      </w:r>
      <w:r w:rsidRPr="00900D0C">
        <w:rPr>
          <w:b/>
          <w:bCs/>
          <w:sz w:val="28"/>
          <w:szCs w:val="28"/>
        </w:rPr>
        <w:t>)</w:t>
      </w:r>
    </w:p>
    <w:p w14:paraId="393D627B" w14:textId="77777777" w:rsidR="006028FA" w:rsidRPr="000E3EDB" w:rsidRDefault="006028FA" w:rsidP="006028FA">
      <w:r w:rsidRPr="000E3EDB">
        <w:t xml:space="preserve">Date: </w:t>
      </w:r>
      <w:r>
        <w:t>October 25, 2022</w:t>
      </w:r>
    </w:p>
    <w:p w14:paraId="02F7EDEA" w14:textId="77777777" w:rsidR="006028FA" w:rsidRPr="000E3EDB" w:rsidRDefault="006028FA" w:rsidP="006028FA">
      <w:r w:rsidRPr="000E3EDB">
        <w:t>By: Sara Nedrich</w:t>
      </w:r>
    </w:p>
    <w:p w14:paraId="7C6EECB1" w14:textId="77777777" w:rsidR="006028FA" w:rsidRDefault="006028FA" w:rsidP="006028FA">
      <w:pPr>
        <w:rPr>
          <w:b/>
          <w:bCs/>
        </w:rPr>
      </w:pPr>
    </w:p>
    <w:p w14:paraId="467B3578" w14:textId="77777777" w:rsidR="006028FA" w:rsidRPr="00406BE7" w:rsidRDefault="006028FA" w:rsidP="006028FA">
      <w:pPr>
        <w:rPr>
          <w:b/>
          <w:bCs/>
        </w:rPr>
      </w:pPr>
      <w:r>
        <w:rPr>
          <w:b/>
          <w:bCs/>
        </w:rPr>
        <w:t>Literature Search Overview</w:t>
      </w:r>
    </w:p>
    <w:p w14:paraId="7FBF0E0A" w14:textId="77777777" w:rsidR="006028FA" w:rsidRPr="007D13E1" w:rsidRDefault="006028FA" w:rsidP="006028FA">
      <w:r w:rsidRPr="007D13E1">
        <w:t xml:space="preserve">A </w:t>
      </w:r>
      <w:proofErr w:type="spellStart"/>
      <w:r w:rsidRPr="007D13E1">
        <w:t>Scifinder</w:t>
      </w:r>
      <w:proofErr w:type="spellEnd"/>
      <w:r w:rsidRPr="007D13E1">
        <w:t xml:space="preserve"> literature search was conducted on </w:t>
      </w:r>
      <w:r>
        <w:t>January 26</w:t>
      </w:r>
      <w:r w:rsidRPr="00792BB3">
        <w:rPr>
          <w:vertAlign w:val="superscript"/>
        </w:rPr>
        <w:t>th</w:t>
      </w:r>
      <w:r>
        <w:t>, 2022</w:t>
      </w:r>
      <w:r w:rsidRPr="007D13E1">
        <w:t>, and included a reference search via CAS ‘</w:t>
      </w:r>
      <w:r>
        <w:t>153719-23-4</w:t>
      </w:r>
      <w:r w:rsidRPr="007D13E1">
        <w:t xml:space="preserve">’. The search terms were refined by language (English), and search terms ‘aquatic’ AND one of the following: ‘LC50’, ‘EC50’, ‘chronic’, or ‘acute’.  The resulting </w:t>
      </w:r>
      <w:r>
        <w:t>53</w:t>
      </w:r>
      <w:r w:rsidRPr="007D13E1">
        <w:t xml:space="preserve"> abstracts were reviewed (Appendix A), and </w:t>
      </w:r>
      <w:r w:rsidRPr="008911F8">
        <w:t>24 articles</w:t>
      </w:r>
      <w:r w:rsidRPr="007D13E1">
        <w:t xml:space="preserve"> were sufficiently relevant to be selected for full article review. </w:t>
      </w:r>
    </w:p>
    <w:p w14:paraId="5F8A807B" w14:textId="77777777" w:rsidR="006028FA" w:rsidRPr="003F090C" w:rsidRDefault="006028FA" w:rsidP="006028FA">
      <w:pPr>
        <w:rPr>
          <w:i/>
          <w:iCs/>
        </w:rPr>
      </w:pPr>
    </w:p>
    <w:p w14:paraId="5F6FC96C" w14:textId="77777777" w:rsidR="006028FA" w:rsidRPr="000F3134" w:rsidRDefault="006028FA" w:rsidP="006028FA">
      <w:r w:rsidRPr="000F3134">
        <w:t xml:space="preserve">An ECOTOX search from was conducted on </w:t>
      </w:r>
      <w:r>
        <w:t>January 26</w:t>
      </w:r>
      <w:r w:rsidRPr="00792BB3">
        <w:rPr>
          <w:vertAlign w:val="superscript"/>
        </w:rPr>
        <w:t>th</w:t>
      </w:r>
      <w:r>
        <w:t>, 2022</w:t>
      </w:r>
      <w:r w:rsidRPr="000F3134">
        <w:t xml:space="preserve">, for CAS # </w:t>
      </w:r>
      <w:r>
        <w:t>153719-23-4</w:t>
      </w:r>
      <w:r w:rsidRPr="000F3134">
        <w:t xml:space="preserve">, with any studies including aqueous </w:t>
      </w:r>
      <w:r>
        <w:t>freshwater and</w:t>
      </w:r>
      <w:r w:rsidRPr="000F3134">
        <w:t xml:space="preserve"> unreported exposure media</w:t>
      </w:r>
      <w:r>
        <w:t xml:space="preserve"> (excluded saltwater studies)</w:t>
      </w:r>
      <w:r w:rsidRPr="000F3134">
        <w:t xml:space="preserve">. This search yielded </w:t>
      </w:r>
      <w:r>
        <w:t>58</w:t>
      </w:r>
      <w:r w:rsidRPr="000F3134">
        <w:t xml:space="preserve"> references. References that included species non-resident to the United States or studies with inadequate endpoints or test durations were excluded. This resulted in </w:t>
      </w:r>
      <w:r>
        <w:t>8</w:t>
      </w:r>
      <w:r w:rsidRPr="000F3134">
        <w:t xml:space="preserve"> additional publications selected for full article review. </w:t>
      </w:r>
      <w:r>
        <w:t xml:space="preserve">Additional applicable studies included in the USEPA Pesticide Ecotoxicity Database were request for the EPA through the Freedom of Information Act (FOIA) on January 31, 2022. The EPA studies were received on September 30, 2022 and reviewed for applicability. </w:t>
      </w:r>
    </w:p>
    <w:p w14:paraId="5E8F0CCC" w14:textId="77777777" w:rsidR="006028FA" w:rsidRPr="003F090C" w:rsidRDefault="006028FA" w:rsidP="006028FA">
      <w:pPr>
        <w:rPr>
          <w:i/>
          <w:iCs/>
        </w:rPr>
      </w:pPr>
    </w:p>
    <w:p w14:paraId="30EAE2C6" w14:textId="77777777" w:rsidR="006028FA" w:rsidRDefault="006028FA" w:rsidP="006028FA">
      <w:r w:rsidRPr="00A04E3A">
        <w:t xml:space="preserve">The full article review resulted in </w:t>
      </w:r>
      <w:r>
        <w:t>10</w:t>
      </w:r>
      <w:r w:rsidRPr="00A04E3A">
        <w:t xml:space="preserve"> articles of acceptable data quality to be used in calculation of aquatic life values for </w:t>
      </w:r>
      <w:r>
        <w:t>thiamethoxam</w:t>
      </w:r>
      <w:r w:rsidRPr="00A04E3A">
        <w:t xml:space="preserve">. These articles were classed as type 1 (accept without reservations) or type 2 (accept with reservations). Table 1 includes a list of the acceptable studies and information on any reservations. The articles that were reviewed in full and rejected were grouped into several ‘rejection’ classes as described in Table 2. </w:t>
      </w:r>
    </w:p>
    <w:p w14:paraId="3E0A98A7" w14:textId="77777777" w:rsidR="006028FA" w:rsidRDefault="006028FA" w:rsidP="006028FA"/>
    <w:p w14:paraId="378F0686" w14:textId="77777777" w:rsidR="006028FA" w:rsidRPr="00FF0BA5" w:rsidRDefault="006028FA" w:rsidP="006028FA">
      <w:pPr>
        <w:rPr>
          <w:b/>
          <w:bCs/>
        </w:rPr>
      </w:pPr>
      <w:r w:rsidRPr="00FF0BA5">
        <w:rPr>
          <w:b/>
          <w:bCs/>
        </w:rPr>
        <w:t xml:space="preserve">Aquatic Life </w:t>
      </w:r>
      <w:r>
        <w:rPr>
          <w:b/>
          <w:bCs/>
        </w:rPr>
        <w:t>Values</w:t>
      </w:r>
    </w:p>
    <w:p w14:paraId="04FA23F1" w14:textId="77777777" w:rsidR="006028FA" w:rsidRPr="000900A6" w:rsidRDefault="006028FA" w:rsidP="006028FA">
      <w:r w:rsidRPr="003E6FF2">
        <w:t xml:space="preserve">Tier II aquatic life values were </w:t>
      </w:r>
      <w:r w:rsidRPr="00C24743">
        <w:t xml:space="preserve">developed for thiamethoxam. Data lacking for development of Tier I values </w:t>
      </w:r>
      <w:r w:rsidRPr="00C24743">
        <w:rPr>
          <w:shd w:val="clear" w:color="auto" w:fill="FFFFFF" w:themeFill="background1"/>
        </w:rPr>
        <w:t xml:space="preserve">included an acceptable salmonid fish and third chordate studies for acute and chronic endpoints. The tier II final acute value (FAV) is 1.06 </w:t>
      </w:r>
      <w:r w:rsidRPr="00C24743">
        <w:rPr>
          <w:rFonts w:cstheme="minorHAnsi"/>
          <w:shd w:val="clear" w:color="auto" w:fill="FFFFFF" w:themeFill="background1"/>
        </w:rPr>
        <w:t>µ</w:t>
      </w:r>
      <w:r w:rsidRPr="00C24743">
        <w:rPr>
          <w:shd w:val="clear" w:color="auto" w:fill="FFFFFF" w:themeFill="background1"/>
        </w:rPr>
        <w:t xml:space="preserve">g/L and the acute maximum value (AMV) is 0.53 </w:t>
      </w:r>
      <w:r w:rsidRPr="00C24743">
        <w:rPr>
          <w:rFonts w:cstheme="minorHAnsi"/>
          <w:shd w:val="clear" w:color="auto" w:fill="FFFFFF" w:themeFill="background1"/>
        </w:rPr>
        <w:t>µ</w:t>
      </w:r>
      <w:r w:rsidRPr="00C24743">
        <w:rPr>
          <w:shd w:val="clear" w:color="auto" w:fill="FFFFFF" w:themeFill="background1"/>
        </w:rPr>
        <w:t xml:space="preserve">g/L. The tier II FCV is 0.28 </w:t>
      </w:r>
      <w:r w:rsidRPr="00C24743">
        <w:rPr>
          <w:rFonts w:cstheme="minorHAnsi"/>
          <w:shd w:val="clear" w:color="auto" w:fill="FFFFFF" w:themeFill="background1"/>
        </w:rPr>
        <w:t>µ</w:t>
      </w:r>
      <w:r w:rsidRPr="00C24743">
        <w:rPr>
          <w:shd w:val="clear" w:color="auto" w:fill="FFFFFF" w:themeFill="background1"/>
        </w:rPr>
        <w:t>g/L.</w:t>
      </w:r>
      <w:r>
        <w:t xml:space="preserve"> </w:t>
      </w:r>
    </w:p>
    <w:p w14:paraId="0B417F30" w14:textId="77777777" w:rsidR="006028FA" w:rsidRPr="00D320BA" w:rsidRDefault="006028FA" w:rsidP="006028FA"/>
    <w:p w14:paraId="6AB91579" w14:textId="77777777" w:rsidR="006028FA" w:rsidRDefault="006028FA" w:rsidP="006028FA">
      <w:r>
        <w:br w:type="page"/>
      </w:r>
    </w:p>
    <w:p w14:paraId="5979B645" w14:textId="77777777" w:rsidR="006028FA" w:rsidRDefault="006028FA" w:rsidP="006028FA">
      <w:r>
        <w:lastRenderedPageBreak/>
        <w:t>Table 1. Acceptable studies included in aquatic life value calculations (WQ = water quality).</w:t>
      </w:r>
    </w:p>
    <w:tbl>
      <w:tblPr>
        <w:tblStyle w:val="GridTable6Colorful"/>
        <w:tblW w:w="9535" w:type="dxa"/>
        <w:tblLook w:val="04A0" w:firstRow="1" w:lastRow="0" w:firstColumn="1" w:lastColumn="0" w:noHBand="0" w:noVBand="1"/>
      </w:tblPr>
      <w:tblGrid>
        <w:gridCol w:w="3235"/>
        <w:gridCol w:w="1170"/>
        <w:gridCol w:w="5130"/>
      </w:tblGrid>
      <w:tr w:rsidR="006028FA" w:rsidRPr="008B21A0" w14:paraId="07D16EB5" w14:textId="77777777" w:rsidTr="00FF13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2D5263D0" w14:textId="77777777" w:rsidR="006028FA" w:rsidRPr="008B21A0" w:rsidRDefault="006028FA" w:rsidP="00FF13D1">
            <w:r w:rsidRPr="008B21A0">
              <w:t>Reference</w:t>
            </w:r>
          </w:p>
        </w:tc>
        <w:tc>
          <w:tcPr>
            <w:tcW w:w="1170" w:type="dxa"/>
          </w:tcPr>
          <w:p w14:paraId="4CCBE7DF" w14:textId="77777777" w:rsidR="006028FA" w:rsidRPr="008B21A0" w:rsidRDefault="006028FA" w:rsidP="00FF13D1">
            <w:pPr>
              <w:cnfStyle w:val="100000000000" w:firstRow="1" w:lastRow="0" w:firstColumn="0" w:lastColumn="0" w:oddVBand="0" w:evenVBand="0" w:oddHBand="0" w:evenHBand="0" w:firstRowFirstColumn="0" w:firstRowLastColumn="0" w:lastRowFirstColumn="0" w:lastRowLastColumn="0"/>
            </w:pPr>
            <w:r w:rsidRPr="008B21A0">
              <w:t>Type?</w:t>
            </w:r>
          </w:p>
        </w:tc>
        <w:tc>
          <w:tcPr>
            <w:tcW w:w="5130" w:type="dxa"/>
          </w:tcPr>
          <w:p w14:paraId="458B3086" w14:textId="77777777" w:rsidR="006028FA" w:rsidRPr="008B21A0" w:rsidRDefault="006028FA" w:rsidP="00FF13D1">
            <w:pPr>
              <w:cnfStyle w:val="100000000000" w:firstRow="1" w:lastRow="0" w:firstColumn="0" w:lastColumn="0" w:oddVBand="0" w:evenVBand="0" w:oddHBand="0" w:evenHBand="0" w:firstRowFirstColumn="0" w:firstRowLastColumn="0" w:lastRowFirstColumn="0" w:lastRowLastColumn="0"/>
            </w:pPr>
            <w:r w:rsidRPr="008B21A0">
              <w:t>Reservations (if any)</w:t>
            </w:r>
          </w:p>
        </w:tc>
      </w:tr>
      <w:tr w:rsidR="006028FA" w14:paraId="621FB3FB"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0890CA0F" w14:textId="77777777" w:rsidR="006028FA" w:rsidRDefault="006028FA" w:rsidP="00FF13D1">
            <w:pPr>
              <w:rPr>
                <w:b w:val="0"/>
                <w:bCs w:val="0"/>
              </w:rPr>
            </w:pPr>
            <w:r>
              <w:fldChar w:fldCharType="begin" w:fldLock="1"/>
            </w:r>
            <w:r>
              <w:rPr>
                <w:b w:val="0"/>
                <w:bCs w:val="0"/>
              </w:rPr>
              <w:instrText>ADDIN CSL_CITATION {"citationItems":[{"id":"ITEM-1","itemData":{"DOI":"10.1002/ps.1817","ISSN":"1526498X","PMID":"19623546","abstract":"Background: Most insecticides used to control rice water weevil (Lissorhoptrus oryzophilus Kuscel) infestations are pyrethroids. However, pyrethroids are highly toxic to non-target crayfish associated with rice-crayfish crop rotations. One solution to the near-exclusive reliance on pyrethroids in a rice-crayfish pest management program is to incorporate neonicotinoid insecticides, which are insect specific and effective against weevils but not extremely toxic to crayfish. This study aimed to take the first step to assess neonicotinoids as alternatives to pyrethroids in rice-crayfish crop rotations by measuring the acute toxicities of three candidate neonicotinoid insecticides, clothianidin, dinotefuran and thiamethoxam, to juvenile Procambarus clarkii (Girard) crayfish and comparing them with the acute toxicities of two currently used pyrethroid insecticides, lambda-cyhalothrin and etofenprox. Results: Neonicotinoid insecticides are at least 2-3 orders of magnitude less acutely toxic (96 h LC50) than pyrethroids to juvenile Procambarid crayfish: lambda-cyhalothrin (0.16 μg AI L-1) = etofenprox (0.29 μg AI L-1) clothianidin (59 μg AI L-1) &gt; thiamethoxam (967 μg AI L-1) &gt; dinotefuran (2032 μg AI L-1). Conclusion: Neonicotinoid insecticides appear to be much less hazardous alternatives to pyrethroids in rice-crayfish crop rotations. Further field-level neonicotinoid acute and chronic toxicity testing with crayfish is needed. © 2009 Society of Chemical Industry.","author":[{"dropping-particle":"","family":"Barbee","given":"Gary C.","non-dropping-particle":"","parse-names":false,"suffix":""},{"dropping-particle":"","family":"Stout","given":"Michael J.","non-dropping-particle":"","parse-names":false,"suffix":""}],"container-title":"Pest Management Science","id":"ITEM-1","issue":"11","issued":{"date-parts":[["2009"]]},"note":"Accept with reservations. They were field collected specimens - also an invasive crayfish. LC50 (survival) = 59 ug/L. appears they used unmeasured concentrations...","page":"1250-1256","title":"Comparative acute toxicity of neonicotinoid and pyrethroid insecticides to non-target crayfish (Procambarus clarkii) associated with rice-crayfish crop rotations","type":"article-journal","volume":"65"},"uris":["http://www.mendeley.com/documents/?uuid=0b5bea5e-6229-4b8d-9f47-cf8ecb65fb92"]}],"mendeley":{"formattedCitation":"(Barbee and Stout, 2009)","plainTextFormattedCitation":"(Barbee and Stout, 2009)","previouslyFormattedCitation":"(Barbee and Stout, 2009)"},"properties":{"noteIndex":0},"schema":"https://github.com/citation-style-language/schema/raw/master/csl-citation.json"}</w:instrText>
            </w:r>
            <w:r>
              <w:fldChar w:fldCharType="separate"/>
            </w:r>
            <w:r w:rsidRPr="00064306">
              <w:rPr>
                <w:b w:val="0"/>
                <w:bCs w:val="0"/>
                <w:noProof/>
              </w:rPr>
              <w:t>(Barbee and Stout, 2009)</w:t>
            </w:r>
            <w:r>
              <w:fldChar w:fldCharType="end"/>
            </w:r>
          </w:p>
        </w:tc>
        <w:tc>
          <w:tcPr>
            <w:tcW w:w="1170" w:type="dxa"/>
          </w:tcPr>
          <w:p w14:paraId="35A44CAF" w14:textId="77777777" w:rsidR="006028FA" w:rsidRDefault="006028FA" w:rsidP="00FF13D1">
            <w:pPr>
              <w:cnfStyle w:val="000000100000" w:firstRow="0" w:lastRow="0" w:firstColumn="0" w:lastColumn="0" w:oddVBand="0" w:evenVBand="0" w:oddHBand="1" w:evenHBand="0" w:firstRowFirstColumn="0" w:firstRowLastColumn="0" w:lastRowFirstColumn="0" w:lastRowLastColumn="0"/>
            </w:pPr>
            <w:r>
              <w:t>Acute</w:t>
            </w:r>
          </w:p>
        </w:tc>
        <w:tc>
          <w:tcPr>
            <w:tcW w:w="5130" w:type="dxa"/>
          </w:tcPr>
          <w:p w14:paraId="7B1EA7FE" w14:textId="77777777" w:rsidR="006028FA" w:rsidRPr="008B21A0" w:rsidRDefault="006028FA" w:rsidP="00FF13D1">
            <w:pPr>
              <w:cnfStyle w:val="000000100000" w:firstRow="0" w:lastRow="0" w:firstColumn="0" w:lastColumn="0" w:oddVBand="0" w:evenVBand="0" w:oddHBand="1" w:evenHBand="0" w:firstRowFirstColumn="0" w:firstRowLastColumn="0" w:lastRowFirstColumn="0" w:lastRowLastColumn="0"/>
            </w:pPr>
            <w:r>
              <w:t>Sublethal aggression during test, but not observed in control so appropriates to chemical effect</w:t>
            </w:r>
          </w:p>
        </w:tc>
      </w:tr>
      <w:tr w:rsidR="006028FA" w14:paraId="0968626C" w14:textId="77777777" w:rsidTr="00FF13D1">
        <w:tc>
          <w:tcPr>
            <w:cnfStyle w:val="001000000000" w:firstRow="0" w:lastRow="0" w:firstColumn="1" w:lastColumn="0" w:oddVBand="0" w:evenVBand="0" w:oddHBand="0" w:evenHBand="0" w:firstRowFirstColumn="0" w:firstRowLastColumn="0" w:lastRowFirstColumn="0" w:lastRowLastColumn="0"/>
            <w:tcW w:w="3235" w:type="dxa"/>
          </w:tcPr>
          <w:p w14:paraId="754895FF" w14:textId="77777777" w:rsidR="006028FA" w:rsidRPr="008B21A0" w:rsidRDefault="006028FA" w:rsidP="00FF13D1">
            <w:pPr>
              <w:rPr>
                <w:b w:val="0"/>
                <w:bCs w:val="0"/>
              </w:rPr>
            </w:pPr>
            <w:r>
              <w:fldChar w:fldCharType="begin" w:fldLock="1"/>
            </w:r>
            <w:r>
              <w:rPr>
                <w:b w:val="0"/>
                <w:bCs w:val="0"/>
              </w:rPr>
              <w:instrText>ADDIN CSL_CITATION {"citationItems":[{"id":"ITEM-1","itemData":{"author":[{"dropping-particle":"","family":"Drottat","given":"Kurt R","non-dropping-particle":"","parse-names":false,"suffix":""},{"dropping-particle":"","family":"Swigert","given":"James P","non-dropping-particle":"","parse-names":false,"suffix":""}],"id":"ITEM-1","issued":{"date-parts":[["1996"]]},"note":"Accept, LC50 &amp;gt;114 mg/L\nno reservations.\n\nSame data as Finnegan study","title":"CGA-293343: A 96-Hour Flow-Through Acute Toxicity Test with the Bluegill (Lepomis macrochirus)","type":"report","volume":"EPA MRID 4"},"uris":["http://www.mendeley.com/documents/?uuid=eba344a3-43a7-455f-9455-5a776b73e585"]}],"mendeley":{"formattedCitation":"(Drottat and Swigert, 1996)","plainTextFormattedCitation":"(Drottat and Swigert, 1996)","previouslyFormattedCitation":"(Drottat and Swigert, 1996)"},"properties":{"noteIndex":0},"schema":"https://github.com/citation-style-language/schema/raw/master/csl-citation.json"}</w:instrText>
            </w:r>
            <w:r>
              <w:fldChar w:fldCharType="separate"/>
            </w:r>
            <w:r w:rsidRPr="00CB3DC6">
              <w:rPr>
                <w:b w:val="0"/>
                <w:bCs w:val="0"/>
                <w:noProof/>
              </w:rPr>
              <w:t>(Drottat and Swigert, 1996)</w:t>
            </w:r>
            <w:r>
              <w:fldChar w:fldCharType="end"/>
            </w:r>
          </w:p>
        </w:tc>
        <w:tc>
          <w:tcPr>
            <w:tcW w:w="1170" w:type="dxa"/>
          </w:tcPr>
          <w:p w14:paraId="7CAF5477" w14:textId="77777777" w:rsidR="006028FA" w:rsidRPr="008B21A0" w:rsidRDefault="006028FA" w:rsidP="00FF13D1">
            <w:pPr>
              <w:cnfStyle w:val="000000000000" w:firstRow="0" w:lastRow="0" w:firstColumn="0" w:lastColumn="0" w:oddVBand="0" w:evenVBand="0" w:oddHBand="0" w:evenHBand="0" w:firstRowFirstColumn="0" w:firstRowLastColumn="0" w:lastRowFirstColumn="0" w:lastRowLastColumn="0"/>
            </w:pPr>
            <w:r>
              <w:t>Acute</w:t>
            </w:r>
          </w:p>
        </w:tc>
        <w:tc>
          <w:tcPr>
            <w:tcW w:w="5130" w:type="dxa"/>
          </w:tcPr>
          <w:p w14:paraId="6D484ABF" w14:textId="77777777" w:rsidR="006028FA" w:rsidRPr="008B21A0" w:rsidRDefault="006028FA" w:rsidP="00FF13D1">
            <w:pPr>
              <w:cnfStyle w:val="000000000000" w:firstRow="0" w:lastRow="0" w:firstColumn="0" w:lastColumn="0" w:oddVBand="0" w:evenVBand="0" w:oddHBand="0" w:evenHBand="0" w:firstRowFirstColumn="0" w:firstRowLastColumn="0" w:lastRowFirstColumn="0" w:lastRowLastColumn="0"/>
            </w:pPr>
          </w:p>
        </w:tc>
      </w:tr>
      <w:tr w:rsidR="006028FA" w14:paraId="0807C34F"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04948568" w14:textId="77777777" w:rsidR="006028FA" w:rsidRPr="008B21A0" w:rsidRDefault="006028FA" w:rsidP="00FF13D1">
            <w:pPr>
              <w:rPr>
                <w:b w:val="0"/>
                <w:bCs w:val="0"/>
              </w:rPr>
            </w:pPr>
            <w:r>
              <w:fldChar w:fldCharType="begin" w:fldLock="1"/>
            </w:r>
            <w:r>
              <w:rPr>
                <w:b w:val="0"/>
                <w:bCs w:val="0"/>
              </w:rPr>
              <w:instrText>ADDIN CSL_CITATION {"citationItems":[{"id":"ITEM-1","itemData":{"DOI":"10.1002/etc.3846","ISSN":"15528618","PMID":"28493485","abstract":"Thiamethoxam is a neonicotinoid insecticide used widely in agriculture to control a broad spectrum of chewing and sucking insect pests. Recent detection of thiamethoxam in surface waters has raised interest in characterizing the potential impacts of this insecticide to aquatic organisms. We report the results of toxicity testing (acute and chronic) conducted under good laboratory practices for more than 30 freshwater species (insects, molluscs, crustaceans, algae, macrophytes, and fish) and 4 marine species (an alga, a mollusc, a crustacean, and a fish). As would be anticipated for a neonicotinoid, aquatic primary producers and fish were the least sensitive organisms tested, with acute median lethal and effect concentrations (LC50/EC50) observed to be ≥80 mg/L in all cases, which far exceeds surface water exposure concentrations. Tested molluscs, worms, and rotifers were similarly insensitive (EC50 ≥ 100 mg/L), except for Lumbriculus sp., with an EC50 of 7.7 mg/L. In general, insects were the most sensitive group in the study, with most acute EC50 values &lt; 1 mg/L. However, the crustaceans Asellus aquaticus and Ostracoda exhibited a sensitivity similar to that of insects (acute EC50 &lt; 1 mg/L), and the midge larvae Chaoborus sp. were relatively insensitive compared with other insects (EC50 &gt; 5.5 mg/L). The most sensitive chronic response was for Chironomus riparius, with a 30-d no-observed-effect concentration (NOEC; emergence) of 0.01 mg/L. Observed toxicity to the tested marine organisms was comparable to that of freshwater species. We used the reported data to construct species sensitivity distributions for thiamethoxam, to calculate 5% hazard concentrations (HC5s) for acute data (freshwater invertebrates), and compared these with measured concentrations from relevant North American surface waters. Overall, based on acute toxicity endpoints, the potential acute risk to freshwater organisms was found to be minimal (likelihood of exceeding HC5s &lt; 1%). Environ Toxicol Chem 2017;36:2838–2848. © 2017 The Authors. Environmental Toxicology and Chemistry published by Wiley Periodicals, Inc. on behalf of SETAC.","author":[{"dropping-particle":"","family":"Finnegan","given":"Meaghean C.","non-dropping-particle":"","parse-names":false,"suffix":""},{"dropping-particle":"","family":"Baxter","given":"Leilan R.","non-dropping-particle":"","parse-names":false,"suffix":""},{"dropping-particle":"","family":"Maul","given":"Jonathan D.","non-dropping-particle":"","parse-names":false,"suffix":""},{"dropping-particle":"","family":"Hanson","given":"Mark L.","non-dropping-particle":"","parse-names":false,"suffix":""},{"dropping-particle":"","family":"Hoekstra","given":"Paul F.","non-dropping-particle":"","parse-names":false,"suffix":""}],"container-title":"Environmental Toxicology and Chemistry","id":"ITEM-1","issue":"10","issued":{"date-parts":[["2017"]]},"note":"Accept. with reservations - test specific\n\nNot all species and tests meet R57 requirements - need to read through in more depth and look at supplement also.","page":"2838-2848","title":"Comprehensive characterization of the acute and chronic toxicity of the neonicotinoid insecticide thiamethoxam to a suite of aquatic primary producers, invertebrates, and fish","type":"article-journal","volume":"36"},"uris":["http://www.mendeley.com/documents/?uuid=d1bed68d-27e3-419f-8a0f-5542f57e5e58"]}],"mendeley":{"formattedCitation":"(Finnegan et al., 2017)","plainTextFormattedCitation":"(Finnegan et al., 2017)","previouslyFormattedCitation":"(Finnegan et al., 2017)"},"properties":{"noteIndex":0},"schema":"https://github.com/citation-style-language/schema/raw/master/csl-citation.json"}</w:instrText>
            </w:r>
            <w:r>
              <w:fldChar w:fldCharType="separate"/>
            </w:r>
            <w:r w:rsidRPr="00CB3DC6">
              <w:rPr>
                <w:b w:val="0"/>
                <w:bCs w:val="0"/>
                <w:noProof/>
              </w:rPr>
              <w:t>(Finnegan et al., 2017)</w:t>
            </w:r>
            <w:r>
              <w:fldChar w:fldCharType="end"/>
            </w:r>
          </w:p>
        </w:tc>
        <w:tc>
          <w:tcPr>
            <w:tcW w:w="1170" w:type="dxa"/>
          </w:tcPr>
          <w:p w14:paraId="50CE94C9" w14:textId="77777777" w:rsidR="006028FA" w:rsidRPr="008B21A0" w:rsidRDefault="006028FA" w:rsidP="00FF13D1">
            <w:pPr>
              <w:cnfStyle w:val="000000100000" w:firstRow="0" w:lastRow="0" w:firstColumn="0" w:lastColumn="0" w:oddVBand="0" w:evenVBand="0" w:oddHBand="1" w:evenHBand="0" w:firstRowFirstColumn="0" w:firstRowLastColumn="0" w:lastRowFirstColumn="0" w:lastRowLastColumn="0"/>
            </w:pPr>
            <w:r>
              <w:t>Acute &amp; Chronic</w:t>
            </w:r>
          </w:p>
        </w:tc>
        <w:tc>
          <w:tcPr>
            <w:tcW w:w="5130" w:type="dxa"/>
          </w:tcPr>
          <w:p w14:paraId="202ED117" w14:textId="77777777" w:rsidR="006028FA" w:rsidRDefault="006028FA" w:rsidP="00FF13D1">
            <w:pPr>
              <w:cnfStyle w:val="000000100000" w:firstRow="0" w:lastRow="0" w:firstColumn="0" w:lastColumn="0" w:oddVBand="0" w:evenVBand="0" w:oddHBand="1" w:evenHBand="0" w:firstRowFirstColumn="0" w:firstRowLastColumn="0" w:lastRowFirstColumn="0" w:lastRowLastColumn="0"/>
            </w:pPr>
            <w:r>
              <w:t>Not all species met R57 requirements. For species included in WQ calculations from this study, reservations were:</w:t>
            </w:r>
          </w:p>
          <w:p w14:paraId="3F1832AD" w14:textId="77777777" w:rsidR="006028FA" w:rsidRDefault="006028FA" w:rsidP="00FF13D1">
            <w:pPr>
              <w:pStyle w:val="ListParagraph"/>
              <w:numPr>
                <w:ilvl w:val="0"/>
                <w:numId w:val="8"/>
              </w:numPr>
              <w:cnfStyle w:val="000000100000" w:firstRow="0" w:lastRow="0" w:firstColumn="0" w:lastColumn="0" w:oddVBand="0" w:evenVBand="0" w:oddHBand="1" w:evenHBand="0" w:firstRowFirstColumn="0" w:firstRowLastColumn="0" w:lastRowFirstColumn="0" w:lastRowLastColumn="0"/>
            </w:pPr>
            <w:r w:rsidRPr="003C6FCE">
              <w:rPr>
                <w:i/>
                <w:iCs/>
              </w:rPr>
              <w:t xml:space="preserve">C. </w:t>
            </w:r>
            <w:proofErr w:type="spellStart"/>
            <w:r w:rsidRPr="003C6FCE">
              <w:rPr>
                <w:i/>
                <w:iCs/>
              </w:rPr>
              <w:t>riparius</w:t>
            </w:r>
            <w:proofErr w:type="spellEnd"/>
            <w:r>
              <w:t xml:space="preserve"> – R57 prefer 96-hr test to 48-hr; life stage not reported</w:t>
            </w:r>
          </w:p>
          <w:p w14:paraId="1E5CF017" w14:textId="77777777" w:rsidR="006028FA" w:rsidRDefault="006028FA" w:rsidP="00FF13D1">
            <w:pPr>
              <w:pStyle w:val="ListParagraph"/>
              <w:numPr>
                <w:ilvl w:val="0"/>
                <w:numId w:val="8"/>
              </w:numPr>
              <w:cnfStyle w:val="000000100000" w:firstRow="0" w:lastRow="0" w:firstColumn="0" w:lastColumn="0" w:oddVBand="0" w:evenVBand="0" w:oddHBand="1" w:evenHBand="0" w:firstRowFirstColumn="0" w:firstRowLastColumn="0" w:lastRowFirstColumn="0" w:lastRowLastColumn="0"/>
            </w:pPr>
            <w:r w:rsidRPr="003C6FCE">
              <w:rPr>
                <w:i/>
                <w:iCs/>
              </w:rPr>
              <w:t>Ostracoda</w:t>
            </w:r>
            <w:r>
              <w:t xml:space="preserve"> – R57 prefer 96-hr test to 48-hr; life stage not reported</w:t>
            </w:r>
          </w:p>
          <w:p w14:paraId="6E7362A4" w14:textId="77777777" w:rsidR="006028FA" w:rsidRDefault="006028FA" w:rsidP="00FF13D1">
            <w:pPr>
              <w:pStyle w:val="ListParagraph"/>
              <w:numPr>
                <w:ilvl w:val="0"/>
                <w:numId w:val="8"/>
              </w:numPr>
              <w:cnfStyle w:val="000000100000" w:firstRow="0" w:lastRow="0" w:firstColumn="0" w:lastColumn="0" w:oddVBand="0" w:evenVBand="0" w:oddHBand="1" w:evenHBand="0" w:firstRowFirstColumn="0" w:firstRowLastColumn="0" w:lastRowFirstColumn="0" w:lastRowLastColumn="0"/>
            </w:pPr>
            <w:proofErr w:type="spellStart"/>
            <w:r>
              <w:rPr>
                <w:i/>
                <w:iCs/>
              </w:rPr>
              <w:t>Chaoborus</w:t>
            </w:r>
            <w:proofErr w:type="spellEnd"/>
            <w:r>
              <w:rPr>
                <w:i/>
                <w:iCs/>
              </w:rPr>
              <w:t xml:space="preserve"> sp. </w:t>
            </w:r>
            <w:r>
              <w:t>– life stage not reported</w:t>
            </w:r>
          </w:p>
          <w:p w14:paraId="5B9C27EF" w14:textId="77777777" w:rsidR="006028FA" w:rsidRDefault="006028FA" w:rsidP="00FF13D1">
            <w:pPr>
              <w:pStyle w:val="ListParagraph"/>
              <w:numPr>
                <w:ilvl w:val="0"/>
                <w:numId w:val="8"/>
              </w:numPr>
              <w:cnfStyle w:val="000000100000" w:firstRow="0" w:lastRow="0" w:firstColumn="0" w:lastColumn="0" w:oddVBand="0" w:evenVBand="0" w:oddHBand="1" w:evenHBand="0" w:firstRowFirstColumn="0" w:firstRowLastColumn="0" w:lastRowFirstColumn="0" w:lastRowLastColumn="0"/>
            </w:pPr>
            <w:r w:rsidRPr="00150C9E">
              <w:rPr>
                <w:i/>
                <w:iCs/>
              </w:rPr>
              <w:t xml:space="preserve">C. </w:t>
            </w:r>
            <w:proofErr w:type="spellStart"/>
            <w:r w:rsidRPr="00150C9E">
              <w:rPr>
                <w:i/>
                <w:iCs/>
              </w:rPr>
              <w:t>cristallinus</w:t>
            </w:r>
            <w:proofErr w:type="spellEnd"/>
            <w:r>
              <w:t xml:space="preserve"> – only one replicate per treatment</w:t>
            </w:r>
          </w:p>
          <w:p w14:paraId="10B4ED7E" w14:textId="77777777" w:rsidR="006028FA" w:rsidRPr="00B6309D" w:rsidRDefault="006028FA" w:rsidP="00FF13D1">
            <w:pPr>
              <w:pStyle w:val="ListParagraph"/>
              <w:numPr>
                <w:ilvl w:val="0"/>
                <w:numId w:val="8"/>
              </w:numPr>
              <w:cnfStyle w:val="000000100000" w:firstRow="0" w:lastRow="0" w:firstColumn="0" w:lastColumn="0" w:oddVBand="0" w:evenVBand="0" w:oddHBand="1" w:evenHBand="0" w:firstRowFirstColumn="0" w:firstRowLastColumn="0" w:lastRowFirstColumn="0" w:lastRowLastColumn="0"/>
            </w:pPr>
            <w:r>
              <w:rPr>
                <w:i/>
                <w:iCs/>
              </w:rPr>
              <w:t>B</w:t>
            </w:r>
            <w:r w:rsidRPr="00F6261F">
              <w:t>.</w:t>
            </w:r>
            <w:r>
              <w:t xml:space="preserve"> </w:t>
            </w:r>
            <w:proofErr w:type="spellStart"/>
            <w:r>
              <w:t>calyciflorus</w:t>
            </w:r>
            <w:proofErr w:type="spellEnd"/>
            <w:r>
              <w:t xml:space="preserve"> – rotifer test done pursuant to EPA standards (24-hr test); however, R57 states preference for 96-hr test</w:t>
            </w:r>
          </w:p>
        </w:tc>
      </w:tr>
      <w:tr w:rsidR="006028FA" w14:paraId="7441B7A2" w14:textId="77777777" w:rsidTr="00FF13D1">
        <w:tc>
          <w:tcPr>
            <w:cnfStyle w:val="001000000000" w:firstRow="0" w:lastRow="0" w:firstColumn="1" w:lastColumn="0" w:oddVBand="0" w:evenVBand="0" w:oddHBand="0" w:evenHBand="0" w:firstRowFirstColumn="0" w:firstRowLastColumn="0" w:lastRowFirstColumn="0" w:lastRowLastColumn="0"/>
            <w:tcW w:w="3235" w:type="dxa"/>
          </w:tcPr>
          <w:p w14:paraId="2CDC5A95" w14:textId="77777777" w:rsidR="006028FA" w:rsidRPr="008B21A0" w:rsidRDefault="006028FA" w:rsidP="00FF13D1">
            <w:pPr>
              <w:rPr>
                <w:b w:val="0"/>
                <w:bCs w:val="0"/>
              </w:rPr>
            </w:pPr>
            <w:r>
              <w:fldChar w:fldCharType="begin" w:fldLock="1"/>
            </w:r>
            <w:r>
              <w:rPr>
                <w:b w:val="0"/>
                <w:bCs w:val="0"/>
              </w:rPr>
              <w:instrText>ADDIN CSL_CITATION {"citationItems":[{"id":"ITEM-1","itemData":{"DOI":"10.1002/etc.3878","ISSN":"15528618","PMID":"28636110","abstract":"Extensive agricultural use of neonicotinoid insecticide products has resulted in the presence of neonicotinoid mixtures in surface waters worldwide. Although many aquatic insect species are known to be sensitive to neonicotinoids, the impact of neonicotinoid mixtures is poorly understood. In the present study, the cumulative toxicities of binary and ternary mixtures of select neonicotinoids (imidacloprid, clothianidin, and thiamethoxam) were characterized under acute (96-h) exposure scenarios using the larval midge Chironomus dilutus as a representative aquatic insect species. Using the MIXTOX approach, predictive parametric models were fitted and statistically compared with observed toxicity in subsequent mixture tests. Single-compound toxicity tests yielded median lethal concentration (LC50) values of 4.63, 5.93, and 55.34 μg/L for imidacloprid, clothianidin, and thiamethoxam, respectively. Because of the similar modes of action of neonicotinoids, concentration-additive cumulative mixture toxicity was the predicted model. However, we found that imidacloprid–clothianidin mixtures demonstrated response-additive dose-level–dependent synergism, clothianidin–thiamethoxam mixtures demonstrated concentration-additive synergism, and imidacloprid–thiamethoxam mixtures demonstrated response-additive dose-ratio–dependent synergism, with toxicity shifting from antagonism to synergism as the relative concentration of thiamethoxam increased. Imidacloprid–clothianidin–thiamethoxam ternary mixtures demonstrated response-additive synergism. These results indicate that, under acute exposure scenarios, the toxicity of neonicotinoid mixtures to C. dilutus cannot be predicted using the common assumption of additive joint activity. Indeed, the overarching trend of synergistic deviation emphasizes the need for further research into the ecotoxicological effects of neonicotinoid insecticide mixtures in field settings, the development of better toxicity models for neonicotinoid mixture exposures, and the consideration of mixture effects when setting water quality guidelines for this class of pesticides. Environ Toxicol Chem 2017;36:3091–3101. © 2017 SETAC.","author":[{"dropping-particle":"","family":"Maloney","given":"Erin M.","non-dropping-particle":"","parse-names":false,"suffix":""},{"dropping-particle":"","family":"Morrissey","given":"Christy A.","non-dropping-particle":"","parse-names":false,"suffix":""},{"dropping-particle":"V.","family":"Headley","given":"John","non-dropping-particle":"","parse-names":false,"suffix":""},{"dropping-particle":"","family":"Peru","given":"Kerry M.","non-dropping-particle":"","parse-names":false,"suffix":""},{"dropping-particle":"","family":"Liber","given":"Karsten","non-dropping-particle":"","parse-names":false,"suffix":""}],"container-title":"Environmental Toxicology and Chemistry","id":"ITEM-1","issue":"11","issued":{"date-parts":[["2017"]]},"note":"Accept with res - chironomids were fed :(. \n\nIncludes acute LC50 for imidacloprid, clothianidin, and thiamethoxam\n\nPassed initial screen - double check methods highlighted in pink\n\nLC50 = 4.63 ug/L for IMI\nLC50 = 5.93 ug/L for CLO\nLC50 = 55.34 ug/L for THIA\n\nThis paper has info on synergistic (as opposed to additive) toxicity","page":"3091-3101","title":"Cumulative toxicity of neonicotinoid insecticide mixtures to Chironomus dilutus under acute exposure scenarios","type":"article-journal","volume":"36"},"uris":["http://www.mendeley.com/documents/?uuid=5791fe5f-5180-4776-aa4f-fa97fdb3ccca"]}],"mendeley":{"formattedCitation":"(Maloney et al., 2017)","plainTextFormattedCitation":"(Maloney et al., 2017)","previouslyFormattedCitation":"(Maloney et al., 2017)"},"properties":{"noteIndex":0},"schema":"https://github.com/citation-style-language/schema/raw/master/csl-citation.json"}</w:instrText>
            </w:r>
            <w:r>
              <w:fldChar w:fldCharType="separate"/>
            </w:r>
            <w:r w:rsidRPr="00CB3DC6">
              <w:rPr>
                <w:b w:val="0"/>
                <w:bCs w:val="0"/>
                <w:noProof/>
              </w:rPr>
              <w:t>(Maloney et al., 2017)</w:t>
            </w:r>
            <w:r>
              <w:fldChar w:fldCharType="end"/>
            </w:r>
          </w:p>
        </w:tc>
        <w:tc>
          <w:tcPr>
            <w:tcW w:w="1170" w:type="dxa"/>
          </w:tcPr>
          <w:p w14:paraId="1C8BD867" w14:textId="77777777" w:rsidR="006028FA" w:rsidRPr="008B21A0" w:rsidRDefault="006028FA" w:rsidP="00FF13D1">
            <w:pPr>
              <w:cnfStyle w:val="000000000000" w:firstRow="0" w:lastRow="0" w:firstColumn="0" w:lastColumn="0" w:oddVBand="0" w:evenVBand="0" w:oddHBand="0" w:evenHBand="0" w:firstRowFirstColumn="0" w:firstRowLastColumn="0" w:lastRowFirstColumn="0" w:lastRowLastColumn="0"/>
            </w:pPr>
            <w:r>
              <w:t>Acute</w:t>
            </w:r>
          </w:p>
        </w:tc>
        <w:tc>
          <w:tcPr>
            <w:tcW w:w="5130" w:type="dxa"/>
          </w:tcPr>
          <w:p w14:paraId="3BF9ABD4" w14:textId="77777777" w:rsidR="006028FA" w:rsidRPr="008B21A0" w:rsidRDefault="006028FA" w:rsidP="00FF13D1">
            <w:pPr>
              <w:cnfStyle w:val="000000000000" w:firstRow="0" w:lastRow="0" w:firstColumn="0" w:lastColumn="0" w:oddVBand="0" w:evenVBand="0" w:oddHBand="0" w:evenHBand="0" w:firstRowFirstColumn="0" w:firstRowLastColumn="0" w:lastRowFirstColumn="0" w:lastRowLastColumn="0"/>
            </w:pPr>
            <w:r w:rsidRPr="002251BC">
              <w:rPr>
                <w:i/>
                <w:iCs/>
              </w:rPr>
              <w:t xml:space="preserve">C. </w:t>
            </w:r>
            <w:proofErr w:type="spellStart"/>
            <w:r w:rsidRPr="002251BC">
              <w:rPr>
                <w:i/>
                <w:iCs/>
              </w:rPr>
              <w:t>dilutus</w:t>
            </w:r>
            <w:proofErr w:type="spellEnd"/>
            <w:r>
              <w:t xml:space="preserve"> were fed</w:t>
            </w:r>
          </w:p>
        </w:tc>
      </w:tr>
      <w:tr w:rsidR="006028FA" w14:paraId="766401C0"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182EB6F8" w14:textId="77777777" w:rsidR="006028FA" w:rsidRPr="008B21A0" w:rsidRDefault="006028FA" w:rsidP="00FF13D1">
            <w:pPr>
              <w:rPr>
                <w:b w:val="0"/>
                <w:bCs w:val="0"/>
              </w:rPr>
            </w:pPr>
            <w:r>
              <w:fldChar w:fldCharType="begin" w:fldLock="1"/>
            </w:r>
            <w:r>
              <w:rPr>
                <w:b w:val="0"/>
                <w:bCs w:val="0"/>
              </w:rPr>
              <w:instrText>ADDIN CSL_CITATION {"citationItems":[{"id":"ITEM-1","itemData":{"ISBN":"9780333227794","author":[{"dropping-particle":"","family":"Mank","given":"Mark A.","non-dropping-particle":"","parse-names":false,"suffix":""},{"dropping-particle":"","family":"Krueger","given":"Henry O.","non-dropping-particle":"","parse-names":false,"suffix":""}],"id":"ITEM-1","issued":{"date-parts":[["1998"]]},"note":"Accept. This is a great test. No reservations.\n\n48 hr EC50 = 35 ug/L\n\nThis is same as reported in Finnegan 2017","title":"CGA 293343 Technical: A 48-Hour Static Acute Toxicity Test with the Midge (Chironomus riparius)","type":"report","volume":"EPA MRID: "},"uris":["http://www.mendeley.com/documents/?uuid=5be12413-b281-461a-8798-cfb7fc5c5cba"]}],"mendeley":{"formattedCitation":"(Mank and Krueger, 1998)","plainTextFormattedCitation":"(Mank and Krueger, 1998)","previouslyFormattedCitation":"(Mank and Krueger, 1998)"},"properties":{"noteIndex":0},"schema":"https://github.com/citation-style-language/schema/raw/master/csl-citation.json"}</w:instrText>
            </w:r>
            <w:r>
              <w:fldChar w:fldCharType="separate"/>
            </w:r>
            <w:r w:rsidRPr="00CB3DC6">
              <w:rPr>
                <w:b w:val="0"/>
                <w:bCs w:val="0"/>
                <w:noProof/>
              </w:rPr>
              <w:t>(Mank and Krueger, 1998)</w:t>
            </w:r>
            <w:r>
              <w:fldChar w:fldCharType="end"/>
            </w:r>
          </w:p>
        </w:tc>
        <w:tc>
          <w:tcPr>
            <w:tcW w:w="1170" w:type="dxa"/>
          </w:tcPr>
          <w:p w14:paraId="532DF7F9" w14:textId="77777777" w:rsidR="006028FA" w:rsidRPr="008B21A0" w:rsidRDefault="006028FA" w:rsidP="00FF13D1">
            <w:pPr>
              <w:cnfStyle w:val="000000100000" w:firstRow="0" w:lastRow="0" w:firstColumn="0" w:lastColumn="0" w:oddVBand="0" w:evenVBand="0" w:oddHBand="1" w:evenHBand="0" w:firstRowFirstColumn="0" w:firstRowLastColumn="0" w:lastRowFirstColumn="0" w:lastRowLastColumn="0"/>
            </w:pPr>
            <w:r>
              <w:t>Acute</w:t>
            </w:r>
          </w:p>
        </w:tc>
        <w:tc>
          <w:tcPr>
            <w:tcW w:w="5130" w:type="dxa"/>
          </w:tcPr>
          <w:p w14:paraId="258EE7EC" w14:textId="77777777" w:rsidR="006028FA" w:rsidRPr="008B21A0" w:rsidRDefault="006028FA" w:rsidP="00FF13D1">
            <w:pPr>
              <w:cnfStyle w:val="000000100000" w:firstRow="0" w:lastRow="0" w:firstColumn="0" w:lastColumn="0" w:oddVBand="0" w:evenVBand="0" w:oddHBand="1" w:evenHBand="0" w:firstRowFirstColumn="0" w:firstRowLastColumn="0" w:lastRowFirstColumn="0" w:lastRowLastColumn="0"/>
            </w:pPr>
          </w:p>
        </w:tc>
      </w:tr>
      <w:tr w:rsidR="006028FA" w14:paraId="1EB011F6" w14:textId="77777777" w:rsidTr="00FF13D1">
        <w:tc>
          <w:tcPr>
            <w:cnfStyle w:val="001000000000" w:firstRow="0" w:lastRow="0" w:firstColumn="1" w:lastColumn="0" w:oddVBand="0" w:evenVBand="0" w:oddHBand="0" w:evenHBand="0" w:firstRowFirstColumn="0" w:firstRowLastColumn="0" w:lastRowFirstColumn="0" w:lastRowLastColumn="0"/>
            <w:tcW w:w="3235" w:type="dxa"/>
          </w:tcPr>
          <w:p w14:paraId="75A42BB7" w14:textId="77777777" w:rsidR="006028FA" w:rsidRPr="008B21A0" w:rsidRDefault="006028FA" w:rsidP="00FF13D1">
            <w:pPr>
              <w:rPr>
                <w:b w:val="0"/>
                <w:bCs w:val="0"/>
              </w:rPr>
            </w:pPr>
            <w:r>
              <w:fldChar w:fldCharType="begin" w:fldLock="1"/>
            </w:r>
            <w:r>
              <w:rPr>
                <w:b w:val="0"/>
                <w:bCs w:val="0"/>
              </w:rPr>
              <w:instrText>ADDIN CSL_CITATION {"citationItems":[{"id":"ITEM-1","itemData":{"DOI":"10.32388/usnuy9","author":[{"dropping-particle":"","family":"Neumann","given":"Ch.","non-dropping-particle":"","parse-names":false,"suffix":""}],"id":"ITEM-1","issued":{"date-parts":[["1996"]]},"note":"Accept. No reservations.\n\nSame data reported in Finnegan 2017","title":"Acute Toxicity Test of CGA-293343 Technical to the Caldoceran Daphnia magna STRAUS Under Static Conditions","type":"report","volume":"EPA MRID:"},"uris":["http://www.mendeley.com/documents/?uuid=c7e278a1-a92e-41a0-8b66-2de2c61cbc65"]}],"mendeley":{"formattedCitation":"(Neumann, 1996)","plainTextFormattedCitation":"(Neumann, 1996)","previouslyFormattedCitation":"(Neumann, 1996)"},"properties":{"noteIndex":0},"schema":"https://github.com/citation-style-language/schema/raw/master/csl-citation.json"}</w:instrText>
            </w:r>
            <w:r>
              <w:fldChar w:fldCharType="separate"/>
            </w:r>
            <w:r w:rsidRPr="00CB3DC6">
              <w:rPr>
                <w:b w:val="0"/>
                <w:bCs w:val="0"/>
                <w:noProof/>
              </w:rPr>
              <w:t>(Neumann, 1996)</w:t>
            </w:r>
            <w:r>
              <w:fldChar w:fldCharType="end"/>
            </w:r>
          </w:p>
        </w:tc>
        <w:tc>
          <w:tcPr>
            <w:tcW w:w="1170" w:type="dxa"/>
          </w:tcPr>
          <w:p w14:paraId="362E0D2F" w14:textId="77777777" w:rsidR="006028FA" w:rsidRPr="008B21A0" w:rsidRDefault="006028FA" w:rsidP="00FF13D1">
            <w:pPr>
              <w:cnfStyle w:val="000000000000" w:firstRow="0" w:lastRow="0" w:firstColumn="0" w:lastColumn="0" w:oddVBand="0" w:evenVBand="0" w:oddHBand="0" w:evenHBand="0" w:firstRowFirstColumn="0" w:firstRowLastColumn="0" w:lastRowFirstColumn="0" w:lastRowLastColumn="0"/>
            </w:pPr>
            <w:r>
              <w:t>Acute</w:t>
            </w:r>
          </w:p>
        </w:tc>
        <w:tc>
          <w:tcPr>
            <w:tcW w:w="5130" w:type="dxa"/>
          </w:tcPr>
          <w:p w14:paraId="1FBC87BD" w14:textId="77777777" w:rsidR="006028FA" w:rsidRPr="008B21A0" w:rsidRDefault="006028FA" w:rsidP="00FF13D1">
            <w:pPr>
              <w:cnfStyle w:val="000000000000" w:firstRow="0" w:lastRow="0" w:firstColumn="0" w:lastColumn="0" w:oddVBand="0" w:evenVBand="0" w:oddHBand="0" w:evenHBand="0" w:firstRowFirstColumn="0" w:firstRowLastColumn="0" w:lastRowFirstColumn="0" w:lastRowLastColumn="0"/>
            </w:pPr>
            <w:r>
              <w:t>Used measured EC50 of &gt;105.8 mg/L as opposed to unmeasured EC50 of &gt;100 mg/L.</w:t>
            </w:r>
          </w:p>
        </w:tc>
      </w:tr>
      <w:tr w:rsidR="006028FA" w14:paraId="4BC0A255"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63ADDBF6" w14:textId="77777777" w:rsidR="006028FA" w:rsidRPr="008B21A0" w:rsidRDefault="006028FA" w:rsidP="00FF13D1">
            <w:pPr>
              <w:rPr>
                <w:b w:val="0"/>
                <w:bCs w:val="0"/>
              </w:rPr>
            </w:pPr>
            <w:r>
              <w:fldChar w:fldCharType="begin" w:fldLock="1"/>
            </w:r>
            <w:r>
              <w:rPr>
                <w:b w:val="0"/>
                <w:bCs w:val="0"/>
              </w:rPr>
              <w:instrText>ADDIN CSL_CITATION {"citationItems":[{"id":"ITEM-1","itemData":{"DOI":"10.1002/etc.4088","ISSN":"15528618","PMID":"29336495","abstract":"Neonicotinoids are a group of insecticides commonly used in agriculture. Due to their high water solubility, neonicotinoids can be transported to surface waters and have the potential to be toxic to aquatic life. The present study assessed and compared the acute (48- or 96-h) toxicity of 6 neonicotinoids (acetamiprid, clothianidin, dinotefuran, imidacloprid, thiacloprid, and thiamethoxam) to 21 laboratory-cultured and field-collected aquatic invertebrates spanning 10 aquatic arthropod orders. Test conditions mimicked species’ habitat, with lentic taxa exposed under static conditions, and lotic taxa exposed under recirculating systems. Median lethal concentrations (LC50s) and median effect concentrations (EC50s; immobility) were calculated and used to construct separate lethal- and immobilization-derived species sensitivity distributions for each neonicotinoid, from which 5th percentile hazard concentrations (HC5s) were calculated. The results showed that the most sensitive invertebrates were insects from the orders Ephemeroptera (Neocloeon triangulifer) and Diptera (Chironomus dilutus), whereas cladocerans (Daphnia magna, Ceriodaphnia dubia) were the least sensitive. The HC5s were compared with neonicotinoid environmental concentrations from Ontario (Canada) monitoring studies. For all neonicotinoids except imidacloprid, the resulting hazard quotients indicated little to no hazard in terms of acute toxicity to aquatic communities in Ontario freshwater streams. For the neonicotinoid imidacloprid, a moderate hazard was found when only invertebrate immobilization, and not lethality, data were considered. Environ Toxicol Chem 2018;37:1430–1445. © 2018 SETAC.","author":[{"dropping-particle":"","family":"Raby","given":"Melanie","non-dropping-particle":"","parse-names":false,"suffix":""},{"dropping-particle":"","family":"Nowierski","given":"Monica","non-dropping-particle":"","parse-names":false,"suffix":""},{"dropping-particle":"","family":"Perlov","given":"Dmitri","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K.","non-dropping-particle":"","parse-names":false,"suffix":""}],"container-title":"Environmental Toxicology and Chemistry","id":"ITEM-1","issue":"5","issued":{"date-parts":[["2018"]]},"note":"Accept without reservations. \n\nHas 6 different neonicts. Acet, cloth, dino, imidaclop, thiaclop, thiamethox","page":"1430-1445","title":"Acute toxicity of 6 neonicotinoid insecticides to freshwater invertebrates","type":"article-journal","volume":"37"},"uris":["http://www.mendeley.com/documents/?uuid=482b230e-29a7-4d0b-bdf7-a79811b2a5ec"]}],"mendeley":{"formattedCitation":"(Raby et al., 2018a)","plainTextFormattedCitation":"(Raby et al., 2018a)","previouslyFormattedCitation":"(Raby et al., 2018a)"},"properties":{"noteIndex":0},"schema":"https://github.com/citation-style-language/schema/raw/master/csl-citation.json"}</w:instrText>
            </w:r>
            <w:r>
              <w:fldChar w:fldCharType="separate"/>
            </w:r>
            <w:r w:rsidRPr="006C0216">
              <w:rPr>
                <w:b w:val="0"/>
                <w:bCs w:val="0"/>
                <w:noProof/>
              </w:rPr>
              <w:t>(Raby et al., 2018a)</w:t>
            </w:r>
            <w:r>
              <w:fldChar w:fldCharType="end"/>
            </w:r>
          </w:p>
        </w:tc>
        <w:tc>
          <w:tcPr>
            <w:tcW w:w="1170" w:type="dxa"/>
          </w:tcPr>
          <w:p w14:paraId="1FDC6527" w14:textId="77777777" w:rsidR="006028FA" w:rsidRPr="008B21A0" w:rsidRDefault="006028FA" w:rsidP="00FF13D1">
            <w:pPr>
              <w:cnfStyle w:val="000000100000" w:firstRow="0" w:lastRow="0" w:firstColumn="0" w:lastColumn="0" w:oddVBand="0" w:evenVBand="0" w:oddHBand="1" w:evenHBand="0" w:firstRowFirstColumn="0" w:firstRowLastColumn="0" w:lastRowFirstColumn="0" w:lastRowLastColumn="0"/>
            </w:pPr>
            <w:r>
              <w:t>Acute</w:t>
            </w:r>
          </w:p>
        </w:tc>
        <w:tc>
          <w:tcPr>
            <w:tcW w:w="5130" w:type="dxa"/>
          </w:tcPr>
          <w:p w14:paraId="65215B83" w14:textId="77777777" w:rsidR="006028FA" w:rsidRPr="008B21A0" w:rsidRDefault="006028FA" w:rsidP="00FF13D1">
            <w:pPr>
              <w:cnfStyle w:val="000000100000" w:firstRow="0" w:lastRow="0" w:firstColumn="0" w:lastColumn="0" w:oddVBand="0" w:evenVBand="0" w:oddHBand="1" w:evenHBand="0" w:firstRowFirstColumn="0" w:firstRowLastColumn="0" w:lastRowFirstColumn="0" w:lastRowLastColumn="0"/>
            </w:pPr>
          </w:p>
        </w:tc>
      </w:tr>
      <w:tr w:rsidR="006028FA" w14:paraId="0763F337" w14:textId="77777777" w:rsidTr="00FF13D1">
        <w:tc>
          <w:tcPr>
            <w:cnfStyle w:val="001000000000" w:firstRow="0" w:lastRow="0" w:firstColumn="1" w:lastColumn="0" w:oddVBand="0" w:evenVBand="0" w:oddHBand="0" w:evenHBand="0" w:firstRowFirstColumn="0" w:firstRowLastColumn="0" w:lastRowFirstColumn="0" w:lastRowLastColumn="0"/>
            <w:tcW w:w="3235" w:type="dxa"/>
          </w:tcPr>
          <w:p w14:paraId="38206661" w14:textId="77777777" w:rsidR="006028FA" w:rsidRPr="008B21A0" w:rsidRDefault="006028FA" w:rsidP="00FF13D1">
            <w:pPr>
              <w:rPr>
                <w:b w:val="0"/>
                <w:bCs w:val="0"/>
              </w:rPr>
            </w:pPr>
            <w:r>
              <w:fldChar w:fldCharType="begin" w:fldLock="1"/>
            </w:r>
            <w:r>
              <w:rPr>
                <w:b w:val="0"/>
                <w:bCs w:val="0"/>
              </w:rPr>
              <w:instrText>ADDIN CSL_CITATION {"citationItems":[{"id":"ITEM-1","itemData":{"DOI":"10.1002/etc.4234","ISSN":"15528618","PMID":"30055027","abstract":"Neonicotinoid insecticides are frequently detected in surface waters near agricultural areas, leading to a potential for chronic exposure to sensitive aquatic species. The midge Chironomus dilutus and the mayfly Neocloeon triangulifer have been shown to be acutely sensitive to neonicotinoids. Previous studies have established chronic effects of some neonicotinoids on C. dilutus, but reproduction has not been studied. Toxic effects have not been assessed using N. triangulifer. We present the results of chronic, static-renewal tests for 6 neonicotinoids (acetamiprid, clothianidin, dinotefuran, imidacloprid, thiacloprid, and thiamethoxam) with C. dilutus (≤56-d in length) and N. triangulifer (≤32-d in length). Emergence was generally the most sensitive endpoint for both species across all neonicotinoids. Effect concentrations, 10% (EC10s; emergence) were 0.03 to 1.1 μg L −1 for acetamiprid, clothianidin, imidacloprid, and thiacloprid. Dinotefuran and thiamethoxam were less potent, with EC10s (C. dilutus) or median effect concentrations (EC50s; N. triangulifer) of 2.2 to 11.2 μg L −1 . Hazard was assessed through comparison of neonicotinoid environmental concentrations from agricultural surface waters in Ontario (Canada) with either the 5th percentile hazard concentration (for imidacloprid) or species-specific EC10s from the present study (for all remaining neonicotinoids). The resulting hazard quotients (HQs) indicated little to no hazard (HQ &lt;1) in terms of chronic toxicity for acetamiprid, dinotefuran, thiacloprid, or thiamethoxam. A moderate hazard (HQ &gt;1) was found for emergence of N. triangulifer for clothianidin, and a high hazard (HQ = 74) was found for imidacloprid. Environ Toxicol Chem 2018;37:2727–2739. © 2018 SETAC.","author":[{"dropping-particle":"","family":"Raby","given":"Melanie","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K.","non-dropping-particle":"","parse-names":false,"suffix":""}],"container-title":"Environmental Toxicology and Chemistry","id":"ITEM-1","issue":"10","issued":{"date-parts":[["2018"]]},"note":"Accept.\n\nDoes all 6 neonicts.\n\nEmergence is endpoint, LC50 is 0.24 ug/L C. dilutus\nEmergence LC50 1.75 ug/L for N. triangulifer\n\nEC10 c. dilutus = 0.13 ug/L\nEC10 n. triangulifer = 1.12 ug/L","page":"2727-2739","title":"Chronic toxicity of 6 neonicotinoid insecticides to Chironomus dilutus and Neocloeon triangulifer","type":"article-journal","volume":"37"},"uris":["http://www.mendeley.com/documents/?uuid=8b13766a-cb6b-4549-aecc-56b5ad9a1519"]}],"mendeley":{"formattedCitation":"(Raby et al., 2018b)","plainTextFormattedCitation":"(Raby et al., 2018b)","previouslyFormattedCitation":"(Raby et al., 2018b)"},"properties":{"noteIndex":0},"schema":"https://github.com/citation-style-language/schema/raw/master/csl-citation.json"}</w:instrText>
            </w:r>
            <w:r>
              <w:fldChar w:fldCharType="separate"/>
            </w:r>
            <w:r w:rsidRPr="006C0216">
              <w:rPr>
                <w:b w:val="0"/>
                <w:bCs w:val="0"/>
                <w:noProof/>
              </w:rPr>
              <w:t>(Raby et al., 2018b)</w:t>
            </w:r>
            <w:r>
              <w:fldChar w:fldCharType="end"/>
            </w:r>
          </w:p>
        </w:tc>
        <w:tc>
          <w:tcPr>
            <w:tcW w:w="1170" w:type="dxa"/>
          </w:tcPr>
          <w:p w14:paraId="4E04665D" w14:textId="77777777" w:rsidR="006028FA" w:rsidRPr="008B21A0" w:rsidRDefault="006028FA" w:rsidP="00FF13D1">
            <w:pPr>
              <w:cnfStyle w:val="000000000000" w:firstRow="0" w:lastRow="0" w:firstColumn="0" w:lastColumn="0" w:oddVBand="0" w:evenVBand="0" w:oddHBand="0" w:evenHBand="0" w:firstRowFirstColumn="0" w:firstRowLastColumn="0" w:lastRowFirstColumn="0" w:lastRowLastColumn="0"/>
            </w:pPr>
            <w:r>
              <w:t>Chronic</w:t>
            </w:r>
          </w:p>
        </w:tc>
        <w:tc>
          <w:tcPr>
            <w:tcW w:w="5130" w:type="dxa"/>
          </w:tcPr>
          <w:p w14:paraId="19D7D06F" w14:textId="77777777" w:rsidR="006028FA" w:rsidRPr="008B21A0" w:rsidRDefault="006028FA" w:rsidP="00FF13D1">
            <w:pPr>
              <w:cnfStyle w:val="000000000000" w:firstRow="0" w:lastRow="0" w:firstColumn="0" w:lastColumn="0" w:oddVBand="0" w:evenVBand="0" w:oddHBand="0" w:evenHBand="0" w:firstRowFirstColumn="0" w:firstRowLastColumn="0" w:lastRowFirstColumn="0" w:lastRowLastColumn="0"/>
            </w:pPr>
          </w:p>
        </w:tc>
      </w:tr>
      <w:tr w:rsidR="006028FA" w14:paraId="54EEFD2F"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35" w:type="dxa"/>
          </w:tcPr>
          <w:p w14:paraId="207643FF" w14:textId="77777777" w:rsidR="006028FA" w:rsidRPr="008B21A0" w:rsidRDefault="006028FA" w:rsidP="00FF13D1">
            <w:pPr>
              <w:rPr>
                <w:b w:val="0"/>
                <w:bCs w:val="0"/>
              </w:rPr>
            </w:pPr>
            <w:r>
              <w:fldChar w:fldCharType="begin" w:fldLock="1"/>
            </w:r>
            <w:r>
              <w:rPr>
                <w:b w:val="0"/>
                <w:bCs w:val="0"/>
              </w:rPr>
              <w:instrText>ADDIN CSL_CITATION {"citationItems":[{"id":"ITEM-1","itemData":{"DOI":"10.1016/j.ecoenv.2016.12.009","ISSN":"10902414","PMID":"27978451","abstract":"The insecticide thiamethoxam (TMX) is a systemic neonicotinoid widely used for pest control in several agricultural crops. TMX mimics the action of acetylcholine causing uncontrolled muscular contraction eventually leading to insect death. TMX is being found in freshwater ecosystems at concentrations of up to 225 µg/L. Still, chronic toxicity data for freshwater invertebrates is limited. Therefore, the aim of this study was to evaluate the acute and chronic effects (at organismal and biochemical levels) of TMX on the freshwater insect Chironomus riparius. C. riparius life history responses were significantly affected by TMX exposure, namely with a decrease in growth and delay in emergence. Concerning the biochemical responses, after a short exposure (48 h) to TMX, our results showed that low concentrations of TMX significantly reduced CAT activity and LPO levels of C. riparius. No effects were observed in AChE, GST and ETS activities. Effects in terms of survival, development rates and biochemical responses of C. riparius exposed to low concentrations of TMX observed in this study suggest potential deleterious effects of this neonicotinoid on aquatic insects inhabiting freshwaters environments near agricultural areas.","author":[{"dropping-particle":"","family":"Saraiva","given":"Althiéris S.","non-dropping-particle":"","parse-names":false,"suffix":""},{"dropping-particle":"","family":"Sarmento","given":"Renato A.","non-dropping-particle":"","parse-names":false,"suffix":""},{"dropping-particle":"","family":"Rodrigues","given":"Andreia C.M.","non-dropping-particle":"","parse-names":false,"suffix":""},{"dropping-particle":"","family":"Campos","given":"Diana","non-dropping-particle":"","parse-names":false,"suffix":""},{"dropping-particle":"","family":"Fedorova","given":"Ganna","non-dropping-particle":"","parse-names":false,"suffix":""},{"dropping-particle":"","family":"Žlábek","given":"Vladimír","non-dropping-particle":"","parse-names":false,"suffix":""},{"dropping-particle":"","family":"Gravato","given":"Carlos","non-dropping-particle":"","parse-names":false,"suffix":""},{"dropping-particle":"","family":"Pestana","given":"João L.T.","non-dropping-particle":"","parse-names":false,"suffix":""},{"dropping-particle":"","family":"Soares","given":"Amadeu M.V.M.","non-dropping-particle":"","parse-names":false,"suffix":""}],"container-title":"Ecotoxicology and Environmental Safety","id":"ITEM-1","issue":"July 2016","issued":{"date-parts":[["2017"]]},"note":"Accept. Pretty good study... no noted reservations.","page":"240-246","title":"Assessment of thiamethoxam toxicity to Chironomus riparius","type":"article-journal","volume":"137"},"uris":["http://www.mendeley.com/documents/?uuid=88f68c7f-d24c-4fcc-ab3a-2dc07aca194f"]}],"mendeley":{"formattedCitation":"(Saraiva et al., 2017)","plainTextFormattedCitation":"(Saraiva et al., 2017)","previouslyFormattedCitation":"(Saraiva et al., 2017)"},"properties":{"noteIndex":0},"schema":"https://github.com/citation-style-language/schema/raw/master/csl-citation.json"}</w:instrText>
            </w:r>
            <w:r>
              <w:fldChar w:fldCharType="separate"/>
            </w:r>
            <w:r w:rsidRPr="006C0216">
              <w:rPr>
                <w:b w:val="0"/>
                <w:bCs w:val="0"/>
                <w:noProof/>
              </w:rPr>
              <w:t>(Saraiva et al., 2017)</w:t>
            </w:r>
            <w:r>
              <w:fldChar w:fldCharType="end"/>
            </w:r>
          </w:p>
        </w:tc>
        <w:tc>
          <w:tcPr>
            <w:tcW w:w="1170" w:type="dxa"/>
          </w:tcPr>
          <w:p w14:paraId="741B5E42" w14:textId="77777777" w:rsidR="006028FA" w:rsidRPr="008B21A0" w:rsidRDefault="006028FA" w:rsidP="00FF13D1">
            <w:pPr>
              <w:cnfStyle w:val="000000100000" w:firstRow="0" w:lastRow="0" w:firstColumn="0" w:lastColumn="0" w:oddVBand="0" w:evenVBand="0" w:oddHBand="1" w:evenHBand="0" w:firstRowFirstColumn="0" w:firstRowLastColumn="0" w:lastRowFirstColumn="0" w:lastRowLastColumn="0"/>
            </w:pPr>
            <w:r>
              <w:t>Acute &amp; Chronic</w:t>
            </w:r>
          </w:p>
        </w:tc>
        <w:tc>
          <w:tcPr>
            <w:tcW w:w="5130" w:type="dxa"/>
          </w:tcPr>
          <w:p w14:paraId="58FBF4E6" w14:textId="77777777" w:rsidR="006028FA" w:rsidRPr="008B21A0" w:rsidRDefault="006028FA" w:rsidP="00FF13D1">
            <w:pPr>
              <w:cnfStyle w:val="000000100000" w:firstRow="0" w:lastRow="0" w:firstColumn="0" w:lastColumn="0" w:oddVBand="0" w:evenVBand="0" w:oddHBand="1" w:evenHBand="0" w:firstRowFirstColumn="0" w:firstRowLastColumn="0" w:lastRowFirstColumn="0" w:lastRowLastColumn="0"/>
            </w:pPr>
          </w:p>
        </w:tc>
      </w:tr>
      <w:tr w:rsidR="006028FA" w14:paraId="24A0A767" w14:textId="77777777" w:rsidTr="00FF13D1">
        <w:tc>
          <w:tcPr>
            <w:cnfStyle w:val="001000000000" w:firstRow="0" w:lastRow="0" w:firstColumn="1" w:lastColumn="0" w:oddVBand="0" w:evenVBand="0" w:oddHBand="0" w:evenHBand="0" w:firstRowFirstColumn="0" w:firstRowLastColumn="0" w:lastRowFirstColumn="0" w:lastRowLastColumn="0"/>
            <w:tcW w:w="3235" w:type="dxa"/>
          </w:tcPr>
          <w:p w14:paraId="6F73E7E9" w14:textId="77777777" w:rsidR="006028FA" w:rsidRPr="008B21A0" w:rsidRDefault="006028FA" w:rsidP="00FF13D1">
            <w:pPr>
              <w:rPr>
                <w:b w:val="0"/>
                <w:bCs w:val="0"/>
              </w:rPr>
            </w:pPr>
            <w:r>
              <w:fldChar w:fldCharType="begin" w:fldLock="1"/>
            </w:r>
            <w:r>
              <w:rPr>
                <w:b w:val="0"/>
                <w:bCs w:val="0"/>
              </w:rPr>
              <w:instrText>ADDIN CSL_CITATION {"citationItems":[{"id":"ITEM-1","itemData":{"DOI":"10.1080/03067319.2017.1363196","ISSN":"10290397","abstract":"Formulating agents used in pesticide products have been regarded as inactive/inert components; however, several studies confirmed additive, synergistic or antagonistic effects between the active ingredients (AIs) and additives, or the individual toxicity of the formulating agents. The worldwide used neonicotinoid insecticides and their components can reach surface waters, due to their physico-chemical properties (e.g. water solubility) or improper application in chemical plant protection technology, and can adversely affect non-target aquatic organisms. Formulated pesticides were analysed for alkane sulphonate surfactants by using liquid chromatography coupled with tandem mass spectrometry. In acute immobilisation tests on Daphnia magna, differences were found among the toxicity of the investigated neonicotinoid AIs and formulations. The toxicity of a formulated insecticide (Apache 50 WG®– AI: clothianidin) was found to be 46.5 times more toxic than explained by its AI, probably due to toxic effect of the formulating agents on D. magna. In contrast, two preparations (Calypso 480SC®–AI: thiacloprid, Actara 240 SC®– AI: thiamethoxam) were 2–3 times less toxic than their AIs. Results indicate possible synergistic/antagonistic interaction with the AIs.","author":[{"dropping-particle":"","family":"Takács","given":"Eszter","non-dropping-particle":"","parse-names":false,"suffix":""},{"dropping-particle":"","family":"Klátyik","given":"Szandra","non-dropping-particle":"","parse-names":false,"suffix":""},{"dropping-particle":"","family":"Mörtl","given":"Mária","non-dropping-particle":"","parse-names":false,"suffix":""},{"dropping-particle":"","family":"Rácz","given":"Gergely","non-dropping-particle":"","parse-names":false,"suffix":""},{"dropping-particle":"","family":"Kovács","given":"Krisztina","non-dropping-particle":"","parse-names":false,"suffix":""},{"dropping-particle":"","family":"Darvas","given":"Béla","non-dropping-particle":"","parse-names":false,"suffix":""},{"dropping-particle":"","family":"Székács","given":"András","non-dropping-particle":"","parse-names":false,"suffix":""}],"container-title":"International Journal of Environmental Analytical Chemistry","id":"ITEM-1","issue":"9","issued":{"date-parts":[["2017"]]},"note":"Accept with Reservations. LC50 is above highest tested limits. Insufficient water quality data but meet survival for control. No supplemental info for this study. \n\nLC50 calculated above solubility limits at 531.4 mg/L I think we would instead say the LC50 is &amp;gt;340 mg/L (the highest concentration tested).","page":"885-900","publisher":"Taylor &amp; Francis","title":"Effects of neonicotinoid insecticide formulations and their components on Daphnia magna–the role of active ingredients and co-formulants","type":"article-journal","volume":"97"},"uris":["http://www.mendeley.com/documents/?uuid=7c0fdbd3-0202-4ca6-90d0-591f3819f689"]}],"mendeley":{"formattedCitation":"(Takács et al., 2017)","plainTextFormattedCitation":"(Takács et al., 2017)","previouslyFormattedCitation":"(Takács et al., 2017)"},"properties":{"noteIndex":0},"schema":"https://github.com/citation-style-language/schema/raw/master/csl-citation.json"}</w:instrText>
            </w:r>
            <w:r>
              <w:fldChar w:fldCharType="separate"/>
            </w:r>
            <w:r w:rsidRPr="006C0216">
              <w:rPr>
                <w:b w:val="0"/>
                <w:bCs w:val="0"/>
                <w:noProof/>
              </w:rPr>
              <w:t>(Takács et al., 2017)</w:t>
            </w:r>
            <w:r>
              <w:fldChar w:fldCharType="end"/>
            </w:r>
          </w:p>
        </w:tc>
        <w:tc>
          <w:tcPr>
            <w:tcW w:w="1170" w:type="dxa"/>
          </w:tcPr>
          <w:p w14:paraId="4C94CECE" w14:textId="77777777" w:rsidR="006028FA" w:rsidRPr="008B21A0" w:rsidRDefault="006028FA" w:rsidP="00FF13D1">
            <w:pPr>
              <w:cnfStyle w:val="000000000000" w:firstRow="0" w:lastRow="0" w:firstColumn="0" w:lastColumn="0" w:oddVBand="0" w:evenVBand="0" w:oddHBand="0" w:evenHBand="0" w:firstRowFirstColumn="0" w:firstRowLastColumn="0" w:lastRowFirstColumn="0" w:lastRowLastColumn="0"/>
            </w:pPr>
            <w:r>
              <w:t>Acute</w:t>
            </w:r>
          </w:p>
        </w:tc>
        <w:tc>
          <w:tcPr>
            <w:tcW w:w="5130" w:type="dxa"/>
          </w:tcPr>
          <w:p w14:paraId="03CE83BD" w14:textId="77777777" w:rsidR="006028FA" w:rsidRPr="008B21A0" w:rsidRDefault="006028FA" w:rsidP="00FF13D1">
            <w:pPr>
              <w:cnfStyle w:val="000000000000" w:firstRow="0" w:lastRow="0" w:firstColumn="0" w:lastColumn="0" w:oddVBand="0" w:evenVBand="0" w:oddHBand="0" w:evenHBand="0" w:firstRowFirstColumn="0" w:firstRowLastColumn="0" w:lastRowFirstColumn="0" w:lastRowLastColumn="0"/>
            </w:pPr>
            <w:r>
              <w:t xml:space="preserve">LC50 calculated above highest treatment. For LC50 used highest tested concentration (&gt;340 mg/L) instead of reported LC50 of 531.4 mg/L. Water quality data missing, but control results meet requirements. </w:t>
            </w:r>
          </w:p>
        </w:tc>
      </w:tr>
    </w:tbl>
    <w:p w14:paraId="4242E7AB" w14:textId="77777777" w:rsidR="006028FA" w:rsidRDefault="006028FA" w:rsidP="006028FA"/>
    <w:p w14:paraId="1BBE6F61" w14:textId="77777777" w:rsidR="006028FA" w:rsidRDefault="006028FA" w:rsidP="006028FA">
      <w:r>
        <w:br w:type="page"/>
      </w:r>
    </w:p>
    <w:p w14:paraId="73C3910F" w14:textId="77777777" w:rsidR="006028FA" w:rsidRDefault="006028FA" w:rsidP="006028FA">
      <w:r>
        <w:lastRenderedPageBreak/>
        <w:t xml:space="preserve">Table 2. Rejected studies and ‘rejection’ classes with short description as needed. Class definitions are: non-compliant with Rule 57 (R57 NC), non-standardized toxicity test methods (NS TT), endpoint not usable in calculations (ENDPT), no original toxicity test data included (NO ORIG), exposure not purely thiamethoxam (MIXTURE), and chronic study with unacceptable or unavailable acute-to-chronic ratio (NO ACR). </w:t>
      </w:r>
    </w:p>
    <w:tbl>
      <w:tblPr>
        <w:tblStyle w:val="GridTable6Colorful"/>
        <w:tblW w:w="5000" w:type="pct"/>
        <w:tblLook w:val="04A0" w:firstRow="1" w:lastRow="0" w:firstColumn="1" w:lastColumn="0" w:noHBand="0" w:noVBand="1"/>
      </w:tblPr>
      <w:tblGrid>
        <w:gridCol w:w="3378"/>
        <w:gridCol w:w="1310"/>
        <w:gridCol w:w="4662"/>
      </w:tblGrid>
      <w:tr w:rsidR="006028FA" w:rsidRPr="00F37F1E" w14:paraId="437E68BE" w14:textId="77777777" w:rsidTr="00FF13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30A0EED3" w14:textId="77777777" w:rsidR="006028FA" w:rsidRPr="00F37F1E" w:rsidRDefault="006028FA" w:rsidP="00FF13D1">
            <w:r w:rsidRPr="00F37F1E">
              <w:t>Reference</w:t>
            </w:r>
          </w:p>
        </w:tc>
        <w:tc>
          <w:tcPr>
            <w:tcW w:w="602" w:type="pct"/>
          </w:tcPr>
          <w:p w14:paraId="28F6F097" w14:textId="77777777" w:rsidR="006028FA" w:rsidRPr="00F37F1E" w:rsidRDefault="006028FA" w:rsidP="00FF13D1">
            <w:pPr>
              <w:cnfStyle w:val="100000000000" w:firstRow="1" w:lastRow="0" w:firstColumn="0" w:lastColumn="0" w:oddVBand="0" w:evenVBand="0" w:oddHBand="0" w:evenHBand="0" w:firstRowFirstColumn="0" w:firstRowLastColumn="0" w:lastRowFirstColumn="0" w:lastRowLastColumn="0"/>
            </w:pPr>
            <w:r w:rsidRPr="00F37F1E">
              <w:t>Class</w:t>
            </w:r>
          </w:p>
        </w:tc>
        <w:tc>
          <w:tcPr>
            <w:tcW w:w="2542" w:type="pct"/>
          </w:tcPr>
          <w:p w14:paraId="2478A5D3" w14:textId="77777777" w:rsidR="006028FA" w:rsidRPr="00F37F1E" w:rsidRDefault="006028FA" w:rsidP="00FF13D1">
            <w:pPr>
              <w:cnfStyle w:val="100000000000" w:firstRow="1" w:lastRow="0" w:firstColumn="0" w:lastColumn="0" w:oddVBand="0" w:evenVBand="0" w:oddHBand="0" w:evenHBand="0" w:firstRowFirstColumn="0" w:firstRowLastColumn="0" w:lastRowFirstColumn="0" w:lastRowLastColumn="0"/>
            </w:pPr>
            <w:r w:rsidRPr="00F37F1E">
              <w:t xml:space="preserve">Comment </w:t>
            </w:r>
          </w:p>
        </w:tc>
      </w:tr>
      <w:tr w:rsidR="006028FA" w:rsidRPr="00F37F1E" w14:paraId="1371B6E1"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638519BD" w14:textId="77777777" w:rsidR="006028FA" w:rsidRPr="00F37F1E" w:rsidRDefault="006028FA" w:rsidP="00FF13D1">
            <w:pPr>
              <w:rPr>
                <w:b w:val="0"/>
                <w:bCs w:val="0"/>
              </w:rPr>
            </w:pPr>
            <w:r>
              <w:fldChar w:fldCharType="begin" w:fldLock="1"/>
            </w:r>
            <w:r>
              <w:rPr>
                <w:b w:val="0"/>
                <w:bCs w:val="0"/>
              </w:rPr>
              <w:instrText>ADDIN CSL_CITATION {"citationItems":[{"id":"ITEM-1","itemData":{"DOI":"10.1016/j.envpol.2018.03.004","ISSN":"18736424","PMID":"29544197","abstract":"Neonicotinoid insecticides are environmentally persistent and highly water-soluble, and thus are prone to leaching into surface waters where they may negatively affect non-target aquatic insects. Most of the research to date has focused on imidacloprid, and few data are available regarding the effects of other neonicotinoids or their proposed replacements (butenolide insecticides). The objective of this study was to assess the toxicity of six neonicotinoids (imidacloprid, thiamethoxam, acetamiprid, clothianidin, thiacloprid, and dinotefuran) and one butenolide (flupyradifurone) to Hexagenia spp. (mayfly larvae). Acute (96-h), water-only tests were conducted, and survival and behaviour (number of surviving mayflies inhabiting artificial burrows) were assessed. Acute sublethal tests were also conducted with imidacloprid, acetamiprid, and thiacloprid, and in addition to survival and behaviour, mobility (ability to burrow into sediment) and recovery (survival and growth following 21 d in clean sediment) were measured. Sublethal effects occurred at much lower concentrations than survival: 96-h LC50s ranged from 780 μg/L (acetamiprid) to &gt;10,000 μg/L (dinotefuran), whereas 96-h EC50s ranged from 4.0 μg/L (acetamiprid) to 630 μg/L (thiamethoxam). Flupyradifurone was intermediate in toxicity, with a 96-h LC50 of 2000 μg/L and a 96-h EC50 of 81 μg/L. Behaviour and mobility were impaired significantly and to a similar degree in sublethal exposures to 10 μg/L imidacloprid, acetamiprid, and thiacloprid, and survival and growth following the recovery period were significantly lower in mayflies exposed to 10 μg/L acetamiprid and thiacloprid, respectively. A suite of effects on mayfly swimming behaviour/ability and respiration were also observed, but not quantified, following exposures to imidacloprid, acetamiprid, and thiacloprid at 1 μg/L and higher. Imidacloprid concentrations measured in North American surface waters have been found to meet or exceed those causing toxicity to Hexagenia, indicating that environmental concentrations may adversely affect Hexagenia and similarly sensitive non-target aquatic species. The sublethal toxicity of neonicotinoids to Hexagenia varies 160-fold, with imidacloprid, acetamiprid, and thiacloprid being the most toxic.","author":[{"dropping-particle":"","family":"Bartlett","given":"Adrienne J.","non-dropping-particle":"","parse-names":false,"suffix":""},{"dropping-particle":"","family":"Hedges","given":"Amanda M.","non-dropping-particle":"","parse-names":false,"suffix":""},{"dropping-particle":"","family":"Intini","given":"Kyna D.","non-dropping-particle":"","parse-names":false,"suffix":""},{"dropping-particle":"","family":"Brown","given":"Lisa R.","non-dropping-particle":"","parse-names":false,"suffix":""},{"dropping-particle":"","family":"Maisonneuve","given":"France J.","non-dropping-particle":"","parse-names":false,"suffix":""},{"dropping-particle":"","family":"Robinson","given":"Stacey A.","non-dropping-particle":"","parse-names":false,"suffix":""},{"dropping-particle":"","family":"Gillis","given":"Patricia L.","non-dropping-particle":"","parse-names":false,"suffix":""},{"dropping-particle":"","family":"Solla","given":"Shane R.","non-dropping-particle":"de","parse-names":false,"suffix":""}],"container-title":"Environmental Pollution","id":"ITEM-1","issued":{"date-parts":[["2018"]]},"note":"Accept with reservations IMI. \nReject for Clothianidin and Thiacloprid - poor data quality. \n\nOnly reservation is that their number seems high as compared to other studies. They did not typical feeding I think, using ground Tetra-min flakes as opposed to diatoms. I also did not double check WQ data, but it is cited in supplemental table 2. \n\nThis paper can be used for thia, acetami, clothian, thiaclop, and dinotefuran as well\n\nI would compare this to other mayfly studies before accepting results. See pink note.","page":"63-75","publisher":"Elsevier Ltd","title":"Lethal and sublethal toxicity of neonicotinoid and butenolide insecticides to the mayfly, Hexagenia spp.","type":"article-journal","volume":"238"},"uris":["http://www.mendeley.com/documents/?uuid=c9281d26-5dd5-4c05-8139-50816c940165"]}],"mendeley":{"formattedCitation":"(Bartlett et al., 2018)","plainTextFormattedCitation":"(Bartlett et al., 2018)","previouslyFormattedCitation":"(Bartlett et al., 2018)"},"properties":{"noteIndex":0},"schema":"https://github.com/citation-style-language/schema/raw/master/csl-citation.json"}</w:instrText>
            </w:r>
            <w:r>
              <w:fldChar w:fldCharType="separate"/>
            </w:r>
            <w:r w:rsidRPr="003B367B">
              <w:rPr>
                <w:b w:val="0"/>
                <w:bCs w:val="0"/>
                <w:noProof/>
              </w:rPr>
              <w:t>(Bartlett et al., 2018)</w:t>
            </w:r>
            <w:r>
              <w:fldChar w:fldCharType="end"/>
            </w:r>
          </w:p>
        </w:tc>
        <w:tc>
          <w:tcPr>
            <w:tcW w:w="602" w:type="pct"/>
          </w:tcPr>
          <w:p w14:paraId="043943E7"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ENDPT</w:t>
            </w:r>
          </w:p>
        </w:tc>
        <w:tc>
          <w:tcPr>
            <w:tcW w:w="2542" w:type="pct"/>
          </w:tcPr>
          <w:p w14:paraId="23EE9909"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 xml:space="preserve">EC50 behavior based, orgs fed during study, LC50 result inconsistent with other </w:t>
            </w:r>
            <w:proofErr w:type="spellStart"/>
            <w:r w:rsidRPr="00BE1FDC">
              <w:rPr>
                <w:i/>
                <w:iCs/>
              </w:rPr>
              <w:t>hexagenia</w:t>
            </w:r>
            <w:proofErr w:type="spellEnd"/>
            <w:r w:rsidRPr="00BE1FDC">
              <w:rPr>
                <w:i/>
                <w:iCs/>
              </w:rPr>
              <w:t xml:space="preserve"> sp.</w:t>
            </w:r>
            <w:r>
              <w:t xml:space="preserve"> studies (100x)</w:t>
            </w:r>
          </w:p>
        </w:tc>
      </w:tr>
      <w:tr w:rsidR="006028FA" w:rsidRPr="00F37F1E" w14:paraId="04BA72B1"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0C818998" w14:textId="77777777" w:rsidR="006028FA" w:rsidRPr="00F37F1E" w:rsidRDefault="006028FA" w:rsidP="00FF13D1">
            <w:pPr>
              <w:rPr>
                <w:b w:val="0"/>
                <w:bCs w:val="0"/>
              </w:rPr>
            </w:pPr>
            <w:r>
              <w:fldChar w:fldCharType="begin" w:fldLock="1"/>
            </w:r>
            <w:r>
              <w:rPr>
                <w:b w:val="0"/>
                <w:bCs w:val="0"/>
              </w:rPr>
              <w:instrText>ADDIN CSL_CITATION {"citationItems":[{"id":"ITEM-1","itemData":{"ISBN":"9780333227794","author":[{"dropping-particle":"","family":"Bradley","given":"Michael J.","non-dropping-particle":"","parse-names":false,"suffix":""}],"id":"ITEM-1","issued":{"date-parts":[["2015"]]},"note":"Reject. Sediment study\n\nPretty toxic in sediment, LOEC is 1.3 mg/kg dry weight","number-of-pages":"EPA MRID: 495895212","title":"10-Day Toxicity Test Exposing Midge (Chironomus dilutus) to Thiamethoxam Applied to Sediment Under Static-Renewal Conditions","type":"report"},"uris":["http://www.mendeley.com/documents/?uuid=54b90395-453c-4644-b4de-2baeae23b106"]}],"mendeley":{"formattedCitation":"(Bradley, 2015)","plainTextFormattedCitation":"(Bradley, 2015)","previouslyFormattedCitation":"(Bradley, 2015)"},"properties":{"noteIndex":0},"schema":"https://github.com/citation-style-language/schema/raw/master/csl-citation.json"}</w:instrText>
            </w:r>
            <w:r>
              <w:fldChar w:fldCharType="separate"/>
            </w:r>
            <w:r w:rsidRPr="003B367B">
              <w:rPr>
                <w:b w:val="0"/>
                <w:bCs w:val="0"/>
                <w:noProof/>
              </w:rPr>
              <w:t>(Bradley, 2015)</w:t>
            </w:r>
            <w:r>
              <w:fldChar w:fldCharType="end"/>
            </w:r>
          </w:p>
        </w:tc>
        <w:tc>
          <w:tcPr>
            <w:tcW w:w="602" w:type="pct"/>
          </w:tcPr>
          <w:p w14:paraId="60883401"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NS TT</w:t>
            </w:r>
          </w:p>
        </w:tc>
        <w:tc>
          <w:tcPr>
            <w:tcW w:w="2542" w:type="pct"/>
          </w:tcPr>
          <w:p w14:paraId="643FF582"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Sediment study</w:t>
            </w:r>
          </w:p>
        </w:tc>
      </w:tr>
      <w:tr w:rsidR="006028FA" w:rsidRPr="00F37F1E" w14:paraId="3BB9A868"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7FCEAA71" w14:textId="77777777" w:rsidR="006028FA" w:rsidRPr="00F37F1E" w:rsidRDefault="006028FA" w:rsidP="00FF13D1">
            <w:r>
              <w:fldChar w:fldCharType="begin" w:fldLock="1"/>
            </w:r>
            <w:r>
              <w:instrText>ADDIN CSL_CITATION {"citationItems":[{"id":"ITEM-1","itemData":{"DOI":"10.1007/s11356-012-0930-0","ISSN":"09441344","PMID":"22562347","abstract":"Threshold concentrations for treatment related effects of 31 insecticides, as derived from aquatic micro-/mesocosm tests, were used to calibrate the predictive value of the European Tier-1 acute effect assessment on basis of laboratory toxicity tests with Daphnia magna, Chironomus spp., Americamysis bahia and Gammarus pulex. The acute Tier-1 effect assessment on basis of Daphnia (EC50/100) overall was protective for organophosphates, carbamates and most pyrethroids but not for neonicotinoids and the majority of insect growth regulators (IGRs) in the database. By including the 28-day water-spiked Chironomus riparius test, the effect assessment improves but selecting the lowest value on basis of the 48-h Daphnia test (EC50/100) and the 28-day Chironomus test (NOEC/10) is not fully protective for 4 out of 23 insecticide cases. An assessment on basis of G. pulex (EC50/100) is sufficiently protective for 15 out of 19 insecticide cases. The Tier-1 procedure on basis of acute toxicity data (EC50/100) for the combination of Daphnia and A. bahia and/or Chironomus (new EU dossier requirements currently under discussion) overall is protective to pulsed insecticide exposures in micro-/mesocosms. For IGRs that affect moulting, the effect assessment on basis of the 48-h Chironomus test (EC50/100) may not always be protective enough to replace that of the water-spiked 28-day C. riparius test (NOEC/10) because of latency of effects. © 2012 The Author(s).","author":[{"dropping-particle":"","family":"Brock","given":"Theo C.M.","non-dropping-particle":"","parse-names":false,"suffix":""},{"dropping-particle":"","family":"Wijngaarden","given":"R. P.A.","non-dropping-particle":"Van","parse-names":false,"suffix":""}],"container-title":"Environmental Science and Pollution Research","id":"ITEM-1","issue":"8","issued":{"date-parts":[["2012"]]},"note":"NO ORIGINAL DATA HERE - reject.","page":"3610-3618","title":"Acute toxicity tests with Daphnia magna, Americamysis bahia, Chironomus riparius and Gammarus pulex and implications of new EU requirements for the aquatic effect assessment of insecticides","type":"article-journal","volume":"19"},"uris":["http://www.mendeley.com/documents/?uuid=894156af-2d22-48a3-95ce-4c5a97c95447"]}],"mendeley":{"formattedCitation":"(Brock and Van Wijngaarden, 2012)","plainTextFormattedCitation":"(Brock and Van Wijngaarden, 2012)","previouslyFormattedCitation":"(Brock and Van Wijngaarden, 2012)"},"properties":{"noteIndex":0},"schema":"https://github.com/citation-style-language/schema/raw/master/csl-citation.json"}</w:instrText>
            </w:r>
            <w:r>
              <w:fldChar w:fldCharType="separate"/>
            </w:r>
            <w:r w:rsidRPr="003B367B">
              <w:rPr>
                <w:b w:val="0"/>
                <w:noProof/>
              </w:rPr>
              <w:t>(Brock and Van Wijngaarden, 2012)</w:t>
            </w:r>
            <w:r>
              <w:fldChar w:fldCharType="end"/>
            </w:r>
          </w:p>
        </w:tc>
        <w:tc>
          <w:tcPr>
            <w:tcW w:w="602" w:type="pct"/>
          </w:tcPr>
          <w:p w14:paraId="366DAF75"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NO ORIG</w:t>
            </w:r>
          </w:p>
        </w:tc>
        <w:tc>
          <w:tcPr>
            <w:tcW w:w="2542" w:type="pct"/>
          </w:tcPr>
          <w:p w14:paraId="28F0DF77"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p>
        </w:tc>
      </w:tr>
      <w:tr w:rsidR="006028FA" w:rsidRPr="00F37F1E" w14:paraId="3DC766DE"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5C7E5EE4" w14:textId="77777777" w:rsidR="006028FA" w:rsidRPr="00F37F1E" w:rsidRDefault="006028FA" w:rsidP="00FF13D1">
            <w:pPr>
              <w:rPr>
                <w:b w:val="0"/>
                <w:bCs w:val="0"/>
              </w:rPr>
            </w:pPr>
            <w:r>
              <w:fldChar w:fldCharType="begin" w:fldLock="1"/>
            </w:r>
            <w:r>
              <w:rPr>
                <w:b w:val="0"/>
                <w:bCs w:val="0"/>
              </w:rPr>
              <w:instrText>ADDIN CSL_CITATION {"citationItems":[{"id":"ITEM-1","itemData":{"DOI":"10.1002/etc.4187","ISSN":"15528618","PMID":"29877579","abstract":"Seasonal aquatic insect emergence represents a critical subsidy link between aquatic and terrestrial ecosystems. Early and late instar larvae developing in wetlands near neonicotinoid-treated cropland can be at risk of chronic insecticide exposure. In the present study, an in situ wetland limnocorral experiment compared emergent insect community responses to imidacloprid, clothianidin, and thiamethoxam. Twenty-one limnocorrals were dosed weekly for 9 wk to target peak nominal doses of 0.0, 0.05, or 0.5 μg/L, followed by a 6-wk recovery period. Thirty-nine aquatic insect taxa were recorded but 11 taxa groups made up 97% of the community composition. Principal response curves (PRCs) indicated that during the dosing period, community composition among the treatments resembled the controls. During the 6-wk recovery period, significant deviance was observed in the high imidacloprid treatment with similar trends in the clothianidin treatment, suggesting that community effects from neonicotinoid exposure can be delayed. Non-biting midges (Diptera: Chironomidae) and damselflies (Odonata: Zygoptera) emerged 18 to 25 d earlier than controls in the imidacloprid and clothianidin neonicotinoid treatments, with no effects from thiamethoxam treatments. These data suggest that phenology and subtle community effects can occur at measured neonicotinoid concentrations of 0.045 (imidacloprid) and 0.038 μg/L (clothianidin) under chronic repeated exposure conditions. Synchronization and community dynamics are critical to aquatic insects and consumers; thus, neonicotinoids may have broad implications for wetland ecosystem function. Environ Toxicol Chem 2018;37:2401–2412. © 2018 SETAC.","author":[{"dropping-particle":"","family":"Cavallaro","given":"Michael C.","non-dropping-particle":"","parse-names":false,"suffix":""},{"dropping-particle":"","family":"Liber","given":"Karsten","non-dropping-particle":"","parse-names":false,"suffix":""},{"dropping-particle":"V.","family":"Headley","given":"John","non-dropping-particle":"","parse-names":false,"suffix":""},{"dropping-particle":"","family":"Peru","given":"Kerry M.","non-dropping-particle":"","parse-names":false,"suffix":""},{"dropping-particle":"","family":"Morrissey","given":"Christy A.","non-dropping-particle":"","parse-names":false,"suffix":""}],"container-title":"Environmental Toxicology and Chemistry","id":"ITEM-1","issue":"9","issued":{"date-parts":[["2018"]]},"note":"Reject. This is a mesocosm paper.\n\nI need to read this in more depth. What are the community effects. Would be good to give this an honorable mention or flag it for our wetland biologists.","page":"2401-2412","title":"Community-level and phenological responses of emerging aquatic insects exposed to 3 neonicotinoid insecticides: An in situ wetland limnocorral approach","type":"article-journal","volume":"37"},"uris":["http://www.mendeley.com/documents/?uuid=578110d5-911a-4b4a-a41e-966c2de5f7ac"]}],"mendeley":{"formattedCitation":"(Cavallaro et al., 2018)","plainTextFormattedCitation":"(Cavallaro et al., 2018)","previouslyFormattedCitation":"(Cavallaro et al., 2018)"},"properties":{"noteIndex":0},"schema":"https://github.com/citation-style-language/schema/raw/master/csl-citation.json"}</w:instrText>
            </w:r>
            <w:r>
              <w:fldChar w:fldCharType="separate"/>
            </w:r>
            <w:r w:rsidRPr="003B367B">
              <w:rPr>
                <w:b w:val="0"/>
                <w:bCs w:val="0"/>
                <w:noProof/>
              </w:rPr>
              <w:t>(Cavallaro et al., 2018)</w:t>
            </w:r>
            <w:r>
              <w:fldChar w:fldCharType="end"/>
            </w:r>
          </w:p>
        </w:tc>
        <w:tc>
          <w:tcPr>
            <w:tcW w:w="602" w:type="pct"/>
          </w:tcPr>
          <w:p w14:paraId="770B4B1C"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NS TT</w:t>
            </w:r>
          </w:p>
        </w:tc>
        <w:tc>
          <w:tcPr>
            <w:tcW w:w="2542" w:type="pct"/>
          </w:tcPr>
          <w:p w14:paraId="074D5BCC"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Mesocosm study</w:t>
            </w:r>
          </w:p>
        </w:tc>
      </w:tr>
      <w:tr w:rsidR="006028FA" w:rsidRPr="00F37F1E" w14:paraId="0225FD33"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25C2309C" w14:textId="77777777" w:rsidR="006028FA" w:rsidRPr="00F37F1E" w:rsidRDefault="006028FA" w:rsidP="00FF13D1">
            <w:pPr>
              <w:rPr>
                <w:b w:val="0"/>
                <w:bCs w:val="0"/>
              </w:rPr>
            </w:pPr>
            <w:r>
              <w:fldChar w:fldCharType="begin" w:fldLock="1"/>
            </w:r>
            <w:r>
              <w:rPr>
                <w:b w:val="0"/>
                <w:bCs w:val="0"/>
              </w:rPr>
              <w:instrText>ADDIN CSL_CITATION {"citationItems":[{"id":"ITEM-1","itemData":{"DOI":"10.1002/etc.3536","ISSN":"15528618","PMID":"27329202","abstract":"Nontarget aquatic insects are susceptible to chronic neonicotinoid insecticide exposure during the early stages of development from repeated runoff events and prolonged persistence of these chemicals. Investigations on the chronic toxicity of neonicotinoids to aquatic invertebrates have been limited to a few species and under different laboratory conditions that often preclude direct comparisons of the relative toxicity of different compounds. In the present study, full life-cycle toxicity tests using Chironomus dilutus were performed to compare the toxicity of 3 commonly used neonicotinoids: imidacloprid, clothianidin, and thiamethoxam. Test conditions followed a static-renewal exposure protocol in which lethal and sublethal endpoints were assessed on days 14 and 40. Reduced emergence success, advanced emergence timing, and male-biased sex ratios were sensitive responses to low-level neonicotinoid exposure. The 14-d median lethal concentrations for imidacloprid, clothianidin, and thiamethoxam were 1.52 μg/L, 2.41 μg/L, and 23.60 μg/L, respectively. The 40-d median effect concentrations (emergence) for imidacloprid, clothianidin, and thiamethoxam were 0.39 μg/L, 0.28 μg/L, and 4.13 μg/L, respectively. Toxic equivalence relative to imidacloprid was estimated through a 3-point response average of equivalencies calculated at 20%, 50%, and 90% lethal and effect concentrations. Relative to imidacloprid (toxic equivalency factor [TEF] = 1.0), chronic (lethality) 14-d TEFs for clothianidin and thiamethoxam were 1.05 and 0.14, respectively, and chronic (emergence inhibition) 40-d TEFs were 1.62 and 0.11, respectively. These population-relevant endpoints and TEFs suggest that imidacloprid and clothianidin exert comparable chronic toxicity to C. dilutus, whereas thiamethoxam induced comparable effects only at concentrations an order of magnitude higher. However, the authors caution that under field conditions, thiamethoxam readily degrades to clothianidin, thereby likely enhancing toxicity. Environ Toxicol Chem 2017;36:372–382. © 2016 SETAC.","author":[{"dropping-particle":"","family":"Cavallaro","given":"Michael C.","non-dropping-particle":"","parse-names":false,"suffix":""},{"dropping-particle":"","family":"Morrissey","given":"Christy A.","non-dropping-particle":"","parse-names":false,"suffix":""},{"dropping-particle":"V.","family":"Headley","given":"John","non-dropping-particle":"","parse-names":false,"suffix":""},{"dropping-particle":"","family":"Peru","given":"Kerry M.","non-dropping-particle":"","parse-names":false,"suffix":""},{"dropping-particle":"","family":"Liber","given":"Karsten","non-dropping-particle":"","parse-names":false,"suffix":""}],"container-title":"Environmental Toxicology and Chemistry","id":"ITEM-1","issue":"2","issued":{"date-parts":[["2017"]]},"note":"REJECT. Chronic study with no acute comparison.\nMight be an honorable mention since it's a good study.\n\nThis is a very good article. I think I can use 40 Day LC50's. Not sure about sex ratio endpoint...","page":"372-382","title":"Comparative chronic toxicity of imidacloprid, clothianidin, and thiamethoxam to Chironomus dilutus and estimation of toxic equivalency factors","type":"article-journal","volume":"36"},"uris":["http://www.mendeley.com/documents/?uuid=87131076-391f-403a-9b71-c43d9ba4cf93"]}],"mendeley":{"formattedCitation":"(Cavallaro et al., 2017)","plainTextFormattedCitation":"(Cavallaro et al., 2017)","previouslyFormattedCitation":"(Cavallaro et al., 2017)"},"properties":{"noteIndex":0},"schema":"https://github.com/citation-style-language/schema/raw/master/csl-citation.json"}</w:instrText>
            </w:r>
            <w:r>
              <w:fldChar w:fldCharType="separate"/>
            </w:r>
            <w:r w:rsidRPr="003B367B">
              <w:rPr>
                <w:b w:val="0"/>
                <w:bCs w:val="0"/>
                <w:noProof/>
              </w:rPr>
              <w:t>(Cavallaro et al., 2017)</w:t>
            </w:r>
            <w:r>
              <w:fldChar w:fldCharType="end"/>
            </w:r>
          </w:p>
        </w:tc>
        <w:tc>
          <w:tcPr>
            <w:tcW w:w="602" w:type="pct"/>
          </w:tcPr>
          <w:p w14:paraId="25CFA1F9"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NO ACR</w:t>
            </w:r>
          </w:p>
        </w:tc>
        <w:tc>
          <w:tcPr>
            <w:tcW w:w="2542" w:type="pct"/>
          </w:tcPr>
          <w:p w14:paraId="29858402"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p>
        </w:tc>
      </w:tr>
      <w:tr w:rsidR="006028FA" w:rsidRPr="00F37F1E" w14:paraId="45E8A9CA"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066F310C" w14:textId="77777777" w:rsidR="006028FA" w:rsidRPr="00F37F1E" w:rsidRDefault="006028FA" w:rsidP="00FF13D1">
            <w:pPr>
              <w:rPr>
                <w:b w:val="0"/>
                <w:bCs w:val="0"/>
              </w:rPr>
            </w:pPr>
            <w:r>
              <w:fldChar w:fldCharType="begin" w:fldLock="1"/>
            </w:r>
            <w:r>
              <w:rPr>
                <w:b w:val="0"/>
                <w:bCs w:val="0"/>
              </w:rPr>
              <w:instrText>ADDIN CSL_CITATION {"citationItems":[{"id":"ITEM-1","itemData":{"DOI":"10.1007/s00244-021-00840-4","ISBN":"0123456789","ISSN":"14320703","PMID":"33880625","abstract":"This research investigated the adverse effects of neonicotinoids on the Northwestern salamander (Ambystoma gracile; NWS) after acute and subchronic exposures during early aquatic life stages via whole organism (i.e., growth, development) and molecular (i.e., gene expression) level endpoints. In a 96-h exposure, NWS larvae were exposed to four imidacloprid concentrations (250, 750, 2250, 6750 µg/L) and a water control treatment, and no effects on survival, body weight, snout-vent length (SVL), and total body length were observed. However, a significant 1.70- and 2.33-fold decrease in thyroid receptor β (TRβ) mRNA expression levels were detected in the larvae exposed to 750 and 2250 µg/L imidacloprid, respectively, compared with the larvae in the water control. In subsequent subchronic experiments, NWS larvae were exposed for 35 days to imidacloprid alone and an equal part mixture of neonicotinoids (imidacloprid, clothianidin, and thiamethoxam (ICT)) at three concentrations (10, 100 and 1000 µg total neonicotinoids/L) and a water control. In these experiments, there were no effects on larval survival, body weight, SVL, and total body length. However, advanced development of larvae in the 100 µg/L imidacloprid treatment was observed compared with the control after 35-day imidacloprid exposure, providing some evidence of disruption of the thyroid endocrine axis at an environmentally relevant concentration. Ultimately, there is a paucity of studies conducted examining the sensitivity of salamanders to pollutants; thus, this study reports novel findings that will contribute to understanding the sensitivity of a Caudate amphibian model to a common environmental pollutant.","author":[{"dropping-particle":"","family":"Danis","given":"Blake E.G.","non-dropping-particle":"","parse-names":false,"suffix":""},{"dropping-particle":"","family":"Marlatt","given":"Vicki L.","non-dropping-particle":"","parse-names":false,"suffix":""}],"container-title":"Archives of Environmental Contamination and Toxicology","id":"ITEM-1","issue":"4","issued":{"date-parts":[["2021"]]},"note":"Accept with reservations - IMI. No dose response curve established. \n\nReject for Clothianidin and Thiamethoxam - tested it as mixture only. \n\nThis paper indicates imidacloprid has no acute/chronic toxicity below 6750 ug/L or 6.75 mg/L. \n\nThis paper will not influence aquatic life value, but should be included to show we reviewed a salamander species.","page":"691-707","publisher":"Springer US","title":"Investigating Acute and Subchronic Effects of Neonicotinoids on Northwestern Salamander Larvae","type":"article-journal","volume":"80"},"uris":["http://www.mendeley.com/documents/?uuid=903af3d2-fcbc-41a4-adf7-caa5b58ba40a"]}],"mendeley":{"formattedCitation":"(Danis and Marlatt, 2021)","plainTextFormattedCitation":"(Danis and Marlatt, 2021)","previouslyFormattedCitation":"(Danis and Marlatt, 2021)"},"properties":{"noteIndex":0},"schema":"https://github.com/citation-style-language/schema/raw/master/csl-citation.json"}</w:instrText>
            </w:r>
            <w:r>
              <w:fldChar w:fldCharType="separate"/>
            </w:r>
            <w:r w:rsidRPr="003B367B">
              <w:rPr>
                <w:b w:val="0"/>
                <w:bCs w:val="0"/>
                <w:noProof/>
              </w:rPr>
              <w:t>(Danis and Marlatt, 2021)</w:t>
            </w:r>
            <w:r>
              <w:fldChar w:fldCharType="end"/>
            </w:r>
          </w:p>
        </w:tc>
        <w:tc>
          <w:tcPr>
            <w:tcW w:w="602" w:type="pct"/>
          </w:tcPr>
          <w:p w14:paraId="72B95095"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MIXTURE</w:t>
            </w:r>
          </w:p>
        </w:tc>
        <w:tc>
          <w:tcPr>
            <w:tcW w:w="2542" w:type="pct"/>
          </w:tcPr>
          <w:p w14:paraId="4A554FF1"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Used formulation</w:t>
            </w:r>
          </w:p>
        </w:tc>
      </w:tr>
      <w:tr w:rsidR="006028FA" w:rsidRPr="00F37F1E" w14:paraId="794EEB62"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09C6910A" w14:textId="77777777" w:rsidR="006028FA" w:rsidRDefault="006028FA" w:rsidP="00FF13D1">
            <w:pPr>
              <w:rPr>
                <w:b w:val="0"/>
                <w:bCs w:val="0"/>
              </w:rPr>
            </w:pPr>
            <w:r>
              <w:fldChar w:fldCharType="begin" w:fldLock="1"/>
            </w:r>
            <w:r>
              <w:rPr>
                <w:b w:val="0"/>
                <w:bCs w:val="0"/>
              </w:rPr>
              <w:instrText>ADDIN CSL_CITATION {"citationItems":[{"id":"ITEM-1","itemData":{"author":[{"dropping-particle":"","family":"Drottar","given":"Kurt R","non-dropping-particle":"","parse-names":false,"suffix":""},{"dropping-particle":"","family":"Graves","given":"William C","non-dropping-particle":"","parse-names":false,"suffix":""},{"dropping-particle":"","family":"Swigert","given":"James P","non-dropping-particle":"","parse-names":false,"suffix":""}],"id":"ITEM-1","issued":{"date-parts":[["1997"]]},"note":"Accept, but Chronic study with no paired study to develop ACR. This is an early life stage test, not full life cycle (reprodcution not included)\n\nMATC &amp;gt;20 mg/L","title":"CGA-293343: An Early Life-Stage Toxicity Test with the Rainbow Trout (Oncorhynchus mykiss)","type":"report","volume":"EPA MRID:4"},"uris":["http://www.mendeley.com/documents/?uuid=bc019991-b1ef-41ca-b090-0d7cc8bab2d5"]}],"mendeley":{"formattedCitation":"(Drottar et al., 1997)","plainTextFormattedCitation":"(Drottar et al., 1997)","previouslyFormattedCitation":"(Drottar et al., 1997)"},"properties":{"noteIndex":0},"schema":"https://github.com/citation-style-language/schema/raw/master/csl-citation.json"}</w:instrText>
            </w:r>
            <w:r>
              <w:fldChar w:fldCharType="separate"/>
            </w:r>
            <w:r w:rsidRPr="00CB3DC6">
              <w:rPr>
                <w:b w:val="0"/>
                <w:bCs w:val="0"/>
                <w:noProof/>
              </w:rPr>
              <w:t>(Drottar et al., 1997)</w:t>
            </w:r>
            <w:r>
              <w:fldChar w:fldCharType="end"/>
            </w:r>
          </w:p>
        </w:tc>
        <w:tc>
          <w:tcPr>
            <w:tcW w:w="602" w:type="pct"/>
          </w:tcPr>
          <w:p w14:paraId="21B6DA44"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NO ACR</w:t>
            </w:r>
          </w:p>
        </w:tc>
        <w:tc>
          <w:tcPr>
            <w:tcW w:w="2542" w:type="pct"/>
          </w:tcPr>
          <w:p w14:paraId="7EE02DED"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p>
        </w:tc>
      </w:tr>
      <w:tr w:rsidR="006028FA" w:rsidRPr="00F37F1E" w14:paraId="3C91D907"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63A90C68" w14:textId="77777777" w:rsidR="006028FA" w:rsidRPr="00F37F1E" w:rsidRDefault="006028FA" w:rsidP="00FF13D1">
            <w:r>
              <w:fldChar w:fldCharType="begin" w:fldLock="1"/>
            </w:r>
            <w:r>
              <w:instrText>ADDIN CSL_CITATION {"citationItems":[{"id":"ITEM-1","itemData":{"author":[{"dropping-particle":"","family":"Drottar","given":"Kurt R","non-dropping-particle":"","parse-names":false,"suffix":""},{"dropping-particle":"","family":"Swigert","given":"James P","non-dropping-particle":"","parse-names":false,"suffix":""}],"id":"ITEM-1","issued":{"date-parts":[["1997"]]},"note":"Reject - Saltwater species","title":"CGA-293343: A 96-Hour Flow-Through Acute Toxicity Test with the Saltwater Mysid (Mysidopsis bahia)","type":"report","volume":"EPA MRID:"},"uris":["http://www.mendeley.com/documents/?uuid=918950c5-ab57-4af4-8e2f-a99aa16ea08b"]}],"mendeley":{"formattedCitation":"(Drottar and Swigert, 1997a)","plainTextFormattedCitation":"(Drottar and Swigert, 1997a)","previouslyFormattedCitation":"(Drottar and Swigert, 1997a)"},"properties":{"noteIndex":0},"schema":"https://github.com/citation-style-language/schema/raw/master/csl-citation.json"}</w:instrText>
            </w:r>
            <w:r>
              <w:fldChar w:fldCharType="separate"/>
            </w:r>
            <w:r w:rsidRPr="00132B28">
              <w:rPr>
                <w:b w:val="0"/>
                <w:noProof/>
              </w:rPr>
              <w:t>(Drottar and Swigert, 1997a)</w:t>
            </w:r>
            <w:r>
              <w:fldChar w:fldCharType="end"/>
            </w:r>
          </w:p>
        </w:tc>
        <w:tc>
          <w:tcPr>
            <w:tcW w:w="602" w:type="pct"/>
          </w:tcPr>
          <w:p w14:paraId="674DCAB8"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2E66E5FD"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Marine species</w:t>
            </w:r>
          </w:p>
        </w:tc>
      </w:tr>
      <w:tr w:rsidR="006028FA" w:rsidRPr="00F37F1E" w14:paraId="307F18EC"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423FAB46" w14:textId="77777777" w:rsidR="006028FA" w:rsidRPr="00F37F1E" w:rsidRDefault="006028FA" w:rsidP="00FF13D1">
            <w:pPr>
              <w:rPr>
                <w:b w:val="0"/>
                <w:bCs w:val="0"/>
              </w:rPr>
            </w:pPr>
            <w:r>
              <w:fldChar w:fldCharType="begin" w:fldLock="1"/>
            </w:r>
            <w:r>
              <w:rPr>
                <w:b w:val="0"/>
                <w:bCs w:val="0"/>
              </w:rPr>
              <w:instrText>ADDIN CSL_CITATION {"citationItems":[{"id":"ITEM-1","itemData":{"author":[{"dropping-particle":"","family":"Drottar","given":"Kurt R","non-dropping-particle":"","parse-names":false,"suffix":""},{"dropping-particle":"","family":"Swigert","given":"James P","non-dropping-particle":"","parse-names":false,"suffix":""}],"id":"ITEM-1","issued":{"date-parts":[["1997"]]},"note":"Can't use saltwater species for tier I derivation, reject.","title":"CGA-29334: A 96-Hour Flow-Through Acute Toxicity Test with the Sheepshead Minnow (Cyprinodon variegatus)","type":"report","volume":"EPA MRID 4"},"uris":["http://www.mendeley.com/documents/?uuid=e52a7b20-f202-45fe-881f-35773684e411"]}],"mendeley":{"formattedCitation":"(Drottar and Swigert, 1997b)","plainTextFormattedCitation":"(Drottar and Swigert, 1997b)","previouslyFormattedCitation":"(Drottar and Swigert, 1997b)"},"properties":{"noteIndex":0},"schema":"https://github.com/citation-style-language/schema/raw/master/csl-citation.json"}</w:instrText>
            </w:r>
            <w:r>
              <w:fldChar w:fldCharType="separate"/>
            </w:r>
            <w:r w:rsidRPr="00132B28">
              <w:rPr>
                <w:b w:val="0"/>
                <w:bCs w:val="0"/>
                <w:noProof/>
              </w:rPr>
              <w:t>(Drottar and Swigert, 1997b)</w:t>
            </w:r>
            <w:r>
              <w:fldChar w:fldCharType="end"/>
            </w:r>
          </w:p>
        </w:tc>
        <w:tc>
          <w:tcPr>
            <w:tcW w:w="602" w:type="pct"/>
          </w:tcPr>
          <w:p w14:paraId="1F9A6C15"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02311855"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Marine species</w:t>
            </w:r>
          </w:p>
        </w:tc>
      </w:tr>
      <w:tr w:rsidR="006028FA" w:rsidRPr="00F37F1E" w14:paraId="0B448C7D"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16EBD760" w14:textId="77777777" w:rsidR="006028FA" w:rsidRPr="00F37F1E" w:rsidRDefault="006028FA" w:rsidP="00FF13D1">
            <w:r>
              <w:fldChar w:fldCharType="begin" w:fldLock="1"/>
            </w:r>
            <w:r>
              <w:instrText>ADDIN CSL_CITATION {"citationItems":[{"id":"ITEM-1","itemData":{"DOI":"10.1007/s11270-018-3994-8","ISSN":"15732932","abstract":"Thiamethoxam (TMX) is one of the most widely used neonicotinoid insecticides for pest control in agricultural crops. However, information on its acute and chronic toxicity for freshwater non-target insects is still limited. We aimed to evaluate the lethal and sub-lethal effects of TMX-based insecticide on Chironomus xanthus using laboratory ecotoxicological assays. Besides survival, 28-day partial life-cycle tests assessed the effects of chronic exposures on larval growth and emergence of midges. The estimated 48-h LC50 was 32 μg a. i./L of TMX. Chronic tests revealed that chironomids exposed to sub-lethal concentrations of TMX showed reduced larval growth (LOEC = 0.4 and 1.6 μg a.i/L of TMX for head capsule width and growth rate, respectively) and emergence rate (LOEC of 1.6 μg a.i/L of TMX). This study provides important ecotoxicological data concerning effects of TMX-based insecticides on tropical ecosystems and reveals that environmentally relevant concentrations of TMX can adversely affect chironomids populations. Our study also validates C. xanthus as a sensitive species to monitor the ecological integrity of tropical aquatic systems near intensive agricultural areas and to help understand the effects caused by TMX on freshwater insects.","author":[{"dropping-particle":"","family":"Ferreira-Junior","given":"Diogenis F.","non-dropping-particle":"","parse-names":false,"suffix":""},{"dropping-particle":"","family":"Sarmento","given":"Renato Almeida","non-dropping-particle":"","parse-names":false,"suffix":""},{"dropping-particle":"","family":"Saraiva","given":"Althiéris S.","non-dropping-particle":"","parse-names":false,"suffix":""},{"dropping-particle":"","family":"Dornelas","given":"Aline S.P.","non-dropping-particle":"","parse-names":false,"suffix":""},{"dropping-particle":"","family":"Pestana","given":"João L.T.","non-dropping-particle":"","parse-names":false,"suffix":""},{"dropping-particle":"","family":"Soares","given":"Amadeu M.V.M.","non-dropping-particle":"","parse-names":false,"suffix":""}],"container-title":"Water, Air, and Soil Pollution","id":"ITEM-1","issue":"11","issued":{"date-parts":[["2018"]]},"note":"Reject. Used a formulation. Unusre if C xanthus is native or not.\n\nHonorable mention. Chironomids really sensitive, \n48-hr LC50 = 32 ug/L\nLoEC (28-d chronic) = 1.6 ug/L","title":"Effects of a Thiamethoxam-Based Insecticide on the Life History of Chironomus xanthus","type":"article-journal","volume":"229"},"uris":["http://www.mendeley.com/documents/?uuid=3dae1c05-4764-43a1-8011-5d391516b9e5"]}],"mendeley":{"formattedCitation":"(Ferreira-Junior et al., 2018)","plainTextFormattedCitation":"(Ferreira-Junior et al., 2018)","previouslyFormattedCitation":"(Ferreira-Junior et al., 2018)"},"properties":{"noteIndex":0},"schema":"https://github.com/citation-style-language/schema/raw/master/csl-citation.json"}</w:instrText>
            </w:r>
            <w:r>
              <w:fldChar w:fldCharType="separate"/>
            </w:r>
            <w:r w:rsidRPr="00132B28">
              <w:rPr>
                <w:b w:val="0"/>
                <w:noProof/>
              </w:rPr>
              <w:t>(Ferreira-Junior et al., 2018)</w:t>
            </w:r>
            <w:r>
              <w:fldChar w:fldCharType="end"/>
            </w:r>
          </w:p>
        </w:tc>
        <w:tc>
          <w:tcPr>
            <w:tcW w:w="602" w:type="pct"/>
          </w:tcPr>
          <w:p w14:paraId="70B24CD9"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MIXTURE</w:t>
            </w:r>
          </w:p>
        </w:tc>
        <w:tc>
          <w:tcPr>
            <w:tcW w:w="2542" w:type="pct"/>
          </w:tcPr>
          <w:p w14:paraId="033B0BE9"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Used formulation</w:t>
            </w:r>
          </w:p>
        </w:tc>
      </w:tr>
      <w:tr w:rsidR="006028FA" w:rsidRPr="00F37F1E" w14:paraId="7B1C6555"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5FCE5CA5" w14:textId="77777777" w:rsidR="006028FA" w:rsidRPr="00F37F1E" w:rsidRDefault="006028FA" w:rsidP="00FF13D1">
            <w:pPr>
              <w:rPr>
                <w:b w:val="0"/>
                <w:bCs w:val="0"/>
              </w:rPr>
            </w:pPr>
            <w:r>
              <w:fldChar w:fldCharType="begin" w:fldLock="1"/>
            </w:r>
            <w:r>
              <w:rPr>
                <w:b w:val="0"/>
                <w:bCs w:val="0"/>
              </w:rPr>
              <w:instrText>ADDIN CSL_CITATION {"citationItems":[{"id":"ITEM-1","itemData":{"author":[{"dropping-particle":"","family":"Grade","given":"R.","non-dropping-particle":"","parse-names":false,"suffix":""}],"id":"ITEM-1","issued":{"date-parts":[["1998"]]},"note":"Reject. This is a spiked sediment study.\n\n30-day study.\n\nNOEC = 0.01 mg/L or 10 ug/L\nEC50 = 11 ug/L and 10 ug/L\nEC50 = 0.11 mg/kg dry weight","title":"Toxicity Test of CGA-293343 Technical on Sediment-Dwelling Chironomus riparius (syn. Chironomus thummi) under Static Conditions","type":"report","volume":"EPA MRID: "},"uris":["http://www.mendeley.com/documents/?uuid=ba5201da-559c-49ff-9a1f-0671ed1819e5"]}],"mendeley":{"formattedCitation":"(Grade, 1998)","plainTextFormattedCitation":"(Grade, 1998)","previouslyFormattedCitation":"(Grade, 1998)"},"properties":{"noteIndex":0},"schema":"https://github.com/citation-style-language/schema/raw/master/csl-citation.json"}</w:instrText>
            </w:r>
            <w:r>
              <w:fldChar w:fldCharType="separate"/>
            </w:r>
            <w:r w:rsidRPr="00132B28">
              <w:rPr>
                <w:b w:val="0"/>
                <w:bCs w:val="0"/>
                <w:noProof/>
              </w:rPr>
              <w:t>(Grade, 1998)</w:t>
            </w:r>
            <w:r>
              <w:fldChar w:fldCharType="end"/>
            </w:r>
          </w:p>
        </w:tc>
        <w:tc>
          <w:tcPr>
            <w:tcW w:w="602" w:type="pct"/>
          </w:tcPr>
          <w:p w14:paraId="0AC5107C"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NS TT</w:t>
            </w:r>
          </w:p>
        </w:tc>
        <w:tc>
          <w:tcPr>
            <w:tcW w:w="2542" w:type="pct"/>
          </w:tcPr>
          <w:p w14:paraId="4516147A" w14:textId="77777777" w:rsidR="006028FA" w:rsidRPr="00170FA5" w:rsidRDefault="006028FA" w:rsidP="00FF13D1">
            <w:pPr>
              <w:cnfStyle w:val="000000100000" w:firstRow="0" w:lastRow="0" w:firstColumn="0" w:lastColumn="0" w:oddVBand="0" w:evenVBand="0" w:oddHBand="1" w:evenHBand="0" w:firstRowFirstColumn="0" w:firstRowLastColumn="0" w:lastRowFirstColumn="0" w:lastRowLastColumn="0"/>
            </w:pPr>
            <w:r>
              <w:t>Sediment study</w:t>
            </w:r>
          </w:p>
        </w:tc>
      </w:tr>
      <w:tr w:rsidR="006028FA" w:rsidRPr="00F37F1E" w14:paraId="669B5E00"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0B6865FE" w14:textId="77777777" w:rsidR="006028FA" w:rsidRPr="00F37F1E" w:rsidRDefault="006028FA" w:rsidP="00FF13D1">
            <w:r>
              <w:fldChar w:fldCharType="begin" w:fldLock="1"/>
            </w:r>
            <w:r>
              <w:instrText>ADDIN CSL_CITATION {"citationItems":[{"id":"ITEM-1","itemData":{"DOI":"10.1002/etc.4556","ISSN":"15528618","PMID":"31373707","abstract":"Neonicotinoid insecticides have been shown to have high chronic toxicity relative to acute toxicity, and therefore short-term toxicity tests ≤96 h in duration may underestimate their environmental risks. Among nontarget aquatic invertebrates, insects of the orders Diptera and Ephemeroptera have been found to be the most sensitive to neonicotinoids. To undertake a more accurate assessment of the risks posed by neonicotinoids to freshwater ecosystems, more data are needed from long-term tests employing the most sensitive taxa. Using nymphs of the common New Zealand mayfly genus Deleatidium spp., we performed 28-d static-renewal exposures with the widely used neonicotinoids imidacloprid, clothianidin, and thiamethoxam. We monitored survival, immobility, impairment, and mayfly moulting propensity at varying time points throughout the experiment. Imidacloprid and clothianidin exerted strong chronic toxicity effects on Deleatidium nymphs, with 28-d median lethal concentrations (LC50s) of 0.28 and 1.36 µg/L, respectively, whereas thiamethoxam was the least toxic, with a 28-d LC50 &gt; 4 µg/L (highest concentration tested). Mayfly moulting propensity was also negatively affected by clothianidin (during 3 of 4 wk), imidacloprid (2 of 4 wk), and thiamethoxam (1 of 4 wk). Comparisons with published neonicotinoid chronic toxicity data for other mayfly taxa and larvae of the midge genus Chironomus showed similar sensitivities for mayflies and midges, suggesting that experiments using these taxa provide reliable assessments of the threats of neonicotinoids to the most vulnerable freshwater species. Environ Toxicol Chem 2019;38:2459–2471. © 2019 SETAC.","author":[{"dropping-particle":"","family":"Macaulay","given":"Samuel J.","non-dropping-particle":"","parse-names":false,"suffix":""},{"dropping-particle":"","family":"Hageman","given":"Kimberly J.","non-dropping-particle":"","parse-names":false,"suffix":""},{"dropping-particle":"","family":"Alumbaugh","given":"Robert E.","non-dropping-particle":"","parse-names":false,"suffix":""},{"dropping-particle":"","family":"Lyons","given":"Sean M.","non-dropping-particle":"","parse-names":false,"suffix":""},{"dropping-particle":"","family":"Piggott","given":"Jeremy J.","non-dropping-particle":"","parse-names":false,"suffix":""},{"dropping-particle":"","family":"Matthaei","given":"Christoph D.","non-dropping-particle":"","parse-names":false,"suffix":""}],"container-title":"Environmental Toxicology and Chemistry","id":"ITEM-1","issue":"11","issued":{"date-parts":[["2019"]]},"note":"Reject. Deleatidium sp. is endemic to New Zealand. Honorable mention due to low LC50 28-d chronic value of 0.28 ug/L\n\nIMI, CLOT, THIA","page":"2459-2471","publisher":"John Wiley &amp; Sons, Ltd","title":"Chronic Toxicities of Neonicotinoids to Nymphs of the Common New Zealand Mayfly Deleatidium spp.","type":"article-journal","volume":"38"},"uris":["http://www.mendeley.com/documents/?uuid=c7c4ce3b-b14d-4ac5-ab98-4bbd6dec3f10"]}],"mendeley":{"formattedCitation":"(Macaulay et al., 2019)","plainTextFormattedCitation":"(Macaulay et al., 2019)","previouslyFormattedCitation":"(Macaulay et al., 2019)"},"properties":{"noteIndex":0},"schema":"https://github.com/citation-style-language/schema/raw/master/csl-citation.json"}</w:instrText>
            </w:r>
            <w:r>
              <w:fldChar w:fldCharType="separate"/>
            </w:r>
            <w:r w:rsidRPr="00132B28">
              <w:rPr>
                <w:b w:val="0"/>
                <w:noProof/>
              </w:rPr>
              <w:t>(Macaulay et al., 2019)</w:t>
            </w:r>
            <w:r>
              <w:fldChar w:fldCharType="end"/>
            </w:r>
          </w:p>
        </w:tc>
        <w:tc>
          <w:tcPr>
            <w:tcW w:w="602" w:type="pct"/>
          </w:tcPr>
          <w:p w14:paraId="3F1D7B58"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6911B00A" w14:textId="77777777" w:rsidR="006028FA" w:rsidRPr="00170FA5" w:rsidRDefault="006028FA" w:rsidP="00FF13D1">
            <w:pPr>
              <w:cnfStyle w:val="000000000000" w:firstRow="0" w:lastRow="0" w:firstColumn="0" w:lastColumn="0" w:oddVBand="0" w:evenVBand="0" w:oddHBand="0" w:evenHBand="0" w:firstRowFirstColumn="0" w:firstRowLastColumn="0" w:lastRowFirstColumn="0" w:lastRowLastColumn="0"/>
            </w:pPr>
            <w:r>
              <w:t>Non-resident species</w:t>
            </w:r>
          </w:p>
        </w:tc>
      </w:tr>
      <w:tr w:rsidR="006028FA" w:rsidRPr="00F37F1E" w14:paraId="3B745C76"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71721531" w14:textId="77777777" w:rsidR="006028FA" w:rsidRPr="00F37F1E" w:rsidRDefault="006028FA" w:rsidP="00FF13D1">
            <w:r>
              <w:fldChar w:fldCharType="begin" w:fldLock="1"/>
            </w:r>
            <w:r>
              <w:instrText>ADDIN CSL_CITATION {"citationItems":[{"id":"ITEM-1","itemData":{"DOI":"10.1016/j.envpol.2018.09.008","ISSN":"18736424","PMID":"30408860","abstract":"Neonicotinoid insecticide mixtures are frequently detected in aquatic environments in agricultural regions. Recent laboratory studies have indicated that neonicotinoid mixtures can elicit greater-than-additive toxicity in sensitive aquatic insects (e.g. Chironomus dilutus). However, this has yet to be validated under field conditions. In this study, we compared the chronic (28- and 56-day) toxicity of three neonicotinoids (imidacloprid, clothianidin, and thiamethoxam) and their mixtures to natural aquatic insect communities. Using experimental in-situ enclosures (limnocorrals), we exposed wetland insects to single-compounds and binary mixtures at equitoxic concentrations (1 toxic unit under the principle of Concentration Addition). We assessed the composition of all emerged insect taxa and the cumulative Chironomidae emergence and biomass over time. In treated limnocorrals, there were subtle shifts in community composition, with greater mean proportions of emergent Trichoptera and Odonata. Cumulative emergence and biomass increased over time and there was a significant interaction between time and treatment. At 28 days, cumulative Chironomidae emergence and biomass were not significantly different between neonicotinoid treatments and controls. However, cumulative emergence in the imidacloprid, clothianidin, and clothianidin-thiamethoxam treatments were 42%, 20%, and 44% lower than predicted from applied doses. At 56 days, effects on cumulative emergence and biomass were significant for imidacloprid, clothianidin, and the clothianidin-thiamethoxam mixture. Contrary to laboratory predictions, mixtures were not more toxic than single compounds under semi-controlled field settings. Furthermore, only clothianidin significantly shifted sex-ratios towards female-dominated populations. Results showed that the responses of natural Chironomidae populations to neonicotinoids and their mixtures cannot be adequately predicted from laboratory-derived single-species models, and although occasional overdosing may have influenced the magnitude of effects, reductions in Chironomidae emergence and biomass can occur at average neonicotinoid concentrations below some current water quality guidelines. Therefore, neonicotinoid guidelines should be revised to ensure that Chironomidae and other sensitive aquatic insects inhabiting agricultural wetlands are adequately protected. Lab-derived, single species models cannot adequately predict single compound and neonicotinoid mixtur…","author":[{"dropping-particle":"","family":"Maloney","given":"E. M.","non-dropping-particle":"","parse-names":false,"suffix":""},{"dropping-particle":"","family":"Liber","given":"K.","non-dropping-particle":"","parse-names":false,"suffix":""},{"dropping-particle":"V.","family":"Headley","given":"J.","non-dropping-particle":"","parse-names":false,"suffix":""},{"dropping-particle":"","family":"Peru","given":"K. M.","non-dropping-particle":"","parse-names":false,"suffix":""},{"dropping-particle":"","family":"Morrissey","given":"C. A.","non-dropping-particle":"","parse-names":false,"suffix":""}],"container-title":"Environmental Pollution","id":"ITEM-1","issued":{"date-parts":[["2018"]]},"note":"Reject. This is a field study - limnocorral","page":"1727-1739","publisher":"Elsevier Ltd","title":"Neonicotinoid insecticide mixtures: Evaluation of laboratory-based toxicity predictions under semi-controlled field conditions","type":"article-journal","volume":"243"},"uris":["http://www.mendeley.com/documents/?uuid=349d17c7-34b2-47da-884d-6bbb9e61ecf2"]}],"mendeley":{"formattedCitation":"(Maloney et al., 2018a)","plainTextFormattedCitation":"(Maloney et al., 2018a)","previouslyFormattedCitation":"(Maloney et al., 2018a)"},"properties":{"noteIndex":0},"schema":"https://github.com/citation-style-language/schema/raw/master/csl-citation.json"}</w:instrText>
            </w:r>
            <w:r>
              <w:fldChar w:fldCharType="separate"/>
            </w:r>
            <w:r w:rsidRPr="00132B28">
              <w:rPr>
                <w:b w:val="0"/>
                <w:noProof/>
              </w:rPr>
              <w:t>(Maloney et al., 2018a)</w:t>
            </w:r>
            <w:r>
              <w:fldChar w:fldCharType="end"/>
            </w:r>
          </w:p>
        </w:tc>
        <w:tc>
          <w:tcPr>
            <w:tcW w:w="602" w:type="pct"/>
          </w:tcPr>
          <w:p w14:paraId="40A3E7EB"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NS TT</w:t>
            </w:r>
          </w:p>
        </w:tc>
        <w:tc>
          <w:tcPr>
            <w:tcW w:w="2542" w:type="pct"/>
          </w:tcPr>
          <w:p w14:paraId="6B050A98" w14:textId="77777777" w:rsidR="006028FA" w:rsidRPr="00170FA5" w:rsidRDefault="006028FA" w:rsidP="00FF13D1">
            <w:pPr>
              <w:cnfStyle w:val="000000100000" w:firstRow="0" w:lastRow="0" w:firstColumn="0" w:lastColumn="0" w:oddVBand="0" w:evenVBand="0" w:oddHBand="1" w:evenHBand="0" w:firstRowFirstColumn="0" w:firstRowLastColumn="0" w:lastRowFirstColumn="0" w:lastRowLastColumn="0"/>
            </w:pPr>
            <w:r>
              <w:t>Field study using Limno-corrals</w:t>
            </w:r>
          </w:p>
        </w:tc>
      </w:tr>
      <w:tr w:rsidR="006028FA" w:rsidRPr="00F37F1E" w14:paraId="1035A92F"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7A0BDC6D" w14:textId="77777777" w:rsidR="006028FA" w:rsidRPr="00F37F1E" w:rsidRDefault="006028FA" w:rsidP="00FF13D1">
            <w:pPr>
              <w:rPr>
                <w:b w:val="0"/>
                <w:bCs w:val="0"/>
              </w:rPr>
            </w:pPr>
            <w:r>
              <w:fldChar w:fldCharType="begin" w:fldLock="1"/>
            </w:r>
            <w:r>
              <w:rPr>
                <w:b w:val="0"/>
                <w:bCs w:val="0"/>
              </w:rPr>
              <w:instrText>ADDIN CSL_CITATION {"citationItems":[{"id":"ITEM-1","itemData":{"DOI":"10.1016/j.ecoenv.2018.03.003","ISSN":"10902414","PMID":"29573726","abstract":"Widespread agricultural use of neonicotinoid insecticides has resulted in frequent detection of mixtures of these compounds in global surface waters. Recent evidence suggests that neonicotinoid mixtures can elicit synergistic toxicity in aquatic insects under acute exposure conditions, however this has not been validated for longer exposures more commonly encountered in the environment. Therefore, we aimed to characterize the chronic (28-day) toxicity of imidacloprid, clothianidin, and thiamethoxam mixtures under different doses and mixture ratios to determine if the assumption of synergistic toxicity would hold under more environmentally realistic exposure settings. The sensitive aquatic insect Chironomus dilutus was used as a representative test species, and successful emergence was used as a chronic endpoint. Applying the MIXTOX modeling approach, predictive parametric models were fitted using single-compound toxicity data and statistically compared to observed toxicity in subsequent mixture tests. Imidacloprid-clothianidin, clothianidin-thiamethoxam and imidacloprid-clothianidin-thiamethoxam mixtures did not significantly deviate from concentration-additive toxicity. However, the cumulative toxicity of the imidacloprid-thiamethoxam mixture deviated from the concentration-additive reference model, displaying dose-ratio dependent synergism and resulting in up to a 10% greater reduction in emergence from that predicted by concentration addition. Furthermore, exposure to select neonicotinoid mixtures above 1.0 toxic unit tended to shift sex-ratios toward more male-dominated populations. Results indicate that, similar to acute exposures, the general assumption of joint additivity cannot adequately describe chronic cumulative toxicity of all neonicotinoid mixtures. Indeed, our observations of weak synergism and sex-ratio shifts elicited by some mixture combinations should be considered in water quality guideline development and environmental risk assessment practices for neonicotinoid insecticides, and explored in further investigations of the effects of neonicotinoid mixtures on aquatic communities.","author":[{"dropping-particle":"","family":"Maloney","given":"E. M.","non-dropping-particle":"","parse-names":false,"suffix":""},{"dropping-particle":"","family":"Morrissey","given":"C. A.","non-dropping-particle":"","parse-names":false,"suffix":""},{"dropping-particle":"V.","family":"Headley","given":"J.","non-dropping-particle":"","parse-names":false,"suffix":""},{"dropping-particle":"","family":"Peru","given":"K. M.","non-dropping-particle":"","parse-names":false,"suffix":""},{"dropping-particle":"","family":"Liber","given":"K.","non-dropping-particle":"","parse-names":false,"suffix":""}],"container-title":"Ecotoxicology and Environmental Safety","id":"ITEM-1","issue":"August","issued":{"date-parts":[["2018"]]},"note":"REJECT. This is sister paper to accepted study. No ORIG\n\nThis is a sister paper to their other one looking at acute toxicity.","page":"354-365","publisher":"Elsevier Inc.","title":"Can chronic exposure to imidacloprid, clothianidin, and thiamethoxam mixtures exert greater than additive toxicity in Chironomus dilutus?","type":"article-journal","volume":"156"},"uris":["http://www.mendeley.com/documents/?uuid=31b44653-fe3d-4284-9aa7-1bd001b61783"]}],"mendeley":{"formattedCitation":"(Maloney et al., 2018b)","plainTextFormattedCitation":"(Maloney et al., 2018b)","previouslyFormattedCitation":"(Maloney et al., 2018b)"},"properties":{"noteIndex":0},"schema":"https://github.com/citation-style-language/schema/raw/master/csl-citation.json"}</w:instrText>
            </w:r>
            <w:r>
              <w:fldChar w:fldCharType="separate"/>
            </w:r>
            <w:r w:rsidRPr="00132B28">
              <w:rPr>
                <w:b w:val="0"/>
                <w:bCs w:val="0"/>
                <w:noProof/>
              </w:rPr>
              <w:t>(Maloney et al., 2018b)</w:t>
            </w:r>
            <w:r>
              <w:fldChar w:fldCharType="end"/>
            </w:r>
          </w:p>
        </w:tc>
        <w:tc>
          <w:tcPr>
            <w:tcW w:w="602" w:type="pct"/>
          </w:tcPr>
          <w:p w14:paraId="34143F54"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NO ORIG</w:t>
            </w:r>
          </w:p>
        </w:tc>
        <w:tc>
          <w:tcPr>
            <w:tcW w:w="2542" w:type="pct"/>
          </w:tcPr>
          <w:p w14:paraId="07CE4B91" w14:textId="77777777" w:rsidR="006028FA" w:rsidRPr="00170FA5" w:rsidRDefault="006028FA" w:rsidP="00FF13D1">
            <w:pPr>
              <w:cnfStyle w:val="000000000000" w:firstRow="0" w:lastRow="0" w:firstColumn="0" w:lastColumn="0" w:oddVBand="0" w:evenVBand="0" w:oddHBand="0" w:evenHBand="0" w:firstRowFirstColumn="0" w:firstRowLastColumn="0" w:lastRowFirstColumn="0" w:lastRowLastColumn="0"/>
            </w:pPr>
          </w:p>
        </w:tc>
      </w:tr>
      <w:tr w:rsidR="006028FA" w:rsidRPr="00F37F1E" w14:paraId="75E4C5FA"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75A829B1" w14:textId="77777777" w:rsidR="006028FA" w:rsidRPr="00F37F1E" w:rsidRDefault="006028FA" w:rsidP="00FF13D1">
            <w:pPr>
              <w:rPr>
                <w:b w:val="0"/>
                <w:bCs w:val="0"/>
              </w:rPr>
            </w:pPr>
            <w:r>
              <w:fldChar w:fldCharType="begin" w:fldLock="1"/>
            </w:r>
            <w:r>
              <w:rPr>
                <w:b w:val="0"/>
                <w:bCs w:val="0"/>
              </w:rPr>
              <w:instrText>ADDIN CSL_CITATION {"citationItems":[{"id":"ITEM-1","itemData":{"DOI":"10.1371/journal.pone.0174171","ISBN":"1111111111","ISSN":"19326203","PMID":"28334022","abstract":"The widespread usage of neonicotinoid insecticides has sparked concern over their effects on non-target organisms. While research has largely focused on terrestrial systems, the low soil binding and high water solubility of neonicotinoids, paired with their extensive use on the landscape, puts aquatic environments at high risk for contamination via runoff events. We assessed the potential threat of these compounds to wetland communities using a combination of field surveys and experimental exposures including concentrations that are representative of what invertebrates experience in the field. In laboratory toxicity experiments, LC50 values ranged from 0.002 ppm to 1.2 ppm for aquatic invertebrates exposed to clothianidin. However, freshwater snails and amphibian larvae showed high tolerance to the chemical with no mortality observed at the highest dissolvable concentration of the insecticide. We also observed behavioral effects of clothianidin. Water bugs, Belostoma flumineum, displayed a dose-dependent reduction in feeding rate following exposure to clothianidin. Similarly, crayfish, Orconectes propinquus, exhibited reduced responsiveness to stimulus with increasing clothianidin concentration. Using a semi-natural mesocosm experiment, we manipulated clothianidin concentration (0.6, 5, and 352 ppb) and the presence of predatory invertebrates to explore community-level effects. We observed high invertebrate predator mortality with increases in clothianidin concentration. With increased predator mortality, prey survival increased by 50% at the highest clothianidin concentration. Thus, clothianidin contamination can result in a top-down trophic cascade in a community dominated by invertebrate predators. In our Indiana field study, we detected clothianidin (max = 176 ppb), imidacloprid (max = 141 ppb), and acetamiprid (max = 7 ppb) in soil samples. In water samples, we detected clothianidin (max = 0.67 ppb), imidacloprid (max = 0.18 ppb), and thiamethoxam (max = 2,568 ppb). Neonicotinoids were detected in &gt;56% of soil samples and &gt;90% of the water samples, which reflects a growing understanding that neonicotinoids are ubiquitous environmental contaminants. Collectively, our results underscore the need for additional research into the effects of neonicotinoids on aquatic communities and ecosystems.","author":[{"dropping-particle":"","family":"Miles","given":"Jesse C.","non-dropping-particle":"","parse-names":false,"suffix":""},{"dropping-particle":"","family":"Hua","given":"Jessica","non-dropping-particle":"","parse-names":false,"suffix":""},{"dropping-particle":"","family":"Sepulveda","given":"Maria S.","non-dropping-particle":"","parse-names":false,"suffix":""},{"dropping-particle":"","family":"Krupke","given":"Christian H.","non-dropping-particle":"","parse-names":false,"suffix":""},{"dropping-particle":"","family":"Hoverman","given":"Jason T.","non-dropping-particle":"","parse-names":false,"suffix":""}],"container-title":"PLoS ONE","id":"ITEM-1","issue":"3","issued":{"date-parts":[["2017"]]},"note":"Reject. Used a formulation. \n\nHonorable mention - due to the number of species tested. Looked for chronic / sublethal endpoints and acute (48-hr)","page":"1-25","title":"Effects of clothianidin on aquatic communities: Evaluating the impacts of lethal and sublethal exposure to neonicotinoids","type":"article-journal","volume":"12"},"uris":["http://www.mendeley.com/documents/?uuid=257b2280-ea0b-416d-b4e6-7f148bdd05cd"]}],"mendeley":{"formattedCitation":"(Miles et al., 2017)","plainTextFormattedCitation":"(Miles et al., 2017)","previouslyFormattedCitation":"(Miles et al., 2017)"},"properties":{"noteIndex":0},"schema":"https://github.com/citation-style-language/schema/raw/master/csl-citation.json"}</w:instrText>
            </w:r>
            <w:r>
              <w:fldChar w:fldCharType="separate"/>
            </w:r>
            <w:r w:rsidRPr="00132B28">
              <w:rPr>
                <w:b w:val="0"/>
                <w:bCs w:val="0"/>
                <w:noProof/>
              </w:rPr>
              <w:t>(Miles et al., 2017)</w:t>
            </w:r>
            <w:r>
              <w:fldChar w:fldCharType="end"/>
            </w:r>
          </w:p>
        </w:tc>
        <w:tc>
          <w:tcPr>
            <w:tcW w:w="602" w:type="pct"/>
          </w:tcPr>
          <w:p w14:paraId="4F545F4A"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MIXTURE</w:t>
            </w:r>
          </w:p>
        </w:tc>
        <w:tc>
          <w:tcPr>
            <w:tcW w:w="2542" w:type="pct"/>
          </w:tcPr>
          <w:p w14:paraId="72D87A9D"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Used formulation</w:t>
            </w:r>
          </w:p>
        </w:tc>
      </w:tr>
      <w:tr w:rsidR="006028FA" w:rsidRPr="00F37F1E" w14:paraId="3F18091D"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648C0C37" w14:textId="77777777" w:rsidR="006028FA" w:rsidRPr="00F37F1E" w:rsidRDefault="006028FA" w:rsidP="00FF13D1">
            <w:r>
              <w:fldChar w:fldCharType="begin" w:fldLock="1"/>
            </w:r>
            <w:r>
              <w:instrText>ADDIN CSL_CITATION {"citationItems":[{"id":"ITEM-1","itemData":{"DOI":"10.1002/etc.4986","ISSN":"15528618","PMID":"33465261","abstract":"Neonicotinoid insecticides have become of global concern for the aquatic environment. Harpacticoid copepods are among the organisms most sensitive to neonicotinoids. We exposed the brackish copepod Nitocra spinipes to 4 neonicotinoid insecticides (clothianidin, imidacloprid, thiacloprid, and thiamethoxam) to investigate acute toxicity on adults (96-h exposure) and effects on larval development (7-d exposure). We used these results in combination with publicly available ecotoxicity data to derive environmental quality standards (EQS). These EQS were ultimately used in a single-substance and mixture risk assessment for the Belgian part of the North Sea. Acute toxicity testing revealed that immobilization is a more sensitive endpoint than mortality, with 96-h median effect concentration (EC50) values of 6.9, 7.2, 25, and 120 µg L–1 for clothianidin, thiacloprid, imidacloprid, and thiamethoxam, respectively. In addition, the larval development tests resulted in 7-d no-observed-effect concentrations (NOECs) of 2.5, 2.7, 4.2, and &gt;99 µg L–1 for clothianidin, thiacloprid, imidacloprid, and thiamethoxam, respectively. The derived saltwater annual average (AA-)EQS were 0.05, 0.0048, 0.002, and 0.016 µg L–1 for clothianidin, thiacloprid, imidacloprid, and thiamethoxam, respectively. Finally, the risk characterization revealed some exceedances of the AA-EQS in Belgian harbors for imidacloprid (number of exceedances, n = 2/4), for thiacloprid (n = 1/4), for thiamethoxam (n = 1/4), and for the mixture of the 4 neonicotinoids (n = 4/4), but not at the open sea. At the open sea site, the toxic unit sums relative to the AA-EQS were 0.72 and 0.22, suggesting no mixture risk, albeit with a relatively small margin of safety. Including short-term EC10 (96-h) values of N. spinipes for the AA-EQS derivation led to a refinement of the AA-EQS for clothianidin and thiamethoxam, suggesting their use for the AA-EQS derivation because one of the overarching goals of the definition of EQS is to protect species at the population level. Environ Toxicol Chem 2021;40:1353–1367. © 2021 SETAC.","author":[{"dropping-particle":"","family":"Moeris","given":"Samuel","non-dropping-particle":"","parse-names":false,"suffix":""},{"dropping-particle":"","family":"Vanryckeghem","given":"Francis","non-dropping-particle":"","parse-names":false,"suffix":""},{"dropping-particle":"","family":"Demeestere","given":"Kristof","non-dropping-particle":"","parse-names":false,"suffix":""},{"dropping-particle":"","family":"Schamphelaere","given":"Karel A.C.","non-dropping-particle":"De","parse-names":false,"suffix":""}],"container-title":"Environmental Toxicology and Chemistry","id":"ITEM-1","issue":"5","issued":{"date-parts":[["2021"]]},"note":"Reject. Salt water species. non-resident.","page":"1353-1367","publisher":"John Wiley &amp; Sons, Ltd","title":"Neonicotinoid Insecticides from a Marine Perspective: Acute and Chronic Copepod Testing and Derivation of Environmental Quality Standards","type":"article-journal","volume":"40"},"uris":["http://www.mendeley.com/documents/?uuid=25bbc6ad-edb3-4ca4-a66b-c50f3dd25695"]}],"mendeley":{"formattedCitation":"(Moeris et al., 2021)","plainTextFormattedCitation":"(Moeris et al., 2021)","previouslyFormattedCitation":"(Moeris et al., 2021)"},"properties":{"noteIndex":0},"schema":"https://github.com/citation-style-language/schema/raw/master/csl-citation.json"}</w:instrText>
            </w:r>
            <w:r>
              <w:fldChar w:fldCharType="separate"/>
            </w:r>
            <w:r w:rsidRPr="00132B28">
              <w:rPr>
                <w:b w:val="0"/>
                <w:noProof/>
              </w:rPr>
              <w:t>(Moeris et al., 2021)</w:t>
            </w:r>
            <w:r>
              <w:fldChar w:fldCharType="end"/>
            </w:r>
          </w:p>
        </w:tc>
        <w:tc>
          <w:tcPr>
            <w:tcW w:w="602" w:type="pct"/>
          </w:tcPr>
          <w:p w14:paraId="6BBD98AF"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63975155"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Marine species, non-resident</w:t>
            </w:r>
          </w:p>
        </w:tc>
      </w:tr>
      <w:tr w:rsidR="006028FA" w:rsidRPr="00F37F1E" w14:paraId="3CAAF27C"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18227235" w14:textId="77777777" w:rsidR="006028FA" w:rsidRDefault="006028FA" w:rsidP="00FF13D1">
            <w:r>
              <w:fldChar w:fldCharType="begin" w:fldLock="1"/>
            </w:r>
            <w:r>
              <w:rPr>
                <w:b w:val="0"/>
                <w:bCs w:val="0"/>
              </w:rPr>
              <w:instrText>ADDIN CSL_CITATION {"citationItems":[{"id":"ITEM-1","itemData":{"author":[{"dropping-particle":"","family":"Neumann","given":"Ch.","non-dropping-particle":"","parse-names":false,"suffix":""}],"id":"ITEM-1","issued":{"date-parts":[["1997"]]},"note":"Accept. EC50 &amp;gt; 100 mg/L\nIs there a paired acute study for this?\n\nYes - 1996 study by same author, but LC50 is 100 mg/L as well, which results in an ACR of 1. Probably don't want to use these for ACR since both have a &amp;gt; values.","title":"Daphnia magna Reproduction Test: Effects of CGA-29334 on the Reproduction of the Cladoceran Daphnia magna STRAUS in a Semi-Static Laboratory Test","type":"report","volume":"EPA MRID: "},"uris":["http://www.mendeley.com/documents/?uuid=adbb94ee-0250-4dc1-a634-ed7d5aabdd0f"]}],"mendeley":{"formattedCitation":"(Neumann, 1997)","plainTextFormattedCitation":"(Neumann, 1997)","previouslyFormattedCitation":"(Neumann, 1997)"},"properties":{"noteIndex":0},"schema":"https://github.com/citation-style-language/schema/raw/master/csl-citation.json"}</w:instrText>
            </w:r>
            <w:r>
              <w:fldChar w:fldCharType="separate"/>
            </w:r>
            <w:r w:rsidRPr="00CB3DC6">
              <w:rPr>
                <w:b w:val="0"/>
                <w:bCs w:val="0"/>
                <w:noProof/>
              </w:rPr>
              <w:t>(Neumann, 1997)</w:t>
            </w:r>
            <w:r>
              <w:fldChar w:fldCharType="end"/>
            </w:r>
          </w:p>
        </w:tc>
        <w:tc>
          <w:tcPr>
            <w:tcW w:w="602" w:type="pct"/>
          </w:tcPr>
          <w:p w14:paraId="7C841878"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NO ACR</w:t>
            </w:r>
          </w:p>
        </w:tc>
        <w:tc>
          <w:tcPr>
            <w:tcW w:w="2542" w:type="pct"/>
          </w:tcPr>
          <w:p w14:paraId="72AB9CCA"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Paired study has “&gt; values”, ACR &lt; 1</w:t>
            </w:r>
          </w:p>
        </w:tc>
      </w:tr>
      <w:tr w:rsidR="006028FA" w:rsidRPr="00F37F1E" w14:paraId="4FAD4CCA"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052557B1" w14:textId="77777777" w:rsidR="006028FA" w:rsidRPr="00F37F1E" w:rsidRDefault="006028FA" w:rsidP="00FF13D1">
            <w:pPr>
              <w:rPr>
                <w:b w:val="0"/>
                <w:bCs w:val="0"/>
              </w:rPr>
            </w:pPr>
            <w:r>
              <w:fldChar w:fldCharType="begin" w:fldLock="1"/>
            </w:r>
            <w:r>
              <w:rPr>
                <w:b w:val="0"/>
                <w:bCs w:val="0"/>
              </w:rPr>
              <w:instrText>ADDIN CSL_CITATION {"citationItems":[{"id":"ITEM-1","itemData":{"DOI":"10.1016/j.envpol.2016.11.086","ISSN":"18736424","PMID":"27939635","abstract":"Ecological communities are increasingly exposed to natural and anthropogenic stressors. While the effects of individual stressors have been broadly investigated, there is growing evidence that multiple stressors are frequently encountered underscoring the need to examine interactive effects. Pesticides and infectious diseases are two common stressors that regularly occur together in nature. Given the documented lethal and sublethal effects of each stressor on individuals, there is the potential for interactive effects that alter disease outcomes and pesticide toxicity. Using larval wood frogs (Lithobates sylvaticus), we examined the reciprocal interaction between insecticides (carbaryl and thiamethoxam) and the viral pathogen ranavirus by testing whether: (1) prior ranavirus infection influences pesticide toxicity and (2) sublethal pesticide exposure increases susceptibility to and transmission of ranavirus. We found that prior infection with ranavirus increased pesticide toxicity; median lethal concentration (LC50) estimates were reduced by 72 and 55% for carbaryl and thiamethoxam, respectively. Importantly, LC50 estimates were reduced to concentrations found in natural systems. This is the first demonstration that an infection can alter pesticide toxicity. We also found that prior pesticide exposure exacerbated disease-induced mortality by increasing mortality rates, but effects on infection prevalence and transmission of the pathogen were minimal. Collectively, our results underscore the importance of incorporating complexity (i.e. order and timing of exposures) into research examining the interactions between natural and anthropogenic stressors. Given the environmental heterogeneity present in nature, such research will provide a more comprehensive understanding of how stressors affect wildlife.","author":[{"dropping-particle":"","family":"Pochini","given":"Katherine M.","non-dropping-particle":"","parse-names":false,"suffix":""},{"dropping-particle":"","family":"Hoverman","given":"Jason T.","non-dropping-particle":"","parse-names":false,"suffix":""}],"container-title":"Environmental Pollution","id":"ITEM-1","issued":{"date-parts":[["2017"]]},"note":"reject. formulation.","page":"359-366","publisher":"Elsevier Ltd","title":"Reciprocal effects of pesticides and pathogens on amphibian hosts: The importance of exposure order and timing","type":"article-journal","volume":"221"},"uris":["http://www.mendeley.com/documents/?uuid=8aa70760-3882-4500-83fe-4fd85bdff17b"]}],"mendeley":{"formattedCitation":"(Pochini and Hoverman, 2017)","plainTextFormattedCitation":"(Pochini and Hoverman, 2017)","previouslyFormattedCitation":"(Pochini and Hoverman, 2017)"},"properties":{"noteIndex":0},"schema":"https://github.com/citation-style-language/schema/raw/master/csl-citation.json"}</w:instrText>
            </w:r>
            <w:r>
              <w:fldChar w:fldCharType="separate"/>
            </w:r>
            <w:r w:rsidRPr="00132B28">
              <w:rPr>
                <w:b w:val="0"/>
                <w:bCs w:val="0"/>
                <w:noProof/>
              </w:rPr>
              <w:t>(Pochini and Hoverman, 2017)</w:t>
            </w:r>
            <w:r>
              <w:fldChar w:fldCharType="end"/>
            </w:r>
          </w:p>
        </w:tc>
        <w:tc>
          <w:tcPr>
            <w:tcW w:w="602" w:type="pct"/>
          </w:tcPr>
          <w:p w14:paraId="04A1D036"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MIXTURE</w:t>
            </w:r>
          </w:p>
        </w:tc>
        <w:tc>
          <w:tcPr>
            <w:tcW w:w="2542" w:type="pct"/>
          </w:tcPr>
          <w:p w14:paraId="4EBD4FDA"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Used formulation</w:t>
            </w:r>
          </w:p>
        </w:tc>
      </w:tr>
      <w:tr w:rsidR="006028FA" w:rsidRPr="00F37F1E" w14:paraId="67F3B641"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4667BF1E" w14:textId="77777777" w:rsidR="006028FA" w:rsidRPr="00F37F1E" w:rsidRDefault="006028FA" w:rsidP="00FF13D1">
            <w:r>
              <w:fldChar w:fldCharType="begin" w:fldLock="1"/>
            </w:r>
            <w:r>
              <w:instrText>ADDIN CSL_CITATION {"citationItems":[{"id":"ITEM-1","itemData":{"DOI":"10.1016/j.envpol.2016.07.022","ISSN":"18736424","PMID":"27450416","abstract":"Neonicotinoid insecticides can be transported from agricultural fields, where they are used as foliar sprays or seed treatments, to surface waters by surface or sub-surface runoff. Few studies have investigated the toxicity of neonicotinoid or the related butenolide insecticides to freshwater mollusk species. The current study examined the effect of neonicotinoid and butenolide exposures to the early-life stages of the ramshorn snail, Planorbella pilsbryi, and the wavy-rayed lampmussel, Lampsilis fasciola. Juvenile P. pilsbryi were exposed to imidacloprid, clothianidin, or thiamethoxam for 7 or 28 d and mortality, growth, and biomass production were measured. The viability of larval (glochidia) L. fasciola was monitored during a 48 h exposure to six neonicotinoids (imidacloprid, thiamethoxam, clothianidin, acetamiprid, thiacloprid, or dinotefuran), or a butenolide (flupyradifurone). The 7-d LC50s of P. pilsbryi for imidacloprid, clothianidin, and thiamethoxam were ≥4000 μg/L and the 28-d LC50s were ≥182 μg/L. Growth and biomass production were considerably more sensitive endpoints than mortality with EC50s ranging from 33.2 to 122.0 μg/L. The 48-h LC50s for the viability of glochidia were ≥456 μg/L for all seven insecticides tested. Our data indicate that neonicotinoid and butenolide insecticides pose less of a hazard with respect to mortality of the two species of mollusk compared to the potential hazard to other non-target aquatic insects.","author":[{"dropping-particle":"","family":"Prosser","given":"R. S.","non-dropping-particle":"","parse-names":false,"suffix":""},{"dropping-particle":"","family":"Solla","given":"S. R.","non-dropping-particle":"de","parse-names":false,"suffix":""},{"dropping-particle":"","family":"Holman","given":"E. A.M.","non-dropping-particle":"","parse-names":false,"suffix":""},{"dropping-particle":"","family":"Osborne","given":"R.","non-dropping-particle":"","parse-names":false,"suffix":""},{"dropping-particle":"","family":"Robinson","given":"S. A.","non-dropping-particle":"","parse-names":false,"suffix":""},{"dropping-particle":"","family":"Bartlett","given":"A. J.","non-dropping-particle":"","parse-names":false,"suffix":""},{"dropping-particle":"","family":"Maisonneuve","given":"F. J.","non-dropping-particle":"","parse-names":false,"suffix":""},{"dropping-particle":"","family":"Gillis","given":"P. L.","non-dropping-particle":"","parse-names":false,"suffix":""}],"container-title":"Environmental Pollution","id":"ITEM-1","issue":"July","issued":{"date-parts":[["2016"]]},"note":"Reject - chronic with no acute comparison. Honorable mention\n\nAccept - no reservations! Can only use chronic Planobella as listed below. See table 3 and pink highlights for follow-up.\n\nPlanorbella pilsbryi - native to US generally:\nhttps://www.itis.gov/servlet/SingleRpt/SingleRpt?search_topic=TSN&amp;amp;search_value=76667#null\n\nLampsilis fasciola - native to continental US\nhttps://www.itis.gov/servlet/SingleRpt/SingleRpt?search_topic=TSN&amp;amp;search_value=79992#null\n\nQuestion for Dennis in pink notes below","page":"428-435","publisher":"Elsevier Ltd","title":"Sensitivity of the early-life stages of freshwater mollusks to neonicotinoid and butenolide insecticides","type":"article-journal","volume":"218"},"uris":["http://www.mendeley.com/documents/?uuid=d74810a0-9b92-4627-a3cf-04b0249bc100"]}],"mendeley":{"formattedCitation":"(Prosser et al., 2016)","plainTextFormattedCitation":"(Prosser et al., 2016)","previouslyFormattedCitation":"(Prosser et al., 2016)"},"properties":{"noteIndex":0},"schema":"https://github.com/citation-style-language/schema/raw/master/csl-citation.json"}</w:instrText>
            </w:r>
            <w:r>
              <w:fldChar w:fldCharType="separate"/>
            </w:r>
            <w:r w:rsidRPr="00132B28">
              <w:rPr>
                <w:b w:val="0"/>
                <w:noProof/>
              </w:rPr>
              <w:t>(Prosser et al., 2016)</w:t>
            </w:r>
            <w:r>
              <w:fldChar w:fldCharType="end"/>
            </w:r>
          </w:p>
        </w:tc>
        <w:tc>
          <w:tcPr>
            <w:tcW w:w="602" w:type="pct"/>
          </w:tcPr>
          <w:p w14:paraId="151BC4A8"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NO ACR</w:t>
            </w:r>
          </w:p>
        </w:tc>
        <w:tc>
          <w:tcPr>
            <w:tcW w:w="2542" w:type="pct"/>
          </w:tcPr>
          <w:p w14:paraId="655423F1"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p>
        </w:tc>
      </w:tr>
      <w:tr w:rsidR="006028FA" w:rsidRPr="00F37F1E" w14:paraId="1FE84016"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0BA3D66D" w14:textId="77777777" w:rsidR="006028FA" w:rsidRPr="00F37F1E" w:rsidRDefault="006028FA" w:rsidP="00FF13D1">
            <w:pPr>
              <w:rPr>
                <w:b w:val="0"/>
                <w:bCs w:val="0"/>
              </w:rPr>
            </w:pPr>
            <w:r>
              <w:fldChar w:fldCharType="begin" w:fldLock="1"/>
            </w:r>
            <w:r>
              <w:rPr>
                <w:b w:val="0"/>
                <w:bCs w:val="0"/>
              </w:rPr>
              <w:instrText>ADDIN CSL_CITATION {"citationItems":[{"id":"ITEM-1","itemData":{"DOI":"10.1016/j.scitotenv.2018.05.259","ISSN":"18791026","PMID":"29929317","abstract":"Neonicotinoid insecticides used in agriculture can enter freshwater environments in pulses; that is, a short-term period of a higher concentration, followed by a period of a comparatively lower concentration. Non-target aquatic arthropods are exposed to these fluctuating concentrations of neonicotinoids. The present study investigated the potential latent effects of a single environmentally-relevant 24-h pulse of imidacloprid and thiamethoxam, in separate experiments, on the early life-stages of four aquatic arthropods (Hyalella azteca, Chironomus dilutus, Hexagenia spp., and Neocloeon triangulifer). At least three nominal pulse concentrations were tested for each neonicotinoid-species combination: 2.5, 5, and 10 μg L−1, which were based on environmental monitoring in Ontario, Canada. After exposure to the pulse, organisms were assessed for survival and immobilization. Surviving organisms were then moved into clean water for a chronic post-treatment period, where endpoints including survival, growth, reproduction or emergence, depending on the species, were evaluated. Immediately after the 24-h pulse, immobilization was seen in C. dilutus and N. triangulifer in the highest imidacloprid concentrations tested (8.8 and 8.9 μg L−1, respectively). After transfer to clean water, immobilized organisms recovered, and no latent toxicity was seen for any of the evaluated endpoints. H. azteca and Hexagenia spp. showed no effects immediately after the imidacloprid pulse, or after the chronic post-treatment period. No effects were seen in any species after the thiamethoxam pulse, or the post-treatment period. The present study shows that toxic effects due to short-term pulse exposures of ~9 μg L−1 imidacloprid can occur in sensitive insect species. However, organisms can recover when the stressor ceases, with no long-term effects on test organisms.","author":[{"dropping-particle":"","family":"Raby","given":"Melanie","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K.","non-dropping-particle":"","parse-names":false,"suffix":""}],"container-title":"Science of the Total Environment","id":"ITEM-1","issued":{"date-parts":[["2018"]]},"note":"provides no new data on toxicity endpoints that are usable. Does show low level pulses have limited effect on test organisms. \n\nNo usable data for caculating ALVs","page":"1543-1552","publisher":"Elsevier B.V.","title":"Chronic effects of an environmentally-relevant, short-term neonicotinoid insecticide pulse on four aquatic invertebrates","type":"article-journal","volume":"639"},"uris":["http://www.mendeley.com/documents/?uuid=3389923e-be29-4d64-8141-34c899a11f68"]}],"mendeley":{"formattedCitation":"(Raby et al., 2018c)","plainTextFormattedCitation":"(Raby et al., 2018c)","previouslyFormattedCitation":"(Raby et al., 2018c)"},"properties":{"noteIndex":0},"schema":"https://github.com/citation-style-language/schema/raw/master/csl-citation.json"}</w:instrText>
            </w:r>
            <w:r>
              <w:fldChar w:fldCharType="separate"/>
            </w:r>
            <w:r w:rsidRPr="00132B28">
              <w:rPr>
                <w:b w:val="0"/>
                <w:bCs w:val="0"/>
                <w:noProof/>
              </w:rPr>
              <w:t>(Raby et al., 2018c)</w:t>
            </w:r>
            <w:r>
              <w:fldChar w:fldCharType="end"/>
            </w:r>
          </w:p>
        </w:tc>
        <w:tc>
          <w:tcPr>
            <w:tcW w:w="602" w:type="pct"/>
          </w:tcPr>
          <w:p w14:paraId="2765BBE9"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ENDPT</w:t>
            </w:r>
          </w:p>
        </w:tc>
        <w:tc>
          <w:tcPr>
            <w:tcW w:w="2542" w:type="pct"/>
          </w:tcPr>
          <w:p w14:paraId="04E6A8D9"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Endpoints not applicable</w:t>
            </w:r>
          </w:p>
        </w:tc>
      </w:tr>
      <w:tr w:rsidR="006028FA" w:rsidRPr="00F37F1E" w14:paraId="244E1217"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2BEF48C3" w14:textId="77777777" w:rsidR="006028FA" w:rsidRPr="00F37F1E" w:rsidRDefault="006028FA" w:rsidP="00FF13D1">
            <w:pPr>
              <w:rPr>
                <w:b w:val="0"/>
                <w:bCs w:val="0"/>
              </w:rPr>
            </w:pPr>
            <w:r>
              <w:fldChar w:fldCharType="begin" w:fldLock="1"/>
            </w:r>
            <w:r>
              <w:rPr>
                <w:b w:val="0"/>
                <w:bCs w:val="0"/>
              </w:rPr>
              <w:instrText>ADDIN CSL_CITATION {"citationItems":[{"id":"ITEM-1","itemData":{"DOI":"10.1016/j.ecoenv.2018.07.086","ISSN":"10902414","PMID":"30056337","abstract":"Neonicotinoid insecticides are a group of plant protectants frequently detected in surface waters at low concentrations. Aquatic invertebrates therefore have the potential to be exposed chronically to low concentrations of neonicotinoids. The cladocerans Daphnia magna and Ceriodaphnia dubia are among the most commonly used invertebrate test species in aquatic toxicology. Both species are known to be acutely insensitive to neonicotinoids, and while chronic toxicity has been characterized for D. magna, little research has been conducted with C. dubia. In the present study we conducted 7-d static-renewal life cycle tests for 6 neonicotinoids (acetamiprid, clothianidin, dinotefuran, imidacloprid, thiacloprid, and thiamethoxam) with C. dubia, and a 21-d test with imidacloprid with D. magna. 7-d LC50s for C. dubia ranged from 8.42 mg L−1 for imidacloprid to &gt; 100 mg L−1 for clothianidin; 7-d reproduction EC50s were 2.98 for thiacloprid, to &gt; 67 mg L−1 for dinotefuran. D. magna were less sensitive than C. dubia to imidacloprid, by 4-fold for lethality and 1.5-fold for reproduction; however, acute-to-chronic ratios (ACRs) were similar. ACRs, based on 48-h acute LC50s and 7- or 21-d chronic reproduction EC10s, ranged from 5.4 for acetamiprid to 53.0 for imidacloprid (mean 36.6, CV = 51%). Chronic toxicity values for both species were orders of magnitude greater than concentrations reported in the environment, and thus hazard to these cladocerans is negligible.","author":[{"dropping-particle":"","family":"Raby","given":"Melanie","non-dropping-particle":"","parse-names":false,"suffix":""},{"dropping-particle":"","family":"Zhao","given":"Xiaoming","non-dropping-particle":"","parse-names":false,"suffix":""},{"dropping-particle":"","family":"Hao","given":"Chunyan","non-dropping-particle":"","parse-names":false,"suffix":""},{"dropping-particle":"","family":"Poirier","given":"David G.","non-dropping-particle":"","parse-names":false,"suffix":""},{"dropping-particle":"","family":"Sibley","given":"Paul K.","non-dropping-particle":"","parse-names":false,"suffix":""}],"container-title":"Ecotoxicology and Environmental Safety","id":"ITEM-1","issue":"March","issued":{"date-parts":[["2018"]]},"note":"Accept. for Imi and Clo. Can use for ACR with a 7-d C.\n\nReject for Thiamethoxam. Cannot calculate an ARC. control results seem off.","page":"238-244","publisher":"Elsevier Inc.","title":"Relative chronic sensitivity of neonicotinoid insecticides to Ceriodaphnia dubia and Daphnia magna","type":"article-journal","volume":"163"},"uris":["http://www.mendeley.com/documents/?uuid=b209d094-990e-4319-afa9-4fd5127d1370"]}],"mendeley":{"formattedCitation":"(Raby et al., 2018d)","plainTextFormattedCitation":"(Raby et al., 2018d)","previouslyFormattedCitation":"(Raby et al., 2018d)"},"properties":{"noteIndex":0},"schema":"https://github.com/citation-style-language/schema/raw/master/csl-citation.json"}</w:instrText>
            </w:r>
            <w:r>
              <w:fldChar w:fldCharType="separate"/>
            </w:r>
            <w:r w:rsidRPr="00132B28">
              <w:rPr>
                <w:b w:val="0"/>
                <w:bCs w:val="0"/>
                <w:noProof/>
              </w:rPr>
              <w:t>(Raby et al., 2018d)</w:t>
            </w:r>
            <w:r>
              <w:fldChar w:fldCharType="end"/>
            </w:r>
          </w:p>
        </w:tc>
        <w:tc>
          <w:tcPr>
            <w:tcW w:w="602" w:type="pct"/>
          </w:tcPr>
          <w:p w14:paraId="15C7203B"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132C448A"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Control mortality too high</w:t>
            </w:r>
          </w:p>
        </w:tc>
      </w:tr>
      <w:tr w:rsidR="006028FA" w:rsidRPr="00F37F1E" w14:paraId="18BE2CB8"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6218B96C" w14:textId="77777777" w:rsidR="006028FA" w:rsidRPr="00F37F1E" w:rsidRDefault="006028FA" w:rsidP="00FF13D1">
            <w:pPr>
              <w:rPr>
                <w:b w:val="0"/>
                <w:bCs w:val="0"/>
              </w:rPr>
            </w:pPr>
            <w:r>
              <w:fldChar w:fldCharType="begin" w:fldLock="1"/>
            </w:r>
            <w:r>
              <w:rPr>
                <w:b w:val="0"/>
                <w:bCs w:val="0"/>
              </w:rPr>
              <w:instrText>ADDIN CSL_CITATION {"citationItems":[{"id":"ITEM-1","itemData":{"DOI":"10.1016/j.aquatox.2018.09.004","ISSN":"18791514","PMID":"30245345","abstract":"Neonicotinoid insecticides are considered contaminants of concern due to their high toxicity potential to non-target terrestrial and aquatic organisms. In this study we evaluated the sensitivity of aquatic invertebrates to a single application of imidacloprid and an equimolar mixture of five neonicotinoids (imidacloprid, acetamiprid, thiacloprid, thiamethoxam, clothianidin) using mesocosms under Mediterranean conditions. Cyclopoida, Cloeon dipterum and Chironomini showed the highest sensitivity to neonicotinoids, with calculated NOECs below 0.2 μg/L. The sensitivity of these taxa was found to be higher than that reported in previous studies performed under less warm conditions, proving the high influence of temperature on neonicotinoid toxicity. The short-term responses of the zooplankton and the macroinvertebrate communities to similar imidacloprid and neonicotinoid mixture concentrations were very similar, suggesting that the concentration addition model can be used as a plausible hyphotesis to assess neonicotinoid mixture effects in aquatic ecosystems. Long-term mixture toxicity assessments, however, should consider the fate of the evaluated substances in the environment of concern. As part of this study, we also demonstrated that Species Sensitivity Distributions constructed with chronic laboratory toxicity data and calculated (multi-substance) Potentially Affected Fractions provide an accurate estimation to asssess the ecotoxicologial risks of imidacloprid and neonicotinoid mixtures to aquatic invertebrate species assemblages.","author":[{"dropping-particle":"","family":"Rico","given":"Andreu","non-dropping-particle":"","parse-names":false,"suffix":""},{"dropping-particle":"","family":"Arenas-Sánchez","given":"Alba","non-dropping-particle":"","parse-names":false,"suffix":""},{"dropping-particle":"","family":"Pasqualini","given":"Julia","non-dropping-particle":"","parse-names":false,"suffix":""},{"dropping-particle":"","family":"García-Astillero","given":"Ariadna","non-dropping-particle":"","parse-names":false,"suffix":""},{"dropping-particle":"","family":"Cherta","given":"Laura","non-dropping-particle":"","parse-names":false,"suffix":""},{"dropping-particle":"","family":"Nozal","given":"Leonor","non-dropping-particle":"","parse-names":false,"suffix":""},{"dropping-particle":"","family":"Vighi","given":"Marco","non-dropping-particle":"","parse-names":false,"suffix":""}],"container-title":"Aquatic Toxicology","id":"ITEM-1","issue":"September","issued":{"date-parts":[["2018"]]},"note":"Study also has data on acetamiprid, thiaclop, thiameth, clothian...\n\nThis is a mesocosm study. With very complicated analysis for joint toxicity of mixed compounds.","page":"130-143","publisher":"Elsevier","title":"Effects of imidacloprid and a neonicotinoid mixture on aquatic invertebrate communities under Mediterranean conditions","type":"article-journal","volume":"204"},"uris":["http://www.mendeley.com/documents/?uuid=0c9788af-ecae-4ef4-bba6-ce7712809795"]}],"mendeley":{"formattedCitation":"(Rico et al., 2018)","plainTextFormattedCitation":"(Rico et al., 2018)","previouslyFormattedCitation":"(Rico et al., 2018)"},"properties":{"noteIndex":0},"schema":"https://github.com/citation-style-language/schema/raw/master/csl-citation.json"}</w:instrText>
            </w:r>
            <w:r>
              <w:fldChar w:fldCharType="separate"/>
            </w:r>
            <w:r w:rsidRPr="00132B28">
              <w:rPr>
                <w:b w:val="0"/>
                <w:bCs w:val="0"/>
                <w:noProof/>
              </w:rPr>
              <w:t>(Rico et al., 2018)</w:t>
            </w:r>
            <w:r>
              <w:fldChar w:fldCharType="end"/>
            </w:r>
          </w:p>
        </w:tc>
        <w:tc>
          <w:tcPr>
            <w:tcW w:w="602" w:type="pct"/>
          </w:tcPr>
          <w:p w14:paraId="698E3F7F"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NS TT</w:t>
            </w:r>
          </w:p>
        </w:tc>
        <w:tc>
          <w:tcPr>
            <w:tcW w:w="2542" w:type="pct"/>
          </w:tcPr>
          <w:p w14:paraId="1126CE1F"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Mesocosm study on neonic mixtures</w:t>
            </w:r>
          </w:p>
        </w:tc>
      </w:tr>
      <w:tr w:rsidR="006028FA" w:rsidRPr="00F37F1E" w14:paraId="138FCB0A"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52C63DD3" w14:textId="77777777" w:rsidR="006028FA" w:rsidRPr="00F37F1E" w:rsidRDefault="006028FA" w:rsidP="00FF13D1">
            <w:r>
              <w:fldChar w:fldCharType="begin" w:fldLock="1"/>
            </w:r>
            <w:r>
              <w:instrText>ADDIN CSL_CITATION {"citationItems":[{"id":"ITEM-1","itemData":{"DOI":"10.1002/etc.4511","ISSN":"15528618","PMID":"31386781","abstract":"Neonicotinoid insecticides are used extensively in agriculture and, as a consequence, are now detectable in nearby aquatic environments. Few studies have evaluated the effects of neonicotinoids on amphibians in these aquatic environments. In the present study, we examined the effects of 2 commercial formulations of neonicotinoids (active ingredients clothianidin and thiamethoxam) on survival and life-history traits of wood frogs (Lithobates sylvaticus) and northern leopard frogs (Lithobates pipiens). We used artificial pond mesocosms to assess the effects of these neonicotinoids, at nominal concentrations of 2.5 and 250 µg/L, on amphibian larval development through metamorphosis. We found no differences between controls and neonicotinoid exposure for any of the endpoints assessed for either wood frogs or leopard frogs. The present study suggests that concentrations meeting or exceeding observed levels of clothianidin and thiamethoxam in surface waters will not directly affect metamorphosis in 2 amphibians. Environ Toxicol Chem 2019;38:1967–1977. © 2019 SETAC.","author":[{"dropping-particle":"","family":"Robinson","given":"S. A.","non-dropping-particle":"","parse-names":false,"suffix":""},{"dropping-particle":"","family":"Richardson","given":"S. D.","non-dropping-particle":"","parse-names":false,"suffix":""},{"dropping-particle":"","family":"Dalton","given":"R. L.","non-dropping-particle":"","parse-names":false,"suffix":""},{"dropping-particle":"","family":"Maisonneuve","given":"F.","non-dropping-particle":"","parse-names":false,"suffix":""},{"dropping-particle":"","family":"Bartlett","given":"A. J.","non-dropping-particle":"","parse-names":false,"suffix":""},{"dropping-particle":"","family":"Solla","given":"S. R.","non-dropping-particle":"de","parse-names":false,"suffix":""},{"dropping-particle":"","family":"Trudeau","given":"V. L.","non-dropping-particle":"","parse-names":false,"suffix":""},{"dropping-particle":"","family":"Waltho","given":"N.","non-dropping-particle":"","parse-names":false,"suffix":""}],"container-title":"Environmental Toxicology and Chemistry","id":"ITEM-1","issue":"9","issued":{"date-parts":[["2019"]]},"note":"REJECT. Mesocosm study with formulation. \n\nno sub-lethal effects at maximum dosage of 250 ug/L thiamethoxam.","page":"1967-1977","publisher":"John Wiley &amp; Sons, Ltd","title":"Assessment of Sublethal Effects of Neonicotinoid Insecticides on the Life-History Traits of 2 Frog Species","type":"article-journal","volume":"38"},"uris":["http://www.mendeley.com/documents/?uuid=65ba1578-6f18-4dee-8fb1-9f341c113b45"]}],"mendeley":{"formattedCitation":"(Robinson et al., 2019)","plainTextFormattedCitation":"(Robinson et al., 2019)","previouslyFormattedCitation":"(Robinson et al., 2019)"},"properties":{"noteIndex":0},"schema":"https://github.com/citation-style-language/schema/raw/master/csl-citation.json"}</w:instrText>
            </w:r>
            <w:r>
              <w:fldChar w:fldCharType="separate"/>
            </w:r>
            <w:r w:rsidRPr="00B35A86">
              <w:rPr>
                <w:b w:val="0"/>
                <w:noProof/>
              </w:rPr>
              <w:t>(Robinson et al., 2019)</w:t>
            </w:r>
            <w:r>
              <w:fldChar w:fldCharType="end"/>
            </w:r>
          </w:p>
        </w:tc>
        <w:tc>
          <w:tcPr>
            <w:tcW w:w="602" w:type="pct"/>
          </w:tcPr>
          <w:p w14:paraId="1A3E9D39"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NS TT</w:t>
            </w:r>
          </w:p>
        </w:tc>
        <w:tc>
          <w:tcPr>
            <w:tcW w:w="2542" w:type="pct"/>
          </w:tcPr>
          <w:p w14:paraId="6F2257D0"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Mesocosm study, used formulation</w:t>
            </w:r>
          </w:p>
        </w:tc>
      </w:tr>
      <w:tr w:rsidR="006028FA" w:rsidRPr="00F37F1E" w14:paraId="05FE64C0"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0E6CF782" w14:textId="77777777" w:rsidR="006028FA" w:rsidRPr="00F37F1E" w:rsidRDefault="006028FA" w:rsidP="00FF13D1">
            <w:pPr>
              <w:rPr>
                <w:b w:val="0"/>
                <w:bCs w:val="0"/>
              </w:rPr>
            </w:pPr>
            <w:r>
              <w:fldChar w:fldCharType="begin" w:fldLock="1"/>
            </w:r>
            <w:r>
              <w:rPr>
                <w:b w:val="0"/>
                <w:bCs w:val="0"/>
              </w:rPr>
              <w:instrText>ADDIN CSL_CITATION {"citationItems":[{"id":"ITEM-1","itemData":{"DOI":"10.1002/etc.3739","ISSN":"15528618","PMID":"28248437","abstract":"Neonicotinoids are prophylactically used globally on a variety of crops, and there is concern for the potential impacts of neonicotinoids on aquatic ecosystems. The intensive use of pesticides on crops has been identified as a contributor to population declines of amphibians, but currently little is known regarding the sublethal effects of chronic neonicotinoid exposure on amphibians. The objective of the present study was to characterize the sublethal effect(s) of exposure to 3 environmentally relevant concentrations (1 μg/L, 10 μg/L, and 100 μg/L) of 2 neonicotinoids on larval wood frogs (Lithobates sylvaticus) using outdoor mesocosms. We exposed tadpoles to solutions of 2 commercial formulations containing imidacloprid and thiamethoxam, and assessed survival, growth, and development. Exposure to imidacloprid at 10 μg/L and 100 μg/L increased survival and delayed completion of metamorphosis compared with controls. Exposure to thiamethoxam did not influence amphibian responses. There was no significant effect of any treatment on body mass or size of the metamorphs. The results suggest that current usage of imidacloprid and thiamethoxam does not pose a threat to wood frogs. However, further assessment of both direct and indirect effects on subtle sublethal endpoints, and the influence of multiple interacting stressors at various life stages, is needed to fully understand the effects of neonicotinoids on amphibians. Environ Toxicol Chem 2017;36:1101–1109. © 2017 The Authors. Environmental Toxicology and Chemistry published by Wiley Periodicals, Inc. on behalf of SETAC.","author":[{"dropping-particle":"","family":"Robinson","given":"Stacey A.","non-dropping-particle":"","parse-names":false,"suffix":""},{"dropping-particle":"","family":"Richardson","given":"Sarah D.","non-dropping-particle":"","parse-names":false,"suffix":""},{"dropping-particle":"","family":"Dalton","given":"Rebecca L.","non-dropping-particle":"","parse-names":false,"suffix":""},{"dropping-particle":"","family":"Maisonneuve","given":"France","non-dropping-particle":"","parse-names":false,"suffix":""},{"dropping-particle":"","family":"Trudeau","given":"Vance L.","non-dropping-particle":"","parse-names":false,"suffix":""},{"dropping-particle":"","family":"Pauli","given":"Bruce D.","non-dropping-particle":"","parse-names":false,"suffix":""},{"dropping-particle":"","family":"Lee-Jenkins","given":"Stacey S.Y.","non-dropping-particle":"","parse-names":false,"suffix":""}],"container-title":"Environmental Toxicology and Chemistry","id":"ITEM-1","issue":"4","issued":{"date-parts":[["2017"]]},"note":"Reject. This was a mesocosm study using formulations.","page":"1101-1109","title":"Sublethal effects on wood frogs chronically exposed to environmentally relevant concentrations of two neonicotinoid insecticides","type":"article-journal","volume":"36"},"uris":["http://www.mendeley.com/documents/?uuid=238334c9-0ada-4cb1-968a-a1e6de029308"]}],"mendeley":{"formattedCitation":"(Robinson et al., 2017)","plainTextFormattedCitation":"(Robinson et al., 2017)","previouslyFormattedCitation":"(Robinson et al., 2017)"},"properties":{"noteIndex":0},"schema":"https://github.com/citation-style-language/schema/raw/master/csl-citation.json"}</w:instrText>
            </w:r>
            <w:r>
              <w:fldChar w:fldCharType="separate"/>
            </w:r>
            <w:r w:rsidRPr="00B35A86">
              <w:rPr>
                <w:b w:val="0"/>
                <w:bCs w:val="0"/>
                <w:noProof/>
              </w:rPr>
              <w:t>(Robinson et al., 2017)</w:t>
            </w:r>
            <w:r>
              <w:fldChar w:fldCharType="end"/>
            </w:r>
          </w:p>
        </w:tc>
        <w:tc>
          <w:tcPr>
            <w:tcW w:w="602" w:type="pct"/>
          </w:tcPr>
          <w:p w14:paraId="055FE489"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NS TT</w:t>
            </w:r>
          </w:p>
        </w:tc>
        <w:tc>
          <w:tcPr>
            <w:tcW w:w="2542" w:type="pct"/>
          </w:tcPr>
          <w:p w14:paraId="4ACF18FC"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Mesocosm study, used formulation</w:t>
            </w:r>
          </w:p>
        </w:tc>
      </w:tr>
      <w:tr w:rsidR="006028FA" w:rsidRPr="00F37F1E" w14:paraId="4DFF502A"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0B6BCE21" w14:textId="77777777" w:rsidR="006028FA" w:rsidRPr="00F37F1E" w:rsidRDefault="006028FA" w:rsidP="00FF13D1">
            <w:pPr>
              <w:rPr>
                <w:b w:val="0"/>
                <w:bCs w:val="0"/>
              </w:rPr>
            </w:pPr>
            <w:r>
              <w:fldChar w:fldCharType="begin" w:fldLock="1"/>
            </w:r>
            <w:r>
              <w:rPr>
                <w:b w:val="0"/>
                <w:bCs w:val="0"/>
              </w:rPr>
              <w:instrText>ADDIN CSL_CITATION {"citationItems":[{"id":"ITEM-1","itemData":{"author":[{"dropping-particle":"","family":"Rosado-Berrios","given":"Carlos A.","non-dropping-particle":"","parse-names":false,"suffix":""}],"id":"ITEM-1","issued":{"date-parts":[["2018"]]},"note":"This is not full dissertation HOWEVER\nIt indicates they used a pesticide product (formulation) not reagent grade.\n\nEcotox database indicates they used 'active ingredient.\n\nI will submit a request for their dissertation on research gate...","publisher":"Arkansas State University","title":"Water quality assessment of the Lower Cache and the Bayou Deview Rivers, Arkansas: An assessment of nutrients, sediment, lead, and acute toxicity of acephate and thiamethoxam","type":"thesis"},"uris":["http://www.mendeley.com/documents/?uuid=07847a4a-1a31-438b-bda4-aa92e7680f27"]}],"mendeley":{"formattedCitation":"(Rosado-Berrios, 2018)","plainTextFormattedCitation":"(Rosado-Berrios, 2018)","previouslyFormattedCitation":"(Rosado-Berrios, 2018)"},"properties":{"noteIndex":0},"schema":"https://github.com/citation-style-language/schema/raw/master/csl-citation.json"}</w:instrText>
            </w:r>
            <w:r>
              <w:fldChar w:fldCharType="separate"/>
            </w:r>
            <w:r w:rsidRPr="00695254">
              <w:rPr>
                <w:b w:val="0"/>
                <w:bCs w:val="0"/>
                <w:noProof/>
              </w:rPr>
              <w:t>(Rosado-Berrios, 2018)</w:t>
            </w:r>
            <w:r>
              <w:fldChar w:fldCharType="end"/>
            </w:r>
          </w:p>
        </w:tc>
        <w:tc>
          <w:tcPr>
            <w:tcW w:w="602" w:type="pct"/>
          </w:tcPr>
          <w:p w14:paraId="41CF7A31"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MIXTURE</w:t>
            </w:r>
          </w:p>
        </w:tc>
        <w:tc>
          <w:tcPr>
            <w:tcW w:w="2542" w:type="pct"/>
          </w:tcPr>
          <w:p w14:paraId="4F8F781A"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Used formulation</w:t>
            </w:r>
          </w:p>
        </w:tc>
      </w:tr>
      <w:tr w:rsidR="006028FA" w:rsidRPr="00F37F1E" w14:paraId="79D9043D"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56B3497A" w14:textId="77777777" w:rsidR="006028FA" w:rsidRPr="00F37F1E" w:rsidRDefault="006028FA" w:rsidP="00FF13D1">
            <w:r>
              <w:fldChar w:fldCharType="begin" w:fldLock="1"/>
            </w:r>
            <w:r>
              <w:instrText>ADDIN CSL_CITATION {"citationItems":[{"id":"ITEM-1","itemData":{"author":[{"dropping-particle":"","family":"Rufli","given":"H.","non-dropping-particle":"","parse-names":false,"suffix":""}],"id":"ITEM-1","issued":{"date-parts":[["1997"]]},"note":"Reject - there was no dose response curve established or range funding test. Just one test at 100 mg/L.","title":"Acute Toxicity Test of CGA-293343 Technical to Rainbow Trout (Oncorhynchus mykiss) Under Flow-Through Conditions","type":"report","volume":"EPA MRID: "},"uris":["http://www.mendeley.com/documents/?uuid=36f2e830-cc90-4ce1-be3c-95e2b2c0b385"]}],"mendeley":{"formattedCitation":"(Rufli, 1997)","plainTextFormattedCitation":"(Rufli, 1997)","previouslyFormattedCitation":"(Rufli, 1997)"},"properties":{"noteIndex":0},"schema":"https://github.com/citation-style-language/schema/raw/master/csl-citation.json"}</w:instrText>
            </w:r>
            <w:r>
              <w:fldChar w:fldCharType="separate"/>
            </w:r>
            <w:r w:rsidRPr="00695254">
              <w:rPr>
                <w:b w:val="0"/>
                <w:noProof/>
              </w:rPr>
              <w:t>(Rufli, 1997)</w:t>
            </w:r>
            <w:r>
              <w:fldChar w:fldCharType="end"/>
            </w:r>
          </w:p>
        </w:tc>
        <w:tc>
          <w:tcPr>
            <w:tcW w:w="602" w:type="pct"/>
          </w:tcPr>
          <w:p w14:paraId="3716AE94"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NS TT</w:t>
            </w:r>
          </w:p>
        </w:tc>
        <w:tc>
          <w:tcPr>
            <w:tcW w:w="2542" w:type="pct"/>
          </w:tcPr>
          <w:p w14:paraId="7C3434C2"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No dose response, only one test concentration</w:t>
            </w:r>
          </w:p>
        </w:tc>
      </w:tr>
      <w:tr w:rsidR="006028FA" w:rsidRPr="00F37F1E" w14:paraId="00746470"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15848B7A" w14:textId="77777777" w:rsidR="006028FA" w:rsidRPr="00F37F1E" w:rsidRDefault="006028FA" w:rsidP="00FF13D1">
            <w:pPr>
              <w:rPr>
                <w:b w:val="0"/>
                <w:bCs w:val="0"/>
              </w:rPr>
            </w:pPr>
            <w:r>
              <w:fldChar w:fldCharType="begin" w:fldLock="1"/>
            </w:r>
            <w:r>
              <w:rPr>
                <w:b w:val="0"/>
                <w:bCs w:val="0"/>
              </w:rPr>
              <w:instrText>ADDIN CSL_CITATION {"citationItems":[{"id":"ITEM-1","itemData":{"author":[{"dropping-particle":"","family":"Sayers","given":"Lee E","non-dropping-particle":"","parse-names":false,"suffix":""}],"id":"ITEM-1","issued":{"date-parts":[["2015"]]},"note":"saltwater fish but could meet salmonid class requirement?? Normally would be an automatic reject. \n\nI'm going to reject although would be a good thing to talk to Kevin about. Reflect on rules a bit.","title":"Thiamethoxam - Early Life-Stage Toxicity Test with Sheepshead Minnow, Cyprindon variegatus","type":"report","volume":"EPA MRID: "},"uris":["http://www.mendeley.com/documents/?uuid=7ed9b96a-f380-4116-876f-c6615fbb8ce9"]}],"mendeley":{"formattedCitation":"(Sayers, 2015a)","plainTextFormattedCitation":"(Sayers, 2015a)","previouslyFormattedCitation":"(Sayers, 2015a)"},"properties":{"noteIndex":0},"schema":"https://github.com/citation-style-language/schema/raw/master/csl-citation.json"}</w:instrText>
            </w:r>
            <w:r>
              <w:fldChar w:fldCharType="separate"/>
            </w:r>
            <w:r w:rsidRPr="004619CD">
              <w:rPr>
                <w:b w:val="0"/>
                <w:bCs w:val="0"/>
                <w:noProof/>
              </w:rPr>
              <w:t>(Sayers, 2015a)</w:t>
            </w:r>
            <w:r>
              <w:fldChar w:fldCharType="end"/>
            </w:r>
          </w:p>
        </w:tc>
        <w:tc>
          <w:tcPr>
            <w:tcW w:w="602" w:type="pct"/>
          </w:tcPr>
          <w:p w14:paraId="18E78FC7"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06839193"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Brackish/marine species</w:t>
            </w:r>
          </w:p>
        </w:tc>
      </w:tr>
      <w:tr w:rsidR="006028FA" w:rsidRPr="00F37F1E" w14:paraId="2A9B2D87"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0C3DBA5D" w14:textId="77777777" w:rsidR="006028FA" w:rsidRPr="00F37F1E" w:rsidRDefault="006028FA" w:rsidP="00FF13D1">
            <w:pPr>
              <w:rPr>
                <w:b w:val="0"/>
                <w:bCs w:val="0"/>
              </w:rPr>
            </w:pPr>
            <w:r>
              <w:fldChar w:fldCharType="begin" w:fldLock="1"/>
            </w:r>
            <w:r>
              <w:rPr>
                <w:b w:val="0"/>
                <w:bCs w:val="0"/>
              </w:rPr>
              <w:instrText>ADDIN CSL_CITATION {"citationItems":[{"id":"ITEM-1","itemData":{"ISBN":"9780333227794","author":[{"dropping-particle":"","family":"Sayers","given":"Lee E","non-dropping-particle":"","parse-names":false,"suffix":""}],"id":"ITEM-1","issued":{"date-parts":[["2015"]]},"note":"A. bahia is a brackish water species - reject","title":"Thiamethoxam - Life-Cycle Toxicity Test with Mysids (Americamysis bahia)","type":"report","volume":"EPA MRID:"},"uris":["http://www.mendeley.com/documents/?uuid=f824837c-3ce1-45ad-81d7-3ca3b0a7cf8c"]}],"mendeley":{"formattedCitation":"(Sayers, 2015b)","plainTextFormattedCitation":"(Sayers, 2015b)","previouslyFormattedCitation":"(Sayers, 2015b)"},"properties":{"noteIndex":0},"schema":"https://github.com/citation-style-language/schema/raw/master/csl-citation.json"}</w:instrText>
            </w:r>
            <w:r>
              <w:fldChar w:fldCharType="separate"/>
            </w:r>
            <w:r w:rsidRPr="004619CD">
              <w:rPr>
                <w:b w:val="0"/>
                <w:bCs w:val="0"/>
                <w:noProof/>
              </w:rPr>
              <w:t>(Sayers, 2015b)</w:t>
            </w:r>
            <w:r>
              <w:fldChar w:fldCharType="end"/>
            </w:r>
          </w:p>
        </w:tc>
        <w:tc>
          <w:tcPr>
            <w:tcW w:w="602" w:type="pct"/>
          </w:tcPr>
          <w:p w14:paraId="37233291"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R57 NC</w:t>
            </w:r>
          </w:p>
        </w:tc>
        <w:tc>
          <w:tcPr>
            <w:tcW w:w="2542" w:type="pct"/>
          </w:tcPr>
          <w:p w14:paraId="5C57AD2B"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Brackish/marine species</w:t>
            </w:r>
          </w:p>
        </w:tc>
      </w:tr>
      <w:tr w:rsidR="006028FA" w:rsidRPr="00F37F1E" w14:paraId="506E58C2"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1E2E64E5" w14:textId="77777777" w:rsidR="006028FA" w:rsidRPr="00F37F1E" w:rsidRDefault="006028FA" w:rsidP="00FF13D1">
            <w:r>
              <w:fldChar w:fldCharType="begin" w:fldLock="1"/>
            </w:r>
            <w:r>
              <w:instrText>ADDIN CSL_CITATION {"citationItems":[{"id":"ITEM-1","itemData":{"DOI":"10.4103/0971-5916.176624","ISSN":"09715916","PMID":"26905244","abstract":"Background &amp; objectives: Due to ever growing insecticide resistance in mosquitoes to commonly used insecticides in many parts of the globe, there is always a need for introduction of new insecticides for the control of resistant vector mosquitoes. In this study, larvicidal and adulticidal efficacies of three neonicotinoids (imidacloprid, thiacloprid and thiamethoxam) were tested against resistant and susceptible populations of Anopheles stephensi Liston 1901, Aedes (Stegomyia) aegypti Linnaeus, and Culex quinquefasciatus Say (Diptera: Culicidae). Methods: Laboratory-reared mosquito species were used. Insecticide susceptibility tests were done using standard WHO procedures and using diagnostic dosages of insecticide test papers and larvicides. Adulticidal efficacy of candidate insecticides was assessed using topical application method and larval bioassays were conducted using standard WHO procedure. Results: The results of topical application on 3-5 day old female mosquitoes indicated that resistant strain of An. stephensi registered lower LC50 values than the susceptible strain. Among the three insecticides tested, thiacloprid was found more effective than the other two insecticides. Culex quinquefasciatus registered lowest LC50 for imidacloprid than the other two mosquito species tested. In larval bioassays, the LC50 values registered for imidacloprid were in the order of Cx. quinquefasciatus &lt;An. stephensi (SS) &lt;An. stephensi (RR) &lt;Ae. aegypti. In case of thiacloprid, the order of efficacy (LC50) was Cx. quinquefasciatus &lt;An. stephensi (SS) &lt;An. stephensi (RR), whereas in case of thiamethoxam, the larvicidal efficacy was in the order of An. stephensi (RR) &lt;An. stephensi (SS) &lt;Cx. quinquefasciatus. Interpretation &amp; conclusions: The present study indicated that insecticide resistant strains of mosquito species tested showed more susceptibility to the three neonicotinoids tested, and the possibility of using neonicotinoids for the control of resistant mosquitoes should be explored.","author":[{"dropping-particle":"","family":"Uragayala","given":"Sreehari","non-dropping-particle":"","parse-names":false,"suffix":""},{"dropping-particle":"","family":"Verma","given":"Vaishali","non-dropping-particle":"","parse-names":false,"suffix":""},{"dropping-particle":"","family":"Natarajan","given":"Elamathi","non-dropping-particle":"","parse-names":false,"suffix":""},{"dropping-particle":"","family":"Velamuri","given":"Poonam Sharma","non-dropping-particle":"","parse-names":false,"suffix":""},{"dropping-particle":"","family":"Kamaraju","given":"Raghavendra","non-dropping-particle":"","parse-names":false,"suffix":""}],"container-title":"Indian Journal of Medical Research","id":"ITEM-1","issue":"December","issued":{"date-parts":[["2015"]]},"note":"Non-resident species. REJECT","page":"64-70","title":"Adulticidal &amp; larvicidal efficacy of three neonicotinoids against insecticide susceptible &amp; resistant mosquito strains","type":"article-journal","volume":"142"},"uris":["http://www.mendeley.com/documents/?uuid=89f201df-a6f8-42b7-8dc8-8fed9324305b"]}],"mendeley":{"formattedCitation":"(Uragayala et al., 2015)","plainTextFormattedCitation":"(Uragayala et al., 2015)","previouslyFormattedCitation":"(Uragayala et al., 2015)"},"properties":{"noteIndex":0},"schema":"https://github.com/citation-style-language/schema/raw/master/csl-citation.json"}</w:instrText>
            </w:r>
            <w:r>
              <w:fldChar w:fldCharType="separate"/>
            </w:r>
            <w:r w:rsidRPr="004619CD">
              <w:rPr>
                <w:b w:val="0"/>
                <w:noProof/>
              </w:rPr>
              <w:t>(Uragayala et al., 2015)</w:t>
            </w:r>
            <w:r>
              <w:fldChar w:fldCharType="end"/>
            </w:r>
          </w:p>
        </w:tc>
        <w:tc>
          <w:tcPr>
            <w:tcW w:w="602" w:type="pct"/>
          </w:tcPr>
          <w:p w14:paraId="74E1584A"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R57 NC</w:t>
            </w:r>
          </w:p>
        </w:tc>
        <w:tc>
          <w:tcPr>
            <w:tcW w:w="2542" w:type="pct"/>
          </w:tcPr>
          <w:p w14:paraId="04050A72"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Non-resident species</w:t>
            </w:r>
          </w:p>
        </w:tc>
      </w:tr>
      <w:tr w:rsidR="006028FA" w:rsidRPr="00F37F1E" w14:paraId="21EFB7B2" w14:textId="77777777" w:rsidTr="00FF13D1">
        <w:tc>
          <w:tcPr>
            <w:cnfStyle w:val="001000000000" w:firstRow="0" w:lastRow="0" w:firstColumn="1" w:lastColumn="0" w:oddVBand="0" w:evenVBand="0" w:oddHBand="0" w:evenHBand="0" w:firstRowFirstColumn="0" w:firstRowLastColumn="0" w:lastRowFirstColumn="0" w:lastRowLastColumn="0"/>
            <w:tcW w:w="1856" w:type="pct"/>
          </w:tcPr>
          <w:p w14:paraId="344FDDCC" w14:textId="77777777" w:rsidR="006028FA" w:rsidRPr="00F37F1E" w:rsidRDefault="006028FA" w:rsidP="00FF13D1">
            <w:pPr>
              <w:rPr>
                <w:b w:val="0"/>
                <w:bCs w:val="0"/>
              </w:rPr>
            </w:pPr>
            <w:r>
              <w:fldChar w:fldCharType="begin" w:fldLock="1"/>
            </w:r>
            <w:r>
              <w:rPr>
                <w:b w:val="0"/>
                <w:bCs w:val="0"/>
              </w:rPr>
              <w:instrText>ADDIN CSL_CITATION {"citationItems":[{"id":"ITEM-1","itemData":{"DOI":"10.1002/etc.3152","ISSN":"15528618","PMID":"26419398","abstract":"Mayfly nymphs are among the most sensitive taxa to neonicotinoids. The present study presents the acute and chronic toxicity of 3 neonicotinoids (imidacloprid, thiacloprid, and thiamethoxam) to a mayfly species (Cloeon dipterum) and some notes on the seasonality of the toxicity of imidacloprid to C. dipterum and 5 other invertebrate species. Imidacloprid and thiamethoxam showed equal acute and chronic toxicity to a winter generation of C. dipterum, whereas thiacloprid was approximately twice as toxic. The acute and chronic toxicity of imidacloprid was much higher for the C. dipterum summer generation than for the winter one. The acute toxicity differs by a factor of 20 for the 96-h 50% effective concentration (EC50) and by a factor of 5.4 for the chronic 28-d EC50. Temperature had only a slight effect on the sensitivity of C. dipterum to imidacloprid because we only found a factor of 1.7 difference in the 96-h EC50 between tests performed at 10°C and 18°C. The difference in sensitivity between summer and overwintering generations was also found for 3 other insect species. The results indicate that if the use and environmental fate of the 3 neonicotinoids are comparable, replacing imidacloprid by another neonicotinoid might not reduce the environmental impact on the mayfly nymph C. dipterum. The results also show the importance of reporting which generation is tested because sensitivity values of insects in the summer might be underestimated by the experiments performed with neonicotinoids and an overwintering population.","author":[{"dropping-particle":"","family":"Brink","given":"Paul J.","non-dropping-particle":"Van den","parse-names":false,"suffix":""},{"dropping-particle":"","family":"Smeden","given":"Jasper M.","non-dropping-particle":"Van","parse-names":false,"suffix":""},{"dropping-particle":"","family":"Bekele","given":"Robel S.","non-dropping-particle":"","parse-names":false,"suffix":""},{"dropping-particle":"","family":"Dierick","given":"Wiebe","non-dropping-particle":"","parse-names":false,"suffix":""},{"dropping-particle":"","family":"Gelder","given":"Daphne M.","non-dropping-particle":"De","parse-names":false,"suffix":""},{"dropping-particle":"","family":"Noteboom","given":"Maarten","non-dropping-particle":"","parse-names":false,"suffix":""},{"dropping-particle":"","family":"Roessink","given":"Ivo","non-dropping-particle":"","parse-names":false,"suffix":""}],"container-title":"Environmental Toxicology and Chemistry","id":"ITEM-1","issue":"1","issued":{"date-parts":[["2016"]]},"note":"Accept without reservation. Also has numbers for thiamethoxam and thiacloprid. \n\nReject for thiamethoxam - used a formulation.\n\nCan only use Cloeon dipterum data - only resident MI species. All others are European variants.\nUnfed chronic mayfly study","page":"128-133","title":"Acute and chronic toxicity of neonicotinoids to nymphs of a mayfly species and some notes on seasonal differences","type":"article-journal","volume":"35"},"uris":["http://www.mendeley.com/documents/?uuid=6d392404-a82b-428b-89ef-0ae9573fd738"]}],"mendeley":{"formattedCitation":"(Van den Brink et al., 2016)","plainTextFormattedCitation":"(Van den Brink et al., 2016)","previouslyFormattedCitation":"(Van den Brink et al., 2016)"},"properties":{"noteIndex":0},"schema":"https://github.com/citation-style-language/schema/raw/master/csl-citation.json"}</w:instrText>
            </w:r>
            <w:r>
              <w:fldChar w:fldCharType="separate"/>
            </w:r>
            <w:r w:rsidRPr="004619CD">
              <w:rPr>
                <w:b w:val="0"/>
                <w:bCs w:val="0"/>
                <w:noProof/>
              </w:rPr>
              <w:t>(Van den Brink et al., 2016)</w:t>
            </w:r>
            <w:r>
              <w:fldChar w:fldCharType="end"/>
            </w:r>
          </w:p>
        </w:tc>
        <w:tc>
          <w:tcPr>
            <w:tcW w:w="602" w:type="pct"/>
          </w:tcPr>
          <w:p w14:paraId="76FCB459"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MIXTURE</w:t>
            </w:r>
          </w:p>
        </w:tc>
        <w:tc>
          <w:tcPr>
            <w:tcW w:w="2542" w:type="pct"/>
          </w:tcPr>
          <w:p w14:paraId="579FA0FC" w14:textId="77777777" w:rsidR="006028FA" w:rsidRPr="00F37F1E" w:rsidRDefault="006028FA" w:rsidP="00FF13D1">
            <w:pPr>
              <w:cnfStyle w:val="000000000000" w:firstRow="0" w:lastRow="0" w:firstColumn="0" w:lastColumn="0" w:oddVBand="0" w:evenVBand="0" w:oddHBand="0" w:evenHBand="0" w:firstRowFirstColumn="0" w:firstRowLastColumn="0" w:lastRowFirstColumn="0" w:lastRowLastColumn="0"/>
            </w:pPr>
            <w:r>
              <w:t>Used formulation</w:t>
            </w:r>
          </w:p>
        </w:tc>
      </w:tr>
      <w:tr w:rsidR="006028FA" w:rsidRPr="00F37F1E" w14:paraId="7860D17A" w14:textId="77777777" w:rsidTr="00FF13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6" w:type="pct"/>
          </w:tcPr>
          <w:p w14:paraId="0466DA78" w14:textId="77777777" w:rsidR="006028FA" w:rsidRPr="00F37F1E" w:rsidRDefault="006028FA" w:rsidP="00FF13D1">
            <w:pPr>
              <w:rPr>
                <w:b w:val="0"/>
                <w:bCs w:val="0"/>
              </w:rPr>
            </w:pPr>
            <w:r>
              <w:fldChar w:fldCharType="begin" w:fldLock="1"/>
            </w:r>
            <w:r>
              <w:rPr>
                <w:b w:val="0"/>
                <w:bCs w:val="0"/>
              </w:rPr>
              <w:instrText>ADDIN CSL_CITATION {"citationItems":[{"id":"ITEM-1","itemData":{"DOI":"10.15832/ankutbd.446448","ISSN":"21489297","abstract":"The effects of ozone treatment on the degradation and toxicity of nine pesticides were determined with different chromatographic techniques, using bubbled ozone and distilled water and two different buffer solutions as test media. The toxicity experiments were performed using Daphnia magna, a cladoceran fresh water flea. The results revealed that thiacloprid and acetamiprid can only be degraded by ozonation to a limited extent (max 2.6%). The other seven pesticides were successfully degraded by ozone. The degradation rates (%) were found to be 93, 99, 95, 99, 87, 98, and 85 for fenazaquin, lambda cyhalothrin, azoxystrobin, chlorpyrifos, spiromesifen, clothianidin and thiamethoxam, respectively, after 5 minutes of ozone treatment in distilled water. The ozone treatment yielded reduced toxicity in fenazaquin, lambda cyhalothrin, azoxystrobin, chlorpyrifos and spiromesifen. However, the degradation products of clothianidin and thiamethoxam were found to be more toxic than the pesticide itself. In general, the use of buffer solutions has no significant effect on pesticide degradation compared to water as an ozonation medium.","author":[{"dropping-particle":"","family":"Velioglu","given":"Yakup Sedat","non-dropping-particle":"","parse-names":false,"suffix":""},{"dropping-particle":"","family":"Fikirdeşici-Ergen","given":"Şeyda","non-dropping-particle":"","parse-names":false,"suffix":""},{"dropping-particle":"","family":"Aksu","given":"Pelin","non-dropping-particle":"","parse-names":false,"suffix":""},{"dropping-particle":"","family":"Altindağ","given":"Ahmet","non-dropping-particle":"","parse-names":false,"suffix":""}],"container-title":"Tarim Bilimleri Dergisi","id":"ITEM-1","issue":"2","issued":{"date-parts":[["2018"]]},"note":"Reject. No citations for methods or analysis of water quality. No mention of this being a controlled study.","page":"245-255","title":"Effects of ozone treatment on the degradation and toxicity of several pesticides in different groups","type":"article-journal","volume":"24"},"uris":["http://www.mendeley.com/documents/?uuid=81dfb084-b231-4dda-9d83-998b5a2c8352"]}],"mendeley":{"formattedCitation":"(Velioglu et al., 2018)","plainTextFormattedCitation":"(Velioglu et al., 2018)","previouslyFormattedCitation":"(Velioglu et al., 2018)"},"properties":{"noteIndex":0},"schema":"https://github.com/citation-style-language/schema/raw/master/csl-citation.json"}</w:instrText>
            </w:r>
            <w:r>
              <w:fldChar w:fldCharType="separate"/>
            </w:r>
            <w:r w:rsidRPr="004619CD">
              <w:rPr>
                <w:b w:val="0"/>
                <w:bCs w:val="0"/>
                <w:noProof/>
              </w:rPr>
              <w:t>(Velioglu et al., 2018)</w:t>
            </w:r>
            <w:r>
              <w:fldChar w:fldCharType="end"/>
            </w:r>
          </w:p>
        </w:tc>
        <w:tc>
          <w:tcPr>
            <w:tcW w:w="602" w:type="pct"/>
          </w:tcPr>
          <w:p w14:paraId="78D7E6E9"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NS TT</w:t>
            </w:r>
          </w:p>
        </w:tc>
        <w:tc>
          <w:tcPr>
            <w:tcW w:w="2542" w:type="pct"/>
          </w:tcPr>
          <w:p w14:paraId="0DC27720" w14:textId="77777777" w:rsidR="006028FA" w:rsidRPr="00F37F1E" w:rsidRDefault="006028FA" w:rsidP="00FF13D1">
            <w:pPr>
              <w:cnfStyle w:val="000000100000" w:firstRow="0" w:lastRow="0" w:firstColumn="0" w:lastColumn="0" w:oddVBand="0" w:evenVBand="0" w:oddHBand="1" w:evenHBand="0" w:firstRowFirstColumn="0" w:firstRowLastColumn="0" w:lastRowFirstColumn="0" w:lastRowLastColumn="0"/>
            </w:pPr>
            <w:r>
              <w:t>No method citation, WQ data, or controls</w:t>
            </w:r>
          </w:p>
        </w:tc>
      </w:tr>
    </w:tbl>
    <w:p w14:paraId="355120C5" w14:textId="77777777" w:rsidR="006028FA" w:rsidRPr="00F37F1E" w:rsidRDefault="006028FA" w:rsidP="006028FA"/>
    <w:p w14:paraId="0462EB54" w14:textId="77777777" w:rsidR="006028FA" w:rsidRPr="00F37F1E" w:rsidRDefault="006028FA" w:rsidP="006028FA">
      <w:pPr>
        <w:rPr>
          <w:rFonts w:cstheme="minorHAnsi"/>
          <w:b/>
          <w:bCs/>
        </w:rPr>
      </w:pPr>
    </w:p>
    <w:p w14:paraId="61EAAD1C" w14:textId="77777777" w:rsidR="006028FA" w:rsidRDefault="006028FA" w:rsidP="006028FA">
      <w:pPr>
        <w:rPr>
          <w:rFonts w:cstheme="minorHAnsi"/>
          <w:b/>
          <w:bCs/>
        </w:rPr>
      </w:pPr>
      <w:r>
        <w:rPr>
          <w:rFonts w:cstheme="minorHAnsi"/>
          <w:b/>
          <w:bCs/>
        </w:rPr>
        <w:br w:type="page"/>
      </w:r>
    </w:p>
    <w:p w14:paraId="030002D6" w14:textId="77777777" w:rsidR="006028FA" w:rsidRDefault="006028FA" w:rsidP="006028FA">
      <w:pPr>
        <w:rPr>
          <w:rFonts w:cstheme="minorHAnsi"/>
          <w:b/>
          <w:bCs/>
        </w:rPr>
      </w:pPr>
      <w:r w:rsidRPr="00D252B5">
        <w:rPr>
          <w:rFonts w:cstheme="minorHAnsi"/>
          <w:b/>
          <w:bCs/>
        </w:rPr>
        <w:lastRenderedPageBreak/>
        <w:t>References:</w:t>
      </w:r>
    </w:p>
    <w:p w14:paraId="3279824B"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6A78A5">
        <w:rPr>
          <w:rFonts w:cstheme="minorHAnsi"/>
          <w:b/>
          <w:bCs/>
          <w:sz w:val="20"/>
          <w:szCs w:val="20"/>
        </w:rPr>
        <w:fldChar w:fldCharType="begin" w:fldLock="1"/>
      </w:r>
      <w:r w:rsidRPr="006A78A5">
        <w:rPr>
          <w:rFonts w:cstheme="minorHAnsi"/>
          <w:b/>
          <w:bCs/>
          <w:sz w:val="20"/>
          <w:szCs w:val="20"/>
        </w:rPr>
        <w:instrText xml:space="preserve">ADDIN Mendeley Bibliography CSL_BIBLIOGRAPHY </w:instrText>
      </w:r>
      <w:r w:rsidRPr="006A78A5">
        <w:rPr>
          <w:rFonts w:cstheme="minorHAnsi"/>
          <w:b/>
          <w:bCs/>
          <w:sz w:val="20"/>
          <w:szCs w:val="20"/>
        </w:rPr>
        <w:fldChar w:fldCharType="separate"/>
      </w:r>
      <w:r w:rsidRPr="00390AE1">
        <w:rPr>
          <w:rFonts w:ascii="Calibri" w:hAnsi="Calibri" w:cs="Calibri"/>
          <w:noProof/>
          <w:sz w:val="20"/>
        </w:rPr>
        <w:t>Barbee, G.C., Stout, M.J., 2009. Comparative acute toxicity of neonicotinoid and pyrethroid insecticides to non-target crayfish (Procambarus clarkii) associated with rice-crayfish crop rotations. Pest Manag. Sci. 65, 1250–1256. https://doi.org/10.1002/ps.1817</w:t>
      </w:r>
    </w:p>
    <w:p w14:paraId="7A8833B6"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Bartlett, A.J., Hedges, A.M., Intini, K.D., Brown, L.R., Maisonneuve, F.J., Robinson, S.A., Gillis, P.L., de Solla, S.R., 2018. Lethal and sublethal toxicity of neonicotinoid and butenolide insecticides to the mayfly, Hexagenia spp. Environ. Pollut. 238, 63–75. https://doi.org/10.1016/j.envpol.2018.03.004</w:t>
      </w:r>
    </w:p>
    <w:p w14:paraId="5634D45D"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Bradley, M.J., 2015. 10-Day Toxicity Test Exposing Midge (Chironomus dilutus) to Thiamethoxam Applied to Sediment Under Static-Renewal Conditions.</w:t>
      </w:r>
    </w:p>
    <w:p w14:paraId="43C3C861"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Brock, T.C.M., Van Wijngaarden, R.P.A., 2012. Acute toxicity tests with Daphnia magna, Americamysis bahia, Chironomus riparius and Gammarus pulex and implications of new EU requirements for the aquatic effect assessment of insecticides. Environ. Sci. Pollut. Res. 19, 3610–3618. https://doi.org/10.1007/s11356-012-0930-0</w:t>
      </w:r>
    </w:p>
    <w:p w14:paraId="48EB0DD9"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Cavallaro, M.C., Liber, K., Headley, J. V., Peru, K.M., Morrissey, C.A., 2018. Community-level and phenological responses of emerging aquatic insects exposed to 3 neonicotinoid insecticides: An in situ wetland limnocorral approach. Environ. Toxicol. Chem. 37, 2401–2412. https://doi.org/10.1002/etc.4187</w:t>
      </w:r>
    </w:p>
    <w:p w14:paraId="7C7F2B26"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Cavallaro, M.C., Morrissey, C.A., Headley, J. V., Peru, K.M., Liber, K., 2017. Comparative chronic toxicity of imidacloprid, clothianidin, and thiamethoxam to Chironomus dilutus and estimation of toxic equivalency factors. Environ. Toxicol. Chem. 36, 372–382. https://doi.org/10.1002/etc.3536</w:t>
      </w:r>
    </w:p>
    <w:p w14:paraId="35A75188"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Danis, B.E.G., Marlatt, V.L., 2021. Investigating Acute and Subchronic Effects of Neonicotinoids on Northwestern Salamander Larvae. Arch. Environ. Contam. Toxicol. 80, 691–707. https://doi.org/10.1007/s00244-021-00840-4</w:t>
      </w:r>
    </w:p>
    <w:p w14:paraId="6EEFAAA4"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Drottar, K.R., Graves, W.C., Swigert, J.P., 1997. CGA-293343: An Early Life-Stage Toxicity Test with the Rainbow Trout (Oncorhynchus mykiss).</w:t>
      </w:r>
    </w:p>
    <w:p w14:paraId="7B72466B"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Drottar, K.R., Swigert, J.P., 1997a. CGA-293343: A 96-Hour Flow-Through Acute Toxicity Test with the Saltwater Mysid (Mysidopsis bahia).</w:t>
      </w:r>
    </w:p>
    <w:p w14:paraId="6A0465FD"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Drottar, K.R., Swigert, J.P., 1997b. CGA-29334: A 96-Hour Flow-Through Acute Toxicity Test with the Sheepshead Minnow (Cyprinodon variegatus).</w:t>
      </w:r>
    </w:p>
    <w:p w14:paraId="45C98323"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Drottat, K.R., Swigert, J.P., 1996. CGA-293343: A 96-Hour Flow-Through Acute Toxicity Test with the Bluegill (Lepomis macrochirus).</w:t>
      </w:r>
    </w:p>
    <w:p w14:paraId="5EB8A297"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Ferreira-Junior, D.F., Sarmento, R.A., Saraiva, A.S., Dornelas, A.S.P., Pestana, J.L.T., Soares, A.M.V.M., 2018. Effects of a Thiamethoxam-Based Insecticide on the Life History of Chironomus xanthus. Water. Air. Soil Pollut. 229. https://doi.org/10.1007/s11270-018-3994-8</w:t>
      </w:r>
    </w:p>
    <w:p w14:paraId="6C4262A1"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Finnegan, M.C., Baxter, L.R., Maul, J.D., Hanson, M.L., Hoekstra, P.F., 2017. Comprehensive characterization of the acute and chronic toxicity of the neonicotinoid insecticide thiamethoxam to a suite of aquatic primary producers, invertebrates, and fish. Environ. Toxicol. Chem. 36, 2838–2848. https://doi.org/10.1002/etc.3846</w:t>
      </w:r>
    </w:p>
    <w:p w14:paraId="49CEAA48"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Grade, R., 1998. Toxicity Test of CGA-293343 Technical on Sediment-Dwelling Chironomus riparius (syn. Chironomus thummi) under Static Conditions.</w:t>
      </w:r>
    </w:p>
    <w:p w14:paraId="1867664C"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Macaulay, S.J., Hageman, K.J., Alumbaugh, R.E., Lyons, S.M., Piggott, J.J., Matthaei, C.D., 2019. Chronic Toxicities of Neonicotinoids to Nymphs of the Common New Zealand Mayfly Deleatidium spp. Environ. Toxicol. Chem. 38, 2459–2471. https://doi.org/10.1002/etc.4556</w:t>
      </w:r>
    </w:p>
    <w:p w14:paraId="51CC38CA"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Maloney, E.M., Liber, K., Headley, J. V., Peru, K.M., Morrissey, C.A., 2018a. Neonicotinoid insecticide mixtures: Evaluation of laboratory-based toxicity predictions under semi-controlled field conditions. Environ. Pollut. 243, 1727–1739. https://doi.org/10.1016/j.envpol.2018.09.008</w:t>
      </w:r>
    </w:p>
    <w:p w14:paraId="22AB8CA7"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Maloney, E.M., Morrissey, C.A., Headley, J. V., Peru, K.M., Liber, K., 2018b. Can chronic exposure to imidacloprid, clothianidin, and thiamethoxam mixtures exert greater than additive toxicity in Chironomus dilutus? Ecotoxicol. Environ. Saf. 156, 354–365. https://doi.org/10.1016/j.ecoenv.2018.03.003</w:t>
      </w:r>
    </w:p>
    <w:p w14:paraId="2A3FB265"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Maloney, E.M., Morrissey, C.A., Headley, J. V., Peru, K.M., Liber, K., 2017. Cumulative toxicity of neonicotinoid insecticide mixtures to Chironomus dilutus under acute exposure scenarios. Environ. Toxicol. Chem. 36, 3091–3101. https://doi.org/10.1002/etc.3878</w:t>
      </w:r>
    </w:p>
    <w:p w14:paraId="68AB8A5B"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Mank, M.A., Krueger, H.O., 1998. CGA 293343 Technical: A 48-Hour Static Acute Toxicity Test with the Midge (Chironomus riparius).</w:t>
      </w:r>
    </w:p>
    <w:p w14:paraId="17E7B1B5"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lastRenderedPageBreak/>
        <w:t>Miles, J.C., Hua, J., Sepulveda, M.S., Krupke, C.H., Hoverman, J.T., 2017. Effects of clothianidin on aquatic communities: Evaluating the impacts of lethal and sublethal exposure to neonicotinoids. PLoS One 12, 1–25. https://doi.org/10.1371/journal.pone.0174171</w:t>
      </w:r>
    </w:p>
    <w:p w14:paraId="2E992EC4"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Moeris, S., Vanryckeghem, F., Demeestere, K., De Schamphelaere, K.A.C., 2021. Neonicotinoid Insecticides from a Marine Perspective: Acute and Chronic Copepod Testing and Derivation of Environmental Quality Standards. Environ. Toxicol. Chem. 40, 1353–1367. https://doi.org/10.1002/etc.4986</w:t>
      </w:r>
    </w:p>
    <w:p w14:paraId="45A3F004"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Neumann, C., 1997. Daphnia magna Reproduction Test: Effects of CGA-29334 on the Reproduction of the Cladoceran Daphnia magna STRAUS in a Semi-Static Laboratory Test.</w:t>
      </w:r>
    </w:p>
    <w:p w14:paraId="3D3BA8FD"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Neumann, C., 1996. Acute Toxicity Test of CGA-293343 Technical to the Caldoceran Daphnia magna STRAUS Under Static Conditions. https://doi.org/10.32388/usnuy9</w:t>
      </w:r>
    </w:p>
    <w:p w14:paraId="34CEBC17"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Pochini, K.M., Hoverman, J.T., 2017. Reciprocal effects of pesticides and pathogens on amphibian hosts: The importance of exposure order and timing. Environ. Pollut. 221, 359–366. https://doi.org/10.1016/j.envpol.2016.11.086</w:t>
      </w:r>
    </w:p>
    <w:p w14:paraId="7A129173"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Prosser, R.S., de Solla, S.R., Holman, E.A.M., Osborne, R., Robinson, S.A., Bartlett, A.J., Maisonneuve, F.J., Gillis, P.L., 2016. Sensitivity of the early-life stages of freshwater mollusks to neonicotinoid and butenolide insecticides. Environ. Pollut. 218, 428–435. https://doi.org/10.1016/j.envpol.2016.07.022</w:t>
      </w:r>
    </w:p>
    <w:p w14:paraId="3562D37A"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Raby, M., Nowierski, M., Perlov, D., Zhao, X., Hao, C., Poirier, D.G., Sibley, P.K., 2018a. Acute toxicity of 6 neonicotinoid insecticides to freshwater invertebrates. Environ. Toxicol. Chem. 37, 1430–1445. https://doi.org/10.1002/etc.4088</w:t>
      </w:r>
    </w:p>
    <w:p w14:paraId="2B57BBF9"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Raby, M., Zhao, X., Hao, C., Poirier, D.G., Sibley, P.K., 2018b. Chronic toxicity of 6 neonicotinoid insecticides to Chironomus dilutus and Neocloeon triangulifer. Environ. Toxicol. Chem. 37, 2727–2739. https://doi.org/10.1002/etc.4234</w:t>
      </w:r>
    </w:p>
    <w:p w14:paraId="5FD31253"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Raby, M., Zhao, X., Hao, C., Poirier, D.G., Sibley, P.K., 2018c. Chronic effects of an environmentally-relevant, short-term neonicotinoid insecticide pulse on four aquatic invertebrates. Sci. Total Environ. 639, 1543–1552. https://doi.org/10.1016/j.scitotenv.2018.05.259</w:t>
      </w:r>
    </w:p>
    <w:p w14:paraId="3F72F64F"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Raby, M., Zhao, X., Hao, C., Poirier, D.G., Sibley, P.K., 2018d. Relative chronic sensitivity of neonicotinoid insecticides to Ceriodaphnia dubia and Daphnia magna. Ecotoxicol. Environ. Saf. 163, 238–244. https://doi.org/10.1016/j.ecoenv.2018.07.086</w:t>
      </w:r>
    </w:p>
    <w:p w14:paraId="38600DB7"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Rico, A., Arenas-Sánchez, A., Pasqualini, J., García-Astillero, A., Cherta, L., Nozal, L., Vighi, M., 2018. Effects of imidacloprid and a neonicotinoid mixture on aquatic invertebrate communities under Mediterranean conditions. Aquat. Toxicol. 204, 130–143. https://doi.org/10.1016/j.aquatox.2018.09.004</w:t>
      </w:r>
    </w:p>
    <w:p w14:paraId="57FAF73A"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Robinson, S.A., Richardson, S.D., Dalton, R.L., Maisonneuve, F., Bartlett, A.J., de Solla, S.R., Trudeau, V.L., Waltho, N., 2019. Assessment of Sublethal Effects of Neonicotinoid Insecticides on the Life-History Traits of 2 Frog Species. Environ. Toxicol. Chem. 38, 1967–1977. https://doi.org/10.1002/etc.4511</w:t>
      </w:r>
    </w:p>
    <w:p w14:paraId="51EB4C6D"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Robinson, S.A., Richardson, S.D., Dalton, R.L., Maisonneuve, F., Trudeau, V.L., Pauli, B.D., Lee-Jenkins, S.S.Y., 2017. Sublethal effects on wood frogs chronically exposed to environmentally relevant concentrations of two neonicotinoid insecticides. Environ. Toxicol. Chem. 36, 1101–1109. https://doi.org/10.1002/etc.3739</w:t>
      </w:r>
    </w:p>
    <w:p w14:paraId="4ADFE211"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Rosado-Berrios, C.A., 2018. Water quality assessment of the Lower Cache and the Bayou Deview Rivers, Arkansas: An assessment of nutrients, sediment, lead, and acute toxicity of acephate and thiamethoxam. Arkansas State University.</w:t>
      </w:r>
    </w:p>
    <w:p w14:paraId="09F0724E"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Rufli, H., 1997. Acute Toxicity Test of CGA-293343 Technical to Rainbow Trout (Oncorhynchus mykiss) Under Flow-Through Conditions.</w:t>
      </w:r>
    </w:p>
    <w:p w14:paraId="685DE2CA"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Saraiva, A.S., Sarmento, R.A., Rodrigues, A.C.M., Campos, D., Fedorova, G., Žlábek, V., Gravato, C., Pestana, J.L.T., Soares, A.M.V.M., 2017. Assessment of thiamethoxam toxicity to Chironomus riparius. Ecotoxicol. Environ. Saf. 137, 240–246. https://doi.org/10.1016/j.ecoenv.2016.12.009</w:t>
      </w:r>
    </w:p>
    <w:p w14:paraId="74D25205"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Sayers, L.E., 2015a. Thiamethoxam - Early Life-Stage Toxicity Test with Sheepshead Minnow, Cyprindon variegatus.</w:t>
      </w:r>
    </w:p>
    <w:p w14:paraId="43A18692"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Sayers, L.E., 2015b. Thiamethoxam - Life-Cycle Toxicity Test with Mysids (Americamysis bahia).</w:t>
      </w:r>
    </w:p>
    <w:p w14:paraId="26B47984"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Takács, E., Klátyik, S., Mörtl, M., Rácz, G., Kovács, K., Darvas, B., Székács, A., 2017. Effects of neonicotinoid insecticide formulations and their components on Daphnia magna–the role of active ingredients and co-formulants. Int. J. Environ. Anal. Chem. 97, 885–900. https://doi.org/10.1080/03067319.2017.1363196</w:t>
      </w:r>
    </w:p>
    <w:p w14:paraId="74A674B2"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Uragayala, S., Verma, V., Natarajan, E., Velamuri, P.S., Kamaraju, R., 2015. Adulticidal &amp; larvicidal efficacy of three neonicotinoids against insecticide susceptible &amp; resistant mosquito strains. Indian J. Med. Res. 142, 64–70. https://doi.org/10.4103/0971-5916.176624</w:t>
      </w:r>
    </w:p>
    <w:p w14:paraId="30D7D643"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lastRenderedPageBreak/>
        <w:t>Van den Brink, P.J., Van Smeden, J.M., Bekele, R.S., Dierick, W., De Gelder, D.M., Noteboom, M., Roessink, I., 2016. Acute and chronic toxicity of neonicotinoids to nymphs of a mayfly species and some notes on seasonal differences. Environ. Toxicol. Chem. 35, 128–133. https://doi.org/10.1002/etc.3152</w:t>
      </w:r>
    </w:p>
    <w:p w14:paraId="63439D15" w14:textId="77777777" w:rsidR="006028FA" w:rsidRPr="00390AE1" w:rsidRDefault="006028FA" w:rsidP="006028FA">
      <w:pPr>
        <w:widowControl w:val="0"/>
        <w:autoSpaceDE w:val="0"/>
        <w:autoSpaceDN w:val="0"/>
        <w:adjustRightInd w:val="0"/>
        <w:ind w:left="480" w:hanging="480"/>
        <w:rPr>
          <w:rFonts w:ascii="Calibri" w:hAnsi="Calibri" w:cs="Calibri"/>
          <w:noProof/>
          <w:sz w:val="20"/>
        </w:rPr>
      </w:pPr>
      <w:r w:rsidRPr="00390AE1">
        <w:rPr>
          <w:rFonts w:ascii="Calibri" w:hAnsi="Calibri" w:cs="Calibri"/>
          <w:noProof/>
          <w:sz w:val="20"/>
        </w:rPr>
        <w:t>Velioglu, Y.S., Fikirdeşici-Ergen, Ş., Aksu, P., Altindağ, A., 2018. Effects of ozone treatment on the degradation and toxicity of several pesticides in different groups. Tarim Bilim. Derg. 24, 245–255. https://doi.org/10.15832/ankutbd.446448</w:t>
      </w:r>
    </w:p>
    <w:p w14:paraId="63AB46D9" w14:textId="1C07A011" w:rsidR="00C312A8" w:rsidRPr="00C0075A" w:rsidRDefault="006028FA" w:rsidP="0020776C">
      <w:pPr>
        <w:rPr>
          <w:rFonts w:cstheme="minorHAnsi"/>
          <w:b/>
          <w:bCs/>
        </w:rPr>
      </w:pPr>
      <w:r w:rsidRPr="006A78A5">
        <w:rPr>
          <w:rFonts w:cstheme="minorHAnsi"/>
          <w:b/>
          <w:bCs/>
          <w:sz w:val="20"/>
          <w:szCs w:val="20"/>
        </w:rPr>
        <w:fldChar w:fldCharType="end"/>
      </w:r>
    </w:p>
    <w:sectPr w:rsidR="00C312A8" w:rsidRPr="00C0075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709E4F" w14:textId="77777777" w:rsidR="00F92E72" w:rsidRDefault="00F92E72" w:rsidP="009031E6">
      <w:r>
        <w:separator/>
      </w:r>
    </w:p>
  </w:endnote>
  <w:endnote w:type="continuationSeparator" w:id="0">
    <w:p w14:paraId="193E2384" w14:textId="77777777" w:rsidR="00F92E72" w:rsidRDefault="00F92E72" w:rsidP="00903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BC4DB8" w14:textId="77777777" w:rsidR="00F92E72" w:rsidRDefault="00F92E72" w:rsidP="009031E6">
      <w:r>
        <w:separator/>
      </w:r>
    </w:p>
  </w:footnote>
  <w:footnote w:type="continuationSeparator" w:id="0">
    <w:p w14:paraId="2FC8601C" w14:textId="77777777" w:rsidR="00F92E72" w:rsidRDefault="00F92E72" w:rsidP="009031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D2A63"/>
    <w:multiLevelType w:val="hybridMultilevel"/>
    <w:tmpl w:val="B26A2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4B32A6"/>
    <w:multiLevelType w:val="hybridMultilevel"/>
    <w:tmpl w:val="78749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9D737D"/>
    <w:multiLevelType w:val="hybridMultilevel"/>
    <w:tmpl w:val="A972E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DF01DA"/>
    <w:multiLevelType w:val="hybridMultilevel"/>
    <w:tmpl w:val="4AB6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81218F"/>
    <w:multiLevelType w:val="hybridMultilevel"/>
    <w:tmpl w:val="4420FF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75F347C7"/>
    <w:multiLevelType w:val="hybridMultilevel"/>
    <w:tmpl w:val="DD467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7E02074"/>
    <w:multiLevelType w:val="hybridMultilevel"/>
    <w:tmpl w:val="910AC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7923736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44541671">
    <w:abstractNumId w:val="4"/>
  </w:num>
  <w:num w:numId="3" w16cid:durableId="384109589">
    <w:abstractNumId w:val="3"/>
  </w:num>
  <w:num w:numId="4" w16cid:durableId="673385740">
    <w:abstractNumId w:val="1"/>
  </w:num>
  <w:num w:numId="5" w16cid:durableId="957880328">
    <w:abstractNumId w:val="5"/>
  </w:num>
  <w:num w:numId="6" w16cid:durableId="1663848821">
    <w:abstractNumId w:val="6"/>
  </w:num>
  <w:num w:numId="7" w16cid:durableId="1199511102">
    <w:abstractNumId w:val="2"/>
  </w:num>
  <w:num w:numId="8" w16cid:durableId="16418080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3827"/>
    <w:rsid w:val="000007C1"/>
    <w:rsid w:val="00006129"/>
    <w:rsid w:val="000077AC"/>
    <w:rsid w:val="000121BB"/>
    <w:rsid w:val="00012F56"/>
    <w:rsid w:val="00020301"/>
    <w:rsid w:val="00021C50"/>
    <w:rsid w:val="00022268"/>
    <w:rsid w:val="00025548"/>
    <w:rsid w:val="0002721F"/>
    <w:rsid w:val="00036C4B"/>
    <w:rsid w:val="000442F3"/>
    <w:rsid w:val="00047AD3"/>
    <w:rsid w:val="00050664"/>
    <w:rsid w:val="00054B9B"/>
    <w:rsid w:val="000562D9"/>
    <w:rsid w:val="000579D5"/>
    <w:rsid w:val="00073F61"/>
    <w:rsid w:val="000746EA"/>
    <w:rsid w:val="0008673C"/>
    <w:rsid w:val="000900A6"/>
    <w:rsid w:val="00091E1D"/>
    <w:rsid w:val="000A1CB4"/>
    <w:rsid w:val="000A2786"/>
    <w:rsid w:val="000A4784"/>
    <w:rsid w:val="000B611B"/>
    <w:rsid w:val="000C0656"/>
    <w:rsid w:val="000C6579"/>
    <w:rsid w:val="000D2F6E"/>
    <w:rsid w:val="000D3418"/>
    <w:rsid w:val="000D64B3"/>
    <w:rsid w:val="000D6F47"/>
    <w:rsid w:val="000E3EDB"/>
    <w:rsid w:val="000F0744"/>
    <w:rsid w:val="000F3D91"/>
    <w:rsid w:val="000F6176"/>
    <w:rsid w:val="0010391D"/>
    <w:rsid w:val="0011091B"/>
    <w:rsid w:val="00111C97"/>
    <w:rsid w:val="00124669"/>
    <w:rsid w:val="0012754D"/>
    <w:rsid w:val="001367CA"/>
    <w:rsid w:val="0014408D"/>
    <w:rsid w:val="00154B6E"/>
    <w:rsid w:val="00157DCC"/>
    <w:rsid w:val="00163202"/>
    <w:rsid w:val="001644DA"/>
    <w:rsid w:val="001657C9"/>
    <w:rsid w:val="001701D0"/>
    <w:rsid w:val="00170FA5"/>
    <w:rsid w:val="00171046"/>
    <w:rsid w:val="00183CB9"/>
    <w:rsid w:val="00183D17"/>
    <w:rsid w:val="001842AF"/>
    <w:rsid w:val="001960E5"/>
    <w:rsid w:val="001A7994"/>
    <w:rsid w:val="001B2807"/>
    <w:rsid w:val="001B293D"/>
    <w:rsid w:val="001B5618"/>
    <w:rsid w:val="001B65E8"/>
    <w:rsid w:val="001B6BA4"/>
    <w:rsid w:val="001C155C"/>
    <w:rsid w:val="001C1DA0"/>
    <w:rsid w:val="001C4339"/>
    <w:rsid w:val="001C51CA"/>
    <w:rsid w:val="001D1700"/>
    <w:rsid w:val="001D191E"/>
    <w:rsid w:val="001D59FC"/>
    <w:rsid w:val="001E1D09"/>
    <w:rsid w:val="001F0288"/>
    <w:rsid w:val="001F5892"/>
    <w:rsid w:val="001F5F96"/>
    <w:rsid w:val="00205A5C"/>
    <w:rsid w:val="0020776C"/>
    <w:rsid w:val="00210FB1"/>
    <w:rsid w:val="00211588"/>
    <w:rsid w:val="00215DB3"/>
    <w:rsid w:val="0022020C"/>
    <w:rsid w:val="00225705"/>
    <w:rsid w:val="00227D41"/>
    <w:rsid w:val="00231C49"/>
    <w:rsid w:val="00234FCC"/>
    <w:rsid w:val="00243827"/>
    <w:rsid w:val="002468AB"/>
    <w:rsid w:val="00246D29"/>
    <w:rsid w:val="002471A2"/>
    <w:rsid w:val="002563F3"/>
    <w:rsid w:val="002742C8"/>
    <w:rsid w:val="00280070"/>
    <w:rsid w:val="002811F6"/>
    <w:rsid w:val="0028281C"/>
    <w:rsid w:val="00282C1F"/>
    <w:rsid w:val="00284591"/>
    <w:rsid w:val="00285FBE"/>
    <w:rsid w:val="002862E9"/>
    <w:rsid w:val="00290851"/>
    <w:rsid w:val="00291D71"/>
    <w:rsid w:val="00293B21"/>
    <w:rsid w:val="0029528C"/>
    <w:rsid w:val="00295AF5"/>
    <w:rsid w:val="0029614D"/>
    <w:rsid w:val="002A2389"/>
    <w:rsid w:val="002A35CA"/>
    <w:rsid w:val="002A46E7"/>
    <w:rsid w:val="002A4F83"/>
    <w:rsid w:val="002B2A3A"/>
    <w:rsid w:val="002B2AF8"/>
    <w:rsid w:val="002B46A0"/>
    <w:rsid w:val="002B6C6A"/>
    <w:rsid w:val="002C08E6"/>
    <w:rsid w:val="002C1B22"/>
    <w:rsid w:val="002C2028"/>
    <w:rsid w:val="002C3FD1"/>
    <w:rsid w:val="002C648A"/>
    <w:rsid w:val="002D15A1"/>
    <w:rsid w:val="002E1D98"/>
    <w:rsid w:val="002E487C"/>
    <w:rsid w:val="002E4A6D"/>
    <w:rsid w:val="002E612E"/>
    <w:rsid w:val="002F35A0"/>
    <w:rsid w:val="002F6AD4"/>
    <w:rsid w:val="0030476F"/>
    <w:rsid w:val="003060F0"/>
    <w:rsid w:val="00307ECF"/>
    <w:rsid w:val="00321A5F"/>
    <w:rsid w:val="00323256"/>
    <w:rsid w:val="00324BD6"/>
    <w:rsid w:val="00327FE7"/>
    <w:rsid w:val="00330498"/>
    <w:rsid w:val="003314E1"/>
    <w:rsid w:val="003326AE"/>
    <w:rsid w:val="003400AA"/>
    <w:rsid w:val="003410CC"/>
    <w:rsid w:val="003439FE"/>
    <w:rsid w:val="00344297"/>
    <w:rsid w:val="0035026A"/>
    <w:rsid w:val="00356617"/>
    <w:rsid w:val="00357439"/>
    <w:rsid w:val="00362905"/>
    <w:rsid w:val="00362C8F"/>
    <w:rsid w:val="00362E8F"/>
    <w:rsid w:val="003647F1"/>
    <w:rsid w:val="00366BB5"/>
    <w:rsid w:val="00373B29"/>
    <w:rsid w:val="00375F35"/>
    <w:rsid w:val="0037678D"/>
    <w:rsid w:val="0038794A"/>
    <w:rsid w:val="00387AF2"/>
    <w:rsid w:val="00393244"/>
    <w:rsid w:val="0039590E"/>
    <w:rsid w:val="003975AB"/>
    <w:rsid w:val="003A0FF0"/>
    <w:rsid w:val="003A6CD5"/>
    <w:rsid w:val="003B1C72"/>
    <w:rsid w:val="003B2FD9"/>
    <w:rsid w:val="003B61B8"/>
    <w:rsid w:val="003B66D3"/>
    <w:rsid w:val="003D1A06"/>
    <w:rsid w:val="003E1F84"/>
    <w:rsid w:val="003E6DA4"/>
    <w:rsid w:val="003E6EEF"/>
    <w:rsid w:val="003F7162"/>
    <w:rsid w:val="00406BE7"/>
    <w:rsid w:val="00410635"/>
    <w:rsid w:val="004144AB"/>
    <w:rsid w:val="00414A43"/>
    <w:rsid w:val="00416A8E"/>
    <w:rsid w:val="00416F38"/>
    <w:rsid w:val="00423538"/>
    <w:rsid w:val="00424E8A"/>
    <w:rsid w:val="004253DA"/>
    <w:rsid w:val="00426423"/>
    <w:rsid w:val="0043161C"/>
    <w:rsid w:val="00431C5C"/>
    <w:rsid w:val="004325FE"/>
    <w:rsid w:val="00432E56"/>
    <w:rsid w:val="00434C4E"/>
    <w:rsid w:val="00443D36"/>
    <w:rsid w:val="00446094"/>
    <w:rsid w:val="0044744E"/>
    <w:rsid w:val="00447A01"/>
    <w:rsid w:val="004519C8"/>
    <w:rsid w:val="004532A7"/>
    <w:rsid w:val="00455069"/>
    <w:rsid w:val="00457163"/>
    <w:rsid w:val="00461D9C"/>
    <w:rsid w:val="004663A6"/>
    <w:rsid w:val="00470B22"/>
    <w:rsid w:val="0047174B"/>
    <w:rsid w:val="004772BF"/>
    <w:rsid w:val="00480E4A"/>
    <w:rsid w:val="00484A68"/>
    <w:rsid w:val="0049145F"/>
    <w:rsid w:val="00496378"/>
    <w:rsid w:val="004A0D7B"/>
    <w:rsid w:val="004A0DC0"/>
    <w:rsid w:val="004A2A06"/>
    <w:rsid w:val="004A303D"/>
    <w:rsid w:val="004C66E5"/>
    <w:rsid w:val="004C69BA"/>
    <w:rsid w:val="004C7160"/>
    <w:rsid w:val="004C728F"/>
    <w:rsid w:val="004C776B"/>
    <w:rsid w:val="004C7B4D"/>
    <w:rsid w:val="004D5CE0"/>
    <w:rsid w:val="004E00E5"/>
    <w:rsid w:val="004E1E30"/>
    <w:rsid w:val="004E4B93"/>
    <w:rsid w:val="004E59CA"/>
    <w:rsid w:val="004F5D2F"/>
    <w:rsid w:val="00500920"/>
    <w:rsid w:val="00501774"/>
    <w:rsid w:val="00502246"/>
    <w:rsid w:val="00503CD0"/>
    <w:rsid w:val="00507427"/>
    <w:rsid w:val="005109DA"/>
    <w:rsid w:val="00513AD6"/>
    <w:rsid w:val="005149B5"/>
    <w:rsid w:val="0051560C"/>
    <w:rsid w:val="00517175"/>
    <w:rsid w:val="00521E97"/>
    <w:rsid w:val="00522E2F"/>
    <w:rsid w:val="005247B5"/>
    <w:rsid w:val="0052571E"/>
    <w:rsid w:val="00526237"/>
    <w:rsid w:val="00532B94"/>
    <w:rsid w:val="00532FD3"/>
    <w:rsid w:val="00535556"/>
    <w:rsid w:val="00544AD5"/>
    <w:rsid w:val="0055511D"/>
    <w:rsid w:val="00560DDD"/>
    <w:rsid w:val="00567E9C"/>
    <w:rsid w:val="00572716"/>
    <w:rsid w:val="00572F3B"/>
    <w:rsid w:val="005764FC"/>
    <w:rsid w:val="00581717"/>
    <w:rsid w:val="00583363"/>
    <w:rsid w:val="0059172E"/>
    <w:rsid w:val="00595647"/>
    <w:rsid w:val="005A06E6"/>
    <w:rsid w:val="005A5795"/>
    <w:rsid w:val="005A7192"/>
    <w:rsid w:val="005B21B8"/>
    <w:rsid w:val="005B3B76"/>
    <w:rsid w:val="005B5112"/>
    <w:rsid w:val="005B76D9"/>
    <w:rsid w:val="005C29EE"/>
    <w:rsid w:val="005C7BBD"/>
    <w:rsid w:val="005D1E61"/>
    <w:rsid w:val="005D437E"/>
    <w:rsid w:val="005D6ECE"/>
    <w:rsid w:val="005E1B66"/>
    <w:rsid w:val="005E536F"/>
    <w:rsid w:val="005E656D"/>
    <w:rsid w:val="005E7D77"/>
    <w:rsid w:val="005F396A"/>
    <w:rsid w:val="005F5AEA"/>
    <w:rsid w:val="00600386"/>
    <w:rsid w:val="006008C0"/>
    <w:rsid w:val="006028FA"/>
    <w:rsid w:val="00605F37"/>
    <w:rsid w:val="0061000D"/>
    <w:rsid w:val="00611837"/>
    <w:rsid w:val="00612028"/>
    <w:rsid w:val="0061639F"/>
    <w:rsid w:val="006207BD"/>
    <w:rsid w:val="00622996"/>
    <w:rsid w:val="00624F36"/>
    <w:rsid w:val="00636095"/>
    <w:rsid w:val="0063703F"/>
    <w:rsid w:val="00640586"/>
    <w:rsid w:val="006413F5"/>
    <w:rsid w:val="00644456"/>
    <w:rsid w:val="00647601"/>
    <w:rsid w:val="00650B88"/>
    <w:rsid w:val="00654E57"/>
    <w:rsid w:val="00655E28"/>
    <w:rsid w:val="006709C3"/>
    <w:rsid w:val="00671F86"/>
    <w:rsid w:val="0067243B"/>
    <w:rsid w:val="00673DCA"/>
    <w:rsid w:val="00673DE3"/>
    <w:rsid w:val="00690F10"/>
    <w:rsid w:val="00691181"/>
    <w:rsid w:val="00691D1E"/>
    <w:rsid w:val="00692880"/>
    <w:rsid w:val="00695DF4"/>
    <w:rsid w:val="00697A12"/>
    <w:rsid w:val="006A460F"/>
    <w:rsid w:val="006A46FE"/>
    <w:rsid w:val="006A6334"/>
    <w:rsid w:val="006A78A5"/>
    <w:rsid w:val="006A7EA0"/>
    <w:rsid w:val="006B0653"/>
    <w:rsid w:val="006B2AC6"/>
    <w:rsid w:val="006B67F2"/>
    <w:rsid w:val="006C1FC7"/>
    <w:rsid w:val="006C2874"/>
    <w:rsid w:val="006C44A1"/>
    <w:rsid w:val="006C738A"/>
    <w:rsid w:val="006D02E9"/>
    <w:rsid w:val="006D1E9C"/>
    <w:rsid w:val="006D2345"/>
    <w:rsid w:val="006D3252"/>
    <w:rsid w:val="006D4B9D"/>
    <w:rsid w:val="006D514E"/>
    <w:rsid w:val="006D698E"/>
    <w:rsid w:val="006E3316"/>
    <w:rsid w:val="006E3EEF"/>
    <w:rsid w:val="006F2A08"/>
    <w:rsid w:val="006F2B5B"/>
    <w:rsid w:val="006F42EF"/>
    <w:rsid w:val="006F5AC3"/>
    <w:rsid w:val="00704888"/>
    <w:rsid w:val="00711A76"/>
    <w:rsid w:val="00711DEC"/>
    <w:rsid w:val="007136DD"/>
    <w:rsid w:val="00713978"/>
    <w:rsid w:val="00716057"/>
    <w:rsid w:val="007178D8"/>
    <w:rsid w:val="00720D62"/>
    <w:rsid w:val="00722017"/>
    <w:rsid w:val="00722A5E"/>
    <w:rsid w:val="00724E74"/>
    <w:rsid w:val="0073014A"/>
    <w:rsid w:val="00730E75"/>
    <w:rsid w:val="0073136C"/>
    <w:rsid w:val="0074159A"/>
    <w:rsid w:val="00746405"/>
    <w:rsid w:val="00746DDD"/>
    <w:rsid w:val="00761501"/>
    <w:rsid w:val="00761E83"/>
    <w:rsid w:val="007651F1"/>
    <w:rsid w:val="00765859"/>
    <w:rsid w:val="00765DA8"/>
    <w:rsid w:val="0076777B"/>
    <w:rsid w:val="00773A3A"/>
    <w:rsid w:val="00784B9E"/>
    <w:rsid w:val="00792D8F"/>
    <w:rsid w:val="00795AF5"/>
    <w:rsid w:val="007A09E8"/>
    <w:rsid w:val="007A0C04"/>
    <w:rsid w:val="007A4B14"/>
    <w:rsid w:val="007B0E42"/>
    <w:rsid w:val="007C002D"/>
    <w:rsid w:val="007C5382"/>
    <w:rsid w:val="007C5C42"/>
    <w:rsid w:val="007C6DBA"/>
    <w:rsid w:val="007D1B6E"/>
    <w:rsid w:val="007E1219"/>
    <w:rsid w:val="007F5379"/>
    <w:rsid w:val="007F5EA2"/>
    <w:rsid w:val="00804A82"/>
    <w:rsid w:val="00804EF7"/>
    <w:rsid w:val="00805E34"/>
    <w:rsid w:val="008102AF"/>
    <w:rsid w:val="00812A4B"/>
    <w:rsid w:val="008137D8"/>
    <w:rsid w:val="0081537C"/>
    <w:rsid w:val="00816078"/>
    <w:rsid w:val="00820C5D"/>
    <w:rsid w:val="008318F1"/>
    <w:rsid w:val="00832445"/>
    <w:rsid w:val="00835CAD"/>
    <w:rsid w:val="00845746"/>
    <w:rsid w:val="00846803"/>
    <w:rsid w:val="00857260"/>
    <w:rsid w:val="008629A3"/>
    <w:rsid w:val="00864FF6"/>
    <w:rsid w:val="00865EF4"/>
    <w:rsid w:val="00873E31"/>
    <w:rsid w:val="00873E86"/>
    <w:rsid w:val="00877AF7"/>
    <w:rsid w:val="00880720"/>
    <w:rsid w:val="00885C77"/>
    <w:rsid w:val="00886CAE"/>
    <w:rsid w:val="00886FBF"/>
    <w:rsid w:val="008A7844"/>
    <w:rsid w:val="008B2167"/>
    <w:rsid w:val="008B21A0"/>
    <w:rsid w:val="008B278F"/>
    <w:rsid w:val="008B69B4"/>
    <w:rsid w:val="008C0DE2"/>
    <w:rsid w:val="008C26E8"/>
    <w:rsid w:val="008C3C4F"/>
    <w:rsid w:val="008C66FF"/>
    <w:rsid w:val="008D0EB1"/>
    <w:rsid w:val="008D2197"/>
    <w:rsid w:val="008D45FB"/>
    <w:rsid w:val="008D5C56"/>
    <w:rsid w:val="008E0359"/>
    <w:rsid w:val="008E4486"/>
    <w:rsid w:val="008E638F"/>
    <w:rsid w:val="008F2126"/>
    <w:rsid w:val="008F6363"/>
    <w:rsid w:val="008F7F61"/>
    <w:rsid w:val="00900D0C"/>
    <w:rsid w:val="009030E6"/>
    <w:rsid w:val="009031E6"/>
    <w:rsid w:val="009043EE"/>
    <w:rsid w:val="009065E6"/>
    <w:rsid w:val="0090720D"/>
    <w:rsid w:val="009100F6"/>
    <w:rsid w:val="00913891"/>
    <w:rsid w:val="00916E31"/>
    <w:rsid w:val="009268B6"/>
    <w:rsid w:val="00932C2E"/>
    <w:rsid w:val="0093536E"/>
    <w:rsid w:val="009366C6"/>
    <w:rsid w:val="0094132F"/>
    <w:rsid w:val="00945050"/>
    <w:rsid w:val="00947BEF"/>
    <w:rsid w:val="00956E90"/>
    <w:rsid w:val="00957EA2"/>
    <w:rsid w:val="00962D38"/>
    <w:rsid w:val="009821F4"/>
    <w:rsid w:val="009830EF"/>
    <w:rsid w:val="0098493A"/>
    <w:rsid w:val="009878D1"/>
    <w:rsid w:val="00992973"/>
    <w:rsid w:val="00992C14"/>
    <w:rsid w:val="009937FD"/>
    <w:rsid w:val="009B2D58"/>
    <w:rsid w:val="009B583F"/>
    <w:rsid w:val="009C1FF1"/>
    <w:rsid w:val="009D16FA"/>
    <w:rsid w:val="009E384E"/>
    <w:rsid w:val="009F7C6A"/>
    <w:rsid w:val="00A03F80"/>
    <w:rsid w:val="00A06E83"/>
    <w:rsid w:val="00A1130B"/>
    <w:rsid w:val="00A1643A"/>
    <w:rsid w:val="00A25242"/>
    <w:rsid w:val="00A25957"/>
    <w:rsid w:val="00A259FD"/>
    <w:rsid w:val="00A278D1"/>
    <w:rsid w:val="00A32ECA"/>
    <w:rsid w:val="00A34F09"/>
    <w:rsid w:val="00A42AF8"/>
    <w:rsid w:val="00A46D76"/>
    <w:rsid w:val="00A472CD"/>
    <w:rsid w:val="00A56548"/>
    <w:rsid w:val="00A56D22"/>
    <w:rsid w:val="00A65D84"/>
    <w:rsid w:val="00A67007"/>
    <w:rsid w:val="00A67C56"/>
    <w:rsid w:val="00A715A5"/>
    <w:rsid w:val="00A735E6"/>
    <w:rsid w:val="00A74B3A"/>
    <w:rsid w:val="00A75005"/>
    <w:rsid w:val="00A77425"/>
    <w:rsid w:val="00A8247C"/>
    <w:rsid w:val="00A82EEC"/>
    <w:rsid w:val="00A90EF2"/>
    <w:rsid w:val="00A91E22"/>
    <w:rsid w:val="00A95C6D"/>
    <w:rsid w:val="00AA0DF6"/>
    <w:rsid w:val="00AA1700"/>
    <w:rsid w:val="00AA52E6"/>
    <w:rsid w:val="00AB01EA"/>
    <w:rsid w:val="00AB1145"/>
    <w:rsid w:val="00AB25D3"/>
    <w:rsid w:val="00AB6CEE"/>
    <w:rsid w:val="00AC07DE"/>
    <w:rsid w:val="00AC1FA7"/>
    <w:rsid w:val="00AC239E"/>
    <w:rsid w:val="00AC70FE"/>
    <w:rsid w:val="00AC7EC6"/>
    <w:rsid w:val="00AD0A9C"/>
    <w:rsid w:val="00AD3BFD"/>
    <w:rsid w:val="00AE0556"/>
    <w:rsid w:val="00AE371D"/>
    <w:rsid w:val="00AF23EE"/>
    <w:rsid w:val="00AF4B9B"/>
    <w:rsid w:val="00B01D5A"/>
    <w:rsid w:val="00B04771"/>
    <w:rsid w:val="00B05B0A"/>
    <w:rsid w:val="00B15302"/>
    <w:rsid w:val="00B17267"/>
    <w:rsid w:val="00B21A75"/>
    <w:rsid w:val="00B21BD1"/>
    <w:rsid w:val="00B311D9"/>
    <w:rsid w:val="00B3317B"/>
    <w:rsid w:val="00B41882"/>
    <w:rsid w:val="00B4525C"/>
    <w:rsid w:val="00B475E6"/>
    <w:rsid w:val="00B507A6"/>
    <w:rsid w:val="00B53415"/>
    <w:rsid w:val="00B56774"/>
    <w:rsid w:val="00B64F18"/>
    <w:rsid w:val="00B67B09"/>
    <w:rsid w:val="00B74195"/>
    <w:rsid w:val="00B833C6"/>
    <w:rsid w:val="00B90F0F"/>
    <w:rsid w:val="00B94E6D"/>
    <w:rsid w:val="00BA5287"/>
    <w:rsid w:val="00BA646C"/>
    <w:rsid w:val="00BB17E1"/>
    <w:rsid w:val="00BB3789"/>
    <w:rsid w:val="00BB482E"/>
    <w:rsid w:val="00BC17C7"/>
    <w:rsid w:val="00BC22C9"/>
    <w:rsid w:val="00BC2D9D"/>
    <w:rsid w:val="00BC2FB0"/>
    <w:rsid w:val="00BC7F91"/>
    <w:rsid w:val="00BD6219"/>
    <w:rsid w:val="00BD6403"/>
    <w:rsid w:val="00BE2FFB"/>
    <w:rsid w:val="00BE6113"/>
    <w:rsid w:val="00BF045D"/>
    <w:rsid w:val="00BF4269"/>
    <w:rsid w:val="00BF740F"/>
    <w:rsid w:val="00C0075A"/>
    <w:rsid w:val="00C10000"/>
    <w:rsid w:val="00C106E8"/>
    <w:rsid w:val="00C141FC"/>
    <w:rsid w:val="00C25CB8"/>
    <w:rsid w:val="00C27B67"/>
    <w:rsid w:val="00C312A8"/>
    <w:rsid w:val="00C33206"/>
    <w:rsid w:val="00C34C27"/>
    <w:rsid w:val="00C35F64"/>
    <w:rsid w:val="00C3648E"/>
    <w:rsid w:val="00C36DB3"/>
    <w:rsid w:val="00C37A16"/>
    <w:rsid w:val="00C44A89"/>
    <w:rsid w:val="00C46B3A"/>
    <w:rsid w:val="00C502BE"/>
    <w:rsid w:val="00C5032C"/>
    <w:rsid w:val="00C55A78"/>
    <w:rsid w:val="00C63778"/>
    <w:rsid w:val="00C6423B"/>
    <w:rsid w:val="00C64A14"/>
    <w:rsid w:val="00C64F4D"/>
    <w:rsid w:val="00C66196"/>
    <w:rsid w:val="00C677B1"/>
    <w:rsid w:val="00C74E9C"/>
    <w:rsid w:val="00C74EFA"/>
    <w:rsid w:val="00C81C1D"/>
    <w:rsid w:val="00C90EB2"/>
    <w:rsid w:val="00C91F98"/>
    <w:rsid w:val="00C93CDC"/>
    <w:rsid w:val="00C95D20"/>
    <w:rsid w:val="00C96B15"/>
    <w:rsid w:val="00C96D53"/>
    <w:rsid w:val="00C97A96"/>
    <w:rsid w:val="00CA11A1"/>
    <w:rsid w:val="00CA1D69"/>
    <w:rsid w:val="00CB089C"/>
    <w:rsid w:val="00CB35CD"/>
    <w:rsid w:val="00CB416F"/>
    <w:rsid w:val="00CB5CB3"/>
    <w:rsid w:val="00CC28E9"/>
    <w:rsid w:val="00CC4FEA"/>
    <w:rsid w:val="00CC5ACD"/>
    <w:rsid w:val="00CC7178"/>
    <w:rsid w:val="00CD4100"/>
    <w:rsid w:val="00CD7BC3"/>
    <w:rsid w:val="00CE4374"/>
    <w:rsid w:val="00CF1109"/>
    <w:rsid w:val="00CF2B5B"/>
    <w:rsid w:val="00D00ECA"/>
    <w:rsid w:val="00D00FE2"/>
    <w:rsid w:val="00D021A3"/>
    <w:rsid w:val="00D02373"/>
    <w:rsid w:val="00D17192"/>
    <w:rsid w:val="00D21F00"/>
    <w:rsid w:val="00D252B5"/>
    <w:rsid w:val="00D258C5"/>
    <w:rsid w:val="00D264B2"/>
    <w:rsid w:val="00D3329F"/>
    <w:rsid w:val="00D332C7"/>
    <w:rsid w:val="00D33A8E"/>
    <w:rsid w:val="00D462AD"/>
    <w:rsid w:val="00D464C5"/>
    <w:rsid w:val="00D478A4"/>
    <w:rsid w:val="00D61FB4"/>
    <w:rsid w:val="00D73517"/>
    <w:rsid w:val="00D74021"/>
    <w:rsid w:val="00D75195"/>
    <w:rsid w:val="00D75383"/>
    <w:rsid w:val="00D804BD"/>
    <w:rsid w:val="00D81934"/>
    <w:rsid w:val="00D86900"/>
    <w:rsid w:val="00D95371"/>
    <w:rsid w:val="00D97288"/>
    <w:rsid w:val="00DA2D42"/>
    <w:rsid w:val="00DA3FE4"/>
    <w:rsid w:val="00DA6922"/>
    <w:rsid w:val="00DB6D85"/>
    <w:rsid w:val="00DC0AA9"/>
    <w:rsid w:val="00DC21C9"/>
    <w:rsid w:val="00DC37A3"/>
    <w:rsid w:val="00DD7BA9"/>
    <w:rsid w:val="00DE21A2"/>
    <w:rsid w:val="00DE254C"/>
    <w:rsid w:val="00DE4F12"/>
    <w:rsid w:val="00DE5699"/>
    <w:rsid w:val="00DE65D0"/>
    <w:rsid w:val="00DF04C3"/>
    <w:rsid w:val="00DF4F12"/>
    <w:rsid w:val="00E11105"/>
    <w:rsid w:val="00E13AD0"/>
    <w:rsid w:val="00E15FAD"/>
    <w:rsid w:val="00E2089B"/>
    <w:rsid w:val="00E2217D"/>
    <w:rsid w:val="00E3205B"/>
    <w:rsid w:val="00E32FB5"/>
    <w:rsid w:val="00E35CCB"/>
    <w:rsid w:val="00E43A87"/>
    <w:rsid w:val="00E448A8"/>
    <w:rsid w:val="00E5019D"/>
    <w:rsid w:val="00E50418"/>
    <w:rsid w:val="00E526A0"/>
    <w:rsid w:val="00E57752"/>
    <w:rsid w:val="00E57B28"/>
    <w:rsid w:val="00E63BA6"/>
    <w:rsid w:val="00E711F1"/>
    <w:rsid w:val="00E740E8"/>
    <w:rsid w:val="00E80941"/>
    <w:rsid w:val="00E81D50"/>
    <w:rsid w:val="00E851E1"/>
    <w:rsid w:val="00E90AF4"/>
    <w:rsid w:val="00E9661B"/>
    <w:rsid w:val="00E970BD"/>
    <w:rsid w:val="00EA2DBD"/>
    <w:rsid w:val="00EA42BE"/>
    <w:rsid w:val="00EA46AF"/>
    <w:rsid w:val="00EB0E7E"/>
    <w:rsid w:val="00EB1A03"/>
    <w:rsid w:val="00EB2EA1"/>
    <w:rsid w:val="00EC08E2"/>
    <w:rsid w:val="00EC4B0B"/>
    <w:rsid w:val="00ED1973"/>
    <w:rsid w:val="00ED3105"/>
    <w:rsid w:val="00ED6BF9"/>
    <w:rsid w:val="00EE59DA"/>
    <w:rsid w:val="00EE7911"/>
    <w:rsid w:val="00EF0539"/>
    <w:rsid w:val="00EF603F"/>
    <w:rsid w:val="00F00DA4"/>
    <w:rsid w:val="00F043B8"/>
    <w:rsid w:val="00F06082"/>
    <w:rsid w:val="00F0706C"/>
    <w:rsid w:val="00F107E6"/>
    <w:rsid w:val="00F1093B"/>
    <w:rsid w:val="00F3795B"/>
    <w:rsid w:val="00F37F1E"/>
    <w:rsid w:val="00F4084C"/>
    <w:rsid w:val="00F43B81"/>
    <w:rsid w:val="00F54F12"/>
    <w:rsid w:val="00F57D39"/>
    <w:rsid w:val="00F63CCB"/>
    <w:rsid w:val="00F74546"/>
    <w:rsid w:val="00F85398"/>
    <w:rsid w:val="00F85E4A"/>
    <w:rsid w:val="00F866C2"/>
    <w:rsid w:val="00F92E72"/>
    <w:rsid w:val="00F942AD"/>
    <w:rsid w:val="00F946A8"/>
    <w:rsid w:val="00F96B0D"/>
    <w:rsid w:val="00FA2BDA"/>
    <w:rsid w:val="00FA466D"/>
    <w:rsid w:val="00FA4705"/>
    <w:rsid w:val="00FA6217"/>
    <w:rsid w:val="00FA7A97"/>
    <w:rsid w:val="00FB25D1"/>
    <w:rsid w:val="00FB4DDB"/>
    <w:rsid w:val="00FB6872"/>
    <w:rsid w:val="00FB7ABD"/>
    <w:rsid w:val="00FC1566"/>
    <w:rsid w:val="00FC1F2F"/>
    <w:rsid w:val="00FD3B8A"/>
    <w:rsid w:val="00FD48FA"/>
    <w:rsid w:val="00FE568A"/>
    <w:rsid w:val="00FF0BA5"/>
    <w:rsid w:val="00FF35D2"/>
    <w:rsid w:val="00FF5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077D1C"/>
  <w15:chartTrackingRefBased/>
  <w15:docId w15:val="{6C9CC25D-A5BA-4028-A8C1-B50F003BF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DDD"/>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210FB1"/>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E12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22E2F"/>
    <w:rPr>
      <w:color w:val="0000FF"/>
      <w:u w:val="single"/>
    </w:rPr>
  </w:style>
  <w:style w:type="character" w:styleId="UnresolvedMention">
    <w:name w:val="Unresolved Mention"/>
    <w:basedOn w:val="DefaultParagraphFont"/>
    <w:uiPriority w:val="99"/>
    <w:semiHidden/>
    <w:unhideWhenUsed/>
    <w:rsid w:val="00C312A8"/>
    <w:rPr>
      <w:color w:val="605E5C"/>
      <w:shd w:val="clear" w:color="auto" w:fill="E1DFDD"/>
    </w:rPr>
  </w:style>
  <w:style w:type="paragraph" w:styleId="ListParagraph">
    <w:name w:val="List Paragraph"/>
    <w:basedOn w:val="Normal"/>
    <w:uiPriority w:val="34"/>
    <w:qFormat/>
    <w:rsid w:val="003F7162"/>
    <w:pPr>
      <w:ind w:left="720"/>
    </w:pPr>
    <w:rPr>
      <w:rFonts w:ascii="Calibri" w:eastAsiaTheme="minorHAnsi" w:hAnsi="Calibri" w:cs="Calibri"/>
      <w:sz w:val="22"/>
      <w:szCs w:val="22"/>
    </w:rPr>
  </w:style>
  <w:style w:type="table" w:styleId="GridTable6Colorful">
    <w:name w:val="Grid Table 6 Colorful"/>
    <w:basedOn w:val="TableNormal"/>
    <w:uiPriority w:val="51"/>
    <w:rsid w:val="009C1FF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
    <w:name w:val="Grid Table 2"/>
    <w:basedOn w:val="TableNormal"/>
    <w:uiPriority w:val="47"/>
    <w:rsid w:val="00F37F1E"/>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Heading2Char">
    <w:name w:val="Heading 2 Char"/>
    <w:basedOn w:val="DefaultParagraphFont"/>
    <w:link w:val="Heading2"/>
    <w:uiPriority w:val="9"/>
    <w:rsid w:val="00210FB1"/>
    <w:rPr>
      <w:rFonts w:asciiTheme="majorHAnsi" w:eastAsiaTheme="majorEastAsia" w:hAnsiTheme="majorHAnsi" w:cstheme="majorBidi"/>
      <w:color w:val="2E74B5" w:themeColor="accent1" w:themeShade="BF"/>
      <w:sz w:val="26"/>
      <w:szCs w:val="26"/>
    </w:rPr>
  </w:style>
  <w:style w:type="paragraph" w:styleId="Caption">
    <w:name w:val="caption"/>
    <w:basedOn w:val="Normal"/>
    <w:next w:val="Normal"/>
    <w:uiPriority w:val="35"/>
    <w:unhideWhenUsed/>
    <w:qFormat/>
    <w:rsid w:val="00210FB1"/>
    <w:pPr>
      <w:spacing w:after="200"/>
    </w:pPr>
    <w:rPr>
      <w:rFonts w:ascii="Calibri" w:eastAsiaTheme="minorHAnsi" w:hAnsi="Calibri" w:cs="Calibri"/>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669000">
      <w:bodyDiv w:val="1"/>
      <w:marLeft w:val="0"/>
      <w:marRight w:val="0"/>
      <w:marTop w:val="0"/>
      <w:marBottom w:val="0"/>
      <w:divBdr>
        <w:top w:val="none" w:sz="0" w:space="0" w:color="auto"/>
        <w:left w:val="none" w:sz="0" w:space="0" w:color="auto"/>
        <w:bottom w:val="none" w:sz="0" w:space="0" w:color="auto"/>
        <w:right w:val="none" w:sz="0" w:space="0" w:color="auto"/>
      </w:divBdr>
    </w:div>
    <w:div w:id="880484059">
      <w:bodyDiv w:val="1"/>
      <w:marLeft w:val="0"/>
      <w:marRight w:val="0"/>
      <w:marTop w:val="0"/>
      <w:marBottom w:val="0"/>
      <w:divBdr>
        <w:top w:val="none" w:sz="0" w:space="0" w:color="auto"/>
        <w:left w:val="none" w:sz="0" w:space="0" w:color="auto"/>
        <w:bottom w:val="none" w:sz="0" w:space="0" w:color="auto"/>
        <w:right w:val="none" w:sz="0" w:space="0" w:color="auto"/>
      </w:divBdr>
    </w:div>
    <w:div w:id="1019506125">
      <w:bodyDiv w:val="1"/>
      <w:marLeft w:val="0"/>
      <w:marRight w:val="0"/>
      <w:marTop w:val="0"/>
      <w:marBottom w:val="0"/>
      <w:divBdr>
        <w:top w:val="none" w:sz="0" w:space="0" w:color="auto"/>
        <w:left w:val="none" w:sz="0" w:space="0" w:color="auto"/>
        <w:bottom w:val="none" w:sz="0" w:space="0" w:color="auto"/>
        <w:right w:val="none" w:sz="0" w:space="0" w:color="auto"/>
      </w:divBdr>
    </w:div>
    <w:div w:id="1260601944">
      <w:bodyDiv w:val="1"/>
      <w:marLeft w:val="0"/>
      <w:marRight w:val="0"/>
      <w:marTop w:val="0"/>
      <w:marBottom w:val="0"/>
      <w:divBdr>
        <w:top w:val="none" w:sz="0" w:space="0" w:color="auto"/>
        <w:left w:val="none" w:sz="0" w:space="0" w:color="auto"/>
        <w:bottom w:val="none" w:sz="0" w:space="0" w:color="auto"/>
        <w:right w:val="none" w:sz="0" w:space="0" w:color="auto"/>
      </w:divBdr>
    </w:div>
    <w:div w:id="1536383501">
      <w:bodyDiv w:val="1"/>
      <w:marLeft w:val="0"/>
      <w:marRight w:val="0"/>
      <w:marTop w:val="0"/>
      <w:marBottom w:val="0"/>
      <w:divBdr>
        <w:top w:val="none" w:sz="0" w:space="0" w:color="auto"/>
        <w:left w:val="none" w:sz="0" w:space="0" w:color="auto"/>
        <w:bottom w:val="none" w:sz="0" w:space="0" w:color="auto"/>
        <w:right w:val="none" w:sz="0" w:space="0" w:color="auto"/>
      </w:divBdr>
    </w:div>
    <w:div w:id="1727994336">
      <w:bodyDiv w:val="1"/>
      <w:marLeft w:val="0"/>
      <w:marRight w:val="0"/>
      <w:marTop w:val="0"/>
      <w:marBottom w:val="0"/>
      <w:divBdr>
        <w:top w:val="none" w:sz="0" w:space="0" w:color="auto"/>
        <w:left w:val="none" w:sz="0" w:space="0" w:color="auto"/>
        <w:bottom w:val="none" w:sz="0" w:space="0" w:color="auto"/>
        <w:right w:val="none" w:sz="0" w:space="0" w:color="auto"/>
      </w:divBdr>
      <w:divsChild>
        <w:div w:id="1811554731">
          <w:marLeft w:val="0"/>
          <w:marRight w:val="0"/>
          <w:marTop w:val="0"/>
          <w:marBottom w:val="0"/>
          <w:divBdr>
            <w:top w:val="none" w:sz="0" w:space="0" w:color="auto"/>
            <w:left w:val="none" w:sz="0" w:space="0" w:color="auto"/>
            <w:bottom w:val="none" w:sz="0" w:space="0" w:color="auto"/>
            <w:right w:val="none" w:sz="0" w:space="0" w:color="auto"/>
          </w:divBdr>
        </w:div>
        <w:div w:id="524945181">
          <w:marLeft w:val="0"/>
          <w:marRight w:val="0"/>
          <w:marTop w:val="0"/>
          <w:marBottom w:val="0"/>
          <w:divBdr>
            <w:top w:val="none" w:sz="0" w:space="0" w:color="auto"/>
            <w:left w:val="none" w:sz="0" w:space="0" w:color="auto"/>
            <w:bottom w:val="none" w:sz="0" w:space="0" w:color="auto"/>
            <w:right w:val="none" w:sz="0" w:space="0" w:color="auto"/>
          </w:divBdr>
        </w:div>
      </w:divsChild>
    </w:div>
    <w:div w:id="1743066845">
      <w:bodyDiv w:val="1"/>
      <w:marLeft w:val="0"/>
      <w:marRight w:val="0"/>
      <w:marTop w:val="0"/>
      <w:marBottom w:val="0"/>
      <w:divBdr>
        <w:top w:val="none" w:sz="0" w:space="0" w:color="auto"/>
        <w:left w:val="none" w:sz="0" w:space="0" w:color="auto"/>
        <w:bottom w:val="none" w:sz="0" w:space="0" w:color="auto"/>
        <w:right w:val="none" w:sz="0" w:space="0" w:color="auto"/>
      </w:divBdr>
    </w:div>
    <w:div w:id="1792165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CA204C-C35C-4912-98B8-5C43C36D6C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29</Pages>
  <Words>10649</Words>
  <Characters>65082</Characters>
  <Application>Microsoft Office Word</Application>
  <DocSecurity>0</DocSecurity>
  <Lines>2176</Lines>
  <Paragraphs>1562</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74089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Armstrong, Brandon (DEQ)</dc:creator>
  <cp:keywords/>
  <dc:description/>
  <cp:lastModifiedBy>Sara Nedrich</cp:lastModifiedBy>
  <cp:revision>22</cp:revision>
  <dcterms:created xsi:type="dcterms:W3CDTF">2024-01-03T17:23:00Z</dcterms:created>
  <dcterms:modified xsi:type="dcterms:W3CDTF">2024-07-03T19:35:00Z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2021-08-18T16:30:36Z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cc6ef296-6cdc-4b22-97d4-80580d870d56</vt:lpwstr>
  </property>
  <property fmtid="{D5CDD505-2E9C-101B-9397-08002B2CF9AE}" pid="8" name="MSIP_Label_3a2fed65-62e7-46ea-af74-187e0c17143a_ContentBits">
    <vt:lpwstr>0</vt:lpwstr>
  </property>
  <property fmtid="{D5CDD505-2E9C-101B-9397-08002B2CF9AE}" pid="9" name="Mendeley Recent Style Id 0_1">
    <vt:lpwstr>http://www.zotero.org/styles/american-medical-association</vt:lpwstr>
  </property>
  <property fmtid="{D5CDD505-2E9C-101B-9397-08002B2CF9AE}" pid="10" name="Mendeley Recent Style Name 0_1">
    <vt:lpwstr>American Medical Association 11th edition</vt:lpwstr>
  </property>
  <property fmtid="{D5CDD505-2E9C-101B-9397-08002B2CF9AE}" pid="11" name="Mendeley Recent Style Id 1_1">
    <vt:lpwstr>http://www.zotero.org/styles/american-political-science-association</vt:lpwstr>
  </property>
  <property fmtid="{D5CDD505-2E9C-101B-9397-08002B2CF9AE}" pid="12" name="Mendeley Recent Style Name 1_1">
    <vt:lpwstr>American Political Science Association</vt:lpwstr>
  </property>
  <property fmtid="{D5CDD505-2E9C-101B-9397-08002B2CF9AE}" pid="13" name="Mendeley Recent Style Id 2_1">
    <vt:lpwstr>http://www.zotero.org/styles/american-sociological-association</vt:lpwstr>
  </property>
  <property fmtid="{D5CDD505-2E9C-101B-9397-08002B2CF9AE}" pid="14" name="Mendeley Recent Style Name 2_1">
    <vt:lpwstr>American Sociological Association 6th edition</vt:lpwstr>
  </property>
  <property fmtid="{D5CDD505-2E9C-101B-9397-08002B2CF9AE}" pid="15" name="Mendeley Recent Style Id 3_1">
    <vt:lpwstr>http://www.zotero.org/styles/aquatic-toxicology</vt:lpwstr>
  </property>
  <property fmtid="{D5CDD505-2E9C-101B-9397-08002B2CF9AE}" pid="16" name="Mendeley Recent Style Name 3_1">
    <vt:lpwstr>Aquatic Toxicology</vt:lpwstr>
  </property>
  <property fmtid="{D5CDD505-2E9C-101B-9397-08002B2CF9AE}" pid="17" name="Mendeley Recent Style Id 4_1">
    <vt:lpwstr>http://www.zotero.org/styles/chicago-author-date</vt:lpwstr>
  </property>
  <property fmtid="{D5CDD505-2E9C-101B-9397-08002B2CF9AE}" pid="18" name="Mendeley Recent Style Name 4_1">
    <vt:lpwstr>Chicago Manual of Style 17th edition (author-date)</vt:lpwstr>
  </property>
  <property fmtid="{D5CDD505-2E9C-101B-9397-08002B2CF9AE}" pid="19" name="Mendeley Recent Style Id 5_1">
    <vt:lpwstr>http://www.zotero.org/styles/harvard-cite-them-right</vt:lpwstr>
  </property>
  <property fmtid="{D5CDD505-2E9C-101B-9397-08002B2CF9AE}" pid="20" name="Mendeley Recent Style Name 5_1">
    <vt:lpwstr>Cite Them Right 10th edition - Harvard</vt:lpwstr>
  </property>
  <property fmtid="{D5CDD505-2E9C-101B-9397-08002B2CF9AE}" pid="21" name="Mendeley Recent Style Id 6_1">
    <vt:lpwstr>http://www.zotero.org/styles/ieee</vt:lpwstr>
  </property>
  <property fmtid="{D5CDD505-2E9C-101B-9397-08002B2CF9AE}" pid="22" name="Mendeley Recent Style Name 6_1">
    <vt:lpwstr>IEEE</vt:lpwstr>
  </property>
  <property fmtid="{D5CDD505-2E9C-101B-9397-08002B2CF9AE}" pid="23" name="Mendeley Recent Style Id 7_1">
    <vt:lpwstr>http://www.zotero.org/styles/modern-humanities-research-association</vt:lpwstr>
  </property>
  <property fmtid="{D5CDD505-2E9C-101B-9397-08002B2CF9AE}" pid="24" name="Mendeley Recent Style Name 7_1">
    <vt:lpwstr>Modern Humanities Research Association 3rd edition (note with bibliography)</vt:lpwstr>
  </property>
  <property fmtid="{D5CDD505-2E9C-101B-9397-08002B2CF9AE}" pid="25" name="Mendeley Recent Style Id 8_1">
    <vt:lpwstr>http://www.zotero.org/styles/modern-language-association</vt:lpwstr>
  </property>
  <property fmtid="{D5CDD505-2E9C-101B-9397-08002B2CF9AE}" pid="26" name="Mendeley Recent Style Name 8_1">
    <vt:lpwstr>Modern Language Association 8th edition</vt:lpwstr>
  </property>
  <property fmtid="{D5CDD505-2E9C-101B-9397-08002B2CF9AE}" pid="27" name="Mendeley Recent Style Id 9_1">
    <vt:lpwstr>http://www.zotero.org/styles/nature</vt:lpwstr>
  </property>
  <property fmtid="{D5CDD505-2E9C-101B-9397-08002B2CF9AE}" pid="28" name="Mendeley Recent Style Name 9_1">
    <vt:lpwstr>Nature</vt:lpwstr>
  </property>
  <property fmtid="{D5CDD505-2E9C-101B-9397-08002B2CF9AE}" pid="29" name="Mendeley Document_1">
    <vt:lpwstr>True</vt:lpwstr>
  </property>
  <property fmtid="{D5CDD505-2E9C-101B-9397-08002B2CF9AE}" pid="30" name="Mendeley Unique User Id_1">
    <vt:lpwstr>108a37a9-9386-30b4-ad6a-67d53e2b3a8c</vt:lpwstr>
  </property>
  <property fmtid="{D5CDD505-2E9C-101B-9397-08002B2CF9AE}" pid="31" name="Mendeley Citation Style_1">
    <vt:lpwstr>http://www.zotero.org/styles/aquatic-toxicology</vt:lpwstr>
  </property>
</Properties>
</file>