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BC60" w14:textId="1A155BB0" w:rsidR="00C918A3" w:rsidRPr="005D58F0" w:rsidRDefault="00C918A3" w:rsidP="00C918A3">
      <w:pPr>
        <w:rPr>
          <w:rFonts w:ascii="Arial" w:hAnsi="Arial" w:cs="Arial"/>
        </w:rPr>
      </w:pPr>
      <w:r>
        <w:rPr>
          <w:rFonts w:ascii="Arial" w:hAnsi="Arial" w:cs="Arial"/>
        </w:rPr>
        <w:t>Table.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Preimplantation development of reconstructed zygotes using blastomeres isolated from different stages of haploid androgenetic embryos. </w:t>
      </w:r>
    </w:p>
    <w:p w14:paraId="67147561" w14:textId="77777777" w:rsidR="00C918A3" w:rsidRPr="005D58F0" w:rsidRDefault="00C918A3" w:rsidP="00C918A3">
      <w:pPr>
        <w:rPr>
          <w:rFonts w:ascii="Arial" w:hAnsi="Arial" w:cs="Arial"/>
        </w:rPr>
      </w:pP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1595"/>
        <w:gridCol w:w="1727"/>
        <w:gridCol w:w="1727"/>
        <w:gridCol w:w="1727"/>
        <w:gridCol w:w="1723"/>
        <w:gridCol w:w="1476"/>
      </w:tblGrid>
      <w:tr w:rsidR="00C918A3" w:rsidRPr="005D58F0" w14:paraId="384E8FAD" w14:textId="77777777" w:rsidTr="00CD4B3B">
        <w:trPr>
          <w:trHeight w:val="441"/>
        </w:trPr>
        <w:tc>
          <w:tcPr>
            <w:tcW w:w="2985" w:type="dxa"/>
            <w:tcBorders>
              <w:bottom w:val="single" w:sz="4" w:space="0" w:color="FF0000"/>
            </w:tcBorders>
          </w:tcPr>
          <w:p w14:paraId="16E80785" w14:textId="77777777" w:rsidR="00C918A3" w:rsidRPr="008D070C" w:rsidRDefault="00C918A3" w:rsidP="00CD4B3B">
            <w:pPr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Conceptuses</w:t>
            </w:r>
          </w:p>
        </w:tc>
        <w:tc>
          <w:tcPr>
            <w:tcW w:w="1595" w:type="dxa"/>
            <w:tcBorders>
              <w:bottom w:val="single" w:sz="4" w:space="0" w:color="FF0000"/>
            </w:tcBorders>
          </w:tcPr>
          <w:p w14:paraId="5E7547C4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Control</w:t>
            </w:r>
          </w:p>
        </w:tc>
        <w:tc>
          <w:tcPr>
            <w:tcW w:w="1727" w:type="dxa"/>
            <w:tcBorders>
              <w:bottom w:val="single" w:sz="4" w:space="0" w:color="FF0000"/>
            </w:tcBorders>
          </w:tcPr>
          <w:p w14:paraId="544F0ADC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B6D2F1 (2-cell)</w:t>
            </w:r>
          </w:p>
        </w:tc>
        <w:tc>
          <w:tcPr>
            <w:tcW w:w="1727" w:type="dxa"/>
            <w:tcBorders>
              <w:bottom w:val="single" w:sz="4" w:space="0" w:color="FF0000"/>
            </w:tcBorders>
          </w:tcPr>
          <w:p w14:paraId="77607FE5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B6D2F1 (4-cell)</w:t>
            </w:r>
          </w:p>
        </w:tc>
        <w:tc>
          <w:tcPr>
            <w:tcW w:w="1727" w:type="dxa"/>
            <w:tcBorders>
              <w:bottom w:val="single" w:sz="4" w:space="0" w:color="FF0000"/>
            </w:tcBorders>
          </w:tcPr>
          <w:p w14:paraId="4C177C8F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B6D2F1 (8-cell)</w:t>
            </w:r>
          </w:p>
        </w:tc>
        <w:tc>
          <w:tcPr>
            <w:tcW w:w="1723" w:type="dxa"/>
            <w:tcBorders>
              <w:bottom w:val="single" w:sz="4" w:space="0" w:color="FF0000"/>
            </w:tcBorders>
          </w:tcPr>
          <w:p w14:paraId="3C126A44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B6-GFP (8-cell)</w:t>
            </w:r>
          </w:p>
        </w:tc>
        <w:tc>
          <w:tcPr>
            <w:tcW w:w="1476" w:type="dxa"/>
            <w:tcBorders>
              <w:bottom w:val="single" w:sz="4" w:space="0" w:color="FF0000"/>
            </w:tcBorders>
          </w:tcPr>
          <w:p w14:paraId="29839742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i/>
                <w:iCs/>
                <w:sz w:val="21"/>
                <w:szCs w:val="21"/>
              </w:rPr>
              <w:t>P</w:t>
            </w:r>
            <w:r w:rsidRPr="008D070C">
              <w:rPr>
                <w:rFonts w:ascii="Helvetica" w:hAnsi="Helvetica" w:cs="Arial"/>
                <w:sz w:val="21"/>
                <w:szCs w:val="21"/>
              </w:rPr>
              <w:t xml:space="preserve"> Value</w:t>
            </w:r>
          </w:p>
        </w:tc>
      </w:tr>
      <w:tr w:rsidR="00C918A3" w:rsidRPr="005D58F0" w14:paraId="7BCCB487" w14:textId="77777777" w:rsidTr="00CD4B3B">
        <w:trPr>
          <w:trHeight w:val="574"/>
        </w:trPr>
        <w:tc>
          <w:tcPr>
            <w:tcW w:w="2985" w:type="dxa"/>
          </w:tcPr>
          <w:p w14:paraId="38EAAB60" w14:textId="77777777" w:rsidR="00C918A3" w:rsidRPr="008D070C" w:rsidRDefault="00C918A3" w:rsidP="00CD4B3B">
            <w:pPr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Oocyte Activation (%)</w:t>
            </w:r>
          </w:p>
        </w:tc>
        <w:tc>
          <w:tcPr>
            <w:tcW w:w="1595" w:type="dxa"/>
          </w:tcPr>
          <w:p w14:paraId="1DBD5F50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—</w:t>
            </w:r>
          </w:p>
        </w:tc>
        <w:tc>
          <w:tcPr>
            <w:tcW w:w="1727" w:type="dxa"/>
          </w:tcPr>
          <w:p w14:paraId="04FE46F3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330/346 (95.3)</w:t>
            </w:r>
          </w:p>
        </w:tc>
        <w:tc>
          <w:tcPr>
            <w:tcW w:w="1727" w:type="dxa"/>
          </w:tcPr>
          <w:p w14:paraId="29F48550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222/223 (99.6)</w:t>
            </w:r>
          </w:p>
        </w:tc>
        <w:tc>
          <w:tcPr>
            <w:tcW w:w="1727" w:type="dxa"/>
          </w:tcPr>
          <w:p w14:paraId="24AB07E9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30/30 (100)</w:t>
            </w:r>
          </w:p>
        </w:tc>
        <w:tc>
          <w:tcPr>
            <w:tcW w:w="1723" w:type="dxa"/>
          </w:tcPr>
          <w:p w14:paraId="505B31D0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162/172 (94.2)</w:t>
            </w:r>
          </w:p>
        </w:tc>
        <w:tc>
          <w:tcPr>
            <w:tcW w:w="1476" w:type="dxa"/>
          </w:tcPr>
          <w:p w14:paraId="5592CCEE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NS</w:t>
            </w:r>
          </w:p>
        </w:tc>
      </w:tr>
      <w:tr w:rsidR="00C918A3" w:rsidRPr="005D58F0" w14:paraId="6768970F" w14:textId="77777777" w:rsidTr="00CD4B3B">
        <w:trPr>
          <w:trHeight w:val="574"/>
        </w:trPr>
        <w:tc>
          <w:tcPr>
            <w:tcW w:w="2985" w:type="dxa"/>
          </w:tcPr>
          <w:p w14:paraId="773698B9" w14:textId="77777777" w:rsidR="00C918A3" w:rsidRPr="008D070C" w:rsidRDefault="00C918A3" w:rsidP="00CD4B3B">
            <w:pPr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156082" w:themeColor="accent1"/>
                <w:sz w:val="21"/>
                <w:szCs w:val="21"/>
              </w:rPr>
              <w:t>ICSI</w:t>
            </w:r>
            <w:r w:rsidRPr="008D070C">
              <w:rPr>
                <w:rFonts w:ascii="Helvetica" w:hAnsi="Helvetica" w:cs="Arial"/>
                <w:sz w:val="21"/>
                <w:szCs w:val="21"/>
              </w:rPr>
              <w:t>/</w:t>
            </w:r>
            <w:r w:rsidRPr="008D070C">
              <w:rPr>
                <w:rFonts w:ascii="Helvetica" w:hAnsi="Helvetica" w:cs="Arial"/>
                <w:color w:val="009344"/>
                <w:sz w:val="21"/>
                <w:szCs w:val="21"/>
              </w:rPr>
              <w:t>Reconstruction</w:t>
            </w:r>
            <w:r w:rsidRPr="008D070C">
              <w:rPr>
                <w:rFonts w:ascii="Helvetica" w:hAnsi="Helvetica" w:cs="Arial"/>
                <w:sz w:val="21"/>
                <w:szCs w:val="21"/>
              </w:rPr>
              <w:t xml:space="preserve"> (%)</w:t>
            </w:r>
          </w:p>
        </w:tc>
        <w:tc>
          <w:tcPr>
            <w:tcW w:w="1595" w:type="dxa"/>
          </w:tcPr>
          <w:p w14:paraId="048DF0D0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156082" w:themeColor="accent1"/>
                <w:sz w:val="21"/>
                <w:szCs w:val="21"/>
              </w:rPr>
              <w:t>447/481 (92.9)</w:t>
            </w:r>
          </w:p>
        </w:tc>
        <w:tc>
          <w:tcPr>
            <w:tcW w:w="1727" w:type="dxa"/>
          </w:tcPr>
          <w:p w14:paraId="545C1BED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color w:val="009344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009344"/>
                <w:sz w:val="21"/>
                <w:szCs w:val="21"/>
              </w:rPr>
              <w:t>254/261 (97.3)</w:t>
            </w:r>
          </w:p>
        </w:tc>
        <w:tc>
          <w:tcPr>
            <w:tcW w:w="1727" w:type="dxa"/>
          </w:tcPr>
          <w:p w14:paraId="6CA82E0F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color w:val="009344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009344"/>
                <w:sz w:val="21"/>
                <w:szCs w:val="21"/>
              </w:rPr>
              <w:t>115/120 (95.8)</w:t>
            </w:r>
          </w:p>
        </w:tc>
        <w:tc>
          <w:tcPr>
            <w:tcW w:w="1727" w:type="dxa"/>
          </w:tcPr>
          <w:p w14:paraId="0AFBE2EC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color w:val="009344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009344"/>
                <w:sz w:val="21"/>
                <w:szCs w:val="21"/>
              </w:rPr>
              <w:t>24/24 (100)</w:t>
            </w:r>
          </w:p>
        </w:tc>
        <w:tc>
          <w:tcPr>
            <w:tcW w:w="1723" w:type="dxa"/>
          </w:tcPr>
          <w:p w14:paraId="7C3D39BE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color w:val="009344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009344"/>
                <w:sz w:val="21"/>
                <w:szCs w:val="21"/>
              </w:rPr>
              <w:t>145/148 (97.9)</w:t>
            </w:r>
          </w:p>
        </w:tc>
        <w:tc>
          <w:tcPr>
            <w:tcW w:w="1476" w:type="dxa"/>
          </w:tcPr>
          <w:p w14:paraId="53DD2F33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color w:val="000000" w:themeColor="text1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000000" w:themeColor="text1"/>
                <w:sz w:val="21"/>
                <w:szCs w:val="21"/>
              </w:rPr>
              <w:t>NS</w:t>
            </w:r>
          </w:p>
        </w:tc>
      </w:tr>
      <w:tr w:rsidR="00C918A3" w:rsidRPr="00CA738B" w14:paraId="58B7B92D" w14:textId="77777777" w:rsidTr="00CD4B3B">
        <w:trPr>
          <w:trHeight w:val="574"/>
        </w:trPr>
        <w:tc>
          <w:tcPr>
            <w:tcW w:w="2985" w:type="dxa"/>
          </w:tcPr>
          <w:p w14:paraId="32780AFE" w14:textId="77777777" w:rsidR="00C918A3" w:rsidRPr="008D070C" w:rsidRDefault="00C918A3" w:rsidP="00CD4B3B">
            <w:pPr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156082" w:themeColor="accent1"/>
                <w:sz w:val="21"/>
                <w:szCs w:val="21"/>
              </w:rPr>
              <w:t>2PN</w:t>
            </w:r>
            <w:r w:rsidRPr="008D070C">
              <w:rPr>
                <w:rFonts w:ascii="Helvetica" w:hAnsi="Helvetica" w:cs="Arial"/>
                <w:sz w:val="21"/>
                <w:szCs w:val="21"/>
              </w:rPr>
              <w:t>/</w:t>
            </w:r>
            <w:r w:rsidRPr="008D070C">
              <w:rPr>
                <w:rFonts w:ascii="Helvetica" w:hAnsi="Helvetica" w:cs="Arial"/>
                <w:color w:val="009344"/>
                <w:sz w:val="21"/>
                <w:szCs w:val="21"/>
              </w:rPr>
              <w:t>Fusion</w:t>
            </w:r>
            <w:r w:rsidRPr="008D070C">
              <w:rPr>
                <w:rFonts w:ascii="Helvetica" w:hAnsi="Helvetica" w:cs="Arial"/>
                <w:sz w:val="21"/>
                <w:szCs w:val="21"/>
              </w:rPr>
              <w:t xml:space="preserve"> (%)</w:t>
            </w:r>
          </w:p>
        </w:tc>
        <w:tc>
          <w:tcPr>
            <w:tcW w:w="1595" w:type="dxa"/>
          </w:tcPr>
          <w:p w14:paraId="424A855E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156082" w:themeColor="accent1"/>
                <w:sz w:val="21"/>
                <w:szCs w:val="21"/>
              </w:rPr>
              <w:t>437/447 (97.8)</w:t>
            </w:r>
          </w:p>
        </w:tc>
        <w:tc>
          <w:tcPr>
            <w:tcW w:w="1727" w:type="dxa"/>
          </w:tcPr>
          <w:p w14:paraId="3FEB51D9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color w:val="009344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009344"/>
                <w:sz w:val="21"/>
                <w:szCs w:val="21"/>
              </w:rPr>
              <w:t>248/254 (97.6)</w:t>
            </w:r>
          </w:p>
        </w:tc>
        <w:tc>
          <w:tcPr>
            <w:tcW w:w="1727" w:type="dxa"/>
          </w:tcPr>
          <w:p w14:paraId="41AFBE7C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color w:val="009344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009344"/>
                <w:sz w:val="21"/>
                <w:szCs w:val="21"/>
              </w:rPr>
              <w:t>111/115 (96.5)</w:t>
            </w:r>
          </w:p>
        </w:tc>
        <w:tc>
          <w:tcPr>
            <w:tcW w:w="1727" w:type="dxa"/>
          </w:tcPr>
          <w:p w14:paraId="0E2B6DEC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color w:val="009344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009344"/>
                <w:sz w:val="21"/>
                <w:szCs w:val="21"/>
              </w:rPr>
              <w:t>23/24 (95.8)</w:t>
            </w:r>
          </w:p>
        </w:tc>
        <w:tc>
          <w:tcPr>
            <w:tcW w:w="1723" w:type="dxa"/>
          </w:tcPr>
          <w:p w14:paraId="3324A62A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color w:val="009344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009344"/>
                <w:sz w:val="21"/>
                <w:szCs w:val="21"/>
              </w:rPr>
              <w:t>140/145 (96.6)</w:t>
            </w:r>
          </w:p>
        </w:tc>
        <w:tc>
          <w:tcPr>
            <w:tcW w:w="1476" w:type="dxa"/>
          </w:tcPr>
          <w:p w14:paraId="20077246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color w:val="000000" w:themeColor="text1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color w:val="000000" w:themeColor="text1"/>
                <w:sz w:val="21"/>
                <w:szCs w:val="21"/>
              </w:rPr>
              <w:t>NS</w:t>
            </w:r>
          </w:p>
        </w:tc>
      </w:tr>
      <w:tr w:rsidR="00C918A3" w:rsidRPr="005D58F0" w14:paraId="66066A6F" w14:textId="77777777" w:rsidTr="00CD4B3B">
        <w:trPr>
          <w:trHeight w:val="574"/>
        </w:trPr>
        <w:tc>
          <w:tcPr>
            <w:tcW w:w="2985" w:type="dxa"/>
          </w:tcPr>
          <w:p w14:paraId="1B47D3B5" w14:textId="77777777" w:rsidR="00C918A3" w:rsidRPr="008D070C" w:rsidRDefault="00C918A3" w:rsidP="00CD4B3B">
            <w:pPr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2-Cell Development (%)</w:t>
            </w:r>
          </w:p>
        </w:tc>
        <w:tc>
          <w:tcPr>
            <w:tcW w:w="1595" w:type="dxa"/>
          </w:tcPr>
          <w:p w14:paraId="2D9190DC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426/437 (97.5)</w:t>
            </w:r>
          </w:p>
        </w:tc>
        <w:tc>
          <w:tcPr>
            <w:tcW w:w="1727" w:type="dxa"/>
          </w:tcPr>
          <w:p w14:paraId="446F140D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248/248 (100)</w:t>
            </w:r>
          </w:p>
        </w:tc>
        <w:tc>
          <w:tcPr>
            <w:tcW w:w="1727" w:type="dxa"/>
          </w:tcPr>
          <w:p w14:paraId="7460FF2D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111/111 (100)</w:t>
            </w:r>
          </w:p>
        </w:tc>
        <w:tc>
          <w:tcPr>
            <w:tcW w:w="1727" w:type="dxa"/>
          </w:tcPr>
          <w:p w14:paraId="482A53FD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23/23 (100)</w:t>
            </w:r>
          </w:p>
        </w:tc>
        <w:tc>
          <w:tcPr>
            <w:tcW w:w="1723" w:type="dxa"/>
          </w:tcPr>
          <w:p w14:paraId="1AE4E774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135/140 (96.4)</w:t>
            </w:r>
          </w:p>
        </w:tc>
        <w:tc>
          <w:tcPr>
            <w:tcW w:w="1476" w:type="dxa"/>
          </w:tcPr>
          <w:p w14:paraId="5A901F1C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NS</w:t>
            </w:r>
          </w:p>
        </w:tc>
      </w:tr>
      <w:tr w:rsidR="00C918A3" w:rsidRPr="005D58F0" w14:paraId="148B6731" w14:textId="77777777" w:rsidTr="00CD4B3B">
        <w:trPr>
          <w:trHeight w:val="574"/>
        </w:trPr>
        <w:tc>
          <w:tcPr>
            <w:tcW w:w="2985" w:type="dxa"/>
          </w:tcPr>
          <w:p w14:paraId="1F2E086E" w14:textId="77777777" w:rsidR="00C918A3" w:rsidRPr="008D070C" w:rsidRDefault="00C918A3" w:rsidP="00CD4B3B">
            <w:pPr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4-Cell Development (%)</w:t>
            </w:r>
          </w:p>
        </w:tc>
        <w:tc>
          <w:tcPr>
            <w:tcW w:w="1595" w:type="dxa"/>
          </w:tcPr>
          <w:p w14:paraId="44063136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410/437 (93.8)</w:t>
            </w:r>
          </w:p>
        </w:tc>
        <w:tc>
          <w:tcPr>
            <w:tcW w:w="1727" w:type="dxa"/>
          </w:tcPr>
          <w:p w14:paraId="3C9AC8DF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248/248 (100)</w:t>
            </w:r>
          </w:p>
        </w:tc>
        <w:tc>
          <w:tcPr>
            <w:tcW w:w="1727" w:type="dxa"/>
          </w:tcPr>
          <w:p w14:paraId="1918EE34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103/111 (92.8)</w:t>
            </w:r>
          </w:p>
        </w:tc>
        <w:tc>
          <w:tcPr>
            <w:tcW w:w="1727" w:type="dxa"/>
          </w:tcPr>
          <w:p w14:paraId="6C76F689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23/23 (100)</w:t>
            </w:r>
          </w:p>
        </w:tc>
        <w:tc>
          <w:tcPr>
            <w:tcW w:w="1723" w:type="dxa"/>
          </w:tcPr>
          <w:p w14:paraId="2ADCE812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132/140 (94.3)</w:t>
            </w:r>
          </w:p>
        </w:tc>
        <w:tc>
          <w:tcPr>
            <w:tcW w:w="1476" w:type="dxa"/>
          </w:tcPr>
          <w:p w14:paraId="77BFCF94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NS</w:t>
            </w:r>
          </w:p>
        </w:tc>
      </w:tr>
      <w:tr w:rsidR="00C918A3" w:rsidRPr="005D58F0" w14:paraId="316C53C2" w14:textId="77777777" w:rsidTr="00CD4B3B">
        <w:trPr>
          <w:trHeight w:val="574"/>
        </w:trPr>
        <w:tc>
          <w:tcPr>
            <w:tcW w:w="2985" w:type="dxa"/>
          </w:tcPr>
          <w:p w14:paraId="4302712E" w14:textId="77777777" w:rsidR="00C918A3" w:rsidRPr="008D070C" w:rsidRDefault="00C918A3" w:rsidP="00CD4B3B">
            <w:pPr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8-Cell Development (%)</w:t>
            </w:r>
          </w:p>
        </w:tc>
        <w:tc>
          <w:tcPr>
            <w:tcW w:w="1595" w:type="dxa"/>
          </w:tcPr>
          <w:p w14:paraId="4FBCDC42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405/437 (92.7)</w:t>
            </w:r>
          </w:p>
        </w:tc>
        <w:tc>
          <w:tcPr>
            <w:tcW w:w="1727" w:type="dxa"/>
          </w:tcPr>
          <w:p w14:paraId="1B5AB50F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246/248 (99.2)</w:t>
            </w:r>
          </w:p>
        </w:tc>
        <w:tc>
          <w:tcPr>
            <w:tcW w:w="1727" w:type="dxa"/>
          </w:tcPr>
          <w:p w14:paraId="01E0B534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101/111 (91.0)</w:t>
            </w:r>
          </w:p>
        </w:tc>
        <w:tc>
          <w:tcPr>
            <w:tcW w:w="1727" w:type="dxa"/>
          </w:tcPr>
          <w:p w14:paraId="24943A93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23/23 (100)</w:t>
            </w:r>
          </w:p>
        </w:tc>
        <w:tc>
          <w:tcPr>
            <w:tcW w:w="1723" w:type="dxa"/>
          </w:tcPr>
          <w:p w14:paraId="6597D319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128/140 (91.4)</w:t>
            </w:r>
          </w:p>
        </w:tc>
        <w:tc>
          <w:tcPr>
            <w:tcW w:w="1476" w:type="dxa"/>
          </w:tcPr>
          <w:p w14:paraId="0C8A51AF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NS</w:t>
            </w:r>
          </w:p>
        </w:tc>
      </w:tr>
      <w:tr w:rsidR="00C918A3" w:rsidRPr="005D58F0" w14:paraId="5236D774" w14:textId="77777777" w:rsidTr="00CD4B3B">
        <w:trPr>
          <w:trHeight w:val="574"/>
        </w:trPr>
        <w:tc>
          <w:tcPr>
            <w:tcW w:w="2985" w:type="dxa"/>
          </w:tcPr>
          <w:p w14:paraId="23D60143" w14:textId="77777777" w:rsidR="00C918A3" w:rsidRPr="008D070C" w:rsidRDefault="00C918A3" w:rsidP="00CD4B3B">
            <w:pPr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Morula Compaction (%)</w:t>
            </w:r>
          </w:p>
        </w:tc>
        <w:tc>
          <w:tcPr>
            <w:tcW w:w="1595" w:type="dxa"/>
          </w:tcPr>
          <w:p w14:paraId="63FB1B43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390/437 (89.2)</w:t>
            </w:r>
          </w:p>
        </w:tc>
        <w:tc>
          <w:tcPr>
            <w:tcW w:w="1727" w:type="dxa"/>
          </w:tcPr>
          <w:p w14:paraId="3351D4D3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238/248 (96.0)</w:t>
            </w:r>
          </w:p>
        </w:tc>
        <w:tc>
          <w:tcPr>
            <w:tcW w:w="1727" w:type="dxa"/>
          </w:tcPr>
          <w:p w14:paraId="655E6350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96/111 (86.5)</w:t>
            </w:r>
          </w:p>
        </w:tc>
        <w:tc>
          <w:tcPr>
            <w:tcW w:w="1727" w:type="dxa"/>
          </w:tcPr>
          <w:p w14:paraId="7114EAE5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23/23 (100)</w:t>
            </w:r>
          </w:p>
        </w:tc>
        <w:tc>
          <w:tcPr>
            <w:tcW w:w="1723" w:type="dxa"/>
          </w:tcPr>
          <w:p w14:paraId="4A84568A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112/140 (80.0)</w:t>
            </w:r>
          </w:p>
        </w:tc>
        <w:tc>
          <w:tcPr>
            <w:tcW w:w="1476" w:type="dxa"/>
          </w:tcPr>
          <w:p w14:paraId="51F8D601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  <w:lang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eastAsia="ja-JP"/>
              </w:rPr>
              <w:t>&lt;0.001</w:t>
            </w:r>
          </w:p>
        </w:tc>
      </w:tr>
      <w:tr w:rsidR="00C918A3" w:rsidRPr="005D58F0" w14:paraId="515884D0" w14:textId="77777777" w:rsidTr="00CD4B3B">
        <w:trPr>
          <w:trHeight w:val="423"/>
        </w:trPr>
        <w:tc>
          <w:tcPr>
            <w:tcW w:w="2985" w:type="dxa"/>
            <w:tcBorders>
              <w:bottom w:val="single" w:sz="4" w:space="0" w:color="FF0000"/>
            </w:tcBorders>
          </w:tcPr>
          <w:p w14:paraId="1CF456FB" w14:textId="77777777" w:rsidR="00C918A3" w:rsidRPr="008D070C" w:rsidRDefault="00C918A3" w:rsidP="00CD4B3B">
            <w:pPr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Blastocyst Development (%)</w:t>
            </w:r>
          </w:p>
        </w:tc>
        <w:tc>
          <w:tcPr>
            <w:tcW w:w="1595" w:type="dxa"/>
            <w:tcBorders>
              <w:bottom w:val="single" w:sz="4" w:space="0" w:color="FF0000"/>
            </w:tcBorders>
          </w:tcPr>
          <w:p w14:paraId="64B9ACDB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353/437 (80.8)</w:t>
            </w:r>
          </w:p>
        </w:tc>
        <w:tc>
          <w:tcPr>
            <w:tcW w:w="1727" w:type="dxa"/>
            <w:tcBorders>
              <w:bottom w:val="single" w:sz="4" w:space="0" w:color="FF0000"/>
            </w:tcBorders>
          </w:tcPr>
          <w:p w14:paraId="422926F3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199/248 (80.2)</w:t>
            </w:r>
          </w:p>
        </w:tc>
        <w:tc>
          <w:tcPr>
            <w:tcW w:w="1727" w:type="dxa"/>
            <w:tcBorders>
              <w:bottom w:val="single" w:sz="4" w:space="0" w:color="FF0000"/>
            </w:tcBorders>
          </w:tcPr>
          <w:p w14:paraId="3FC80681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90/111 (81.1)</w:t>
            </w:r>
          </w:p>
        </w:tc>
        <w:tc>
          <w:tcPr>
            <w:tcW w:w="1727" w:type="dxa"/>
            <w:tcBorders>
              <w:bottom w:val="single" w:sz="4" w:space="0" w:color="FF0000"/>
            </w:tcBorders>
          </w:tcPr>
          <w:p w14:paraId="77AE4E9D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18/23 (78.3)</w:t>
            </w:r>
          </w:p>
        </w:tc>
        <w:tc>
          <w:tcPr>
            <w:tcW w:w="1723" w:type="dxa"/>
            <w:tcBorders>
              <w:bottom w:val="single" w:sz="4" w:space="0" w:color="FF0000"/>
            </w:tcBorders>
          </w:tcPr>
          <w:p w14:paraId="750ACF5F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 w:rsidRPr="008D070C">
              <w:rPr>
                <w:rFonts w:ascii="Helvetica" w:hAnsi="Helvetica" w:cs="Arial"/>
                <w:sz w:val="21"/>
                <w:szCs w:val="21"/>
              </w:rPr>
              <w:t>85/140 (60.7)</w:t>
            </w:r>
          </w:p>
        </w:tc>
        <w:tc>
          <w:tcPr>
            <w:tcW w:w="1476" w:type="dxa"/>
            <w:tcBorders>
              <w:bottom w:val="single" w:sz="4" w:space="0" w:color="FF0000"/>
            </w:tcBorders>
          </w:tcPr>
          <w:p w14:paraId="3AC276E8" w14:textId="77777777" w:rsidR="00C918A3" w:rsidRPr="008D070C" w:rsidRDefault="00C918A3" w:rsidP="00CD4B3B">
            <w:pPr>
              <w:jc w:val="center"/>
              <w:rPr>
                <w:rFonts w:ascii="Helvetica" w:hAnsi="Helvetica" w:cs="Arial"/>
                <w:sz w:val="21"/>
                <w:szCs w:val="21"/>
              </w:rPr>
            </w:pPr>
            <w:r>
              <w:rPr>
                <w:rFonts w:ascii="Helvetica" w:hAnsi="Helvetica" w:cs="Arial"/>
                <w:sz w:val="21"/>
                <w:szCs w:val="21"/>
              </w:rPr>
              <w:t>&lt;0.0001</w:t>
            </w:r>
          </w:p>
        </w:tc>
      </w:tr>
    </w:tbl>
    <w:p w14:paraId="5F721FF4" w14:textId="28350AE0" w:rsidR="00761E66" w:rsidRDefault="00761E66"/>
    <w:sectPr w:rsidR="00761E66" w:rsidSect="00920B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A3"/>
    <w:rsid w:val="00004582"/>
    <w:rsid w:val="0003573B"/>
    <w:rsid w:val="00065376"/>
    <w:rsid w:val="000916D1"/>
    <w:rsid w:val="000C0DB5"/>
    <w:rsid w:val="000E242F"/>
    <w:rsid w:val="000F0341"/>
    <w:rsid w:val="000F1810"/>
    <w:rsid w:val="000F3DA2"/>
    <w:rsid w:val="00100738"/>
    <w:rsid w:val="00104D97"/>
    <w:rsid w:val="00112846"/>
    <w:rsid w:val="00112858"/>
    <w:rsid w:val="00125987"/>
    <w:rsid w:val="0013237D"/>
    <w:rsid w:val="001371CA"/>
    <w:rsid w:val="00174D0A"/>
    <w:rsid w:val="001827F0"/>
    <w:rsid w:val="001A518D"/>
    <w:rsid w:val="001B0D66"/>
    <w:rsid w:val="001E2332"/>
    <w:rsid w:val="001E2906"/>
    <w:rsid w:val="002262F6"/>
    <w:rsid w:val="00251A0C"/>
    <w:rsid w:val="002621CD"/>
    <w:rsid w:val="002E2EC2"/>
    <w:rsid w:val="002E71B3"/>
    <w:rsid w:val="00330FDE"/>
    <w:rsid w:val="0034211F"/>
    <w:rsid w:val="00353051"/>
    <w:rsid w:val="00357A94"/>
    <w:rsid w:val="00360A8E"/>
    <w:rsid w:val="00371F09"/>
    <w:rsid w:val="003D1D55"/>
    <w:rsid w:val="003D539F"/>
    <w:rsid w:val="003F021D"/>
    <w:rsid w:val="004372CC"/>
    <w:rsid w:val="00445DEE"/>
    <w:rsid w:val="0044787F"/>
    <w:rsid w:val="00452851"/>
    <w:rsid w:val="00460CD2"/>
    <w:rsid w:val="004A2B4C"/>
    <w:rsid w:val="004A2E0B"/>
    <w:rsid w:val="004A3E2C"/>
    <w:rsid w:val="004E3D8C"/>
    <w:rsid w:val="004E5113"/>
    <w:rsid w:val="00510851"/>
    <w:rsid w:val="005204A9"/>
    <w:rsid w:val="00530744"/>
    <w:rsid w:val="00562081"/>
    <w:rsid w:val="00574BA5"/>
    <w:rsid w:val="0059163B"/>
    <w:rsid w:val="005B149E"/>
    <w:rsid w:val="005C69B4"/>
    <w:rsid w:val="005E4989"/>
    <w:rsid w:val="005F54A0"/>
    <w:rsid w:val="00614258"/>
    <w:rsid w:val="0063668B"/>
    <w:rsid w:val="00651AD5"/>
    <w:rsid w:val="00662580"/>
    <w:rsid w:val="006D3FBC"/>
    <w:rsid w:val="006F3FAE"/>
    <w:rsid w:val="00727361"/>
    <w:rsid w:val="00746339"/>
    <w:rsid w:val="00761E66"/>
    <w:rsid w:val="0078031A"/>
    <w:rsid w:val="00782B6E"/>
    <w:rsid w:val="00786A91"/>
    <w:rsid w:val="00791824"/>
    <w:rsid w:val="007969A0"/>
    <w:rsid w:val="007C0431"/>
    <w:rsid w:val="007F6424"/>
    <w:rsid w:val="00812AB0"/>
    <w:rsid w:val="008663CE"/>
    <w:rsid w:val="00873137"/>
    <w:rsid w:val="008F2CEE"/>
    <w:rsid w:val="0091489A"/>
    <w:rsid w:val="0091491D"/>
    <w:rsid w:val="00920BE1"/>
    <w:rsid w:val="00946EBA"/>
    <w:rsid w:val="009636A4"/>
    <w:rsid w:val="00982DFC"/>
    <w:rsid w:val="009B1069"/>
    <w:rsid w:val="009B2316"/>
    <w:rsid w:val="009C3736"/>
    <w:rsid w:val="009F7F04"/>
    <w:rsid w:val="00A26B5B"/>
    <w:rsid w:val="00A60A21"/>
    <w:rsid w:val="00A75929"/>
    <w:rsid w:val="00A9079A"/>
    <w:rsid w:val="00A96712"/>
    <w:rsid w:val="00AD67E7"/>
    <w:rsid w:val="00AE1F78"/>
    <w:rsid w:val="00AF5D7F"/>
    <w:rsid w:val="00B02374"/>
    <w:rsid w:val="00B10124"/>
    <w:rsid w:val="00B22269"/>
    <w:rsid w:val="00B437C2"/>
    <w:rsid w:val="00B46415"/>
    <w:rsid w:val="00B53E6D"/>
    <w:rsid w:val="00B70601"/>
    <w:rsid w:val="00B80B00"/>
    <w:rsid w:val="00BC005F"/>
    <w:rsid w:val="00BC483F"/>
    <w:rsid w:val="00BC6301"/>
    <w:rsid w:val="00BE0748"/>
    <w:rsid w:val="00C07D28"/>
    <w:rsid w:val="00C25B03"/>
    <w:rsid w:val="00C61050"/>
    <w:rsid w:val="00C80FD1"/>
    <w:rsid w:val="00C918A3"/>
    <w:rsid w:val="00C9235F"/>
    <w:rsid w:val="00CF11BF"/>
    <w:rsid w:val="00D24636"/>
    <w:rsid w:val="00D42ABF"/>
    <w:rsid w:val="00DB5A3B"/>
    <w:rsid w:val="00DF444D"/>
    <w:rsid w:val="00E24DBA"/>
    <w:rsid w:val="00E33D2A"/>
    <w:rsid w:val="00E421C8"/>
    <w:rsid w:val="00E66D26"/>
    <w:rsid w:val="00E87105"/>
    <w:rsid w:val="00E9056F"/>
    <w:rsid w:val="00E95F58"/>
    <w:rsid w:val="00E96A46"/>
    <w:rsid w:val="00EA7CB2"/>
    <w:rsid w:val="00EB4432"/>
    <w:rsid w:val="00EB77A5"/>
    <w:rsid w:val="00EE64F8"/>
    <w:rsid w:val="00EE77D2"/>
    <w:rsid w:val="00EF2D34"/>
    <w:rsid w:val="00F45FC0"/>
    <w:rsid w:val="00FA6568"/>
    <w:rsid w:val="00FA72A2"/>
    <w:rsid w:val="00FB3E70"/>
    <w:rsid w:val="00FB4672"/>
    <w:rsid w:val="00FD65DE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E58E"/>
  <w14:defaultImageDpi w14:val="32767"/>
  <w15:chartTrackingRefBased/>
  <w15:docId w15:val="{64EACE8E-4916-CD49-8143-4943C7A6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 (Body CS)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918A3"/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8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8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8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8A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8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8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8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8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8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8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8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8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8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18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8A3"/>
    <w:pPr>
      <w:spacing w:before="160" w:after="160"/>
      <w:jc w:val="center"/>
    </w:pPr>
    <w:rPr>
      <w:rFonts w:ascii="Arial" w:hAnsi="Arial"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1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8A3"/>
    <w:pPr>
      <w:ind w:left="720"/>
      <w:contextualSpacing/>
    </w:pPr>
    <w:rPr>
      <w:rFonts w:ascii="Arial" w:hAnsi="Arial"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1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8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18A3"/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Xie</dc:creator>
  <cp:keywords/>
  <dc:description/>
  <cp:lastModifiedBy>Philip Xie</cp:lastModifiedBy>
  <cp:revision>1</cp:revision>
  <dcterms:created xsi:type="dcterms:W3CDTF">2024-05-03T17:21:00Z</dcterms:created>
  <dcterms:modified xsi:type="dcterms:W3CDTF">2024-05-03T17:22:00Z</dcterms:modified>
</cp:coreProperties>
</file>