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324C2" w14:textId="77777777" w:rsidR="00836F75" w:rsidRPr="00AB7EAE" w:rsidRDefault="00836F75" w:rsidP="00836F75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1195E5B8" w14:textId="77777777" w:rsidR="00836F75" w:rsidRPr="004644B3" w:rsidRDefault="00836F75" w:rsidP="00836F75">
      <w:pPr>
        <w:pStyle w:val="Heading1"/>
        <w:spacing w:line="480" w:lineRule="auto"/>
        <w:jc w:val="center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0" w:name="_Toc76336667"/>
      <w:bookmarkStart w:id="1" w:name="_Toc76336761"/>
      <w:r w:rsidRPr="004644B3">
        <w:rPr>
          <w:rFonts w:asciiTheme="majorBidi" w:hAnsiTheme="majorBidi"/>
          <w:b/>
          <w:bCs/>
          <w:color w:val="auto"/>
          <w:sz w:val="24"/>
          <w:szCs w:val="24"/>
        </w:rPr>
        <w:t>Appendices</w:t>
      </w:r>
      <w:bookmarkEnd w:id="0"/>
      <w:bookmarkEnd w:id="1"/>
    </w:p>
    <w:p w14:paraId="3E9A8302" w14:textId="77777777" w:rsidR="00836F75" w:rsidRPr="00AB7EAE" w:rsidRDefault="00836F75" w:rsidP="00836F75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8A0C249" w14:textId="77777777" w:rsidR="00836F75" w:rsidRPr="00AB7EAE" w:rsidRDefault="00836F75" w:rsidP="00836F75">
      <w:pPr>
        <w:spacing w:line="480" w:lineRule="auto"/>
        <w:ind w:firstLine="72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AB7EAE">
        <w:rPr>
          <w:rFonts w:asciiTheme="majorBidi" w:hAnsiTheme="majorBidi" w:cstheme="majorBidi"/>
          <w:sz w:val="24"/>
          <w:szCs w:val="24"/>
        </w:rPr>
        <w:t xml:space="preserve">Table 14. World Health Organization </w:t>
      </w:r>
      <w:r>
        <w:rPr>
          <w:rFonts w:ascii="Times New Roman" w:eastAsia="Calibri" w:hAnsi="Times New Roman" w:cs="Times New Roman"/>
          <w:sz w:val="24"/>
          <w:szCs w:val="24"/>
        </w:rPr>
        <w:t>criteria</w:t>
      </w:r>
      <w:r w:rsidRPr="00AB7EAE">
        <w:rPr>
          <w:rFonts w:asciiTheme="majorBidi" w:hAnsiTheme="majorBidi" w:cstheme="majorBidi"/>
          <w:sz w:val="24"/>
          <w:szCs w:val="24"/>
        </w:rPr>
        <w:t xml:space="preserve"> for </w:t>
      </w:r>
      <w:r>
        <w:rPr>
          <w:rFonts w:ascii="Times New Roman" w:eastAsia="Calibri" w:hAnsi="Times New Roman" w:cs="Times New Roman"/>
          <w:sz w:val="24"/>
          <w:szCs w:val="24"/>
        </w:rPr>
        <w:t>diagnosing polycythemia</w:t>
      </w:r>
      <w:r w:rsidRPr="00AB7EA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vera.</w:t>
      </w:r>
    </w:p>
    <w:p w14:paraId="5A4A4D33" w14:textId="77777777" w:rsidR="00836F75" w:rsidRPr="00AB7EAE" w:rsidRDefault="00836F75" w:rsidP="00836F75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AB7EA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C096966" wp14:editId="201D4739">
            <wp:extent cx="5942965" cy="509587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1" cy="509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7FD5" w14:textId="77777777" w:rsidR="00836F75" w:rsidRPr="00AB7EAE" w:rsidRDefault="00836F75" w:rsidP="00836F75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AB7EAE">
        <w:rPr>
          <w:rFonts w:asciiTheme="majorBidi" w:hAnsiTheme="majorBidi" w:cstheme="majorBidi"/>
          <w:i/>
          <w:iCs/>
          <w:sz w:val="24"/>
          <w:szCs w:val="24"/>
        </w:rPr>
        <w:t>Note.</w:t>
      </w:r>
      <w:r w:rsidRPr="00AB7EAE">
        <w:rPr>
          <w:rFonts w:asciiTheme="majorBidi" w:hAnsiTheme="majorBidi" w:cstheme="majorBidi"/>
          <w:sz w:val="24"/>
          <w:szCs w:val="24"/>
        </w:rPr>
        <w:t xml:space="preserve"> Table adapted from “The 2016 revision to the World Health Organization classification of myeloid neoplasms and acute leukemia,” by Arber et al.</w:t>
      </w:r>
      <w:r w:rsidRPr="00AB7EAE">
        <w:rPr>
          <w:rFonts w:asciiTheme="majorBidi" w:hAnsiTheme="majorBidi" w:cstheme="majorBidi"/>
          <w:i/>
          <w:iCs/>
          <w:sz w:val="24"/>
          <w:szCs w:val="24"/>
        </w:rPr>
        <w:t xml:space="preserve"> Blood</w:t>
      </w:r>
      <w:r w:rsidRPr="00AB7EAE">
        <w:rPr>
          <w:rFonts w:asciiTheme="majorBidi" w:hAnsiTheme="majorBidi" w:cstheme="majorBidi"/>
          <w:sz w:val="24"/>
          <w:szCs w:val="24"/>
        </w:rPr>
        <w:t xml:space="preserve">, </w:t>
      </w:r>
      <w:r w:rsidRPr="00AB7EAE">
        <w:rPr>
          <w:rFonts w:asciiTheme="majorBidi" w:hAnsiTheme="majorBidi" w:cstheme="majorBidi"/>
          <w:i/>
          <w:iCs/>
          <w:sz w:val="24"/>
          <w:szCs w:val="24"/>
        </w:rPr>
        <w:t>127</w:t>
      </w:r>
      <w:r w:rsidRPr="00AB7EAE">
        <w:rPr>
          <w:rFonts w:asciiTheme="majorBidi" w:hAnsiTheme="majorBidi" w:cstheme="majorBidi"/>
          <w:sz w:val="24"/>
          <w:szCs w:val="24"/>
        </w:rPr>
        <w:t>(20), 2391–2405. https://doi.org/10.1182/blood-2016-03-643544</w:t>
      </w:r>
    </w:p>
    <w:p w14:paraId="1C357B55" w14:textId="2FB4F435" w:rsidR="00836F75" w:rsidRDefault="00836F75" w:rsidP="00836F75">
      <w:r w:rsidRPr="00AB7EAE">
        <w:rPr>
          <w:rFonts w:asciiTheme="majorBidi" w:hAnsiTheme="majorBidi" w:cstheme="majorBidi"/>
          <w:sz w:val="24"/>
          <w:szCs w:val="24"/>
        </w:rPr>
        <w:lastRenderedPageBreak/>
        <w:t xml:space="preserve">*More than 25% above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AB7EAE">
        <w:rPr>
          <w:rFonts w:asciiTheme="majorBidi" w:hAnsiTheme="majorBidi" w:cstheme="majorBidi"/>
          <w:sz w:val="24"/>
          <w:szCs w:val="24"/>
        </w:rPr>
        <w:t>mean normal predicted value.</w:t>
      </w:r>
    </w:p>
    <w:sectPr w:rsidR="00836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75"/>
    <w:rsid w:val="00836F75"/>
    <w:rsid w:val="00A4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6F3D"/>
  <w15:chartTrackingRefBased/>
  <w15:docId w15:val="{F662EC73-877D-4199-9EBA-DF4AFC8A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F7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F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F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F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F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F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F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F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F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F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6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F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6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F7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6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F7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6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>SpringerNature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2024-07-26T03:47:00Z</dcterms:created>
  <dcterms:modified xsi:type="dcterms:W3CDTF">2024-07-26T03:47:00Z</dcterms:modified>
</cp:coreProperties>
</file>