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2585" w:rsidRPr="00C22585" w:rsidRDefault="00C22585" w:rsidP="00C22585">
      <w:pPr>
        <w:spacing w:after="200" w:line="276" w:lineRule="auto"/>
        <w:rPr>
          <w:rFonts w:ascii="Times New Roman" w:eastAsiaTheme="minorEastAsia" w:hAnsi="Times New Roman" w:cs="Times New Roman"/>
          <w:color w:val="000000" w:themeColor="text1"/>
          <w:sz w:val="16"/>
          <w:szCs w:val="16"/>
          <w:rtl/>
        </w:rPr>
      </w:pPr>
      <w:r w:rsidRPr="00C22585">
        <w:rPr>
          <w:rFonts w:ascii="Times New Roman" w:eastAsiaTheme="minorEastAsia" w:hAnsi="Times New Roman" w:cs="Times New Roman"/>
          <w:color w:val="000000" w:themeColor="text1"/>
          <w:sz w:val="16"/>
          <w:szCs w:val="16"/>
        </w:rPr>
        <w:t>Table 1:</w:t>
      </w:r>
      <w:r w:rsidRPr="00C22585">
        <w:rPr>
          <w:rFonts w:ascii="Times New Roman" w:eastAsiaTheme="minorEastAsia" w:hAnsi="Times New Roman" w:cs="Times New Roman" w:hint="cs"/>
          <w:color w:val="000000" w:themeColor="text1"/>
          <w:sz w:val="16"/>
          <w:szCs w:val="16"/>
          <w:rtl/>
        </w:rPr>
        <w:t xml:space="preserve"> </w:t>
      </w:r>
      <w:r w:rsidRPr="00C22585">
        <w:rPr>
          <w:rFonts w:ascii="Times New Roman" w:eastAsiaTheme="minorEastAsia" w:hAnsi="Times New Roman" w:cs="Times New Roman"/>
          <w:color w:val="000000" w:themeColor="text1"/>
          <w:sz w:val="16"/>
          <w:szCs w:val="16"/>
        </w:rPr>
        <w:t>BI-RADS assessment</w:t>
      </w:r>
      <w:r w:rsidRPr="00C22585">
        <w:rPr>
          <w:rFonts w:ascii="Times New Roman" w:eastAsiaTheme="minorEastAsia" w:hAnsi="Times New Roman" w:cs="Times New Roman"/>
          <w:color w:val="000000" w:themeColor="text1"/>
          <w:sz w:val="16"/>
          <w:szCs w:val="16"/>
          <w:lang w:bidi="fa-IR"/>
        </w:rPr>
        <w:t xml:space="preserve"> patient by breast cancer in Ardebil province</w:t>
      </w:r>
    </w:p>
    <w:tbl>
      <w:tblPr>
        <w:tblStyle w:val="PlainTable3"/>
        <w:bidiVisual/>
        <w:tblW w:w="0" w:type="auto"/>
        <w:tblLook w:val="04A0" w:firstRow="1" w:lastRow="0" w:firstColumn="1" w:lastColumn="0" w:noHBand="0" w:noVBand="1"/>
      </w:tblPr>
      <w:tblGrid>
        <w:gridCol w:w="4675"/>
        <w:gridCol w:w="4675"/>
      </w:tblGrid>
      <w:tr w:rsidR="00C22585" w:rsidRPr="00C22585" w:rsidTr="0028332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rsidR="00C22585" w:rsidRPr="00C22585" w:rsidRDefault="00C22585" w:rsidP="00C22585">
            <w:pPr>
              <w:bidi/>
              <w:jc w:val="right"/>
              <w:rPr>
                <w:rFonts w:asciiTheme="majorBidi" w:hAnsiTheme="majorBidi" w:cstheme="majorBidi"/>
                <w:color w:val="000000" w:themeColor="text1"/>
                <w:rtl/>
                <w:lang w:bidi="fa-IR"/>
              </w:rPr>
            </w:pPr>
            <w:r w:rsidRPr="00C22585">
              <w:rPr>
                <w:rFonts w:asciiTheme="majorBidi" w:hAnsiTheme="majorBidi" w:cstheme="majorBidi"/>
                <w:color w:val="000000" w:themeColor="text1"/>
                <w:lang w:bidi="fa-IR"/>
              </w:rPr>
              <w:t>COUNT</w:t>
            </w:r>
          </w:p>
        </w:tc>
        <w:tc>
          <w:tcPr>
            <w:tcW w:w="4675" w:type="dxa"/>
          </w:tcPr>
          <w:p w:rsidR="00C22585" w:rsidRPr="00C22585" w:rsidRDefault="00C22585" w:rsidP="00C22585">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bidi="fa-IR"/>
              </w:rPr>
            </w:pPr>
            <w:r w:rsidRPr="00C22585">
              <w:rPr>
                <w:rFonts w:asciiTheme="majorBidi" w:hAnsiTheme="majorBidi" w:cstheme="majorBidi"/>
                <w:color w:val="000000" w:themeColor="text1"/>
                <w:lang w:bidi="fa-IR"/>
              </w:rPr>
              <w:t>BI-RADS: (</w:t>
            </w:r>
            <w:r w:rsidRPr="00C22585">
              <w:rPr>
                <w:rFonts w:asciiTheme="majorBidi" w:hAnsiTheme="majorBidi" w:cstheme="majorBidi"/>
                <w:color w:val="000000" w:themeColor="text1"/>
              </w:rPr>
              <w:t>Breast Imaging-Reporting and Data System)*</w:t>
            </w:r>
          </w:p>
        </w:tc>
      </w:tr>
      <w:tr w:rsidR="00C22585" w:rsidRPr="00C22585" w:rsidTr="00283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C22585" w:rsidRPr="00C22585" w:rsidRDefault="00C22585" w:rsidP="00C22585">
            <w:pPr>
              <w:bidi/>
              <w:jc w:val="right"/>
              <w:rPr>
                <w:rFonts w:asciiTheme="majorBidi" w:hAnsiTheme="majorBidi" w:cstheme="majorBidi"/>
                <w:rtl/>
                <w:lang w:bidi="fa-IR"/>
              </w:rPr>
            </w:pPr>
            <w:r w:rsidRPr="00C22585">
              <w:rPr>
                <w:rFonts w:asciiTheme="majorBidi" w:hAnsiTheme="majorBidi" w:cstheme="majorBidi"/>
                <w:lang w:bidi="fa-IR"/>
              </w:rPr>
              <w:t>1</w:t>
            </w:r>
          </w:p>
        </w:tc>
        <w:tc>
          <w:tcPr>
            <w:tcW w:w="4675" w:type="dxa"/>
          </w:tcPr>
          <w:p w:rsidR="00C22585" w:rsidRPr="00C22585" w:rsidRDefault="00C22585" w:rsidP="00C22585">
            <w:pPr>
              <w:bidi/>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bidi="fa-IR"/>
              </w:rPr>
            </w:pPr>
            <w:r w:rsidRPr="00C22585">
              <w:rPr>
                <w:rFonts w:asciiTheme="majorBidi" w:hAnsiTheme="majorBidi" w:cstheme="majorBidi"/>
                <w:lang w:bidi="fa-IR"/>
              </w:rPr>
              <w:t>II</w:t>
            </w:r>
          </w:p>
        </w:tc>
      </w:tr>
      <w:tr w:rsidR="00C22585" w:rsidRPr="00C22585" w:rsidTr="0028332A">
        <w:tc>
          <w:tcPr>
            <w:cnfStyle w:val="001000000000" w:firstRow="0" w:lastRow="0" w:firstColumn="1" w:lastColumn="0" w:oddVBand="0" w:evenVBand="0" w:oddHBand="0" w:evenHBand="0" w:firstRowFirstColumn="0" w:firstRowLastColumn="0" w:lastRowFirstColumn="0" w:lastRowLastColumn="0"/>
            <w:tcW w:w="4675" w:type="dxa"/>
          </w:tcPr>
          <w:p w:rsidR="00C22585" w:rsidRPr="00C22585" w:rsidRDefault="00C22585" w:rsidP="00C22585">
            <w:pPr>
              <w:bidi/>
              <w:jc w:val="right"/>
              <w:rPr>
                <w:rFonts w:asciiTheme="majorBidi" w:hAnsiTheme="majorBidi" w:cstheme="majorBidi"/>
                <w:rtl/>
                <w:lang w:bidi="fa-IR"/>
              </w:rPr>
            </w:pPr>
            <w:r w:rsidRPr="00C22585">
              <w:rPr>
                <w:rFonts w:asciiTheme="majorBidi" w:hAnsiTheme="majorBidi" w:cstheme="majorBidi"/>
                <w:lang w:bidi="fa-IR"/>
              </w:rPr>
              <w:t>2</w:t>
            </w:r>
          </w:p>
        </w:tc>
        <w:tc>
          <w:tcPr>
            <w:tcW w:w="4675" w:type="dxa"/>
          </w:tcPr>
          <w:p w:rsidR="00C22585" w:rsidRPr="00C22585" w:rsidRDefault="00C22585" w:rsidP="00C22585">
            <w:pPr>
              <w:bidi/>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lang w:bidi="fa-IR"/>
              </w:rPr>
            </w:pPr>
            <w:r w:rsidRPr="00C22585">
              <w:rPr>
                <w:rFonts w:asciiTheme="majorBidi" w:hAnsiTheme="majorBidi" w:cstheme="majorBidi"/>
                <w:lang w:bidi="fa-IR"/>
              </w:rPr>
              <w:t>III</w:t>
            </w:r>
          </w:p>
        </w:tc>
      </w:tr>
      <w:tr w:rsidR="00C22585" w:rsidRPr="00C22585" w:rsidTr="00283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C22585" w:rsidRPr="00C22585" w:rsidRDefault="00C22585" w:rsidP="00C22585">
            <w:pPr>
              <w:bidi/>
              <w:jc w:val="right"/>
              <w:rPr>
                <w:rFonts w:asciiTheme="majorBidi" w:hAnsiTheme="majorBidi" w:cstheme="majorBidi"/>
                <w:rtl/>
                <w:lang w:bidi="fa-IR"/>
              </w:rPr>
            </w:pPr>
            <w:r w:rsidRPr="00C22585">
              <w:rPr>
                <w:rFonts w:asciiTheme="majorBidi" w:hAnsiTheme="majorBidi" w:cstheme="majorBidi"/>
                <w:lang w:bidi="fa-IR"/>
              </w:rPr>
              <w:t>5</w:t>
            </w:r>
          </w:p>
        </w:tc>
        <w:tc>
          <w:tcPr>
            <w:tcW w:w="4675" w:type="dxa"/>
          </w:tcPr>
          <w:p w:rsidR="00C22585" w:rsidRPr="00C22585" w:rsidRDefault="00C22585" w:rsidP="00C22585">
            <w:pPr>
              <w:bidi/>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lang w:bidi="fa-IR"/>
              </w:rPr>
            </w:pPr>
            <w:r w:rsidRPr="00C22585">
              <w:rPr>
                <w:rFonts w:asciiTheme="majorBidi" w:hAnsiTheme="majorBidi" w:cstheme="majorBidi"/>
                <w:lang w:bidi="fa-IR"/>
              </w:rPr>
              <w:t>IVA</w:t>
            </w:r>
          </w:p>
        </w:tc>
      </w:tr>
      <w:tr w:rsidR="00C22585" w:rsidRPr="00C22585" w:rsidTr="0028332A">
        <w:tc>
          <w:tcPr>
            <w:cnfStyle w:val="001000000000" w:firstRow="0" w:lastRow="0" w:firstColumn="1" w:lastColumn="0" w:oddVBand="0" w:evenVBand="0" w:oddHBand="0" w:evenHBand="0" w:firstRowFirstColumn="0" w:firstRowLastColumn="0" w:lastRowFirstColumn="0" w:lastRowLastColumn="0"/>
            <w:tcW w:w="4675" w:type="dxa"/>
          </w:tcPr>
          <w:p w:rsidR="00C22585" w:rsidRPr="00C22585" w:rsidRDefault="00C22585" w:rsidP="00C22585">
            <w:pPr>
              <w:bidi/>
              <w:jc w:val="right"/>
              <w:rPr>
                <w:rFonts w:asciiTheme="majorBidi" w:hAnsiTheme="majorBidi" w:cstheme="majorBidi"/>
                <w:rtl/>
                <w:lang w:bidi="fa-IR"/>
              </w:rPr>
            </w:pPr>
            <w:r w:rsidRPr="00C22585">
              <w:rPr>
                <w:rFonts w:asciiTheme="majorBidi" w:hAnsiTheme="majorBidi" w:cstheme="majorBidi"/>
                <w:lang w:bidi="fa-IR"/>
              </w:rPr>
              <w:t>3</w:t>
            </w:r>
          </w:p>
        </w:tc>
        <w:tc>
          <w:tcPr>
            <w:tcW w:w="4675" w:type="dxa"/>
          </w:tcPr>
          <w:p w:rsidR="00C22585" w:rsidRPr="00C22585" w:rsidRDefault="00C22585" w:rsidP="00C22585">
            <w:pPr>
              <w:bidi/>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lang w:bidi="fa-IR"/>
              </w:rPr>
            </w:pPr>
            <w:r w:rsidRPr="00C22585">
              <w:rPr>
                <w:rFonts w:asciiTheme="majorBidi" w:hAnsiTheme="majorBidi" w:cstheme="majorBidi"/>
                <w:lang w:bidi="fa-IR"/>
              </w:rPr>
              <w:t>IVB</w:t>
            </w:r>
          </w:p>
        </w:tc>
      </w:tr>
      <w:tr w:rsidR="00C22585" w:rsidRPr="00C22585" w:rsidTr="00283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C22585" w:rsidRPr="00C22585" w:rsidRDefault="00C22585" w:rsidP="00C22585">
            <w:pPr>
              <w:bidi/>
              <w:jc w:val="right"/>
              <w:rPr>
                <w:rFonts w:asciiTheme="majorBidi" w:hAnsiTheme="majorBidi" w:cstheme="majorBidi"/>
                <w:rtl/>
                <w:lang w:bidi="fa-IR"/>
              </w:rPr>
            </w:pPr>
            <w:r w:rsidRPr="00C22585">
              <w:rPr>
                <w:rFonts w:asciiTheme="majorBidi" w:hAnsiTheme="majorBidi" w:cstheme="majorBidi"/>
                <w:lang w:bidi="fa-IR"/>
              </w:rPr>
              <w:t>9</w:t>
            </w:r>
          </w:p>
        </w:tc>
        <w:tc>
          <w:tcPr>
            <w:tcW w:w="4675" w:type="dxa"/>
          </w:tcPr>
          <w:p w:rsidR="00C22585" w:rsidRPr="00C22585" w:rsidRDefault="00C22585" w:rsidP="00C22585">
            <w:pPr>
              <w:bidi/>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lang w:bidi="fa-IR"/>
              </w:rPr>
            </w:pPr>
            <w:r w:rsidRPr="00C22585">
              <w:rPr>
                <w:rFonts w:asciiTheme="majorBidi" w:hAnsiTheme="majorBidi" w:cstheme="majorBidi"/>
                <w:lang w:bidi="fa-IR"/>
              </w:rPr>
              <w:t>IVC</w:t>
            </w:r>
          </w:p>
        </w:tc>
      </w:tr>
      <w:tr w:rsidR="00C22585" w:rsidRPr="00C22585" w:rsidTr="0028332A">
        <w:tc>
          <w:tcPr>
            <w:cnfStyle w:val="001000000000" w:firstRow="0" w:lastRow="0" w:firstColumn="1" w:lastColumn="0" w:oddVBand="0" w:evenVBand="0" w:oddHBand="0" w:evenHBand="0" w:firstRowFirstColumn="0" w:firstRowLastColumn="0" w:lastRowFirstColumn="0" w:lastRowLastColumn="0"/>
            <w:tcW w:w="4675" w:type="dxa"/>
          </w:tcPr>
          <w:p w:rsidR="00C22585" w:rsidRPr="00C22585" w:rsidRDefault="00C22585" w:rsidP="00C22585">
            <w:pPr>
              <w:bidi/>
              <w:jc w:val="right"/>
              <w:rPr>
                <w:rFonts w:asciiTheme="majorBidi" w:hAnsiTheme="majorBidi" w:cstheme="majorBidi"/>
                <w:rtl/>
                <w:lang w:bidi="fa-IR"/>
              </w:rPr>
            </w:pPr>
            <w:r w:rsidRPr="00C22585">
              <w:rPr>
                <w:rFonts w:asciiTheme="majorBidi" w:hAnsiTheme="majorBidi" w:cstheme="majorBidi"/>
                <w:lang w:bidi="fa-IR"/>
              </w:rPr>
              <w:t>22</w:t>
            </w:r>
          </w:p>
        </w:tc>
        <w:tc>
          <w:tcPr>
            <w:tcW w:w="4675" w:type="dxa"/>
          </w:tcPr>
          <w:p w:rsidR="00C22585" w:rsidRPr="00C22585" w:rsidRDefault="00C22585" w:rsidP="00C22585">
            <w:pPr>
              <w:bidi/>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lang w:bidi="fa-IR"/>
              </w:rPr>
            </w:pPr>
            <w:r w:rsidRPr="00C22585">
              <w:rPr>
                <w:rFonts w:asciiTheme="majorBidi" w:hAnsiTheme="majorBidi" w:cstheme="majorBidi"/>
                <w:lang w:bidi="fa-IR"/>
              </w:rPr>
              <w:t>V</w:t>
            </w:r>
          </w:p>
        </w:tc>
      </w:tr>
      <w:tr w:rsidR="00C22585" w:rsidRPr="00C22585" w:rsidTr="002833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C22585" w:rsidRPr="00C22585" w:rsidRDefault="00C22585" w:rsidP="00C22585">
            <w:pPr>
              <w:bidi/>
              <w:jc w:val="right"/>
              <w:rPr>
                <w:rFonts w:asciiTheme="majorBidi" w:hAnsiTheme="majorBidi" w:cstheme="majorBidi"/>
                <w:rtl/>
                <w:lang w:bidi="fa-IR"/>
              </w:rPr>
            </w:pPr>
            <w:r w:rsidRPr="00C22585">
              <w:rPr>
                <w:rFonts w:asciiTheme="majorBidi" w:hAnsiTheme="majorBidi" w:cstheme="majorBidi"/>
                <w:lang w:bidi="fa-IR"/>
              </w:rPr>
              <w:t>5</w:t>
            </w:r>
          </w:p>
        </w:tc>
        <w:tc>
          <w:tcPr>
            <w:tcW w:w="4675" w:type="dxa"/>
          </w:tcPr>
          <w:p w:rsidR="00C22585" w:rsidRPr="00C22585" w:rsidRDefault="00C22585" w:rsidP="00C22585">
            <w:pPr>
              <w:bidi/>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lang w:bidi="fa-IR"/>
              </w:rPr>
            </w:pPr>
            <w:r w:rsidRPr="00C22585">
              <w:rPr>
                <w:rFonts w:asciiTheme="majorBidi" w:hAnsiTheme="majorBidi" w:cstheme="majorBidi"/>
                <w:lang w:bidi="fa-IR"/>
              </w:rPr>
              <w:t>VI</w:t>
            </w:r>
          </w:p>
        </w:tc>
      </w:tr>
      <w:tr w:rsidR="00C22585" w:rsidRPr="00C22585" w:rsidTr="0028332A">
        <w:tc>
          <w:tcPr>
            <w:cnfStyle w:val="001000000000" w:firstRow="0" w:lastRow="0" w:firstColumn="1" w:lastColumn="0" w:oddVBand="0" w:evenVBand="0" w:oddHBand="0" w:evenHBand="0" w:firstRowFirstColumn="0" w:firstRowLastColumn="0" w:lastRowFirstColumn="0" w:lastRowLastColumn="0"/>
            <w:tcW w:w="4675" w:type="dxa"/>
          </w:tcPr>
          <w:p w:rsidR="00C22585" w:rsidRPr="00C22585" w:rsidRDefault="00C22585" w:rsidP="00C22585">
            <w:pPr>
              <w:bidi/>
              <w:jc w:val="right"/>
              <w:rPr>
                <w:rFonts w:asciiTheme="majorBidi" w:hAnsiTheme="majorBidi" w:cstheme="majorBidi"/>
                <w:rtl/>
                <w:lang w:bidi="fa-IR"/>
              </w:rPr>
            </w:pPr>
            <w:r w:rsidRPr="00C22585">
              <w:rPr>
                <w:rFonts w:asciiTheme="majorBidi" w:hAnsiTheme="majorBidi" w:cstheme="majorBidi"/>
                <w:lang w:bidi="fa-IR"/>
              </w:rPr>
              <w:t>47</w:t>
            </w:r>
          </w:p>
        </w:tc>
        <w:tc>
          <w:tcPr>
            <w:tcW w:w="4675" w:type="dxa"/>
          </w:tcPr>
          <w:p w:rsidR="00C22585" w:rsidRPr="00C22585" w:rsidRDefault="00C22585" w:rsidP="00C22585">
            <w:pPr>
              <w:bidi/>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lang w:bidi="fa-IR"/>
              </w:rPr>
            </w:pPr>
            <w:r w:rsidRPr="00C22585">
              <w:rPr>
                <w:rFonts w:asciiTheme="majorBidi" w:hAnsiTheme="majorBidi" w:cstheme="majorBidi"/>
                <w:lang w:bidi="fa-IR"/>
              </w:rPr>
              <w:t>TOTAL</w:t>
            </w:r>
          </w:p>
        </w:tc>
      </w:tr>
    </w:tbl>
    <w:p w:rsidR="00C22585" w:rsidRPr="00C22585" w:rsidRDefault="00C22585" w:rsidP="00C22585">
      <w:pPr>
        <w:spacing w:after="200" w:line="276" w:lineRule="auto"/>
        <w:jc w:val="center"/>
        <w:rPr>
          <w:rFonts w:ascii="Times New Roman" w:eastAsiaTheme="minorEastAsia" w:hAnsi="Times New Roman" w:cs="Times New Roman"/>
          <w:color w:val="000000" w:themeColor="text1"/>
          <w:sz w:val="16"/>
          <w:szCs w:val="16"/>
        </w:rPr>
      </w:pPr>
      <w:r w:rsidRPr="00C22585">
        <w:rPr>
          <w:rFonts w:ascii="Times New Roman" w:eastAsiaTheme="minorEastAsia" w:hAnsi="Times New Roman" w:cs="Times New Roman"/>
          <w:color w:val="000000" w:themeColor="text1"/>
          <w:sz w:val="16"/>
          <w:szCs w:val="16"/>
        </w:rPr>
        <w:t>*:</w:t>
      </w:r>
      <w:r w:rsidRPr="00C22585">
        <w:rPr>
          <w:rFonts w:ascii="Times New Roman" w:eastAsiaTheme="minorEastAsia" w:hAnsi="Times New Roman" w:cs="Times New Roman" w:hint="cs"/>
          <w:color w:val="000000" w:themeColor="text1"/>
          <w:sz w:val="16"/>
          <w:szCs w:val="16"/>
          <w:rtl/>
        </w:rPr>
        <w:t xml:space="preserve"> </w:t>
      </w:r>
      <w:r w:rsidRPr="00C22585">
        <w:rPr>
          <w:rFonts w:ascii="Times New Roman" w:eastAsiaTheme="minorEastAsia" w:hAnsi="Times New Roman" w:cs="Times New Roman"/>
          <w:i/>
          <w:iCs/>
          <w:color w:val="000000" w:themeColor="text1"/>
          <w:sz w:val="16"/>
          <w:szCs w:val="16"/>
        </w:rPr>
        <w:t>BI-RADS</w:t>
      </w:r>
      <w:r w:rsidRPr="00C22585">
        <w:rPr>
          <w:rFonts w:ascii="Times New Roman" w:eastAsiaTheme="minorEastAsia" w:hAnsi="Times New Roman" w:cs="Times New Roman" w:hint="cs"/>
          <w:i/>
          <w:iCs/>
          <w:color w:val="000000" w:themeColor="text1"/>
          <w:sz w:val="16"/>
          <w:szCs w:val="16"/>
          <w:rtl/>
        </w:rPr>
        <w:t xml:space="preserve"> </w:t>
      </w:r>
      <w:r w:rsidRPr="00C22585">
        <w:rPr>
          <w:rFonts w:ascii="Times New Roman" w:eastAsiaTheme="minorEastAsia" w:hAnsi="Times New Roman" w:cs="Times New Roman"/>
          <w:i/>
          <w:iCs/>
          <w:color w:val="000000" w:themeColor="text1"/>
          <w:sz w:val="16"/>
          <w:szCs w:val="16"/>
        </w:rPr>
        <w:t xml:space="preserve">is a risk assessment and quality assurance tool developed by the American College of Radiology that provides a widely accepted lexicon and reporting schema for imaging of the breast. It applies to mammography, ultrasound, and </w:t>
      </w:r>
      <w:proofErr w:type="gramStart"/>
      <w:r w:rsidRPr="00C22585">
        <w:rPr>
          <w:rFonts w:ascii="Times New Roman" w:eastAsiaTheme="minorEastAsia" w:hAnsi="Times New Roman" w:cs="Times New Roman"/>
          <w:i/>
          <w:iCs/>
          <w:color w:val="000000" w:themeColor="text1"/>
          <w:sz w:val="16"/>
          <w:szCs w:val="16"/>
        </w:rPr>
        <w:t>MRI[</w:t>
      </w:r>
      <w:proofErr w:type="gramEnd"/>
      <w:r w:rsidRPr="00C22585">
        <w:rPr>
          <w:rFonts w:ascii="Times New Roman" w:eastAsiaTheme="minorEastAsia" w:hAnsi="Times New Roman" w:cs="Times New Roman"/>
          <w:i/>
          <w:iCs/>
          <w:color w:val="000000" w:themeColor="text1"/>
          <w:sz w:val="16"/>
          <w:szCs w:val="16"/>
        </w:rPr>
        <w:t>29].</w:t>
      </w:r>
    </w:p>
    <w:p w:rsidR="00C22585" w:rsidRPr="00C22585" w:rsidRDefault="00C22585" w:rsidP="00C22585">
      <w:pPr>
        <w:spacing w:after="200" w:line="276" w:lineRule="auto"/>
        <w:jc w:val="both"/>
        <w:rPr>
          <w:rFonts w:ascii="Times New Roman" w:eastAsiaTheme="minorEastAsia" w:hAnsi="Times New Roman" w:cs="Times New Roman"/>
          <w:color w:val="000000" w:themeColor="text1"/>
          <w:sz w:val="16"/>
          <w:szCs w:val="16"/>
          <w:rtl/>
          <w:lang w:bidi="fa-IR"/>
        </w:rPr>
      </w:pPr>
      <w:r w:rsidRPr="00C22585">
        <w:rPr>
          <w:rFonts w:ascii="Times New Roman" w:eastAsiaTheme="minorEastAsia" w:hAnsi="Times New Roman" w:cs="Times New Roman"/>
          <w:color w:val="000000" w:themeColor="text1"/>
          <w:sz w:val="16"/>
          <w:szCs w:val="16"/>
        </w:rPr>
        <w:t>Table 2: Immunohistochemistry data</w:t>
      </w:r>
      <w:r w:rsidRPr="00C22585">
        <w:rPr>
          <w:rFonts w:ascii="Times New Roman" w:eastAsiaTheme="minorEastAsia" w:hAnsi="Times New Roman" w:cs="Times New Roman"/>
          <w:color w:val="000000" w:themeColor="text1"/>
          <w:sz w:val="16"/>
          <w:szCs w:val="16"/>
          <w:lang w:bidi="fa-IR"/>
        </w:rPr>
        <w:t xml:space="preserve"> patient by breast cancer in Ardebil province </w:t>
      </w:r>
    </w:p>
    <w:tbl>
      <w:tblPr>
        <w:tblStyle w:val="GridTable1Light-Accent5"/>
        <w:tblW w:w="0" w:type="auto"/>
        <w:tblLook w:val="04A0" w:firstRow="1" w:lastRow="0" w:firstColumn="1" w:lastColumn="0" w:noHBand="0" w:noVBand="1"/>
      </w:tblPr>
      <w:tblGrid>
        <w:gridCol w:w="1228"/>
        <w:gridCol w:w="868"/>
        <w:gridCol w:w="871"/>
        <w:gridCol w:w="922"/>
        <w:gridCol w:w="881"/>
        <w:gridCol w:w="863"/>
        <w:gridCol w:w="827"/>
        <w:gridCol w:w="936"/>
        <w:gridCol w:w="1050"/>
        <w:gridCol w:w="904"/>
      </w:tblGrid>
      <w:tr w:rsidR="00C22585" w:rsidRPr="00C22585" w:rsidTr="002833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8" w:type="dxa"/>
          </w:tcPr>
          <w:p w:rsidR="00C22585" w:rsidRPr="00C22585" w:rsidRDefault="00C22585" w:rsidP="00C22585">
            <w:pPr>
              <w:jc w:val="center"/>
              <w:rPr>
                <w:rFonts w:ascii="Times New Roman" w:hAnsi="Times New Roman" w:cs="Times New Roman"/>
                <w:sz w:val="21"/>
                <w:szCs w:val="21"/>
                <w:lang w:bidi="fa-IR"/>
              </w:rPr>
            </w:pPr>
            <w:r w:rsidRPr="00C22585">
              <w:rPr>
                <w:rFonts w:ascii="Times New Roman" w:hAnsi="Times New Roman" w:cs="Times New Roman"/>
                <w:sz w:val="21"/>
                <w:szCs w:val="21"/>
                <w:lang w:bidi="fa-IR"/>
              </w:rPr>
              <w:t>Patient:</w:t>
            </w:r>
          </w:p>
        </w:tc>
        <w:tc>
          <w:tcPr>
            <w:tcW w:w="868" w:type="dxa"/>
          </w:tcPr>
          <w:p w:rsidR="00C22585" w:rsidRPr="00C22585" w:rsidRDefault="00C22585" w:rsidP="00C225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lang w:bidi="fa-IR"/>
              </w:rPr>
            </w:pPr>
            <w:r w:rsidRPr="00C22585">
              <w:rPr>
                <w:rFonts w:ascii="Times New Roman" w:hAnsi="Times New Roman" w:cs="Times New Roman"/>
                <w:sz w:val="21"/>
                <w:szCs w:val="21"/>
                <w:lang w:bidi="fa-IR"/>
              </w:rPr>
              <w:t>one</w:t>
            </w:r>
          </w:p>
        </w:tc>
        <w:tc>
          <w:tcPr>
            <w:tcW w:w="871" w:type="dxa"/>
          </w:tcPr>
          <w:p w:rsidR="00C22585" w:rsidRPr="00C22585" w:rsidRDefault="00C22585" w:rsidP="00C225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lang w:bidi="fa-IR"/>
              </w:rPr>
            </w:pPr>
            <w:r w:rsidRPr="00C22585">
              <w:rPr>
                <w:rFonts w:ascii="Times New Roman" w:hAnsi="Times New Roman" w:cs="Times New Roman"/>
                <w:sz w:val="21"/>
                <w:szCs w:val="21"/>
                <w:lang w:bidi="fa-IR"/>
              </w:rPr>
              <w:t>two</w:t>
            </w:r>
          </w:p>
        </w:tc>
        <w:tc>
          <w:tcPr>
            <w:tcW w:w="922" w:type="dxa"/>
          </w:tcPr>
          <w:p w:rsidR="00C22585" w:rsidRPr="00C22585" w:rsidRDefault="00C22585" w:rsidP="00C225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lang w:bidi="fa-IR"/>
              </w:rPr>
            </w:pPr>
            <w:r w:rsidRPr="00C22585">
              <w:rPr>
                <w:rFonts w:ascii="Times New Roman" w:hAnsi="Times New Roman" w:cs="Times New Roman"/>
                <w:sz w:val="21"/>
                <w:szCs w:val="21"/>
                <w:lang w:bidi="fa-IR"/>
              </w:rPr>
              <w:t>three</w:t>
            </w:r>
          </w:p>
        </w:tc>
        <w:tc>
          <w:tcPr>
            <w:tcW w:w="881" w:type="dxa"/>
          </w:tcPr>
          <w:p w:rsidR="00C22585" w:rsidRPr="00C22585" w:rsidRDefault="00C22585" w:rsidP="00C225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lang w:bidi="fa-IR"/>
              </w:rPr>
            </w:pPr>
            <w:r w:rsidRPr="00C22585">
              <w:rPr>
                <w:rFonts w:ascii="Times New Roman" w:hAnsi="Times New Roman" w:cs="Times New Roman"/>
                <w:sz w:val="21"/>
                <w:szCs w:val="21"/>
                <w:lang w:bidi="fa-IR"/>
              </w:rPr>
              <w:t>four</w:t>
            </w:r>
          </w:p>
        </w:tc>
        <w:tc>
          <w:tcPr>
            <w:tcW w:w="863" w:type="dxa"/>
          </w:tcPr>
          <w:p w:rsidR="00C22585" w:rsidRPr="00C22585" w:rsidRDefault="00C22585" w:rsidP="00C225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lang w:bidi="fa-IR"/>
              </w:rPr>
            </w:pPr>
            <w:r w:rsidRPr="00C22585">
              <w:rPr>
                <w:rFonts w:ascii="Times New Roman" w:hAnsi="Times New Roman" w:cs="Times New Roman"/>
                <w:sz w:val="21"/>
                <w:szCs w:val="21"/>
                <w:lang w:bidi="fa-IR"/>
              </w:rPr>
              <w:t>five</w:t>
            </w:r>
          </w:p>
        </w:tc>
        <w:tc>
          <w:tcPr>
            <w:tcW w:w="827" w:type="dxa"/>
          </w:tcPr>
          <w:p w:rsidR="00C22585" w:rsidRPr="00C22585" w:rsidRDefault="00C22585" w:rsidP="00C225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lang w:bidi="fa-IR"/>
              </w:rPr>
            </w:pPr>
            <w:r w:rsidRPr="00C22585">
              <w:rPr>
                <w:rFonts w:ascii="Times New Roman" w:hAnsi="Times New Roman" w:cs="Times New Roman"/>
                <w:sz w:val="21"/>
                <w:szCs w:val="21"/>
                <w:lang w:bidi="fa-IR"/>
              </w:rPr>
              <w:t>six</w:t>
            </w:r>
          </w:p>
        </w:tc>
        <w:tc>
          <w:tcPr>
            <w:tcW w:w="936" w:type="dxa"/>
          </w:tcPr>
          <w:p w:rsidR="00C22585" w:rsidRPr="00C22585" w:rsidRDefault="00C22585" w:rsidP="00C225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lang w:bidi="fa-IR"/>
              </w:rPr>
            </w:pPr>
            <w:r w:rsidRPr="00C22585">
              <w:rPr>
                <w:rFonts w:ascii="Times New Roman" w:hAnsi="Times New Roman" w:cs="Times New Roman"/>
                <w:sz w:val="21"/>
                <w:szCs w:val="21"/>
                <w:lang w:bidi="fa-IR"/>
              </w:rPr>
              <w:t>seven</w:t>
            </w:r>
          </w:p>
        </w:tc>
        <w:tc>
          <w:tcPr>
            <w:tcW w:w="1050" w:type="dxa"/>
          </w:tcPr>
          <w:p w:rsidR="00C22585" w:rsidRPr="00C22585" w:rsidRDefault="00C22585" w:rsidP="00C225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lang w:bidi="fa-IR"/>
              </w:rPr>
            </w:pPr>
            <w:r w:rsidRPr="00C22585">
              <w:rPr>
                <w:rFonts w:ascii="Times New Roman" w:hAnsi="Times New Roman" w:cs="Times New Roman"/>
                <w:sz w:val="21"/>
                <w:szCs w:val="21"/>
                <w:lang w:bidi="fa-IR"/>
              </w:rPr>
              <w:t>eight</w:t>
            </w:r>
          </w:p>
        </w:tc>
        <w:tc>
          <w:tcPr>
            <w:tcW w:w="904" w:type="dxa"/>
          </w:tcPr>
          <w:p w:rsidR="00C22585" w:rsidRPr="00C22585" w:rsidRDefault="00C22585" w:rsidP="00C225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lang w:bidi="fa-IR"/>
              </w:rPr>
            </w:pPr>
            <w:r w:rsidRPr="00C22585">
              <w:rPr>
                <w:rFonts w:ascii="Times New Roman" w:hAnsi="Times New Roman" w:cs="Times New Roman"/>
                <w:sz w:val="21"/>
                <w:szCs w:val="21"/>
                <w:lang w:bidi="fa-IR"/>
              </w:rPr>
              <w:t>nine</w:t>
            </w:r>
          </w:p>
        </w:tc>
      </w:tr>
      <w:tr w:rsidR="00C22585" w:rsidRPr="00C22585" w:rsidTr="0028332A">
        <w:tc>
          <w:tcPr>
            <w:cnfStyle w:val="001000000000" w:firstRow="0" w:lastRow="0" w:firstColumn="1" w:lastColumn="0" w:oddVBand="0" w:evenVBand="0" w:oddHBand="0" w:evenHBand="0" w:firstRowFirstColumn="0" w:firstRowLastColumn="0" w:lastRowFirstColumn="0" w:lastRowLastColumn="0"/>
            <w:tcW w:w="1228" w:type="dxa"/>
          </w:tcPr>
          <w:p w:rsidR="00C22585" w:rsidRPr="00C22585" w:rsidRDefault="00C22585" w:rsidP="00C22585">
            <w:pPr>
              <w:jc w:val="center"/>
              <w:rPr>
                <w:rFonts w:ascii="Times New Roman" w:hAnsi="Times New Roman" w:cs="Times New Roman"/>
                <w:sz w:val="21"/>
                <w:szCs w:val="21"/>
                <w:vertAlign w:val="superscript"/>
                <w:lang w:bidi="fa-IR"/>
              </w:rPr>
            </w:pPr>
            <w:r w:rsidRPr="00C22585">
              <w:rPr>
                <w:rFonts w:ascii="Times New Roman" w:hAnsi="Times New Roman" w:cs="Times New Roman"/>
                <w:sz w:val="21"/>
                <w:szCs w:val="21"/>
                <w:lang w:bidi="fa-IR"/>
              </w:rPr>
              <w:t>SMMH</w:t>
            </w:r>
            <w:r w:rsidRPr="00C22585">
              <w:rPr>
                <w:rFonts w:ascii="Times New Roman" w:hAnsi="Times New Roman" w:cs="Times New Roman"/>
                <w:sz w:val="21"/>
                <w:szCs w:val="21"/>
                <w:vertAlign w:val="superscript"/>
                <w:lang w:bidi="fa-IR"/>
              </w:rPr>
              <w:t>1</w:t>
            </w:r>
          </w:p>
        </w:tc>
        <w:tc>
          <w:tcPr>
            <w:tcW w:w="868"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871"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922"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881"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863"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ND</w:t>
            </w:r>
          </w:p>
        </w:tc>
        <w:tc>
          <w:tcPr>
            <w:tcW w:w="827"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ND</w:t>
            </w:r>
          </w:p>
        </w:tc>
        <w:tc>
          <w:tcPr>
            <w:tcW w:w="936"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1050"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ND</w:t>
            </w:r>
          </w:p>
        </w:tc>
        <w:tc>
          <w:tcPr>
            <w:tcW w:w="904"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ND</w:t>
            </w:r>
          </w:p>
        </w:tc>
      </w:tr>
      <w:tr w:rsidR="00C22585" w:rsidRPr="00C22585" w:rsidTr="0028332A">
        <w:tc>
          <w:tcPr>
            <w:cnfStyle w:val="001000000000" w:firstRow="0" w:lastRow="0" w:firstColumn="1" w:lastColumn="0" w:oddVBand="0" w:evenVBand="0" w:oddHBand="0" w:evenHBand="0" w:firstRowFirstColumn="0" w:firstRowLastColumn="0" w:lastRowFirstColumn="0" w:lastRowLastColumn="0"/>
            <w:tcW w:w="1228" w:type="dxa"/>
          </w:tcPr>
          <w:p w:rsidR="00C22585" w:rsidRPr="00C22585" w:rsidRDefault="00C22585" w:rsidP="00C22585">
            <w:pPr>
              <w:jc w:val="center"/>
              <w:rPr>
                <w:rFonts w:ascii="Times New Roman" w:hAnsi="Times New Roman" w:cs="Times New Roman"/>
                <w:sz w:val="21"/>
                <w:szCs w:val="21"/>
                <w:vertAlign w:val="superscript"/>
                <w:lang w:bidi="fa-IR"/>
              </w:rPr>
            </w:pPr>
            <w:r w:rsidRPr="00C22585">
              <w:rPr>
                <w:rFonts w:ascii="Times New Roman" w:hAnsi="Times New Roman" w:cs="Times New Roman"/>
                <w:sz w:val="21"/>
                <w:szCs w:val="21"/>
                <w:lang w:bidi="fa-IR"/>
              </w:rPr>
              <w:t>P63</w:t>
            </w:r>
            <w:r w:rsidRPr="00C22585">
              <w:rPr>
                <w:rFonts w:ascii="Times New Roman" w:hAnsi="Times New Roman" w:cs="Times New Roman"/>
                <w:sz w:val="21"/>
                <w:szCs w:val="21"/>
                <w:vertAlign w:val="superscript"/>
                <w:lang w:bidi="fa-IR"/>
              </w:rPr>
              <w:t>2</w:t>
            </w:r>
          </w:p>
        </w:tc>
        <w:tc>
          <w:tcPr>
            <w:tcW w:w="868"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871"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ND</w:t>
            </w:r>
          </w:p>
        </w:tc>
        <w:tc>
          <w:tcPr>
            <w:tcW w:w="922"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881"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863"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827"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ND</w:t>
            </w:r>
          </w:p>
        </w:tc>
        <w:tc>
          <w:tcPr>
            <w:tcW w:w="936"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1050"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ND</w:t>
            </w:r>
          </w:p>
        </w:tc>
        <w:tc>
          <w:tcPr>
            <w:tcW w:w="904"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ND</w:t>
            </w:r>
          </w:p>
        </w:tc>
      </w:tr>
      <w:tr w:rsidR="00C22585" w:rsidRPr="00C22585" w:rsidTr="0028332A">
        <w:tc>
          <w:tcPr>
            <w:cnfStyle w:val="001000000000" w:firstRow="0" w:lastRow="0" w:firstColumn="1" w:lastColumn="0" w:oddVBand="0" w:evenVBand="0" w:oddHBand="0" w:evenHBand="0" w:firstRowFirstColumn="0" w:firstRowLastColumn="0" w:lastRowFirstColumn="0" w:lastRowLastColumn="0"/>
            <w:tcW w:w="1228" w:type="dxa"/>
          </w:tcPr>
          <w:p w:rsidR="00C22585" w:rsidRPr="00C22585" w:rsidRDefault="00C22585" w:rsidP="00C22585">
            <w:pPr>
              <w:jc w:val="center"/>
              <w:rPr>
                <w:rFonts w:ascii="Times New Roman" w:hAnsi="Times New Roman" w:cs="Times New Roman"/>
                <w:sz w:val="21"/>
                <w:szCs w:val="21"/>
                <w:lang w:bidi="fa-IR"/>
              </w:rPr>
            </w:pPr>
            <w:r w:rsidRPr="00C22585">
              <w:rPr>
                <w:rFonts w:ascii="Times New Roman" w:hAnsi="Times New Roman" w:cs="Times New Roman"/>
                <w:sz w:val="21"/>
                <w:szCs w:val="21"/>
                <w:lang w:bidi="fa-IR"/>
              </w:rPr>
              <w:t>ER</w:t>
            </w:r>
          </w:p>
        </w:tc>
        <w:tc>
          <w:tcPr>
            <w:tcW w:w="868"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pos</w:t>
            </w:r>
            <w:proofErr w:type="spellEnd"/>
          </w:p>
        </w:tc>
        <w:tc>
          <w:tcPr>
            <w:tcW w:w="871"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pos</w:t>
            </w:r>
            <w:proofErr w:type="spellEnd"/>
          </w:p>
        </w:tc>
        <w:tc>
          <w:tcPr>
            <w:tcW w:w="922"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90%</w:t>
            </w:r>
          </w:p>
        </w:tc>
        <w:tc>
          <w:tcPr>
            <w:tcW w:w="881"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80%</w:t>
            </w:r>
          </w:p>
        </w:tc>
        <w:tc>
          <w:tcPr>
            <w:tcW w:w="863"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90%</w:t>
            </w:r>
          </w:p>
        </w:tc>
        <w:tc>
          <w:tcPr>
            <w:tcW w:w="827"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90%</w:t>
            </w:r>
          </w:p>
        </w:tc>
        <w:tc>
          <w:tcPr>
            <w:tcW w:w="936"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90%</w:t>
            </w:r>
          </w:p>
        </w:tc>
        <w:tc>
          <w:tcPr>
            <w:tcW w:w="1050"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90%</w:t>
            </w:r>
          </w:p>
        </w:tc>
        <w:tc>
          <w:tcPr>
            <w:tcW w:w="904"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95%</w:t>
            </w:r>
          </w:p>
        </w:tc>
      </w:tr>
      <w:tr w:rsidR="00C22585" w:rsidRPr="00C22585" w:rsidTr="0028332A">
        <w:tc>
          <w:tcPr>
            <w:cnfStyle w:val="001000000000" w:firstRow="0" w:lastRow="0" w:firstColumn="1" w:lastColumn="0" w:oddVBand="0" w:evenVBand="0" w:oddHBand="0" w:evenHBand="0" w:firstRowFirstColumn="0" w:firstRowLastColumn="0" w:lastRowFirstColumn="0" w:lastRowLastColumn="0"/>
            <w:tcW w:w="1228" w:type="dxa"/>
          </w:tcPr>
          <w:p w:rsidR="00C22585" w:rsidRPr="00C22585" w:rsidRDefault="00C22585" w:rsidP="00C22585">
            <w:pPr>
              <w:jc w:val="center"/>
              <w:rPr>
                <w:rFonts w:ascii="Times New Roman" w:hAnsi="Times New Roman" w:cs="Times New Roman"/>
                <w:sz w:val="21"/>
                <w:szCs w:val="21"/>
                <w:lang w:bidi="fa-IR"/>
              </w:rPr>
            </w:pPr>
            <w:r w:rsidRPr="00C22585">
              <w:rPr>
                <w:rFonts w:ascii="Times New Roman" w:hAnsi="Times New Roman" w:cs="Times New Roman"/>
                <w:sz w:val="21"/>
                <w:szCs w:val="21"/>
                <w:lang w:bidi="fa-IR"/>
              </w:rPr>
              <w:t>PR</w:t>
            </w:r>
          </w:p>
        </w:tc>
        <w:tc>
          <w:tcPr>
            <w:tcW w:w="868"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pos</w:t>
            </w:r>
            <w:proofErr w:type="spellEnd"/>
          </w:p>
        </w:tc>
        <w:tc>
          <w:tcPr>
            <w:tcW w:w="871"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pos</w:t>
            </w:r>
            <w:proofErr w:type="spellEnd"/>
          </w:p>
        </w:tc>
        <w:tc>
          <w:tcPr>
            <w:tcW w:w="922"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40%</w:t>
            </w:r>
          </w:p>
        </w:tc>
        <w:tc>
          <w:tcPr>
            <w:tcW w:w="881"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80%</w:t>
            </w:r>
          </w:p>
        </w:tc>
        <w:tc>
          <w:tcPr>
            <w:tcW w:w="863"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827"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10%</w:t>
            </w:r>
          </w:p>
        </w:tc>
        <w:tc>
          <w:tcPr>
            <w:tcW w:w="936"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1050"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904"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5-10%</w:t>
            </w:r>
          </w:p>
        </w:tc>
      </w:tr>
      <w:tr w:rsidR="00C22585" w:rsidRPr="00C22585" w:rsidTr="0028332A">
        <w:tc>
          <w:tcPr>
            <w:cnfStyle w:val="001000000000" w:firstRow="0" w:lastRow="0" w:firstColumn="1" w:lastColumn="0" w:oddVBand="0" w:evenVBand="0" w:oddHBand="0" w:evenHBand="0" w:firstRowFirstColumn="0" w:firstRowLastColumn="0" w:lastRowFirstColumn="0" w:lastRowLastColumn="0"/>
            <w:tcW w:w="1228" w:type="dxa"/>
          </w:tcPr>
          <w:p w:rsidR="00C22585" w:rsidRPr="00C22585" w:rsidRDefault="00C22585" w:rsidP="00C22585">
            <w:pPr>
              <w:jc w:val="center"/>
              <w:rPr>
                <w:rFonts w:ascii="Times New Roman" w:hAnsi="Times New Roman" w:cs="Times New Roman"/>
                <w:sz w:val="21"/>
                <w:szCs w:val="21"/>
                <w:lang w:bidi="fa-IR"/>
              </w:rPr>
            </w:pPr>
            <w:r w:rsidRPr="00C22585">
              <w:rPr>
                <w:rFonts w:ascii="Times New Roman" w:hAnsi="Times New Roman" w:cs="Times New Roman"/>
                <w:sz w:val="21"/>
                <w:szCs w:val="21"/>
                <w:lang w:bidi="fa-IR"/>
              </w:rPr>
              <w:t>HER2/</w:t>
            </w:r>
            <w:proofErr w:type="spellStart"/>
            <w:r w:rsidRPr="00C22585">
              <w:rPr>
                <w:rFonts w:ascii="Times New Roman" w:hAnsi="Times New Roman" w:cs="Times New Roman"/>
                <w:sz w:val="21"/>
                <w:szCs w:val="21"/>
                <w:lang w:bidi="fa-IR"/>
              </w:rPr>
              <w:t>Neu</w:t>
            </w:r>
            <w:proofErr w:type="spellEnd"/>
          </w:p>
        </w:tc>
        <w:tc>
          <w:tcPr>
            <w:tcW w:w="868"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1+</w:t>
            </w:r>
          </w:p>
        </w:tc>
        <w:tc>
          <w:tcPr>
            <w:tcW w:w="871"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3+</w:t>
            </w:r>
          </w:p>
        </w:tc>
        <w:tc>
          <w:tcPr>
            <w:tcW w:w="922"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881"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2+</w:t>
            </w:r>
          </w:p>
        </w:tc>
        <w:tc>
          <w:tcPr>
            <w:tcW w:w="863"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1+</w:t>
            </w:r>
          </w:p>
        </w:tc>
        <w:tc>
          <w:tcPr>
            <w:tcW w:w="827"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c>
          <w:tcPr>
            <w:tcW w:w="936"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1+</w:t>
            </w:r>
          </w:p>
        </w:tc>
        <w:tc>
          <w:tcPr>
            <w:tcW w:w="1050"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1+</w:t>
            </w:r>
          </w:p>
        </w:tc>
        <w:tc>
          <w:tcPr>
            <w:tcW w:w="904"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proofErr w:type="spellStart"/>
            <w:r w:rsidRPr="00C22585">
              <w:rPr>
                <w:rFonts w:ascii="Times New Roman" w:hAnsi="Times New Roman" w:cs="Times New Roman"/>
                <w:sz w:val="16"/>
                <w:szCs w:val="16"/>
                <w:lang w:bidi="fa-IR"/>
              </w:rPr>
              <w:t>neg</w:t>
            </w:r>
            <w:proofErr w:type="spellEnd"/>
          </w:p>
        </w:tc>
      </w:tr>
      <w:tr w:rsidR="00C22585" w:rsidRPr="00C22585" w:rsidTr="0028332A">
        <w:tc>
          <w:tcPr>
            <w:cnfStyle w:val="001000000000" w:firstRow="0" w:lastRow="0" w:firstColumn="1" w:lastColumn="0" w:oddVBand="0" w:evenVBand="0" w:oddHBand="0" w:evenHBand="0" w:firstRowFirstColumn="0" w:firstRowLastColumn="0" w:lastRowFirstColumn="0" w:lastRowLastColumn="0"/>
            <w:tcW w:w="1228" w:type="dxa"/>
          </w:tcPr>
          <w:p w:rsidR="00C22585" w:rsidRPr="00C22585" w:rsidRDefault="00C22585" w:rsidP="00C22585">
            <w:pPr>
              <w:jc w:val="center"/>
              <w:rPr>
                <w:rFonts w:ascii="Times New Roman" w:hAnsi="Times New Roman" w:cs="Times New Roman"/>
                <w:sz w:val="21"/>
                <w:szCs w:val="21"/>
                <w:vertAlign w:val="superscript"/>
                <w:lang w:bidi="fa-IR"/>
              </w:rPr>
            </w:pPr>
            <w:r w:rsidRPr="00C22585">
              <w:rPr>
                <w:rFonts w:ascii="Times New Roman" w:hAnsi="Times New Roman" w:cs="Times New Roman"/>
                <w:sz w:val="21"/>
                <w:szCs w:val="21"/>
                <w:lang w:bidi="fa-IR"/>
              </w:rPr>
              <w:t>Ki-67</w:t>
            </w:r>
            <w:r w:rsidRPr="00C22585">
              <w:rPr>
                <w:rFonts w:ascii="Times New Roman" w:hAnsi="Times New Roman" w:cs="Times New Roman"/>
                <w:sz w:val="21"/>
                <w:szCs w:val="21"/>
                <w:vertAlign w:val="superscript"/>
                <w:lang w:bidi="fa-IR"/>
              </w:rPr>
              <w:t>3</w:t>
            </w:r>
          </w:p>
        </w:tc>
        <w:tc>
          <w:tcPr>
            <w:tcW w:w="868"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Up to 20%</w:t>
            </w:r>
          </w:p>
        </w:tc>
        <w:tc>
          <w:tcPr>
            <w:tcW w:w="871"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Up to 25%</w:t>
            </w:r>
          </w:p>
        </w:tc>
        <w:tc>
          <w:tcPr>
            <w:tcW w:w="922"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 xml:space="preserve">Up to </w:t>
            </w:r>
          </w:p>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35%</w:t>
            </w:r>
          </w:p>
        </w:tc>
        <w:tc>
          <w:tcPr>
            <w:tcW w:w="881"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Up to</w:t>
            </w:r>
          </w:p>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20%</w:t>
            </w:r>
          </w:p>
        </w:tc>
        <w:tc>
          <w:tcPr>
            <w:tcW w:w="863"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 xml:space="preserve">Up to </w:t>
            </w:r>
          </w:p>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3-5%</w:t>
            </w:r>
          </w:p>
        </w:tc>
        <w:tc>
          <w:tcPr>
            <w:tcW w:w="827"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Up to 40%</w:t>
            </w:r>
          </w:p>
        </w:tc>
        <w:tc>
          <w:tcPr>
            <w:tcW w:w="936"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ND</w:t>
            </w:r>
          </w:p>
        </w:tc>
        <w:tc>
          <w:tcPr>
            <w:tcW w:w="1050"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Up to 15%</w:t>
            </w:r>
          </w:p>
        </w:tc>
        <w:tc>
          <w:tcPr>
            <w:tcW w:w="904" w:type="dxa"/>
          </w:tcPr>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 xml:space="preserve">Up to </w:t>
            </w:r>
          </w:p>
          <w:p w:rsidR="00C22585" w:rsidRPr="00C22585" w:rsidRDefault="00C22585" w:rsidP="00C225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bidi="fa-IR"/>
              </w:rPr>
            </w:pPr>
            <w:r w:rsidRPr="00C22585">
              <w:rPr>
                <w:rFonts w:ascii="Times New Roman" w:hAnsi="Times New Roman" w:cs="Times New Roman"/>
                <w:sz w:val="16"/>
                <w:szCs w:val="16"/>
                <w:lang w:bidi="fa-IR"/>
              </w:rPr>
              <w:t>35-40%</w:t>
            </w:r>
          </w:p>
        </w:tc>
      </w:tr>
    </w:tbl>
    <w:p w:rsidR="00C22585" w:rsidRPr="00C22585" w:rsidRDefault="00C22585" w:rsidP="00C22585">
      <w:pPr>
        <w:spacing w:after="200" w:line="276" w:lineRule="auto"/>
        <w:jc w:val="both"/>
        <w:rPr>
          <w:rFonts w:ascii="Times New Roman" w:eastAsiaTheme="minorEastAsia" w:hAnsi="Times New Roman" w:cs="Times New Roman"/>
          <w:i/>
          <w:iCs/>
          <w:color w:val="000000" w:themeColor="text1"/>
          <w:sz w:val="16"/>
          <w:szCs w:val="16"/>
        </w:rPr>
      </w:pPr>
      <w:r w:rsidRPr="00C22585">
        <w:rPr>
          <w:rFonts w:ascii="Times New Roman" w:eastAsiaTheme="minorEastAsia" w:hAnsi="Times New Roman" w:cs="Times New Roman"/>
          <w:i/>
          <w:iCs/>
          <w:sz w:val="16"/>
          <w:szCs w:val="16"/>
        </w:rPr>
        <w:t xml:space="preserve">The IHC test gives a score of 0 to 3+ that measures the amount of HER2 receptor protein on the surface of cells in a breast cancer tissue sample. If the score is 0 to 1+, it’s called HER2 negative. If the score is 2+, it's called borderline. A score of 3+ is called HER2 </w:t>
      </w:r>
      <w:proofErr w:type="spellStart"/>
      <w:r w:rsidRPr="00C22585">
        <w:rPr>
          <w:rFonts w:ascii="Times New Roman" w:eastAsiaTheme="minorEastAsia" w:hAnsi="Times New Roman" w:cs="Times New Roman"/>
          <w:i/>
          <w:iCs/>
          <w:sz w:val="16"/>
          <w:szCs w:val="16"/>
        </w:rPr>
        <w:t>positive.Most</w:t>
      </w:r>
      <w:proofErr w:type="spellEnd"/>
      <w:r w:rsidRPr="00C22585">
        <w:rPr>
          <w:rFonts w:ascii="Times New Roman" w:eastAsiaTheme="minorEastAsia" w:hAnsi="Times New Roman" w:cs="Times New Roman"/>
          <w:i/>
          <w:iCs/>
          <w:sz w:val="16"/>
          <w:szCs w:val="16"/>
        </w:rPr>
        <w:t xml:space="preserve"> testing labs use the IHC test to see if there are hormone receptors on breast cancer cells. If hormone receptors are present, this means that the cancer cells’ growth is fueled by the hormones estrogen and/or progesterone. Not all labs use the same method for analyzing the results of the test, and they do not have to report the results in exactly the same way. So you may see any of the following results: a percentage that tells you how many cells out of 100 stain positive for hormone receptors. You will see a number between 0% (none have receptors) and 100% (all have receptors). The higher the score, the more receptors were found and the easier they were to see in the sample. This information is provided by </w:t>
      </w:r>
      <w:hyperlink r:id="rId4" w:history="1">
        <w:r w:rsidRPr="00C22585">
          <w:rPr>
            <w:rFonts w:ascii="Times New Roman" w:eastAsiaTheme="minorEastAsia" w:hAnsi="Times New Roman" w:cs="Times New Roman"/>
            <w:i/>
            <w:iCs/>
            <w:color w:val="0563C1" w:themeColor="hyperlink"/>
            <w:sz w:val="16"/>
            <w:szCs w:val="16"/>
            <w:u w:val="single"/>
          </w:rPr>
          <w:t>https://www.breastcancer.org/</w:t>
        </w:r>
      </w:hyperlink>
      <w:r w:rsidRPr="00C22585">
        <w:rPr>
          <w:rFonts w:ascii="Times New Roman" w:eastAsiaTheme="minorEastAsia" w:hAnsi="Times New Roman" w:cs="Times New Roman"/>
          <w:i/>
          <w:iCs/>
          <w:color w:val="000000" w:themeColor="text1"/>
          <w:sz w:val="16"/>
          <w:szCs w:val="16"/>
        </w:rPr>
        <w:t xml:space="preserve"> 1.</w:t>
      </w:r>
      <w:r w:rsidRPr="00C22585">
        <w:rPr>
          <w:rFonts w:ascii="Times New Roman" w:eastAsiaTheme="minorEastAsia" w:hAnsi="Times New Roman" w:cs="Times New Roman"/>
          <w:i/>
          <w:iCs/>
          <w:sz w:val="20"/>
          <w:szCs w:val="20"/>
        </w:rPr>
        <w:t xml:space="preserve"> </w:t>
      </w:r>
      <w:r w:rsidRPr="00C22585">
        <w:rPr>
          <w:rFonts w:ascii="Times New Roman" w:eastAsiaTheme="minorEastAsia" w:hAnsi="Times New Roman" w:cs="Times New Roman"/>
          <w:i/>
          <w:iCs/>
          <w:color w:val="000000" w:themeColor="text1"/>
          <w:sz w:val="16"/>
          <w:szCs w:val="16"/>
        </w:rPr>
        <w:t xml:space="preserve">Smooth muscle myosin heavy </w:t>
      </w:r>
      <w:proofErr w:type="gramStart"/>
      <w:r w:rsidRPr="00C22585">
        <w:rPr>
          <w:rFonts w:ascii="Times New Roman" w:eastAsiaTheme="minorEastAsia" w:hAnsi="Times New Roman" w:cs="Times New Roman"/>
          <w:i/>
          <w:iCs/>
          <w:color w:val="000000" w:themeColor="text1"/>
          <w:sz w:val="16"/>
          <w:szCs w:val="16"/>
        </w:rPr>
        <w:t>chain  2</w:t>
      </w:r>
      <w:proofErr w:type="gramEnd"/>
      <w:r w:rsidRPr="00C22585">
        <w:rPr>
          <w:rFonts w:ascii="Times New Roman" w:eastAsiaTheme="minorEastAsia" w:hAnsi="Times New Roman" w:cs="Times New Roman"/>
          <w:i/>
          <w:iCs/>
          <w:color w:val="000000" w:themeColor="text1"/>
          <w:sz w:val="16"/>
          <w:szCs w:val="16"/>
        </w:rPr>
        <w:t>.</w:t>
      </w:r>
      <w:r w:rsidRPr="00C22585">
        <w:rPr>
          <w:rFonts w:ascii="Times New Roman" w:eastAsiaTheme="minorEastAsia" w:hAnsi="Times New Roman" w:cs="Times New Roman"/>
          <w:i/>
          <w:iCs/>
          <w:sz w:val="20"/>
          <w:szCs w:val="20"/>
          <w:lang w:val="en"/>
        </w:rPr>
        <w:t xml:space="preserve"> </w:t>
      </w:r>
      <w:proofErr w:type="gramStart"/>
      <w:r w:rsidRPr="00C22585">
        <w:rPr>
          <w:rFonts w:ascii="Times New Roman" w:eastAsiaTheme="minorEastAsia" w:hAnsi="Times New Roman" w:cs="Times New Roman"/>
          <w:i/>
          <w:iCs/>
          <w:color w:val="000000" w:themeColor="text1"/>
          <w:sz w:val="16"/>
          <w:szCs w:val="16"/>
          <w:lang w:val="en"/>
        </w:rPr>
        <w:t>p63</w:t>
      </w:r>
      <w:proofErr w:type="gramEnd"/>
      <w:r w:rsidRPr="00C22585">
        <w:rPr>
          <w:rFonts w:ascii="Times New Roman" w:eastAsiaTheme="minorEastAsia" w:hAnsi="Times New Roman" w:cs="Times New Roman"/>
          <w:i/>
          <w:iCs/>
          <w:color w:val="000000" w:themeColor="text1"/>
          <w:sz w:val="16"/>
          <w:szCs w:val="16"/>
          <w:lang w:val="en"/>
        </w:rPr>
        <w:t xml:space="preserve"> is a specific nuclear marker of </w:t>
      </w:r>
      <w:proofErr w:type="spellStart"/>
      <w:r w:rsidRPr="00C22585">
        <w:rPr>
          <w:rFonts w:ascii="Times New Roman" w:eastAsiaTheme="minorEastAsia" w:hAnsi="Times New Roman" w:cs="Times New Roman"/>
          <w:i/>
          <w:iCs/>
          <w:color w:val="000000" w:themeColor="text1"/>
          <w:sz w:val="16"/>
          <w:szCs w:val="16"/>
          <w:lang w:val="en"/>
        </w:rPr>
        <w:t>myoepithelial</w:t>
      </w:r>
      <w:proofErr w:type="spellEnd"/>
      <w:r w:rsidRPr="00C22585">
        <w:rPr>
          <w:rFonts w:ascii="Times New Roman" w:eastAsiaTheme="minorEastAsia" w:hAnsi="Times New Roman" w:cs="Times New Roman"/>
          <w:i/>
          <w:iCs/>
          <w:color w:val="000000" w:themeColor="text1"/>
          <w:sz w:val="16"/>
          <w:szCs w:val="16"/>
          <w:lang w:val="en"/>
        </w:rPr>
        <w:t xml:space="preserve"> cells in the breast and can, therefore, aid in distinguishing invasive ductal carcinoma from DCIS or rare questionable hyperplastic lesions </w:t>
      </w:r>
      <w:r w:rsidRPr="00C22585">
        <w:rPr>
          <w:rFonts w:ascii="Times New Roman" w:eastAsiaTheme="minorEastAsia" w:hAnsi="Times New Roman" w:cs="Times New Roman"/>
          <w:i/>
          <w:iCs/>
          <w:color w:val="000000" w:themeColor="text1"/>
          <w:sz w:val="16"/>
          <w:szCs w:val="16"/>
        </w:rPr>
        <w:t>[50]</w:t>
      </w:r>
      <w:r w:rsidRPr="00C22585">
        <w:rPr>
          <w:rFonts w:ascii="Times New Roman" w:eastAsiaTheme="minorEastAsia" w:hAnsi="Times New Roman" w:cs="Times New Roman"/>
          <w:i/>
          <w:iCs/>
          <w:color w:val="000000" w:themeColor="text1"/>
          <w:sz w:val="16"/>
          <w:szCs w:val="16"/>
          <w:lang w:val="en"/>
        </w:rPr>
        <w:t xml:space="preserve">. </w:t>
      </w:r>
      <w:r w:rsidRPr="00C22585">
        <w:rPr>
          <w:rFonts w:ascii="Times New Roman" w:eastAsiaTheme="minorEastAsia" w:hAnsi="Times New Roman" w:cs="Times New Roman"/>
          <w:i/>
          <w:iCs/>
          <w:sz w:val="16"/>
          <w:szCs w:val="16"/>
        </w:rPr>
        <w:t xml:space="preserve">3. </w:t>
      </w:r>
      <w:r w:rsidRPr="00C22585">
        <w:rPr>
          <w:rFonts w:ascii="Times New Roman" w:eastAsiaTheme="minorEastAsia" w:hAnsi="Times New Roman" w:cs="Times New Roman"/>
          <w:i/>
          <w:iCs/>
          <w:sz w:val="16"/>
          <w:szCs w:val="16"/>
          <w:lang w:val="en"/>
        </w:rPr>
        <w:t>Ki-67 IHC is a biomarker widely used for assessments of tumor proliferation. However, its broad clinical adoption for breast carcinoma management has been limited by lack of standardization and established cutoffs [52].</w:t>
      </w:r>
    </w:p>
    <w:p w:rsidR="00794DBA" w:rsidRPr="00C22585" w:rsidRDefault="00794DBA" w:rsidP="00C22585">
      <w:bookmarkStart w:id="0" w:name="_GoBack"/>
      <w:bookmarkEnd w:id="0"/>
    </w:p>
    <w:sectPr w:rsidR="00794DBA" w:rsidRPr="00C225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DBA"/>
    <w:rsid w:val="000417B8"/>
    <w:rsid w:val="001870C5"/>
    <w:rsid w:val="003068CF"/>
    <w:rsid w:val="005051F9"/>
    <w:rsid w:val="00794DBA"/>
    <w:rsid w:val="00C225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E23F26-2BE2-8D47-B72E-3E3511BE3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794DBA"/>
    <w:rPr>
      <w:b/>
      <w:color w:val="ED7D31" w:themeColor="accent2"/>
    </w:rPr>
  </w:style>
  <w:style w:type="table" w:styleId="GridTable1Light-Accent5">
    <w:name w:val="Grid Table 1 Light Accent 5"/>
    <w:basedOn w:val="TableNormal"/>
    <w:uiPriority w:val="46"/>
    <w:rsid w:val="00794DBA"/>
    <w:pPr>
      <w:jc w:val="both"/>
    </w:pPr>
    <w:rPr>
      <w:rFonts w:eastAsiaTheme="minorEastAsia"/>
      <w:sz w:val="20"/>
      <w:szCs w:val="20"/>
    </w:rPr>
    <w:tblPr>
      <w:tblStyleRowBandSize w:val="1"/>
      <w:tblStyleColBandSize w:val="1"/>
      <w:tblInd w:w="0" w:type="dxa"/>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PlainTable3">
    <w:name w:val="Plain Table 3"/>
    <w:basedOn w:val="TableNormal"/>
    <w:uiPriority w:val="43"/>
    <w:rsid w:val="00C22585"/>
    <w:pPr>
      <w:jc w:val="both"/>
    </w:pPr>
    <w:rPr>
      <w:rFonts w:eastAsiaTheme="minorEastAsia"/>
      <w:sz w:val="20"/>
      <w:szCs w:val="20"/>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breastcance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359</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shayan hamdollahzadeh</dc:creator>
  <cp:keywords/>
  <dc:description/>
  <cp:lastModifiedBy>arums</cp:lastModifiedBy>
  <cp:revision>3</cp:revision>
  <dcterms:created xsi:type="dcterms:W3CDTF">2024-06-10T09:01:00Z</dcterms:created>
  <dcterms:modified xsi:type="dcterms:W3CDTF">2024-06-10T13:38:00Z</dcterms:modified>
</cp:coreProperties>
</file>