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72A" w:rsidRPr="00977668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b/>
          <w:sz w:val="24"/>
          <w:szCs w:val="24"/>
        </w:rPr>
      </w:pPr>
      <w:r w:rsidRPr="00977668">
        <w:rPr>
          <w:rFonts w:asciiTheme="majorBidi" w:eastAsia="Times New Roman" w:hAnsiTheme="majorBidi" w:cstheme="majorBidi"/>
          <w:b/>
          <w:sz w:val="28"/>
          <w:szCs w:val="24"/>
        </w:rPr>
        <w:t>Supporting Information</w:t>
      </w:r>
    </w:p>
    <w:p w:rsidR="00B8572A" w:rsidRPr="00977668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b/>
          <w:sz w:val="24"/>
          <w:szCs w:val="24"/>
        </w:rPr>
      </w:pPr>
    </w:p>
    <w:p w:rsidR="00C51C1A" w:rsidRPr="00894C57" w:rsidRDefault="00C51C1A" w:rsidP="00C51C1A">
      <w:pPr>
        <w:spacing w:line="480" w:lineRule="auto"/>
        <w:jc w:val="left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0" w:name="_Hlk170845893"/>
      <w:r w:rsidRPr="00894C57">
        <w:rPr>
          <w:rFonts w:ascii="Times New Roman" w:eastAsia="Times New Roman" w:hAnsi="Times New Roman" w:cs="Times New Roman"/>
          <w:b/>
          <w:sz w:val="28"/>
          <w:szCs w:val="24"/>
        </w:rPr>
        <w:t>Establishment of Post-</w:t>
      </w:r>
      <w:r w:rsidRPr="00894C57">
        <w:rPr>
          <w:rFonts w:ascii="Times New Roman" w:eastAsia="맑은 고딕" w:hAnsi="Times New Roman" w:cs="Times New Roman"/>
          <w:b/>
          <w:sz w:val="28"/>
          <w:szCs w:val="24"/>
        </w:rPr>
        <w:t>I</w:t>
      </w:r>
      <w:r w:rsidRPr="00894C57">
        <w:rPr>
          <w:rFonts w:ascii="Times New Roman" w:eastAsia="Times New Roman" w:hAnsi="Times New Roman" w:cs="Times New Roman"/>
          <w:b/>
          <w:sz w:val="28"/>
          <w:szCs w:val="24"/>
        </w:rPr>
        <w:t xml:space="preserve">nflammatory Irritable Bowel Syndrome Animal 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>M</w:t>
      </w:r>
      <w:r w:rsidRPr="00894C57">
        <w:rPr>
          <w:rFonts w:ascii="Times New Roman" w:eastAsia="Times New Roman" w:hAnsi="Times New Roman" w:cs="Times New Roman"/>
          <w:b/>
          <w:sz w:val="28"/>
          <w:szCs w:val="24"/>
        </w:rPr>
        <w:t xml:space="preserve">odel 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>F</w:t>
      </w:r>
      <w:r w:rsidRPr="00894C57">
        <w:rPr>
          <w:rFonts w:ascii="Times New Roman" w:eastAsia="Times New Roman" w:hAnsi="Times New Roman" w:cs="Times New Roman"/>
          <w:b/>
          <w:sz w:val="28"/>
          <w:szCs w:val="24"/>
        </w:rPr>
        <w:t>ollowing Acute Colitis Recovery</w:t>
      </w:r>
    </w:p>
    <w:bookmarkEnd w:id="0"/>
    <w:p w:rsidR="00B8572A" w:rsidRPr="00C51C1A" w:rsidRDefault="00B8572A" w:rsidP="00B8572A">
      <w:pPr>
        <w:spacing w:line="480" w:lineRule="auto"/>
        <w:jc w:val="left"/>
        <w:rPr>
          <w:rFonts w:asciiTheme="majorBidi" w:eastAsia="Times New Roman" w:hAnsiTheme="majorBidi" w:cstheme="majorBidi"/>
          <w:bCs/>
          <w:sz w:val="24"/>
          <w:szCs w:val="24"/>
        </w:rPr>
      </w:pPr>
    </w:p>
    <w:p w:rsidR="00B8572A" w:rsidRPr="00876077" w:rsidRDefault="00B8572A" w:rsidP="00B8572A">
      <w:pPr>
        <w:widowControl/>
        <w:snapToGrid w:val="0"/>
        <w:spacing w:after="200" w:line="480" w:lineRule="auto"/>
        <w:jc w:val="left"/>
        <w:rPr>
          <w:rFonts w:asciiTheme="majorBidi" w:eastAsia="Times New Roman" w:hAnsiTheme="majorBidi" w:cstheme="majorBidi"/>
          <w:iCs/>
          <w:sz w:val="24"/>
          <w:szCs w:val="24"/>
          <w:vertAlign w:val="superscript"/>
        </w:rPr>
      </w:pPr>
      <w:proofErr w:type="spellStart"/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>Eui</w:t>
      </w:r>
      <w:proofErr w:type="spellEnd"/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 xml:space="preserve"> Sun Jeong</w:t>
      </w:r>
      <w:r w:rsidRPr="00876077">
        <w:rPr>
          <w:rFonts w:asciiTheme="majorBidi" w:eastAsia="Times New Roman" w:hAnsiTheme="majorBidi" w:cstheme="majorBidi"/>
          <w:iCs/>
          <w:sz w:val="24"/>
          <w:szCs w:val="24"/>
          <w:vertAlign w:val="superscript"/>
        </w:rPr>
        <w:t>1</w:t>
      </w:r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 xml:space="preserve">, </w:t>
      </w:r>
      <w:proofErr w:type="spellStart"/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>Hye</w:t>
      </w:r>
      <w:proofErr w:type="spellEnd"/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>-Kyung Jung</w:t>
      </w:r>
      <w:r w:rsidRPr="00876077">
        <w:rPr>
          <w:rFonts w:asciiTheme="majorBidi" w:eastAsia="Times New Roman" w:hAnsiTheme="majorBidi" w:cstheme="majorBidi"/>
          <w:iCs/>
          <w:sz w:val="24"/>
          <w:szCs w:val="24"/>
          <w:vertAlign w:val="superscript"/>
        </w:rPr>
        <w:t>1,</w:t>
      </w:r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 xml:space="preserve">*, </w:t>
      </w:r>
      <w:proofErr w:type="spellStart"/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>Euno</w:t>
      </w:r>
      <w:proofErr w:type="spellEnd"/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 xml:space="preserve"> Choi</w:t>
      </w:r>
      <w:r w:rsidRPr="00876077">
        <w:rPr>
          <w:rFonts w:asciiTheme="majorBidi" w:eastAsia="Times New Roman" w:hAnsiTheme="majorBidi" w:cstheme="majorBidi"/>
          <w:iCs/>
          <w:sz w:val="24"/>
          <w:szCs w:val="24"/>
          <w:vertAlign w:val="superscript"/>
        </w:rPr>
        <w:t>2</w:t>
      </w:r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 xml:space="preserve">, </w:t>
      </w:r>
      <w:proofErr w:type="spellStart"/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>Kyeongeui</w:t>
      </w:r>
      <w:proofErr w:type="spellEnd"/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 xml:space="preserve"> Yun</w:t>
      </w:r>
      <w:r w:rsidRPr="00876077">
        <w:rPr>
          <w:rFonts w:asciiTheme="majorBidi" w:eastAsia="Times New Roman" w:hAnsiTheme="majorBidi" w:cstheme="majorBidi"/>
          <w:iCs/>
          <w:sz w:val="24"/>
          <w:szCs w:val="24"/>
          <w:vertAlign w:val="superscript"/>
        </w:rPr>
        <w:t>3</w:t>
      </w:r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 xml:space="preserve">, </w:t>
      </w:r>
      <w:proofErr w:type="spellStart"/>
      <w:r>
        <w:rPr>
          <w:rFonts w:asciiTheme="majorBidi" w:eastAsia="Times New Roman" w:hAnsiTheme="majorBidi" w:cstheme="majorBidi"/>
          <w:iCs/>
          <w:sz w:val="24"/>
          <w:szCs w:val="24"/>
        </w:rPr>
        <w:t>Ay</w:t>
      </w:r>
      <w:r w:rsidRPr="00950C95">
        <w:rPr>
          <w:rFonts w:asciiTheme="majorBidi" w:eastAsia="Times New Roman" w:hAnsiTheme="majorBidi" w:cstheme="majorBidi"/>
          <w:iCs/>
          <w:sz w:val="24"/>
          <w:szCs w:val="24"/>
        </w:rPr>
        <w:t>oung</w:t>
      </w:r>
      <w:proofErr w:type="spellEnd"/>
      <w:r w:rsidRPr="00950C95">
        <w:rPr>
          <w:rFonts w:asciiTheme="majorBidi" w:eastAsia="Times New Roman" w:hAnsiTheme="majorBidi" w:cstheme="majorBidi"/>
          <w:iCs/>
          <w:sz w:val="24"/>
          <w:szCs w:val="24"/>
        </w:rPr>
        <w:t xml:space="preserve"> Lee</w:t>
      </w:r>
      <w:r w:rsidRPr="00950C95">
        <w:rPr>
          <w:rFonts w:asciiTheme="majorBidi" w:eastAsia="Times New Roman" w:hAnsiTheme="majorBidi" w:cstheme="majorBidi"/>
          <w:iCs/>
          <w:sz w:val="24"/>
          <w:szCs w:val="24"/>
          <w:vertAlign w:val="superscript"/>
        </w:rPr>
        <w:t>4</w:t>
      </w:r>
      <w:r>
        <w:rPr>
          <w:rFonts w:asciiTheme="majorBidi" w:eastAsia="Times New Roman" w:hAnsiTheme="majorBidi" w:cstheme="majorBidi"/>
          <w:iCs/>
          <w:sz w:val="24"/>
          <w:szCs w:val="24"/>
        </w:rPr>
        <w:t xml:space="preserve"> and </w:t>
      </w:r>
      <w:r w:rsidRPr="00876077">
        <w:rPr>
          <w:rFonts w:asciiTheme="majorBidi" w:eastAsia="Times New Roman" w:hAnsiTheme="majorBidi" w:cstheme="majorBidi"/>
          <w:iCs/>
          <w:sz w:val="24"/>
          <w:szCs w:val="24"/>
        </w:rPr>
        <w:t xml:space="preserve"> </w:t>
      </w:r>
      <w:r w:rsidRPr="008D1BA6">
        <w:rPr>
          <w:rFonts w:ascii="Times New Roman" w:eastAsia="맑은 고딕" w:hAnsi="Times New Roman" w:cs="Times New Roman"/>
          <w:iCs/>
          <w:sz w:val="24"/>
          <w:szCs w:val="24"/>
        </w:rPr>
        <w:t xml:space="preserve">Yung </w:t>
      </w:r>
      <w:r w:rsidRPr="008D1BA6">
        <w:rPr>
          <w:rFonts w:ascii="Times New Roman" w:eastAsia="Times New Roman" w:hAnsi="Times New Roman" w:cs="Times New Roman"/>
          <w:iCs/>
          <w:sz w:val="24"/>
          <w:szCs w:val="24"/>
        </w:rPr>
        <w:t>Sung Kim</w:t>
      </w:r>
      <w:r>
        <w:rPr>
          <w:rFonts w:asciiTheme="majorBidi" w:eastAsia="Times New Roman" w:hAnsiTheme="majorBidi" w:cstheme="majorBidi"/>
          <w:iCs/>
          <w:sz w:val="24"/>
          <w:szCs w:val="24"/>
          <w:vertAlign w:val="superscript"/>
        </w:rPr>
        <w:t>5</w:t>
      </w:r>
      <w:bookmarkStart w:id="1" w:name="_GoBack"/>
      <w:bookmarkEnd w:id="1"/>
    </w:p>
    <w:p w:rsidR="00B8572A" w:rsidRPr="00876077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</w:p>
    <w:p w:rsidR="00B8572A" w:rsidRPr="00876077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876077">
        <w:rPr>
          <w:rFonts w:asciiTheme="majorBidi" w:eastAsia="Times New Roman" w:hAnsiTheme="majorBidi" w:cstheme="majorBidi"/>
          <w:sz w:val="24"/>
          <w:szCs w:val="24"/>
          <w:vertAlign w:val="superscript"/>
        </w:rPr>
        <w:t>1</w:t>
      </w:r>
      <w:r w:rsidRPr="00876077">
        <w:rPr>
          <w:rFonts w:asciiTheme="majorBidi" w:eastAsia="Times New Roman" w:hAnsiTheme="majorBidi" w:cstheme="majorBidi"/>
          <w:sz w:val="24"/>
          <w:szCs w:val="24"/>
        </w:rPr>
        <w:t xml:space="preserve"> Department of Internal Medicine, College of Medicine, </w:t>
      </w:r>
      <w:proofErr w:type="spellStart"/>
      <w:r w:rsidRPr="00876077">
        <w:rPr>
          <w:rFonts w:asciiTheme="majorBidi" w:eastAsia="Times New Roman" w:hAnsiTheme="majorBidi" w:cstheme="majorBidi"/>
          <w:sz w:val="24"/>
          <w:szCs w:val="24"/>
        </w:rPr>
        <w:t>Ewha</w:t>
      </w:r>
      <w:proofErr w:type="spellEnd"/>
      <w:r w:rsidRPr="00876077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spellStart"/>
      <w:r w:rsidRPr="00876077">
        <w:rPr>
          <w:rFonts w:asciiTheme="majorBidi" w:eastAsia="Times New Roman" w:hAnsiTheme="majorBidi" w:cstheme="majorBidi"/>
          <w:sz w:val="24"/>
          <w:szCs w:val="24"/>
        </w:rPr>
        <w:t>Womans</w:t>
      </w:r>
      <w:proofErr w:type="spellEnd"/>
      <w:r w:rsidRPr="00876077">
        <w:rPr>
          <w:rFonts w:asciiTheme="majorBidi" w:eastAsia="Times New Roman" w:hAnsiTheme="majorBidi" w:cstheme="majorBidi"/>
          <w:sz w:val="24"/>
          <w:szCs w:val="24"/>
        </w:rPr>
        <w:t xml:space="preserve"> University, Seoul, Korea</w:t>
      </w:r>
    </w:p>
    <w:p w:rsidR="00B8572A" w:rsidRPr="00876077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876077">
        <w:rPr>
          <w:rFonts w:asciiTheme="majorBidi" w:eastAsia="Times New Roman" w:hAnsiTheme="majorBidi" w:cstheme="majorBidi"/>
          <w:sz w:val="24"/>
          <w:szCs w:val="24"/>
          <w:vertAlign w:val="superscript"/>
        </w:rPr>
        <w:t>2</w:t>
      </w:r>
      <w:r w:rsidRPr="00876077">
        <w:rPr>
          <w:rFonts w:asciiTheme="majorBidi" w:eastAsia="Times New Roman" w:hAnsiTheme="majorBidi" w:cstheme="majorBidi"/>
          <w:sz w:val="24"/>
          <w:szCs w:val="24"/>
        </w:rPr>
        <w:t xml:space="preserve"> Department of Pathology, College of Medicine, </w:t>
      </w:r>
      <w:proofErr w:type="spellStart"/>
      <w:r w:rsidRPr="00876077">
        <w:rPr>
          <w:rFonts w:asciiTheme="majorBidi" w:eastAsia="Times New Roman" w:hAnsiTheme="majorBidi" w:cstheme="majorBidi"/>
          <w:sz w:val="24"/>
          <w:szCs w:val="24"/>
        </w:rPr>
        <w:t>Ewha</w:t>
      </w:r>
      <w:proofErr w:type="spellEnd"/>
      <w:r w:rsidRPr="00876077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spellStart"/>
      <w:r w:rsidRPr="00876077">
        <w:rPr>
          <w:rFonts w:asciiTheme="majorBidi" w:eastAsia="Times New Roman" w:hAnsiTheme="majorBidi" w:cstheme="majorBidi"/>
          <w:sz w:val="24"/>
          <w:szCs w:val="24"/>
        </w:rPr>
        <w:t>Womans</w:t>
      </w:r>
      <w:proofErr w:type="spellEnd"/>
      <w:r w:rsidRPr="00876077">
        <w:rPr>
          <w:rFonts w:asciiTheme="majorBidi" w:eastAsia="Times New Roman" w:hAnsiTheme="majorBidi" w:cstheme="majorBidi"/>
          <w:sz w:val="24"/>
          <w:szCs w:val="24"/>
        </w:rPr>
        <w:t xml:space="preserve"> University, Seoul, Korea</w:t>
      </w:r>
    </w:p>
    <w:p w:rsidR="00B8572A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876077"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  <w:t xml:space="preserve">3 </w:t>
      </w:r>
      <w:proofErr w:type="spellStart"/>
      <w:r w:rsidRPr="00876077">
        <w:rPr>
          <w:rFonts w:asciiTheme="majorBidi" w:eastAsia="Times New Roman" w:hAnsiTheme="majorBidi" w:cstheme="majorBidi"/>
          <w:color w:val="000000"/>
          <w:sz w:val="24"/>
          <w:szCs w:val="24"/>
        </w:rPr>
        <w:t>HuNBiome</w:t>
      </w:r>
      <w:proofErr w:type="spellEnd"/>
      <w:r w:rsidRPr="00876077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Co., Ltd., R&amp;D Center, Seoul, Korea</w:t>
      </w:r>
    </w:p>
    <w:p w:rsidR="00B8572A" w:rsidRPr="00950C95" w:rsidRDefault="00B8572A" w:rsidP="00B8572A">
      <w:pPr>
        <w:widowControl/>
        <w:spacing w:after="200" w:line="480" w:lineRule="auto"/>
        <w:jc w:val="left"/>
        <w:rPr>
          <w:rFonts w:asciiTheme="majorBidi" w:eastAsia="맑은 고딕" w:hAnsiTheme="majorBidi" w:cstheme="majorBidi"/>
          <w:color w:val="000000"/>
          <w:sz w:val="24"/>
          <w:szCs w:val="24"/>
        </w:rPr>
      </w:pPr>
      <w:r w:rsidRPr="00950C95">
        <w:rPr>
          <w:rFonts w:asciiTheme="majorBidi" w:eastAsia="맑은 고딕" w:hAnsiTheme="majorBidi" w:cstheme="majorBidi"/>
          <w:color w:val="000000"/>
          <w:sz w:val="24"/>
          <w:szCs w:val="24"/>
          <w:vertAlign w:val="superscript"/>
        </w:rPr>
        <w:t>4</w:t>
      </w:r>
      <w:r>
        <w:rPr>
          <w:rFonts w:asciiTheme="majorBidi" w:eastAsia="맑은 고딕" w:hAnsiTheme="majorBidi" w:cstheme="majorBidi"/>
          <w:color w:val="000000"/>
          <w:sz w:val="24"/>
          <w:szCs w:val="24"/>
        </w:rPr>
        <w:t xml:space="preserve"> </w:t>
      </w:r>
      <w:r w:rsidRPr="00950C95">
        <w:rPr>
          <w:rFonts w:asciiTheme="majorBidi" w:eastAsia="맑은 고딕" w:hAnsiTheme="majorBidi" w:cstheme="majorBidi"/>
          <w:color w:val="000000"/>
          <w:sz w:val="24"/>
          <w:szCs w:val="24"/>
        </w:rPr>
        <w:t>Department of Internal Medicine, College of Medicine,</w:t>
      </w:r>
      <w:r w:rsidR="003E3AFD">
        <w:rPr>
          <w:rFonts w:asciiTheme="majorBidi" w:eastAsia="맑은 고딕" w:hAnsiTheme="majorBidi" w:cstheme="majorBidi"/>
          <w:color w:val="000000"/>
          <w:sz w:val="24"/>
          <w:szCs w:val="24"/>
        </w:rPr>
        <w:t xml:space="preserve"> Korea University,</w:t>
      </w:r>
      <w:r w:rsidRPr="00950C95">
        <w:rPr>
          <w:rFonts w:asciiTheme="majorBidi" w:eastAsia="맑은 고딕" w:hAnsiTheme="majorBidi" w:cstheme="majorBidi"/>
          <w:color w:val="000000"/>
          <w:sz w:val="24"/>
          <w:szCs w:val="24"/>
        </w:rPr>
        <w:t xml:space="preserve"> </w:t>
      </w:r>
      <w:proofErr w:type="spellStart"/>
      <w:r w:rsidRPr="00950C95">
        <w:rPr>
          <w:rFonts w:asciiTheme="majorBidi" w:eastAsia="맑은 고딕" w:hAnsiTheme="majorBidi" w:cstheme="majorBidi"/>
          <w:color w:val="000000"/>
          <w:sz w:val="24"/>
          <w:szCs w:val="24"/>
        </w:rPr>
        <w:t>Ansan</w:t>
      </w:r>
      <w:proofErr w:type="spellEnd"/>
      <w:r>
        <w:rPr>
          <w:rFonts w:asciiTheme="majorBidi" w:eastAsia="맑은 고딕" w:hAnsiTheme="majorBidi" w:cstheme="majorBidi"/>
          <w:color w:val="000000"/>
          <w:sz w:val="24"/>
          <w:szCs w:val="24"/>
        </w:rPr>
        <w:t>, Gyeonggi-do,</w:t>
      </w:r>
      <w:r w:rsidRPr="00950C95">
        <w:rPr>
          <w:rFonts w:asciiTheme="majorBidi" w:eastAsia="맑은 고딕" w:hAnsiTheme="majorBidi" w:cstheme="majorBidi"/>
          <w:color w:val="000000"/>
          <w:sz w:val="24"/>
          <w:szCs w:val="24"/>
        </w:rPr>
        <w:t xml:space="preserve"> Korea</w:t>
      </w:r>
    </w:p>
    <w:p w:rsidR="009322B0" w:rsidRDefault="009322B0" w:rsidP="009322B0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8D1BA6"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  <w:t>5</w:t>
      </w:r>
      <w:r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  <w:t xml:space="preserve"> </w:t>
      </w:r>
      <w:r w:rsidRPr="008D1BA6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Digestive Disease Research Institute, 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College of Medicine, </w:t>
      </w:r>
      <w:proofErr w:type="spellStart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>Wonkwang</w:t>
      </w:r>
      <w:proofErr w:type="spellEnd"/>
      <w:r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University, </w:t>
      </w:r>
      <w:proofErr w:type="spellStart"/>
      <w:r w:rsidRPr="008D1BA6">
        <w:rPr>
          <w:rFonts w:asciiTheme="majorBidi" w:eastAsia="Times New Roman" w:hAnsiTheme="majorBidi" w:cstheme="majorBidi"/>
          <w:color w:val="000000"/>
          <w:sz w:val="24"/>
          <w:szCs w:val="24"/>
        </w:rPr>
        <w:t>Iksan</w:t>
      </w:r>
      <w:proofErr w:type="spellEnd"/>
      <w:r w:rsidRPr="008D1BA6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, </w:t>
      </w:r>
      <w:proofErr w:type="spellStart"/>
      <w:r w:rsidRPr="008D1BA6">
        <w:rPr>
          <w:rFonts w:asciiTheme="majorBidi" w:eastAsia="Times New Roman" w:hAnsiTheme="majorBidi" w:cstheme="majorBidi"/>
          <w:color w:val="000000"/>
          <w:sz w:val="24"/>
          <w:szCs w:val="24"/>
        </w:rPr>
        <w:t>Jeonlabuk</w:t>
      </w:r>
      <w:proofErr w:type="spellEnd"/>
      <w:r w:rsidRPr="008D1BA6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-do, Korea </w:t>
      </w:r>
    </w:p>
    <w:p w:rsidR="009322B0" w:rsidRPr="009322B0" w:rsidRDefault="009322B0" w:rsidP="009322B0">
      <w:pPr>
        <w:widowControl/>
        <w:spacing w:after="200" w:line="480" w:lineRule="auto"/>
        <w:jc w:val="left"/>
        <w:rPr>
          <w:rFonts w:asciiTheme="majorBidi" w:hAnsiTheme="majorBidi" w:cstheme="majorBidi" w:hint="eastAsia"/>
          <w:color w:val="000000"/>
          <w:sz w:val="24"/>
          <w:szCs w:val="24"/>
        </w:rPr>
      </w:pPr>
    </w:p>
    <w:p w:rsidR="00B8572A" w:rsidRPr="00876077" w:rsidRDefault="00B8572A" w:rsidP="00B8572A">
      <w:pPr>
        <w:spacing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876077">
        <w:rPr>
          <w:rFonts w:asciiTheme="majorBidi" w:eastAsia="Times New Roman" w:hAnsiTheme="majorBidi" w:cstheme="majorBidi"/>
          <w:sz w:val="24"/>
          <w:szCs w:val="24"/>
        </w:rPr>
        <w:t xml:space="preserve">Corresponding author: </w:t>
      </w:r>
      <w:proofErr w:type="spellStart"/>
      <w:r w:rsidRPr="00876077">
        <w:rPr>
          <w:rFonts w:asciiTheme="majorBidi" w:eastAsia="Times New Roman" w:hAnsiTheme="majorBidi" w:cstheme="majorBidi"/>
          <w:sz w:val="24"/>
          <w:szCs w:val="24"/>
        </w:rPr>
        <w:t>Hye</w:t>
      </w:r>
      <w:proofErr w:type="spellEnd"/>
      <w:r w:rsidRPr="00876077">
        <w:rPr>
          <w:rFonts w:asciiTheme="majorBidi" w:eastAsia="Times New Roman" w:hAnsiTheme="majorBidi" w:cstheme="majorBidi"/>
          <w:sz w:val="24"/>
          <w:szCs w:val="24"/>
        </w:rPr>
        <w:t>-Kyung Jung, MD, PhD</w:t>
      </w:r>
      <w:r>
        <w:rPr>
          <w:rFonts w:asciiTheme="majorBidi" w:eastAsia="맑은 고딕" w:hAnsiTheme="majorBidi" w:cstheme="majorBidi" w:hint="eastAsia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sz w:val="24"/>
          <w:szCs w:val="24"/>
        </w:rPr>
        <w:t>(</w:t>
      </w:r>
      <w:r w:rsidRPr="00876077">
        <w:rPr>
          <w:rFonts w:asciiTheme="majorBidi" w:eastAsia="Times New Roman" w:hAnsiTheme="majorBidi" w:cstheme="majorBidi"/>
          <w:sz w:val="24"/>
          <w:szCs w:val="24"/>
        </w:rPr>
        <w:t>E-mail: junghk@ewha.ac.kr</w:t>
      </w:r>
      <w:r>
        <w:rPr>
          <w:rFonts w:asciiTheme="majorBidi" w:eastAsia="Times New Roman" w:hAnsiTheme="majorBidi" w:cstheme="majorBidi"/>
          <w:sz w:val="24"/>
          <w:szCs w:val="24"/>
        </w:rPr>
        <w:t>)</w:t>
      </w:r>
    </w:p>
    <w:p w:rsidR="00B8572A" w:rsidRPr="00977668" w:rsidRDefault="00B8572A" w:rsidP="009322B0">
      <w:pPr>
        <w:widowControl/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br w:type="page"/>
      </w:r>
      <w:r w:rsidRPr="00977668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</w:t>
      </w:r>
      <w:r w:rsidRPr="00977668">
        <w:rPr>
          <w:rFonts w:asciiTheme="majorBidi" w:eastAsia="Times New Roman" w:hAnsiTheme="majorBidi" w:cstheme="majorBidi"/>
          <w:b/>
          <w:bCs/>
          <w:sz w:val="24"/>
          <w:szCs w:val="24"/>
        </w:rPr>
        <w:t>1.</w:t>
      </w:r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 Scoring system for the disease activity index</w:t>
      </w:r>
      <w:r w:rsidRPr="00977668">
        <w:rPr>
          <w:rFonts w:asciiTheme="majorBidi" w:eastAsia="Times New Roman" w:hAnsiTheme="majorBidi" w:cstheme="majorBidi"/>
          <w:sz w:val="24"/>
          <w:szCs w:val="24"/>
          <w:vertAlign w:val="superscript"/>
        </w:rPr>
        <w:t>11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2358"/>
        <w:gridCol w:w="2667"/>
        <w:gridCol w:w="2716"/>
      </w:tblGrid>
      <w:tr w:rsidR="00B8572A" w:rsidRPr="0078158B" w:rsidTr="007F6BD5"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Score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Weight loss (%)</w:t>
            </w:r>
          </w:p>
        </w:tc>
        <w:tc>
          <w:tcPr>
            <w:tcW w:w="2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Stool consistency</w:t>
            </w: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G</w:t>
            </w: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ross blood in stools</w:t>
            </w:r>
          </w:p>
        </w:tc>
      </w:tr>
      <w:tr w:rsidR="00B8572A" w:rsidRPr="0078158B" w:rsidTr="007F6BD5">
        <w:tc>
          <w:tcPr>
            <w:tcW w:w="76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 w:hint="eastAsia"/>
                <w:sz w:val="24"/>
                <w:szCs w:val="24"/>
              </w:rPr>
              <w:t>≤</w:t>
            </w: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1</w:t>
            </w:r>
          </w:p>
        </w:tc>
        <w:tc>
          <w:tcPr>
            <w:tcW w:w="282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Normal stool (well-formed pellets)</w:t>
            </w:r>
          </w:p>
        </w:tc>
        <w:tc>
          <w:tcPr>
            <w:tcW w:w="291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Normal (no blood in stools)</w:t>
            </w:r>
          </w:p>
        </w:tc>
      </w:tr>
      <w:tr w:rsidR="00B8572A" w:rsidRPr="0078158B" w:rsidTr="007F6BD5">
        <w:tc>
          <w:tcPr>
            <w:tcW w:w="763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528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widowControl/>
              <w:jc w:val="center"/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</w:rPr>
              <w:t>1–5</w:t>
            </w:r>
          </w:p>
        </w:tc>
        <w:tc>
          <w:tcPr>
            <w:tcW w:w="2823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91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-</w:t>
            </w:r>
          </w:p>
        </w:tc>
      </w:tr>
      <w:tr w:rsidR="00B8572A" w:rsidRPr="0078158B" w:rsidTr="007F6BD5">
        <w:tc>
          <w:tcPr>
            <w:tcW w:w="763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528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5–10</w:t>
            </w:r>
          </w:p>
        </w:tc>
        <w:tc>
          <w:tcPr>
            <w:tcW w:w="2823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Loose stools (pasty and semi-formed stools)</w:t>
            </w:r>
          </w:p>
        </w:tc>
        <w:tc>
          <w:tcPr>
            <w:tcW w:w="291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Positive occult blood in stools</w:t>
            </w:r>
          </w:p>
        </w:tc>
      </w:tr>
      <w:tr w:rsidR="00B8572A" w:rsidRPr="0078158B" w:rsidTr="007F6BD5">
        <w:tc>
          <w:tcPr>
            <w:tcW w:w="763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528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10–20</w:t>
            </w:r>
          </w:p>
        </w:tc>
        <w:tc>
          <w:tcPr>
            <w:tcW w:w="2823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291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-</w:t>
            </w:r>
          </w:p>
        </w:tc>
      </w:tr>
      <w:tr w:rsidR="00B8572A" w:rsidRPr="0078158B" w:rsidTr="007F6BD5">
        <w:tc>
          <w:tcPr>
            <w:tcW w:w="76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52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&gt; 20</w:t>
            </w:r>
          </w:p>
        </w:tc>
        <w:tc>
          <w:tcPr>
            <w:tcW w:w="282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Diarrhea (liquid stools that adhere to the anus)</w:t>
            </w:r>
          </w:p>
        </w:tc>
        <w:tc>
          <w:tcPr>
            <w:tcW w:w="29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Gross bleeding in stools</w:t>
            </w:r>
          </w:p>
        </w:tc>
      </w:tr>
    </w:tbl>
    <w:p w:rsidR="00B8572A" w:rsidRPr="00977668" w:rsidRDefault="00B8572A" w:rsidP="00B8572A">
      <w:pPr>
        <w:spacing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977668">
        <w:rPr>
          <w:rFonts w:asciiTheme="majorBidi" w:eastAsia="Times New Roman" w:hAnsiTheme="majorBidi" w:cstheme="majorBidi"/>
          <w:sz w:val="24"/>
          <w:szCs w:val="24"/>
        </w:rPr>
        <w:br w:type="page"/>
      </w:r>
    </w:p>
    <w:p w:rsidR="00B8572A" w:rsidRPr="00977668" w:rsidRDefault="00B8572A" w:rsidP="00B8572A">
      <w:pPr>
        <w:spacing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977668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</w:t>
      </w:r>
      <w:r w:rsidRPr="00977668">
        <w:rPr>
          <w:rFonts w:asciiTheme="majorBidi" w:eastAsia="Times New Roman" w:hAnsiTheme="majorBidi" w:cstheme="majorBidi"/>
          <w:b/>
          <w:bCs/>
          <w:sz w:val="24"/>
          <w:szCs w:val="24"/>
        </w:rPr>
        <w:t>2.</w:t>
      </w:r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 Nucleotide sequences of primers used for real-time polymerase chain reaction in this study.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3542"/>
      </w:tblGrid>
      <w:tr w:rsidR="00B8572A" w:rsidRPr="0078158B" w:rsidTr="007F6BD5">
        <w:trPr>
          <w:trHeight w:val="739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Primer Name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Forward (5’-3’)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Reverse (5’-3’)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L1b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GAGCCCATCCTCTGTGACTC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TCCATTGAGGTGGAGAGCTT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Il6</w:t>
            </w:r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CCGGAGAGGAGACTTCACAG</w:t>
            </w:r>
          </w:p>
        </w:tc>
        <w:tc>
          <w:tcPr>
            <w:tcW w:w="354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TCCACGATTTCCCAGAGAAC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Il10</w:t>
            </w:r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CAGCCGGGAAGACAATAACT</w:t>
            </w:r>
          </w:p>
        </w:tc>
        <w:tc>
          <w:tcPr>
            <w:tcW w:w="354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TCATTTCCGATAAGGCTTGG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Il17</w:t>
            </w:r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TCCCTCTGTGATCTGGGAAG</w:t>
            </w:r>
          </w:p>
        </w:tc>
        <w:tc>
          <w:tcPr>
            <w:tcW w:w="354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CTCGACCCTGAAAGTGAAGG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Tnfa</w:t>
            </w:r>
            <w:proofErr w:type="spellEnd"/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ACGGCATGGATCTCAAAGAC</w:t>
            </w:r>
          </w:p>
        </w:tc>
        <w:tc>
          <w:tcPr>
            <w:tcW w:w="354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AGATAGCAAATCGGCTGACG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Occludin</w:t>
            </w:r>
            <w:proofErr w:type="spellEnd"/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AGACTACACGACAGGTGGGG</w:t>
            </w:r>
          </w:p>
        </w:tc>
        <w:tc>
          <w:tcPr>
            <w:tcW w:w="354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CTGCAGACCTGCATCAAAAT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ZO-1</w:t>
            </w:r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GATCATCCACCCAAAGCAGT</w:t>
            </w:r>
          </w:p>
        </w:tc>
        <w:tc>
          <w:tcPr>
            <w:tcW w:w="354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AGAAGGGCTGACGGGTAAAT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Claudin-1</w:t>
            </w:r>
          </w:p>
        </w:tc>
        <w:tc>
          <w:tcPr>
            <w:tcW w:w="3686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ACTCCTTGCTGAATCTGAACAGT</w:t>
            </w:r>
          </w:p>
        </w:tc>
        <w:tc>
          <w:tcPr>
            <w:tcW w:w="354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GGACACAAAGATTGCGATCCAG</w:t>
            </w:r>
          </w:p>
        </w:tc>
      </w:tr>
      <w:tr w:rsidR="00B8572A" w:rsidRPr="0078158B" w:rsidTr="007F6BD5">
        <w:trPr>
          <w:trHeight w:val="472"/>
        </w:trPr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Claudin-4</w:t>
            </w:r>
          </w:p>
        </w:tc>
        <w:tc>
          <w:tcPr>
            <w:tcW w:w="36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ACAGGTCCTGGGAATCTCCT</w:t>
            </w:r>
          </w:p>
        </w:tc>
        <w:tc>
          <w:tcPr>
            <w:tcW w:w="354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CACTGCATCTGACCTGTGCT</w:t>
            </w:r>
          </w:p>
        </w:tc>
      </w:tr>
    </w:tbl>
    <w:p w:rsidR="00B8572A" w:rsidRPr="00977668" w:rsidRDefault="00B8572A" w:rsidP="00B8572A">
      <w:pPr>
        <w:spacing w:line="480" w:lineRule="auto"/>
        <w:jc w:val="left"/>
        <w:rPr>
          <w:rFonts w:asciiTheme="majorBidi" w:eastAsia="Times New Roman" w:hAnsiTheme="majorBidi" w:cstheme="majorBidi"/>
          <w:sz w:val="24"/>
          <w:szCs w:val="24"/>
          <w:lang w:val="nl-NL"/>
        </w:rPr>
      </w:pPr>
      <w:r w:rsidRPr="00977668">
        <w:rPr>
          <w:rFonts w:asciiTheme="majorBidi" w:eastAsia="Times New Roman" w:hAnsiTheme="majorBidi" w:cstheme="majorBidi"/>
          <w:sz w:val="24"/>
          <w:szCs w:val="24"/>
          <w:lang w:val="nl-NL"/>
        </w:rPr>
        <w:t>IL, interleukin; TNF, tumor necrosis factor; ZO, zonular occludens</w:t>
      </w:r>
      <w:r w:rsidRPr="00977668">
        <w:rPr>
          <w:rFonts w:asciiTheme="majorBidi" w:eastAsia="Times New Roman" w:hAnsiTheme="majorBidi" w:cstheme="majorBidi"/>
          <w:sz w:val="24"/>
          <w:szCs w:val="24"/>
          <w:lang w:val="nl-NL"/>
        </w:rPr>
        <w:br w:type="page"/>
      </w:r>
    </w:p>
    <w:p w:rsidR="00B8572A" w:rsidRPr="00977668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977668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</w:t>
      </w:r>
      <w:r w:rsidRPr="00977668">
        <w:rPr>
          <w:rFonts w:asciiTheme="majorBidi" w:eastAsia="Times New Roman" w:hAnsiTheme="majorBidi" w:cstheme="majorBidi"/>
          <w:b/>
          <w:bCs/>
          <w:sz w:val="24"/>
          <w:szCs w:val="24"/>
        </w:rPr>
        <w:t>3.</w:t>
      </w:r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 Definition of categories and general criteria in </w:t>
      </w:r>
      <w:proofErr w:type="spellStart"/>
      <w:r w:rsidRPr="00977668">
        <w:rPr>
          <w:rFonts w:asciiTheme="majorBidi" w:eastAsia="Times New Roman" w:hAnsiTheme="majorBidi" w:cstheme="majorBidi"/>
          <w:sz w:val="24"/>
          <w:szCs w:val="24"/>
        </w:rPr>
        <w:t>histomorphological</w:t>
      </w:r>
      <w:proofErr w:type="spellEnd"/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 scores for intestinal inflammation in mice models</w:t>
      </w:r>
      <w:r w:rsidRPr="00977668">
        <w:rPr>
          <w:rFonts w:asciiTheme="majorBidi" w:eastAsia="Times New Roman" w:hAnsiTheme="majorBidi" w:cstheme="majorBidi"/>
          <w:sz w:val="24"/>
          <w:szCs w:val="24"/>
          <w:vertAlign w:val="superscript"/>
        </w:rPr>
        <w:t>15</w:t>
      </w:r>
    </w:p>
    <w:tbl>
      <w:tblPr>
        <w:tblStyle w:val="1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6"/>
        <w:gridCol w:w="1544"/>
        <w:gridCol w:w="5002"/>
        <w:gridCol w:w="992"/>
      </w:tblGrid>
      <w:tr w:rsidR="00B8572A" w:rsidRPr="0078158B" w:rsidTr="007F6BD5">
        <w:trPr>
          <w:trHeight w:val="273"/>
        </w:trPr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Category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Criterion</w:t>
            </w:r>
          </w:p>
        </w:tc>
        <w:tc>
          <w:tcPr>
            <w:tcW w:w="5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Definition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Score </w:t>
            </w:r>
            <w:proofErr w:type="spellStart"/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Value</w:t>
            </w:r>
            <w:r w:rsidRPr="00977668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B8572A" w:rsidRPr="0078158B" w:rsidTr="007F6BD5">
        <w:trPr>
          <w:trHeight w:val="510"/>
        </w:trPr>
        <w:tc>
          <w:tcPr>
            <w:tcW w:w="1676" w:type="dxa"/>
            <w:tcBorders>
              <w:top w:val="single" w:sz="4" w:space="0" w:color="auto"/>
              <w:left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I, Inflammatory cell infiltrate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Severity</w:t>
            </w:r>
          </w:p>
        </w:tc>
        <w:tc>
          <w:tcPr>
            <w:tcW w:w="5002" w:type="dxa"/>
            <w:tcBorders>
              <w:top w:val="single" w:sz="4" w:space="0" w:color="auto"/>
              <w:left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Leukocyte density of lamina propria area infiltrated in evaluated HPF: </w:t>
            </w: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Minimal: &lt;10%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1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Mild: 10–25%; scattered neutrophils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2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Moderate: 26–50%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3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Marked: &gt;51%; dense infiltrate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4</w:t>
            </w:r>
          </w:p>
        </w:tc>
      </w:tr>
      <w:tr w:rsidR="00B8572A" w:rsidRPr="0078158B" w:rsidTr="007F6BD5">
        <w:trPr>
          <w:trHeight w:val="510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Extent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Expansion of leukocyte infiltration: </w:t>
            </w: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Mucosal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1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Mucosal and submucosal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2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Mucosal, submucosal and transmural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3</w:t>
            </w:r>
          </w:p>
        </w:tc>
      </w:tr>
      <w:tr w:rsidR="00B8572A" w:rsidRPr="0078158B" w:rsidTr="007F6BD5">
        <w:trPr>
          <w:trHeight w:val="737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>II, Epithelial changes</w:t>
            </w: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Hyperplasia 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Increase in epithelial cell numbers in longitudinal crypts relative to baseline epithelial cell numbers per crypt, visible as crypt elongation: </w:t>
            </w: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Minimal: &lt;25%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1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Mild: 25–35%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2 or 3</w:t>
            </w:r>
          </w:p>
        </w:tc>
      </w:tr>
      <w:tr w:rsidR="00B8572A" w:rsidRPr="0078158B" w:rsidTr="007F6BD5">
        <w:trPr>
          <w:trHeight w:val="510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Moderate: 36–50%; mitoses in middle/upper third of crypt epithelium, distant from crypt base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3 or 4</w:t>
            </w:r>
          </w:p>
        </w:tc>
      </w:tr>
      <w:tr w:rsidR="00B8572A" w:rsidRPr="0078158B" w:rsidTr="007F6BD5">
        <w:trPr>
          <w:trHeight w:val="510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Marked: &gt;51%; mitoses in upper third of crypt epithelium, distant from crypt base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4 or 5</w:t>
            </w:r>
          </w:p>
        </w:tc>
      </w:tr>
      <w:tr w:rsidR="00B8572A" w:rsidRPr="0078158B" w:rsidTr="007F6BD5">
        <w:trPr>
          <w:trHeight w:val="794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Goblet cell loss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Reduction of goblet cell numbers relative to baseline goblet cell numbers per crypt: </w:t>
            </w: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Minimal: &lt;20%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1 or 2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Mild: 21–35%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2 or 3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>Moderate: 36–50%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3 or 4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Marked: &gt;50%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4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Cryptitis</w:t>
            </w:r>
            <w:proofErr w:type="spellEnd"/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Neutrophils between crypt epithelial cells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2 or 3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Crypt abscesses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Neutrophils in crypt lumen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3 to 5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Erosion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Loss of surface epithelium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1 to 4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III, Mucosal </w:t>
            </w:r>
            <w:proofErr w:type="spellStart"/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>architecture</w:t>
            </w:r>
            <w:r w:rsidRPr="00977668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b</w:t>
            </w:r>
            <w:proofErr w:type="spellEnd"/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 </w:t>
            </w: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Ulceration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Epithelial defect reaching beyond muscularis mucosae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3 to 5</w:t>
            </w:r>
          </w:p>
        </w:tc>
      </w:tr>
      <w:tr w:rsidR="00B8572A" w:rsidRPr="0078158B" w:rsidTr="007F6BD5">
        <w:trPr>
          <w:trHeight w:val="89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Granulation tissue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Connective tissue repair with new capillaries, surrounded by spindle-shaped fibroblasts, myofibroblasts, macrophages, neutrophils and mononuclear cells as well as cell debris; </w:t>
            </w:r>
            <w:proofErr w:type="spellStart"/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>pseudopolyps</w:t>
            </w:r>
            <w:proofErr w:type="spellEnd"/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, </w:t>
            </w:r>
            <w:proofErr w:type="spellStart"/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>villiformous</w:t>
            </w:r>
            <w:proofErr w:type="spellEnd"/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, hypertrophied areas projecting into the lumen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4 or 5</w:t>
            </w:r>
          </w:p>
        </w:tc>
      </w:tr>
      <w:tr w:rsidR="00B8572A" w:rsidRPr="0078158B" w:rsidTr="007F6BD5">
        <w:trPr>
          <w:trHeight w:val="510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Irregular crypts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Non-parallel crypts, variable crypt diameters, bifurcation and branched crypts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4 or 5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Crypt loss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Mucosa devoid of crypts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4 or 5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Villous </w:t>
            </w: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lastRenderedPageBreak/>
              <w:t xml:space="preserve">blunting </w:t>
            </w: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lastRenderedPageBreak/>
              <w:t xml:space="preserve">Mild: villous-to-crypt-length ratio of 2:1 to 3:1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1 to 3</w:t>
            </w:r>
          </w:p>
        </w:tc>
      </w:tr>
      <w:tr w:rsidR="00B8572A" w:rsidRPr="0078158B" w:rsidTr="007F6BD5">
        <w:trPr>
          <w:trHeight w:val="283"/>
        </w:trPr>
        <w:tc>
          <w:tcPr>
            <w:tcW w:w="1676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nil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Moderate: villous-to-crypt-length ratio of 1:1 to 2:1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2 to 4</w:t>
            </w:r>
          </w:p>
        </w:tc>
      </w:tr>
      <w:tr w:rsidR="00B8572A" w:rsidRPr="0078158B" w:rsidTr="007F6BD5">
        <w:trPr>
          <w:trHeight w:val="80"/>
        </w:trPr>
        <w:tc>
          <w:tcPr>
            <w:tcW w:w="1676" w:type="dxa"/>
            <w:tcBorders>
              <w:left w:val="nil"/>
              <w:bottom w:val="single" w:sz="4" w:space="0" w:color="auto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44" w:type="dxa"/>
            <w:tcBorders>
              <w:left w:val="nil"/>
              <w:bottom w:val="single" w:sz="4" w:space="0" w:color="auto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002" w:type="dxa"/>
            <w:tcBorders>
              <w:left w:val="nil"/>
              <w:bottom w:val="single" w:sz="4" w:space="0" w:color="auto"/>
              <w:right w:val="nil"/>
            </w:tcBorders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color w:val="211D1E"/>
                <w:sz w:val="24"/>
                <w:szCs w:val="24"/>
              </w:rPr>
              <w:t xml:space="preserve">Villous atrophy 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8572A" w:rsidRPr="00977668" w:rsidRDefault="00B8572A" w:rsidP="007F6BD5">
            <w:pPr>
              <w:jc w:val="lef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77668">
              <w:rPr>
                <w:rFonts w:asciiTheme="majorBidi" w:eastAsia="Times New Roman" w:hAnsiTheme="majorBidi" w:cstheme="majorBidi"/>
                <w:sz w:val="24"/>
                <w:szCs w:val="24"/>
              </w:rPr>
              <w:t>3 to 5</w:t>
            </w:r>
          </w:p>
        </w:tc>
      </w:tr>
    </w:tbl>
    <w:p w:rsidR="00B8572A" w:rsidRPr="00977668" w:rsidRDefault="00B8572A" w:rsidP="00B8572A">
      <w:pPr>
        <w:spacing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HPF, high power field </w:t>
      </w:r>
    </w:p>
    <w:p w:rsidR="00B8572A" w:rsidRPr="00977668" w:rsidRDefault="00B8572A" w:rsidP="00B8572A">
      <w:pPr>
        <w:spacing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977668">
        <w:rPr>
          <w:rFonts w:asciiTheme="majorBidi" w:eastAsia="Times New Roman" w:hAnsiTheme="majorBidi" w:cstheme="majorBidi"/>
          <w:sz w:val="24"/>
          <w:szCs w:val="24"/>
          <w:vertAlign w:val="superscript"/>
        </w:rPr>
        <w:t xml:space="preserve">a </w:t>
      </w:r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Values given for 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a </w:t>
      </w:r>
      <w:r w:rsidRPr="00977668">
        <w:rPr>
          <w:rFonts w:asciiTheme="majorBidi" w:eastAsia="Times New Roman" w:hAnsiTheme="majorBidi" w:cstheme="majorBidi"/>
          <w:sz w:val="24"/>
          <w:szCs w:val="24"/>
        </w:rPr>
        <w:t>single criterion are not additive but represent the final score value that include</w:t>
      </w:r>
      <w:r>
        <w:rPr>
          <w:rFonts w:asciiTheme="majorBidi" w:eastAsia="Times New Roman" w:hAnsiTheme="majorBidi" w:cstheme="majorBidi"/>
          <w:sz w:val="24"/>
          <w:szCs w:val="24"/>
        </w:rPr>
        <w:t>s</w:t>
      </w:r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 all relevant criteria; </w:t>
      </w:r>
      <w:r w:rsidRPr="00977668">
        <w:rPr>
          <w:rFonts w:asciiTheme="majorBidi" w:eastAsia="Times New Roman" w:hAnsiTheme="majorBidi" w:cstheme="majorBidi"/>
          <w:sz w:val="24"/>
          <w:szCs w:val="24"/>
          <w:vertAlign w:val="superscript"/>
        </w:rPr>
        <w:t xml:space="preserve">b </w:t>
      </w:r>
      <w:proofErr w:type="gramStart"/>
      <w:r w:rsidRPr="00977668">
        <w:rPr>
          <w:rFonts w:asciiTheme="majorBidi" w:eastAsia="Times New Roman" w:hAnsiTheme="majorBidi" w:cstheme="majorBidi"/>
          <w:sz w:val="24"/>
          <w:szCs w:val="24"/>
        </w:rPr>
        <w:t>From</w:t>
      </w:r>
      <w:proofErr w:type="gramEnd"/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 well-oriented samples/biopsies with longitudinally cut crypts</w:t>
      </w:r>
      <w:r>
        <w:rPr>
          <w:rFonts w:asciiTheme="majorBidi" w:eastAsia="Times New Roman" w:hAnsiTheme="majorBidi" w:cstheme="majorBidi"/>
          <w:sz w:val="24"/>
          <w:szCs w:val="24"/>
        </w:rPr>
        <w:t>,</w:t>
      </w:r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 only include at least five comparable crypts</w:t>
      </w:r>
    </w:p>
    <w:p w:rsidR="00B8572A" w:rsidRPr="00977668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color w:val="000000"/>
          <w:sz w:val="24"/>
          <w:szCs w:val="24"/>
        </w:rPr>
      </w:pPr>
    </w:p>
    <w:p w:rsidR="00B8572A" w:rsidRPr="00977668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977668">
        <w:rPr>
          <w:rFonts w:asciiTheme="majorBidi" w:eastAsia="맑은 고딕" w:hAnsiTheme="majorBidi" w:cstheme="majorBidi"/>
          <w:sz w:val="24"/>
          <w:szCs w:val="24"/>
        </w:rPr>
        <w:br w:type="page"/>
      </w:r>
    </w:p>
    <w:p w:rsidR="00B8572A" w:rsidRPr="00B73863" w:rsidRDefault="00B8572A" w:rsidP="00B8572A">
      <w:pPr>
        <w:widowControl/>
        <w:spacing w:after="200" w:line="480" w:lineRule="auto"/>
        <w:jc w:val="left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 w:hint="eastAsia"/>
          <w:b/>
          <w:noProof/>
          <w:sz w:val="24"/>
          <w:szCs w:val="24"/>
        </w:rPr>
        <w:lastRenderedPageBreak/>
        <w:drawing>
          <wp:inline distT="0" distB="0" distL="0" distR="0" wp14:anchorId="30957405" wp14:editId="7090A827">
            <wp:extent cx="5400040" cy="3937635"/>
            <wp:effectExtent l="0" t="0" r="0" b="571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_수정0702.e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3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72A" w:rsidRDefault="00B8572A" w:rsidP="00B8572A">
      <w:pPr>
        <w:widowControl/>
        <w:spacing w:after="0" w:line="480" w:lineRule="auto"/>
        <w:rPr>
          <w:rFonts w:asciiTheme="majorBidi" w:eastAsia="맑은 고딕" w:hAnsiTheme="majorBidi" w:cstheme="majorBidi"/>
          <w:sz w:val="24"/>
          <w:szCs w:val="24"/>
        </w:rPr>
      </w:pPr>
      <w:r w:rsidRPr="00977668">
        <w:rPr>
          <w:rFonts w:asciiTheme="majorBidi" w:eastAsia="맑은 고딕" w:hAnsiTheme="majorBidi" w:cstheme="majorBidi"/>
          <w:b/>
          <w:sz w:val="24"/>
          <w:szCs w:val="24"/>
        </w:rPr>
        <w:t>Supplementary Fig</w:t>
      </w:r>
      <w:r>
        <w:rPr>
          <w:rFonts w:asciiTheme="majorBidi" w:eastAsia="맑은 고딕" w:hAnsiTheme="majorBidi" w:cstheme="majorBidi"/>
          <w:b/>
          <w:sz w:val="24"/>
          <w:szCs w:val="24"/>
        </w:rPr>
        <w:t>ure</w:t>
      </w:r>
      <w:r w:rsidRPr="00977668">
        <w:rPr>
          <w:rFonts w:asciiTheme="majorBidi" w:eastAsia="맑은 고딕" w:hAnsiTheme="majorBidi" w:cstheme="majorBidi"/>
          <w:b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b/>
          <w:sz w:val="24"/>
          <w:szCs w:val="24"/>
        </w:rPr>
        <w:t>S</w:t>
      </w:r>
      <w:r w:rsidRPr="00977668">
        <w:rPr>
          <w:rFonts w:asciiTheme="majorBidi" w:eastAsia="맑은 고딕" w:hAnsiTheme="majorBidi" w:cstheme="majorBidi"/>
          <w:b/>
          <w:sz w:val="24"/>
          <w:szCs w:val="24"/>
        </w:rPr>
        <w:t xml:space="preserve">1. </w:t>
      </w:r>
      <w:r w:rsidRPr="00BA727D">
        <w:rPr>
          <w:rFonts w:asciiTheme="majorBidi" w:eastAsia="맑은 고딕" w:hAnsiTheme="majorBidi" w:cstheme="majorBidi"/>
          <w:b/>
          <w:sz w:val="24"/>
          <w:szCs w:val="24"/>
        </w:rPr>
        <w:t xml:space="preserve">The mRNA expression of tight junction proteins in the irritable bowel syndrome models. </w:t>
      </w:r>
      <w:r w:rsidRPr="00BA727D">
        <w:rPr>
          <w:rFonts w:asciiTheme="majorBidi" w:eastAsia="맑은 고딕" w:hAnsiTheme="majorBidi" w:cstheme="majorBidi"/>
          <w:sz w:val="24"/>
          <w:szCs w:val="24"/>
        </w:rPr>
        <w:t>(A</w:t>
      </w:r>
      <w:r>
        <w:rPr>
          <w:rFonts w:asciiTheme="majorBidi" w:eastAsia="맑은 고딕" w:hAnsiTheme="majorBidi" w:cstheme="majorBidi"/>
          <w:sz w:val="24"/>
          <w:szCs w:val="24"/>
        </w:rPr>
        <w:t>-C</w:t>
      </w:r>
      <w:r w:rsidRPr="00BA727D">
        <w:rPr>
          <w:rFonts w:asciiTheme="majorBidi" w:eastAsia="맑은 고딕" w:hAnsiTheme="majorBidi" w:cstheme="majorBidi"/>
          <w:sz w:val="24"/>
          <w:szCs w:val="24"/>
        </w:rPr>
        <w:t>)</w:t>
      </w:r>
      <w:r w:rsidRPr="00BA727D">
        <w:rPr>
          <w:rFonts w:asciiTheme="majorBidi" w:eastAsia="맑은 고딕" w:hAnsiTheme="majorBidi" w:cstheme="majorBidi"/>
          <w:b/>
          <w:sz w:val="24"/>
          <w:szCs w:val="24"/>
        </w:rPr>
        <w:t xml:space="preserve"> </w:t>
      </w:r>
      <w:r w:rsidRPr="00BA727D">
        <w:rPr>
          <w:rFonts w:asciiTheme="majorBidi" w:eastAsia="맑은 고딕" w:hAnsiTheme="majorBidi" w:cstheme="majorBidi"/>
          <w:sz w:val="24"/>
          <w:szCs w:val="24"/>
        </w:rPr>
        <w:t>mRNA expression of</w:t>
      </w:r>
      <w:r>
        <w:rPr>
          <w:rFonts w:asciiTheme="majorBidi" w:eastAsia="맑은 고딕" w:hAnsiTheme="majorBidi" w:cstheme="majorBidi"/>
          <w:iCs/>
          <w:sz w:val="24"/>
          <w:szCs w:val="24"/>
        </w:rPr>
        <w:t xml:space="preserve"> </w:t>
      </w:r>
      <w:r w:rsidRPr="00876077">
        <w:rPr>
          <w:rFonts w:asciiTheme="majorBidi" w:eastAsia="맑은 고딕" w:hAnsiTheme="majorBidi" w:cstheme="majorBidi"/>
          <w:iCs/>
          <w:sz w:val="24"/>
          <w:szCs w:val="24"/>
        </w:rPr>
        <w:t>ZO-1</w:t>
      </w:r>
      <w:r>
        <w:rPr>
          <w:rFonts w:asciiTheme="majorBidi" w:eastAsia="맑은 고딕" w:hAnsiTheme="majorBidi" w:cstheme="majorBidi"/>
          <w:iCs/>
          <w:sz w:val="24"/>
          <w:szCs w:val="24"/>
        </w:rPr>
        <w:t xml:space="preserve"> (A)</w:t>
      </w:r>
      <w:r w:rsidRPr="00E57CE1">
        <w:rPr>
          <w:rFonts w:asciiTheme="majorBidi" w:eastAsia="맑은 고딕" w:hAnsiTheme="majorBidi" w:cstheme="majorBidi"/>
          <w:sz w:val="24"/>
          <w:szCs w:val="24"/>
        </w:rPr>
        <w:t xml:space="preserve">, </w:t>
      </w:r>
      <w:r w:rsidRPr="00876077">
        <w:rPr>
          <w:rFonts w:asciiTheme="majorBidi" w:eastAsia="맑은 고딕" w:hAnsiTheme="majorBidi" w:cstheme="majorBidi"/>
          <w:iCs/>
          <w:sz w:val="24"/>
          <w:szCs w:val="24"/>
        </w:rPr>
        <w:t>claudin-1</w:t>
      </w:r>
      <w:r>
        <w:rPr>
          <w:rFonts w:asciiTheme="majorBidi" w:eastAsia="맑은 고딕" w:hAnsiTheme="majorBidi" w:cstheme="majorBidi"/>
          <w:iCs/>
          <w:sz w:val="24"/>
          <w:szCs w:val="24"/>
        </w:rPr>
        <w:t xml:space="preserve"> (B)</w:t>
      </w:r>
      <w:r w:rsidRPr="00E57CE1">
        <w:rPr>
          <w:rFonts w:asciiTheme="majorBidi" w:eastAsia="맑은 고딕" w:hAnsiTheme="majorBidi" w:cstheme="majorBidi"/>
          <w:sz w:val="24"/>
          <w:szCs w:val="24"/>
        </w:rPr>
        <w:t xml:space="preserve">, and </w:t>
      </w:r>
      <w:r w:rsidRPr="00876077">
        <w:rPr>
          <w:rFonts w:asciiTheme="majorBidi" w:eastAsia="맑은 고딕" w:hAnsiTheme="majorBidi" w:cstheme="majorBidi"/>
          <w:iCs/>
          <w:sz w:val="24"/>
          <w:szCs w:val="24"/>
        </w:rPr>
        <w:t>claudin-4</w:t>
      </w:r>
      <w:r>
        <w:rPr>
          <w:rFonts w:asciiTheme="majorBidi" w:eastAsia="맑은 고딕" w:hAnsiTheme="majorBidi" w:cstheme="majorBidi"/>
          <w:iCs/>
          <w:sz w:val="24"/>
          <w:szCs w:val="24"/>
        </w:rPr>
        <w:t xml:space="preserve"> (C)</w:t>
      </w:r>
      <w:r w:rsidRPr="00BA727D">
        <w:rPr>
          <w:rFonts w:asciiTheme="majorBidi" w:eastAsia="맑은 고딕" w:hAnsiTheme="majorBidi" w:cstheme="majorBidi"/>
          <w:sz w:val="24"/>
          <w:szCs w:val="24"/>
        </w:rPr>
        <w:t xml:space="preserve"> in the proximal colon of </w:t>
      </w:r>
      <w:r>
        <w:rPr>
          <w:rFonts w:asciiTheme="majorBidi" w:eastAsia="맑은 고딕" w:hAnsiTheme="majorBidi" w:cstheme="majorBidi"/>
          <w:sz w:val="24"/>
          <w:szCs w:val="24"/>
        </w:rPr>
        <w:t xml:space="preserve">the </w:t>
      </w:r>
      <w:r w:rsidRPr="00BA727D">
        <w:rPr>
          <w:rFonts w:asciiTheme="majorBidi" w:eastAsia="맑은 고딕" w:hAnsiTheme="majorBidi" w:cstheme="majorBidi"/>
          <w:sz w:val="24"/>
          <w:szCs w:val="24"/>
        </w:rPr>
        <w:t>acute and chronic models relative to the controls</w:t>
      </w:r>
      <w:r>
        <w:rPr>
          <w:rFonts w:asciiTheme="majorBidi" w:eastAsia="맑은 고딕" w:hAnsiTheme="majorBidi" w:cstheme="majorBidi"/>
          <w:sz w:val="24"/>
          <w:szCs w:val="24"/>
        </w:rPr>
        <w:t>.</w:t>
      </w:r>
      <w:r w:rsidRPr="00BA727D">
        <w:rPr>
          <w:rFonts w:asciiTheme="majorBidi" w:eastAsia="맑은 고딕" w:hAnsiTheme="majorBidi" w:cstheme="majorBidi"/>
          <w:sz w:val="24"/>
          <w:szCs w:val="24"/>
        </w:rPr>
        <w:t xml:space="preserve"> (</w:t>
      </w:r>
      <w:r>
        <w:rPr>
          <w:rFonts w:asciiTheme="majorBidi" w:eastAsia="맑은 고딕" w:hAnsiTheme="majorBidi" w:cstheme="majorBidi"/>
          <w:sz w:val="24"/>
          <w:szCs w:val="24"/>
        </w:rPr>
        <w:t>D-F</w:t>
      </w:r>
      <w:r w:rsidRPr="00BA727D">
        <w:rPr>
          <w:rFonts w:asciiTheme="majorBidi" w:eastAsia="맑은 고딕" w:hAnsiTheme="majorBidi" w:cstheme="majorBidi"/>
          <w:sz w:val="24"/>
          <w:szCs w:val="24"/>
        </w:rPr>
        <w:t xml:space="preserve">) mRNA expression of </w:t>
      </w:r>
      <w:r w:rsidRPr="00876077">
        <w:rPr>
          <w:rFonts w:asciiTheme="majorBidi" w:eastAsia="맑은 고딕" w:hAnsiTheme="majorBidi" w:cstheme="majorBidi"/>
          <w:iCs/>
          <w:sz w:val="24"/>
          <w:szCs w:val="24"/>
        </w:rPr>
        <w:t>ZO-1</w:t>
      </w:r>
      <w:r>
        <w:rPr>
          <w:rFonts w:asciiTheme="majorBidi" w:eastAsia="맑은 고딕" w:hAnsiTheme="majorBidi" w:cstheme="majorBidi"/>
          <w:iCs/>
          <w:sz w:val="24"/>
          <w:szCs w:val="24"/>
        </w:rPr>
        <w:t xml:space="preserve"> (D)</w:t>
      </w:r>
      <w:r w:rsidRPr="00876077">
        <w:rPr>
          <w:rFonts w:asciiTheme="majorBidi" w:eastAsia="맑은 고딕" w:hAnsiTheme="majorBidi" w:cstheme="majorBidi"/>
          <w:iCs/>
          <w:sz w:val="24"/>
          <w:szCs w:val="24"/>
        </w:rPr>
        <w:t>, claudin-1</w:t>
      </w:r>
      <w:r>
        <w:rPr>
          <w:rFonts w:asciiTheme="majorBidi" w:eastAsia="맑은 고딕" w:hAnsiTheme="majorBidi" w:cstheme="majorBidi"/>
          <w:iCs/>
          <w:sz w:val="24"/>
          <w:szCs w:val="24"/>
        </w:rPr>
        <w:t xml:space="preserve"> (E)</w:t>
      </w:r>
      <w:r w:rsidRPr="00315D49">
        <w:rPr>
          <w:rFonts w:asciiTheme="majorBidi" w:eastAsia="맑은 고딕" w:hAnsiTheme="majorBidi" w:cstheme="majorBidi"/>
          <w:iCs/>
          <w:sz w:val="24"/>
          <w:szCs w:val="24"/>
        </w:rPr>
        <w:t>,</w:t>
      </w:r>
      <w:r>
        <w:rPr>
          <w:rFonts w:asciiTheme="majorBidi" w:eastAsia="맑은 고딕" w:hAnsiTheme="majorBidi" w:cstheme="majorBidi"/>
          <w:iCs/>
          <w:sz w:val="24"/>
          <w:szCs w:val="24"/>
        </w:rPr>
        <w:t xml:space="preserve"> </w:t>
      </w:r>
      <w:r w:rsidRPr="00E57CE1">
        <w:rPr>
          <w:rFonts w:asciiTheme="majorBidi" w:eastAsia="맑은 고딕" w:hAnsiTheme="majorBidi" w:cstheme="majorBidi"/>
          <w:sz w:val="24"/>
          <w:szCs w:val="24"/>
        </w:rPr>
        <w:t xml:space="preserve">and </w:t>
      </w:r>
      <w:r w:rsidRPr="00876077">
        <w:rPr>
          <w:rFonts w:asciiTheme="majorBidi" w:eastAsia="맑은 고딕" w:hAnsiTheme="majorBidi" w:cstheme="majorBidi"/>
          <w:iCs/>
          <w:sz w:val="24"/>
          <w:szCs w:val="24"/>
        </w:rPr>
        <w:t>claudin-4</w:t>
      </w:r>
      <w:r>
        <w:rPr>
          <w:rFonts w:asciiTheme="majorBidi" w:eastAsia="맑은 고딕" w:hAnsiTheme="majorBidi" w:cstheme="majorBidi"/>
          <w:iCs/>
          <w:sz w:val="24"/>
          <w:szCs w:val="24"/>
        </w:rPr>
        <w:t xml:space="preserve"> (F)</w:t>
      </w:r>
      <w:r w:rsidRPr="00E57CE1">
        <w:rPr>
          <w:rFonts w:asciiTheme="majorBidi" w:eastAsia="맑은 고딕" w:hAnsiTheme="majorBidi" w:cstheme="majorBidi"/>
          <w:sz w:val="24"/>
          <w:szCs w:val="24"/>
        </w:rPr>
        <w:t xml:space="preserve"> </w:t>
      </w:r>
      <w:r w:rsidRPr="00BA727D">
        <w:rPr>
          <w:rFonts w:asciiTheme="majorBidi" w:eastAsia="맑은 고딕" w:hAnsiTheme="majorBidi" w:cstheme="majorBidi"/>
          <w:sz w:val="24"/>
          <w:szCs w:val="24"/>
        </w:rPr>
        <w:t xml:space="preserve">in the distal colon of </w:t>
      </w:r>
      <w:r>
        <w:rPr>
          <w:rFonts w:asciiTheme="majorBidi" w:eastAsia="맑은 고딕" w:hAnsiTheme="majorBidi" w:cstheme="majorBidi"/>
          <w:sz w:val="24"/>
          <w:szCs w:val="24"/>
        </w:rPr>
        <w:t xml:space="preserve">the </w:t>
      </w:r>
      <w:r w:rsidRPr="00BA727D">
        <w:rPr>
          <w:rFonts w:asciiTheme="majorBidi" w:eastAsia="맑은 고딕" w:hAnsiTheme="majorBidi" w:cstheme="majorBidi"/>
          <w:sz w:val="24"/>
          <w:szCs w:val="24"/>
        </w:rPr>
        <w:t>acute and chronic models compared to that in the controls.</w:t>
      </w:r>
      <w:r>
        <w:rPr>
          <w:rFonts w:asciiTheme="majorBidi" w:eastAsia="맑은 고딕" w:hAnsiTheme="majorBidi" w:cstheme="majorBidi"/>
          <w:sz w:val="24"/>
          <w:szCs w:val="24"/>
        </w:rPr>
        <w:t xml:space="preserve"> </w:t>
      </w:r>
    </w:p>
    <w:p w:rsidR="00B8572A" w:rsidRPr="00BA727D" w:rsidRDefault="00B8572A" w:rsidP="00B8572A">
      <w:pPr>
        <w:widowControl/>
        <w:spacing w:after="0" w:line="480" w:lineRule="auto"/>
        <w:rPr>
          <w:rFonts w:asciiTheme="majorBidi" w:eastAsia="맑은 고딕" w:hAnsiTheme="majorBidi" w:cstheme="majorBidi"/>
          <w:sz w:val="24"/>
          <w:szCs w:val="24"/>
        </w:rPr>
      </w:pPr>
      <w:r>
        <w:rPr>
          <w:rFonts w:asciiTheme="majorBidi" w:eastAsia="맑은 고딕" w:hAnsiTheme="majorBidi" w:cstheme="majorBidi"/>
          <w:sz w:val="24"/>
          <w:szCs w:val="24"/>
        </w:rPr>
        <w:t xml:space="preserve">ZO, </w:t>
      </w:r>
      <w:r>
        <w:rPr>
          <w:rFonts w:asciiTheme="majorBidi" w:eastAsia="Times New Roman" w:hAnsiTheme="majorBidi" w:cstheme="majorBidi"/>
          <w:iCs/>
          <w:sz w:val="24"/>
          <w:szCs w:val="24"/>
        </w:rPr>
        <w:t>z</w:t>
      </w:r>
      <w:r w:rsidRPr="00315D49">
        <w:rPr>
          <w:rFonts w:asciiTheme="majorBidi" w:eastAsia="Times New Roman" w:hAnsiTheme="majorBidi" w:cstheme="majorBidi"/>
          <w:iCs/>
          <w:sz w:val="24"/>
          <w:szCs w:val="24"/>
        </w:rPr>
        <w:t xml:space="preserve">onular </w:t>
      </w:r>
      <w:proofErr w:type="spellStart"/>
      <w:r w:rsidRPr="00315D49">
        <w:rPr>
          <w:rFonts w:asciiTheme="majorBidi" w:eastAsia="Times New Roman" w:hAnsiTheme="majorBidi" w:cstheme="majorBidi"/>
          <w:iCs/>
          <w:sz w:val="24"/>
          <w:szCs w:val="24"/>
        </w:rPr>
        <w:t>occludens</w:t>
      </w:r>
      <w:proofErr w:type="spellEnd"/>
      <w:r>
        <w:rPr>
          <w:rFonts w:asciiTheme="majorBidi" w:eastAsia="Times New Roman" w:hAnsiTheme="majorBidi" w:cstheme="majorBidi"/>
          <w:iCs/>
          <w:sz w:val="24"/>
          <w:szCs w:val="24"/>
        </w:rPr>
        <w:t>.</w:t>
      </w:r>
    </w:p>
    <w:p w:rsidR="00B8572A" w:rsidRPr="00977668" w:rsidRDefault="00B8572A" w:rsidP="00B8572A">
      <w:pPr>
        <w:widowControl/>
        <w:spacing w:after="0" w:line="480" w:lineRule="auto"/>
        <w:jc w:val="left"/>
        <w:rPr>
          <w:rFonts w:asciiTheme="majorBidi" w:hAnsiTheme="majorBidi" w:cstheme="majorBidi"/>
          <w:b/>
          <w:sz w:val="24"/>
          <w:szCs w:val="24"/>
        </w:rPr>
      </w:pPr>
    </w:p>
    <w:p w:rsidR="00B8572A" w:rsidRPr="00977668" w:rsidRDefault="00B8572A" w:rsidP="00B8572A">
      <w:pPr>
        <w:widowControl/>
        <w:spacing w:after="200" w:line="480" w:lineRule="auto"/>
        <w:jc w:val="left"/>
        <w:rPr>
          <w:rFonts w:asciiTheme="majorBidi" w:eastAsia="Times New Roman" w:hAnsiTheme="majorBidi" w:cstheme="majorBidi"/>
          <w:sz w:val="24"/>
          <w:szCs w:val="24"/>
        </w:rPr>
      </w:pPr>
      <w:r w:rsidRPr="00977668">
        <w:rPr>
          <w:rFonts w:asciiTheme="majorBidi" w:eastAsia="맑은 고딕" w:hAnsiTheme="majorBidi" w:cstheme="majorBidi"/>
          <w:sz w:val="24"/>
          <w:szCs w:val="24"/>
        </w:rPr>
        <w:br w:type="page"/>
      </w:r>
    </w:p>
    <w:p w:rsidR="00B8572A" w:rsidRPr="005F1685" w:rsidRDefault="00B8572A" w:rsidP="00B8572A">
      <w:pPr>
        <w:widowControl/>
        <w:spacing w:after="0" w:line="48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eastAsia"/>
          <w:noProof/>
          <w:sz w:val="24"/>
          <w:szCs w:val="24"/>
        </w:rPr>
        <w:lastRenderedPageBreak/>
        <w:drawing>
          <wp:inline distT="0" distB="0" distL="0" distR="0" wp14:anchorId="788FC3D2" wp14:editId="3E583F9B">
            <wp:extent cx="5400040" cy="4119245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2 수정_0702.e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1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72A" w:rsidRPr="00977668" w:rsidRDefault="00B8572A" w:rsidP="00B8572A">
      <w:pPr>
        <w:widowControl/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 w:rsidRPr="00977668">
        <w:rPr>
          <w:rFonts w:asciiTheme="majorBidi" w:eastAsia="Times New Roman" w:hAnsiTheme="majorBidi" w:cstheme="majorBidi"/>
          <w:b/>
          <w:sz w:val="24"/>
          <w:szCs w:val="24"/>
        </w:rPr>
        <w:t xml:space="preserve">Supplementary Figure </w:t>
      </w:r>
      <w:r>
        <w:rPr>
          <w:rFonts w:asciiTheme="majorBidi" w:eastAsia="Times New Roman" w:hAnsiTheme="majorBidi" w:cstheme="majorBidi"/>
          <w:b/>
          <w:sz w:val="24"/>
          <w:szCs w:val="24"/>
        </w:rPr>
        <w:t>S</w:t>
      </w:r>
      <w:r w:rsidRPr="00977668">
        <w:rPr>
          <w:rFonts w:asciiTheme="majorBidi" w:eastAsia="Times New Roman" w:hAnsiTheme="majorBidi" w:cstheme="majorBidi"/>
          <w:b/>
          <w:sz w:val="24"/>
          <w:szCs w:val="24"/>
        </w:rPr>
        <w:t xml:space="preserve">2. </w:t>
      </w:r>
      <w:r w:rsidRPr="00BA727D">
        <w:rPr>
          <w:rFonts w:asciiTheme="majorBidi" w:eastAsia="Times New Roman" w:hAnsiTheme="majorBidi" w:cstheme="majorBidi"/>
          <w:b/>
          <w:sz w:val="24"/>
          <w:szCs w:val="24"/>
        </w:rPr>
        <w:t xml:space="preserve">Histopathological evaluation in the irritable bowel syndrome models. 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(A</w:t>
      </w:r>
      <w:r>
        <w:rPr>
          <w:rFonts w:asciiTheme="majorBidi" w:eastAsia="Times New Roman" w:hAnsiTheme="majorBidi" w:cstheme="majorBidi"/>
          <w:sz w:val="24"/>
          <w:szCs w:val="24"/>
        </w:rPr>
        <w:t>-C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) Histologic colitis grading in both the acute and chronic models</w:t>
      </w:r>
      <w:r>
        <w:rPr>
          <w:rFonts w:asciiTheme="majorBidi" w:eastAsia="Times New Roman" w:hAnsiTheme="majorBidi" w:cstheme="majorBidi"/>
          <w:sz w:val="24"/>
          <w:szCs w:val="24"/>
        </w:rPr>
        <w:t>. (D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 xml:space="preserve">) </w:t>
      </w:r>
      <w:r w:rsidRPr="00BA727D">
        <w:rPr>
          <w:rFonts w:asciiTheme="majorBidi" w:eastAsia="맑은 고딕" w:hAnsiTheme="majorBidi" w:cstheme="majorBidi"/>
          <w:sz w:val="24"/>
          <w:szCs w:val="24"/>
        </w:rPr>
        <w:t xml:space="preserve">Pathologic findings according to the location between each group </w:t>
      </w:r>
      <w:r>
        <w:rPr>
          <w:rFonts w:asciiTheme="majorBidi" w:eastAsia="맑은 고딕" w:hAnsiTheme="majorBidi" w:cstheme="majorBidi"/>
          <w:sz w:val="24"/>
          <w:szCs w:val="24"/>
        </w:rPr>
        <w:t xml:space="preserve">were </w:t>
      </w:r>
      <w:r w:rsidRPr="00BA727D">
        <w:rPr>
          <w:rFonts w:asciiTheme="majorBidi" w:eastAsia="맑은 고딕" w:hAnsiTheme="majorBidi" w:cstheme="majorBidi"/>
          <w:sz w:val="24"/>
          <w:szCs w:val="24"/>
        </w:rPr>
        <w:t>obtained by hematoxylin-eosin (H&amp;E) staining (100x</w:t>
      </w:r>
      <w:r>
        <w:rPr>
          <w:rFonts w:asciiTheme="majorBidi" w:eastAsia="맑은 고딕" w:hAnsiTheme="majorBidi" w:cstheme="majorBidi"/>
          <w:sz w:val="24"/>
          <w:szCs w:val="24"/>
        </w:rPr>
        <w:t>).</w:t>
      </w:r>
    </w:p>
    <w:p w:rsidR="00B8572A" w:rsidRDefault="00B8572A" w:rsidP="00B8572A">
      <w:pPr>
        <w:widowControl/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b/>
          <w:noProof/>
          <w:sz w:val="24"/>
          <w:szCs w:val="24"/>
        </w:rPr>
        <w:lastRenderedPageBreak/>
        <w:drawing>
          <wp:inline distT="0" distB="0" distL="0" distR="0" wp14:anchorId="5A8D01F0" wp14:editId="6E902BDA">
            <wp:extent cx="5400040" cy="619125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4_수정0702.em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77668">
        <w:rPr>
          <w:rFonts w:asciiTheme="majorBidi" w:eastAsia="Times New Roman" w:hAnsiTheme="majorBidi" w:cstheme="majorBidi"/>
          <w:b/>
          <w:sz w:val="24"/>
          <w:szCs w:val="24"/>
        </w:rPr>
        <w:t xml:space="preserve">Supplementary Figure </w:t>
      </w:r>
      <w:r>
        <w:rPr>
          <w:rFonts w:asciiTheme="majorBidi" w:eastAsia="Times New Roman" w:hAnsiTheme="majorBidi" w:cstheme="majorBidi"/>
          <w:b/>
          <w:sz w:val="24"/>
          <w:szCs w:val="24"/>
        </w:rPr>
        <w:t>S</w:t>
      </w:r>
      <w:r w:rsidRPr="00977668">
        <w:rPr>
          <w:rFonts w:asciiTheme="majorBidi" w:eastAsia="Times New Roman" w:hAnsiTheme="majorBidi" w:cstheme="majorBidi"/>
          <w:b/>
          <w:sz w:val="24"/>
          <w:szCs w:val="24"/>
        </w:rPr>
        <w:t>3.</w:t>
      </w:r>
      <w:r w:rsidRPr="00977668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BA727D">
        <w:rPr>
          <w:rFonts w:asciiTheme="majorBidi" w:eastAsia="Times New Roman" w:hAnsiTheme="majorBidi" w:cstheme="majorBidi"/>
          <w:b/>
          <w:sz w:val="24"/>
          <w:szCs w:val="24"/>
        </w:rPr>
        <w:t>Immunohistochemistry analysis of neuroinflammatory markers and immunohistochemical staining in the irritable bowel syndrome models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. (</w:t>
      </w:r>
      <w:r>
        <w:rPr>
          <w:rFonts w:asciiTheme="majorBidi" w:eastAsia="Times New Roman" w:hAnsiTheme="majorBidi" w:cstheme="majorBidi"/>
          <w:sz w:val="24"/>
          <w:szCs w:val="24"/>
        </w:rPr>
        <w:t>A-C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) Quantitative results of immunopositivity are shown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in substance P (A), S100 (B), and NSE (C) in the acute and chronic models. (D) Immunohistochemical staining according to neuroinflammatory markers between each group is expresse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d 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 xml:space="preserve">TRPV 1, </w:t>
      </w:r>
      <w:proofErr w:type="spellStart"/>
      <w:r w:rsidRPr="00BA727D">
        <w:rPr>
          <w:rFonts w:asciiTheme="majorBidi" w:eastAsia="Times New Roman" w:hAnsiTheme="majorBidi" w:cstheme="majorBidi"/>
          <w:sz w:val="24"/>
          <w:szCs w:val="24"/>
        </w:rPr>
        <w:t>TrkA</w:t>
      </w:r>
      <w:proofErr w:type="spellEnd"/>
      <w:r w:rsidRPr="00BA727D">
        <w:rPr>
          <w:rFonts w:asciiTheme="majorBidi" w:eastAsia="Times New Roman" w:hAnsiTheme="majorBidi" w:cstheme="majorBidi"/>
          <w:sz w:val="24"/>
          <w:szCs w:val="24"/>
        </w:rPr>
        <w:t>, substance P, S100, and NSE from top to bottom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(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200x</w:t>
      </w:r>
      <w:r>
        <w:rPr>
          <w:rFonts w:asciiTheme="majorBidi" w:eastAsia="Times New Roman" w:hAnsiTheme="majorBidi" w:cstheme="majorBidi"/>
          <w:sz w:val="24"/>
          <w:szCs w:val="24"/>
        </w:rPr>
        <w:t>)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 xml:space="preserve">. </w:t>
      </w:r>
    </w:p>
    <w:p w:rsidR="00B8572A" w:rsidRPr="00977668" w:rsidRDefault="00B8572A" w:rsidP="00B8572A">
      <w:pPr>
        <w:widowControl/>
        <w:spacing w:line="480" w:lineRule="auto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lastRenderedPageBreak/>
        <w:t xml:space="preserve">NSE, 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neuron-specific enolase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; TRPV1, 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transient receptor potential vanilloid 1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; </w:t>
      </w:r>
      <w:proofErr w:type="spellStart"/>
      <w:r w:rsidRPr="00BA727D">
        <w:rPr>
          <w:rFonts w:asciiTheme="majorBidi" w:eastAsia="Times New Roman" w:hAnsiTheme="majorBidi" w:cstheme="majorBidi"/>
          <w:sz w:val="24"/>
          <w:szCs w:val="24"/>
        </w:rPr>
        <w:t>TrkA</w:t>
      </w:r>
      <w:proofErr w:type="spellEnd"/>
      <w:r>
        <w:rPr>
          <w:rFonts w:asciiTheme="majorBidi" w:eastAsia="Times New Roman" w:hAnsiTheme="majorBidi" w:cstheme="majorBidi"/>
          <w:sz w:val="24"/>
          <w:szCs w:val="24"/>
        </w:rPr>
        <w:t xml:space="preserve">, </w:t>
      </w:r>
      <w:r w:rsidRPr="00BA727D">
        <w:rPr>
          <w:rFonts w:asciiTheme="majorBidi" w:eastAsia="Times New Roman" w:hAnsiTheme="majorBidi" w:cstheme="majorBidi"/>
          <w:sz w:val="24"/>
          <w:szCs w:val="24"/>
        </w:rPr>
        <w:t>tropomyosin receptor kinase A</w:t>
      </w:r>
      <w:r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D45BD1" w:rsidRDefault="00D45BD1"/>
    <w:sectPr w:rsidR="00D45BD1" w:rsidSect="00B8572A">
      <w:pgSz w:w="11906" w:h="16838"/>
      <w:pgMar w:top="1701" w:right="1701" w:bottom="1701" w:left="1701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6E96" w:rsidRDefault="00F86E96" w:rsidP="00C51C1A">
      <w:pPr>
        <w:spacing w:after="0" w:line="240" w:lineRule="auto"/>
      </w:pPr>
      <w:r>
        <w:separator/>
      </w:r>
    </w:p>
  </w:endnote>
  <w:endnote w:type="continuationSeparator" w:id="0">
    <w:p w:rsidR="00F86E96" w:rsidRDefault="00F86E96" w:rsidP="00C51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6E96" w:rsidRDefault="00F86E96" w:rsidP="00C51C1A">
      <w:pPr>
        <w:spacing w:after="0" w:line="240" w:lineRule="auto"/>
      </w:pPr>
      <w:r>
        <w:separator/>
      </w:r>
    </w:p>
  </w:footnote>
  <w:footnote w:type="continuationSeparator" w:id="0">
    <w:p w:rsidR="00F86E96" w:rsidRDefault="00F86E96" w:rsidP="00C51C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72A"/>
    <w:rsid w:val="003E3AFD"/>
    <w:rsid w:val="00902756"/>
    <w:rsid w:val="009322B0"/>
    <w:rsid w:val="009E07D2"/>
    <w:rsid w:val="00B8572A"/>
    <w:rsid w:val="00C51C1A"/>
    <w:rsid w:val="00D45BD1"/>
    <w:rsid w:val="00F8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C677B7"/>
  <w15:chartTrackingRefBased/>
  <w15:docId w15:val="{DAE94F2A-2379-4DC0-889E-3EE409BE7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572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rsid w:val="00B8572A"/>
    <w:pPr>
      <w:spacing w:after="0" w:line="240" w:lineRule="auto"/>
    </w:pPr>
    <w:rPr>
      <w:rFonts w:ascii="맑은 고딕" w:eastAsia="맑은 고딕" w:hAnsi="맑은 고딕" w:cs="맑은 고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3">
    <w:name w:val="line number"/>
    <w:basedOn w:val="a0"/>
    <w:uiPriority w:val="99"/>
    <w:semiHidden/>
    <w:unhideWhenUsed/>
    <w:rsid w:val="00B8572A"/>
  </w:style>
  <w:style w:type="paragraph" w:styleId="a4">
    <w:name w:val="header"/>
    <w:basedOn w:val="a"/>
    <w:link w:val="Char"/>
    <w:uiPriority w:val="99"/>
    <w:unhideWhenUsed/>
    <w:rsid w:val="00C51C1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51C1A"/>
  </w:style>
  <w:style w:type="paragraph" w:styleId="a5">
    <w:name w:val="footer"/>
    <w:basedOn w:val="a"/>
    <w:link w:val="Char0"/>
    <w:uiPriority w:val="99"/>
    <w:unhideWhenUsed/>
    <w:rsid w:val="00C51C1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51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795</Words>
  <Characters>4638</Characters>
  <Application>Microsoft Office Word</Application>
  <DocSecurity>0</DocSecurity>
  <Lines>78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4</cp:revision>
  <dcterms:created xsi:type="dcterms:W3CDTF">2024-07-03T12:38:00Z</dcterms:created>
  <dcterms:modified xsi:type="dcterms:W3CDTF">2024-07-03T13:00:00Z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0a2d2c4a-ad9a-4e3c-9170-0df767565cb2</vt:lpwstr>
  </property>
</Properties>
</file>