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Supplementary Materials</w:t>
      </w:r>
    </w:p>
    <w:p w:rsidR="008F2A6D" w:rsidRDefault="008F2A6D">
      <w:pPr>
        <w:rPr>
          <w:rFonts w:ascii="Times New Roman" w:hAnsi="Times New Roman" w:cs="Times New Roman"/>
          <w:color w:val="000000" w:themeColor="text1"/>
        </w:rPr>
      </w:pP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Supplement figures</w:t>
      </w:r>
    </w:p>
    <w:p w:rsidR="008F2A6D" w:rsidRDefault="00AD3021">
      <w:pPr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S1: Funnel plot of the trials in White population</w:t>
      </w:r>
    </w:p>
    <w:p w:rsidR="008F2A6D" w:rsidRDefault="00AD3021">
      <w:pPr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S2: Funnel plot of the trials in Asian population</w:t>
      </w:r>
    </w:p>
    <w:p w:rsidR="008F2A6D" w:rsidRDefault="00AD3021">
      <w:pPr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S3: Funnel plot of the trials in Black and other population</w:t>
      </w:r>
    </w:p>
    <w:p w:rsidR="008F2A6D" w:rsidRDefault="00AD3021">
      <w:pPr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S4: Primary outcomes of CVOTs in White patients with type 2 diabetes in placebo-controlled trials</w:t>
      </w:r>
    </w:p>
    <w:p w:rsidR="008F2A6D" w:rsidRDefault="00AD3021">
      <w:pPr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S5: Primary outcomes of CVOTs in Asian patients with type 2 diabetes in placebo-controlled trials</w:t>
      </w:r>
    </w:p>
    <w:p w:rsidR="008F2A6D" w:rsidRDefault="00AD3021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S6: Primary outcomes of CVOTs in black patients with type 2 diabetes in placebo-controlled trials</w:t>
      </w:r>
    </w:p>
    <w:p w:rsidR="008F2A6D" w:rsidRDefault="00AD3021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S7: Primary outcomes of CVOTs in patients with type 2 diabetes from other racial/ethnic groups* in placebo-controlled trials</w:t>
      </w:r>
    </w:p>
    <w:p w:rsidR="008F2A6D" w:rsidRDefault="00AD3021">
      <w:pPr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 xml:space="preserve">Figure S8: The risk of MACE of CVOTs in White patients with type 2 diabetes </w:t>
      </w:r>
    </w:p>
    <w:p w:rsidR="008F2A6D" w:rsidRDefault="00AD3021">
      <w:pPr>
        <w:rPr>
          <w:rFonts w:ascii="Times New Roman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S9: The risk of MACE of CVOTs in Asian patients with type 2 diabetes</w:t>
      </w:r>
    </w:p>
    <w:p w:rsidR="008F2A6D" w:rsidRDefault="00AD3021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>Figure S10: The risk of MACE of CVOTs in black patients with type 2 diabetes</w:t>
      </w:r>
    </w:p>
    <w:p w:rsidR="008F2A6D" w:rsidRDefault="00AD3021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</w:rPr>
        <w:t xml:space="preserve">Figure S11: The risk of MACE of CVOTs in patients with type 2 diabetes from other racial/ethnic groups* </w:t>
      </w:r>
    </w:p>
    <w:p w:rsidR="008F2A6D" w:rsidRDefault="00AD3021">
      <w:pPr>
        <w:rPr>
          <w:rFonts w:ascii="Times New Roman" w:hAnsi="Times New Roman" w:cs="Times New Roman"/>
          <w:bCs/>
          <w:i/>
          <w:color w:val="000000" w:themeColor="text1"/>
          <w:sz w:val="24"/>
        </w:rPr>
      </w:pPr>
      <w:r>
        <w:rPr>
          <w:rFonts w:ascii="Times New Roman" w:hAnsi="Times New Roman" w:cs="Times New Roman"/>
          <w:bCs/>
          <w:i/>
          <w:color w:val="000000" w:themeColor="text1"/>
          <w:sz w:val="24"/>
        </w:rPr>
        <w:t>*Hispanics, Pacific Islanders, Hawaiian, American Indian, Alaska Native</w:t>
      </w:r>
    </w:p>
    <w:p w:rsidR="009121E8" w:rsidRDefault="009121E8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9121E8" w:rsidRDefault="009121E8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Supplement tables</w:t>
      </w:r>
    </w:p>
    <w:p w:rsidR="00EF46B3" w:rsidRPr="00EF46B3" w:rsidRDefault="00EF46B3">
      <w:pPr>
        <w:rPr>
          <w:rFonts w:ascii="Times New Roman" w:hAnsi="Times New Roman" w:cs="Times New Roman" w:hint="eastAsia"/>
          <w:bCs/>
          <w:color w:val="000000" w:themeColor="text1"/>
          <w:sz w:val="24"/>
        </w:rPr>
      </w:pPr>
      <w:r w:rsidRPr="00EF46B3">
        <w:rPr>
          <w:rFonts w:ascii="Times New Roman" w:hAnsi="Times New Roman" w:cs="Times New Roman"/>
          <w:bCs/>
          <w:color w:val="000000" w:themeColor="text1"/>
          <w:sz w:val="24"/>
        </w:rPr>
        <w:t>Table S1</w:t>
      </w:r>
      <w:r>
        <w:rPr>
          <w:rFonts w:ascii="Times New Roman" w:hAnsi="Times New Roman" w:cs="Times New Roman"/>
          <w:bCs/>
          <w:color w:val="000000" w:themeColor="text1"/>
          <w:sz w:val="24"/>
        </w:rPr>
        <w:t xml:space="preserve">: </w:t>
      </w:r>
      <w:r w:rsidRPr="00EF46B3">
        <w:rPr>
          <w:rFonts w:ascii="Times New Roman" w:hAnsi="Times New Roman" w:cs="Times New Roman"/>
          <w:bCs/>
          <w:color w:val="000000" w:themeColor="text1"/>
          <w:sz w:val="24"/>
        </w:rPr>
        <w:t>Chronological List of Cardiovascular Outcome Trials (CVOTs) Included in the Meta-analysis</w:t>
      </w:r>
    </w:p>
    <w:p w:rsidR="008F2A6D" w:rsidRDefault="00AD3021">
      <w:pPr>
        <w:pStyle w:val="p0"/>
        <w:rPr>
          <w:bCs/>
          <w:color w:val="000000" w:themeColor="text1"/>
          <w:sz w:val="24"/>
          <w:szCs w:val="24"/>
        </w:rPr>
      </w:pPr>
      <w:r>
        <w:rPr>
          <w:bCs/>
          <w:color w:val="000000" w:themeColor="text1"/>
          <w:sz w:val="24"/>
          <w:szCs w:val="24"/>
        </w:rPr>
        <w:t>Table S</w:t>
      </w:r>
      <w:r w:rsidR="00EF46B3">
        <w:rPr>
          <w:bCs/>
          <w:color w:val="000000" w:themeColor="text1"/>
          <w:sz w:val="24"/>
          <w:szCs w:val="24"/>
        </w:rPr>
        <w:t xml:space="preserve">2: </w:t>
      </w:r>
      <w:r>
        <w:rPr>
          <w:bCs/>
          <w:color w:val="000000" w:themeColor="text1"/>
          <w:sz w:val="24"/>
          <w:szCs w:val="24"/>
        </w:rPr>
        <w:t>Risk of bias for included studies in this meta-analysis.</w:t>
      </w:r>
    </w:p>
    <w:p w:rsidR="008F2A6D" w:rsidRDefault="009121E8" w:rsidP="009121E8">
      <w:pPr>
        <w:pStyle w:val="p0"/>
        <w:rPr>
          <w:b/>
          <w:bCs/>
          <w:color w:val="0000FF"/>
        </w:rPr>
      </w:pPr>
      <w:r w:rsidRPr="009121E8">
        <w:rPr>
          <w:bCs/>
          <w:color w:val="000000" w:themeColor="text1"/>
          <w:sz w:val="24"/>
          <w:szCs w:val="24"/>
        </w:rPr>
        <w:t xml:space="preserve">Table </w:t>
      </w:r>
      <w:r>
        <w:rPr>
          <w:bCs/>
          <w:color w:val="000000" w:themeColor="text1"/>
          <w:sz w:val="24"/>
          <w:szCs w:val="24"/>
        </w:rPr>
        <w:t>S</w:t>
      </w:r>
      <w:r w:rsidR="00EF46B3">
        <w:rPr>
          <w:bCs/>
          <w:color w:val="000000" w:themeColor="text1"/>
          <w:sz w:val="24"/>
          <w:szCs w:val="24"/>
        </w:rPr>
        <w:t>3</w:t>
      </w:r>
      <w:bookmarkStart w:id="0" w:name="_GoBack"/>
      <w:bookmarkEnd w:id="0"/>
      <w:r w:rsidRPr="009121E8">
        <w:rPr>
          <w:bCs/>
          <w:color w:val="000000" w:themeColor="text1"/>
          <w:sz w:val="24"/>
          <w:szCs w:val="24"/>
        </w:rPr>
        <w:t>: Primary Outcomes of CVOTs Stratified by Race/Ethnicity</w:t>
      </w:r>
      <w:r w:rsidR="00AD3021">
        <w:rPr>
          <w:rFonts w:hint="eastAsia"/>
          <w:b/>
          <w:bCs/>
          <w:color w:val="0000FF"/>
        </w:rPr>
        <w:br w:type="page"/>
      </w:r>
    </w:p>
    <w:p w:rsidR="008F2A6D" w:rsidRDefault="00AD3021">
      <w:pPr>
        <w:rPr>
          <w:rFonts w:ascii="Times New Roman" w:hAnsi="Times New Roman" w:cs="Times New Roman"/>
          <w:b/>
          <w:bCs/>
          <w:color w:val="0000FF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Figure S1: Funnel plot of the trials in White population</w:t>
      </w: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AD3021">
      <w:pPr>
        <w:rPr>
          <w:b/>
          <w:bCs/>
          <w:color w:val="000000" w:themeColor="text1"/>
          <w:sz w:val="24"/>
        </w:rPr>
      </w:pPr>
      <w:r>
        <w:rPr>
          <w:b/>
          <w:bCs/>
          <w:noProof/>
          <w:color w:val="000000" w:themeColor="text1"/>
          <w:sz w:val="24"/>
        </w:rPr>
        <w:drawing>
          <wp:inline distT="0" distB="0" distL="114300" distR="114300">
            <wp:extent cx="5269230" cy="3863975"/>
            <wp:effectExtent l="0" t="0" r="1270" b="9525"/>
            <wp:docPr id="5" name="图片 5" descr="Funnel plot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unnel plot Whit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: Funnel plot of the trials in Asian population</w:t>
      </w: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AD3021">
      <w:pPr>
        <w:rPr>
          <w:b/>
          <w:bCs/>
          <w:color w:val="000000" w:themeColor="text1"/>
          <w:sz w:val="24"/>
        </w:rPr>
      </w:pPr>
      <w:r>
        <w:rPr>
          <w:b/>
          <w:bCs/>
          <w:noProof/>
          <w:color w:val="000000" w:themeColor="text1"/>
          <w:sz w:val="24"/>
        </w:rPr>
        <w:drawing>
          <wp:inline distT="0" distB="0" distL="114300" distR="114300">
            <wp:extent cx="5269230" cy="3934460"/>
            <wp:effectExtent l="0" t="0" r="1270" b="2540"/>
            <wp:docPr id="6" name="图片 6" descr="Funnel plot As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unnel plot Asia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3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8F2A6D">
      <w:pPr>
        <w:rPr>
          <w:b/>
          <w:bCs/>
          <w:color w:val="000000" w:themeColor="text1"/>
          <w:sz w:val="24"/>
        </w:rPr>
      </w:pP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: Funnel plot of the trials in Black and other population</w:t>
      </w:r>
    </w:p>
    <w:p w:rsidR="008F2A6D" w:rsidRDefault="008F2A6D">
      <w:pPr>
        <w:rPr>
          <w:b/>
          <w:bCs/>
          <w:color w:val="0000FF"/>
          <w:sz w:val="24"/>
        </w:rPr>
      </w:pP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b/>
          <w:bCs/>
          <w:noProof/>
          <w:color w:val="0000FF"/>
          <w:sz w:val="24"/>
        </w:rPr>
        <w:drawing>
          <wp:inline distT="0" distB="0" distL="114300" distR="114300">
            <wp:extent cx="5269230" cy="3863975"/>
            <wp:effectExtent l="0" t="0" r="1270" b="9525"/>
            <wp:docPr id="7" name="图片 7" descr="Funnel plot black and oth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unnel plot black and other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8F2A6D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8F2A6D" w:rsidRDefault="00AD3021">
      <w:pPr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Figure S4: </w:t>
      </w:r>
      <w:r>
        <w:rPr>
          <w:rFonts w:ascii="Times New Roman" w:hAnsi="Times New Roman" w:cs="Times New Roman"/>
          <w:b/>
          <w:bCs/>
          <w:sz w:val="24"/>
        </w:rPr>
        <w:t>Primary outcomes of CVOTs in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White patients with type 2 diabetes in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placebo-controlled trials</w:t>
      </w:r>
    </w:p>
    <w:p w:rsidR="008F2A6D" w:rsidRDefault="00AD3021"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8F2A6D"/>
    <w:p w:rsidR="008F2A6D" w:rsidRDefault="00AD3021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br w:type="page"/>
      </w: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: Primary outcomes of CVOTs in Asian patients with type 2 diabetes in placebo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-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controlled trials</w:t>
      </w:r>
    </w:p>
    <w:p w:rsidR="008F2A6D" w:rsidRDefault="00AD3021"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8F2A6D"/>
    <w:p w:rsidR="008F2A6D" w:rsidRDefault="008F2A6D"/>
    <w:p w:rsidR="008F2A6D" w:rsidRDefault="00AD3021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br w:type="page"/>
      </w: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6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: Primary outcomes of CVOTs in black patients with type 2 diabetes in placebo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-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controlled trials</w:t>
      </w:r>
    </w:p>
    <w:p w:rsidR="008F2A6D" w:rsidRDefault="008F2A6D">
      <w:pPr>
        <w:rPr>
          <w:b/>
          <w:bCs/>
          <w:color w:val="0000FF"/>
        </w:rPr>
      </w:pPr>
    </w:p>
    <w:p w:rsidR="008F2A6D" w:rsidRDefault="00AD3021">
      <w:pPr>
        <w:rPr>
          <w:b/>
          <w:bCs/>
          <w:color w:val="0000FF"/>
        </w:rPr>
      </w:pPr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AD3021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br w:type="page"/>
      </w: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: Primary outcomes of CVOTs in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patients with type 2 diabetes from other racial/ethnic groups* in placebo-controlled trials</w:t>
      </w:r>
    </w:p>
    <w:p w:rsidR="008F2A6D" w:rsidRDefault="00AD3021"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AD30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i/>
          <w:color w:val="000000" w:themeColor="text1"/>
          <w:sz w:val="24"/>
        </w:rPr>
        <w:t>*Hispanics, Pacific Islanders, Hawaiian, American Indian, Alaska Native</w:t>
      </w:r>
    </w:p>
    <w:p w:rsidR="008F2A6D" w:rsidRDefault="008F2A6D"/>
    <w:p w:rsidR="008F2A6D" w:rsidRDefault="00AD3021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br w:type="page"/>
      </w: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: The risk of MACE of CVOTs in White patients with type 2 diabetes</w:t>
      </w:r>
    </w:p>
    <w:p w:rsidR="008F2A6D" w:rsidRDefault="00AD3021"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8F2A6D"/>
    <w:p w:rsidR="008F2A6D" w:rsidRDefault="00AD3021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br w:type="page"/>
      </w: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: The risk of MACE of CVOTs in Asian patients with type 2 diabetes</w:t>
      </w:r>
    </w:p>
    <w:p w:rsidR="008F2A6D" w:rsidRDefault="008F2A6D"/>
    <w:p w:rsidR="008F2A6D" w:rsidRDefault="00AD3021"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8F2A6D"/>
    <w:p w:rsidR="008F2A6D" w:rsidRDefault="00AD3021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br w:type="page"/>
      </w:r>
    </w:p>
    <w:p w:rsidR="008F2A6D" w:rsidRDefault="00AD3021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10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: The risk of MACE of CVOTs in black patients with type 2 diabetes</w:t>
      </w:r>
    </w:p>
    <w:p w:rsidR="008F2A6D" w:rsidRDefault="008F2A6D"/>
    <w:p w:rsidR="008F2A6D" w:rsidRDefault="00AD3021"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8F2A6D"/>
    <w:p w:rsidR="008F2A6D" w:rsidRDefault="00AD3021">
      <w:pPr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br w:type="page"/>
      </w:r>
    </w:p>
    <w:p w:rsidR="008F2A6D" w:rsidRDefault="00AD3021"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11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: The risk of MACE of CVOTs in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patients with type 2 diabetes from other racial/ethnic groups* </w:t>
      </w:r>
    </w:p>
    <w:p w:rsidR="008F2A6D" w:rsidRDefault="00AD3021">
      <w:r>
        <w:rPr>
          <w:noProof/>
        </w:rPr>
        <w:drawing>
          <wp:inline distT="0" distB="0" distL="114300" distR="114300">
            <wp:extent cx="5269230" cy="7006590"/>
            <wp:effectExtent l="0" t="0" r="1270" b="381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A6D" w:rsidRDefault="00AD30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i/>
          <w:color w:val="000000" w:themeColor="text1"/>
          <w:sz w:val="24"/>
        </w:rPr>
        <w:t>*Hispanics, Pacific Islanders, Hawaiian, American Indian, Alaska Native</w:t>
      </w:r>
    </w:p>
    <w:p w:rsidR="008F2A6D" w:rsidRDefault="008F2A6D"/>
    <w:p w:rsidR="008F2A6D" w:rsidRDefault="008F2A6D"/>
    <w:p w:rsidR="008F2A6D" w:rsidRDefault="008F2A6D"/>
    <w:p w:rsidR="008F2A6D" w:rsidRDefault="008F2A6D"/>
    <w:p w:rsidR="008F2A6D" w:rsidRDefault="008F2A6D"/>
    <w:p w:rsidR="00EF46B3" w:rsidRDefault="00EF46B3" w:rsidP="00EF46B3">
      <w:pPr>
        <w:pStyle w:val="p0"/>
        <w:contextualSpacing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b/>
          <w:bCs/>
          <w:color w:val="000000" w:themeColor="text1"/>
          <w:sz w:val="24"/>
          <w:szCs w:val="24"/>
        </w:rPr>
        <w:t>S</w:t>
      </w:r>
      <w:r>
        <w:rPr>
          <w:b/>
          <w:bCs/>
          <w:color w:val="000000" w:themeColor="text1"/>
          <w:sz w:val="24"/>
          <w:szCs w:val="24"/>
        </w:rPr>
        <w:t>1: Chronological List of Cardiovascular Outcome Trials (CVOTs) Included in the Meta-analysis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24"/>
        <w:gridCol w:w="1216"/>
        <w:gridCol w:w="1589"/>
        <w:gridCol w:w="1169"/>
        <w:gridCol w:w="1259"/>
        <w:gridCol w:w="1049"/>
      </w:tblGrid>
      <w:tr w:rsidR="00EF46B3" w:rsidTr="00486298"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pStyle w:val="a4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</w:rPr>
              <w:t>Author, year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pStyle w:val="a4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</w:rPr>
              <w:t>Study duration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pStyle w:val="a4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</w:rPr>
              <w:t>Treatment group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pStyle w:val="a4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</w:rPr>
              <w:t>No. of patients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pStyle w:val="a4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</w:rPr>
              <w:t>Age (years)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pStyle w:val="a4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</w:rPr>
              <w:t>Men (%)</w:t>
            </w:r>
          </w:p>
        </w:tc>
      </w:tr>
      <w:tr w:rsidR="00EF46B3" w:rsidTr="00486298">
        <w:trPr>
          <w:trHeight w:val="332"/>
        </w:trPr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White, 2013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1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(EXAMINE)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 months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Alogliptin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pStyle w:val="a4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2701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61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67.7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2679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68.0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Lincoff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2014</w:t>
            </w:r>
            <w:r w:rsidRPr="00EF46B3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AleCardio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104 weeks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Aleglitazar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3616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61 ± 10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73.1%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3610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61 ± 10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72.5%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nil"/>
              <w:left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Zinman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, 2015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3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(EMPA-REG)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3.1 years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Empagliflozin 10mg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2345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63.0 ± 8.6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70.5</w:t>
            </w:r>
          </w:p>
        </w:tc>
      </w:tr>
      <w:tr w:rsidR="00EF46B3" w:rsidTr="00486298">
        <w:tc>
          <w:tcPr>
            <w:tcW w:w="1793" w:type="dxa"/>
            <w:vMerge/>
            <w:tcBorders>
              <w:left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Empagliflozin 25mg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2342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63.2±8.6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71.2</w:t>
            </w:r>
          </w:p>
        </w:tc>
      </w:tr>
      <w:tr w:rsidR="00EF46B3" w:rsidTr="00486298">
        <w:tc>
          <w:tcPr>
            <w:tcW w:w="17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2333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63.2 ± 8.8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72.0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Marso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, 2016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4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(LEADER)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3.8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Liraglutide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4668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64.2 ± 7.2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64.5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4672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64.2 ± 7.2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64.9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  <w:t>Marso</w:t>
            </w:r>
            <w:proofErr w:type="spellEnd"/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  <w:t>, 2016</w:t>
            </w:r>
            <w:r w:rsidRPr="00EF46B3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  <w:vertAlign w:val="superscript"/>
              </w:rPr>
              <w:t>5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  <w:t>(SUSTAIN6)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2.1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Semaglutide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0.5 mg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826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64.6 ± 7.3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40.1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Semaglutide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1.0 mg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822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64.7 ± 7.1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37.0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 0.5 mg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64.8 ± 7.6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41.5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 10 mg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825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64.4 ± 7.5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38.5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  <w:t>Holman,2017</w:t>
            </w:r>
            <w:r w:rsidRPr="00EF46B3"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  <w:vertAlign w:val="superscript"/>
              </w:rPr>
              <w:t>6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 w:val="24"/>
              </w:rPr>
              <w:t>(EXSCEL)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3.2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Exenatide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7356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62.0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7396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62.0</w:t>
            </w:r>
          </w:p>
        </w:tc>
      </w:tr>
      <w:tr w:rsidR="00EF46B3" w:rsidTr="00486298">
        <w:trPr>
          <w:trHeight w:val="292"/>
        </w:trPr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Holman, 2017</w:t>
            </w:r>
            <w:r w:rsidRPr="00EF46B3">
              <w:rPr>
                <w:rFonts w:ascii="Times New Roman" w:hAnsi="Times New Roman" w:cs="Times New Roman"/>
                <w:sz w:val="24"/>
                <w:vertAlign w:val="superscript"/>
              </w:rPr>
              <w:t>7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(ACE)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5.0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Acarbose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3272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64.4 ± 8.2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73%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3250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64.3 ± 8.0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73%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Marso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2017</w:t>
            </w:r>
            <w:r w:rsidRPr="00EF46B3">
              <w:rPr>
                <w:rFonts w:ascii="Times New Roman" w:hAnsi="Times New Roman" w:cs="Times New Roman"/>
                <w:sz w:val="24"/>
                <w:vertAlign w:val="superscript"/>
              </w:rPr>
              <w:t>8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(DEVOTE)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1.99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Degludec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3818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64.9 ± 7.3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62.8%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Glargine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3819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65.0 ± 7.5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62.4%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Hernandez,2018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9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(HARMONY)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28 months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Albiglutide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4731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64.1±8.7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70.0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4732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64.2±8.7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69.0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Rosenstock,2018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10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(CARMELINA)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180 weeks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Linagliptin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3494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66.1±9.1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61.5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3485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65.6±9.1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64.3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Wiviott,2018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11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(DECLARE-TIMI 58)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206 weeks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Dapagliflozin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8582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63.9±6.8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63.1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8578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64.0±6.8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62.1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Perkovic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, 2019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12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(CREDENCE)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2.62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Canagliflozin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2202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62.9±9.2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65.4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2199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63.2±9.2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66.7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Gerstein, 2019</w:t>
            </w:r>
            <w:r w:rsidRPr="00EF46B3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13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(REWIND)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5.4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Dulaglutide 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4949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66.2±6.5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53.4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4952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66.2±6.5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53.9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Rosenstock, 2019</w:t>
            </w:r>
            <w:r w:rsidRPr="00EF46B3">
              <w:rPr>
                <w:rFonts w:ascii="Times New Roman" w:hAnsi="Times New Roman" w:cs="Times New Roman"/>
                <w:sz w:val="24"/>
                <w:vertAlign w:val="superscript"/>
              </w:rPr>
              <w:t>14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(CAROLINA)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6.3 years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Linagliptin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3023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63.9±9.5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60.8%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3010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64.2±9.5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59.2%</w:t>
            </w:r>
          </w:p>
        </w:tc>
      </w:tr>
      <w:tr w:rsidR="00EF46B3" w:rsidTr="00486298"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Husain, 2019</w:t>
            </w:r>
            <w:r w:rsidRPr="00EF46B3">
              <w:rPr>
                <w:rFonts w:ascii="Times New Roman" w:hAnsi="Times New Roman" w:cs="Times New Roman"/>
                <w:sz w:val="24"/>
                <w:vertAlign w:val="superscript"/>
              </w:rPr>
              <w:t>15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(PIONEER 6)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15.9 months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Oral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Semaglutide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1591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66±7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68.1%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1592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66±7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68.6%</w:t>
            </w:r>
          </w:p>
        </w:tc>
      </w:tr>
      <w:tr w:rsidR="00EF46B3" w:rsidTr="00486298">
        <w:trPr>
          <w:trHeight w:val="624"/>
        </w:trPr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McMurray, 2019</w:t>
            </w:r>
            <w:r w:rsidRPr="00EF46B3">
              <w:rPr>
                <w:rFonts w:ascii="Times New Roman" w:hAnsi="Times New Roman" w:cs="Times New Roman"/>
                <w:sz w:val="24"/>
                <w:vertAlign w:val="superscript"/>
              </w:rPr>
              <w:t>16</w:t>
            </w:r>
          </w:p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(DAPA-HF)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18.2 months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Dapagliflozin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2373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66.2±11.0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76.2%</w:t>
            </w:r>
          </w:p>
        </w:tc>
      </w:tr>
      <w:tr w:rsidR="00EF46B3" w:rsidTr="00486298">
        <w:tc>
          <w:tcPr>
            <w:tcW w:w="17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PBO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2371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66.5±10.8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46B3" w:rsidRDefault="00EF46B3" w:rsidP="00486298">
            <w:pPr>
              <w:contextualSpacing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77.0%</w:t>
            </w:r>
          </w:p>
        </w:tc>
      </w:tr>
    </w:tbl>
    <w:p w:rsidR="00EF46B3" w:rsidRDefault="00EF46B3" w:rsidP="00EF46B3">
      <w:pPr>
        <w:widowControl/>
        <w:jc w:val="left"/>
        <w:rPr>
          <w:rFonts w:ascii="Times New Roman" w:eastAsia="Shaker2Lancet-Bold" w:hAnsi="Times New Roman" w:cs="Times New Roman"/>
          <w:bCs/>
          <w:color w:val="000000" w:themeColor="text1"/>
          <w:kern w:val="0"/>
          <w:szCs w:val="21"/>
          <w:lang w:bidi="ar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ACE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Shaker2Lancet-Bold" w:hAnsi="Times New Roman" w:cs="Times New Roman"/>
          <w:bCs/>
          <w:color w:val="000000" w:themeColor="text1"/>
          <w:kern w:val="0"/>
          <w:szCs w:val="21"/>
          <w:lang w:bidi="ar"/>
        </w:rPr>
        <w:t>Effects of acarbose on cardiovascular and diabetes outcomes in patients with coronary heart disease and impaired glucose tolerance</w:t>
      </w:r>
    </w:p>
    <w:p w:rsidR="00EF46B3" w:rsidRDefault="00EF46B3" w:rsidP="00EF46B3">
      <w:pPr>
        <w:rPr>
          <w:rFonts w:ascii="Times New Roman" w:eastAsia="宋体" w:hAnsi="Times New Roman" w:cs="Times New Roman"/>
          <w:color w:val="000000" w:themeColor="text1"/>
          <w:kern w:val="36"/>
          <w:szCs w:val="21"/>
        </w:rPr>
      </w:pPr>
      <w:proofErr w:type="spellStart"/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AleCardio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Effect of </w:t>
      </w:r>
      <w:proofErr w:type="spellStart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>Aleglitazar</w:t>
      </w:r>
      <w:proofErr w:type="spellEnd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 on Cardiovascular Outcomes After Acute Coronary Syndrome in Patients </w:t>
      </w:r>
      <w:proofErr w:type="gramStart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>With</w:t>
      </w:r>
      <w:proofErr w:type="gramEnd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 Type 2 Diabetes Mellitus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CANVAS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Canagliflozin and Cardiovascular and Renal Events in Type 2 Diabetes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CARMELINA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The Cardiovascular and Renal Microvascular Outcome Study with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szCs w:val="21"/>
        </w:rPr>
        <w:t>Linagliptin</w:t>
      </w:r>
      <w:proofErr w:type="spellEnd"/>
    </w:p>
    <w:p w:rsidR="00EF46B3" w:rsidRDefault="00EF46B3" w:rsidP="00EF46B3">
      <w:pP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CAROLINA</w:t>
      </w:r>
      <w:r>
        <w:rPr>
          <w:rFonts w:ascii="Times New Roman" w:hAnsi="Times New Roman" w:cs="Times New Roman"/>
          <w:color w:val="000000" w:themeColor="text1"/>
          <w:szCs w:val="21"/>
        </w:rPr>
        <w:t>:</w:t>
      </w:r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>Effect</w:t>
      </w:r>
      <w:proofErr w:type="spellEnd"/>
      <w:proofErr w:type="gramEnd"/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 xml:space="preserve"> of </w:t>
      </w:r>
      <w:proofErr w:type="spellStart"/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>Linagliptin</w:t>
      </w:r>
      <w:proofErr w:type="spellEnd"/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 xml:space="preserve"> vs Glimepiride on Major Adverse Cardiovascular Outcomes in Patients With Type 2 Diabetes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CREDENCE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Canagliflozin and Renal Outcomes in Type 2 Diabetes and Nephropathy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DAPA-HF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>Dapagliflozin in Patients with Heart Failure and Reduced Ejection Fraction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DECLARE-TIMI 58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The Dapagliflozin Effect on Cardiovascular Events-Thrombolysis in Myocardial Infarction</w:t>
      </w:r>
    </w:p>
    <w:p w:rsidR="00EF46B3" w:rsidRDefault="00EF46B3" w:rsidP="00EF46B3">
      <w:pP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DEVOTE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Efficacy and Safety of </w:t>
      </w:r>
      <w:proofErr w:type="spellStart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>Degludec</w:t>
      </w:r>
      <w:proofErr w:type="spellEnd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 versus Glargine in Type 2 Diabetes</w:t>
      </w:r>
    </w:p>
    <w:p w:rsidR="00EF46B3" w:rsidRDefault="00EF46B3" w:rsidP="00EF46B3">
      <w:pP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kern w:val="36"/>
          <w:szCs w:val="21"/>
        </w:rPr>
        <w:t>EMPA-REG</w:t>
      </w:r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231F20"/>
          <w:kern w:val="0"/>
          <w:szCs w:val="21"/>
          <w:lang w:bidi="ar"/>
        </w:rPr>
        <w:t>Empagliflozin, Cardiovascular Outcomes, and Mortality in Type 2 Diabetes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EXAMINE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szCs w:val="21"/>
        </w:rPr>
        <w:t>Alogliptin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 after Acute Coronary Syndrome in Patients with Type 2 Diabetes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EXSCEL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Exenatide Study of Cardiovascular Event Lowering study</w:t>
      </w:r>
    </w:p>
    <w:p w:rsidR="00EF46B3" w:rsidRDefault="00EF46B3" w:rsidP="00EF46B3">
      <w:pPr>
        <w:rPr>
          <w:rFonts w:ascii="Times New Roman" w:hAnsi="Times New Roman" w:cs="Times New Roman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HARMONY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Albiglutide and Cardiovascular Outcomes in Patients with Type 2 Diabetes and Cardiovascular Disease</w:t>
      </w:r>
    </w:p>
    <w:p w:rsidR="00EF46B3" w:rsidRDefault="00EF46B3" w:rsidP="00EF46B3">
      <w:pPr>
        <w:rPr>
          <w:rFonts w:ascii="Times New Roman" w:hAnsi="Times New Roman" w:cs="Times New Roman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LEADER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Liraglutide and Cardiovascular Outcomes in Type 2 Diabetes</w:t>
      </w:r>
    </w:p>
    <w:p w:rsidR="00EF46B3" w:rsidRDefault="00EF46B3" w:rsidP="00EF46B3">
      <w:pP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PIONEER 6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Oral </w:t>
      </w:r>
      <w:proofErr w:type="spellStart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>Semaglutide</w:t>
      </w:r>
      <w:proofErr w:type="spellEnd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 and Cardiovascular Outcomes in Patients with Type 2 Diabetes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REWIND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Dulaglutide and Cardiovascular Outcomes in Type 2 Diabetes</w:t>
      </w:r>
    </w:p>
    <w:p w:rsidR="00EF46B3" w:rsidRDefault="00EF46B3" w:rsidP="00EF46B3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SUSTAIN 6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szCs w:val="21"/>
        </w:rPr>
        <w:t>Semaglutide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 and Cardiovascular Outcomes in Patients with Type 2 Diabetes</w:t>
      </w:r>
    </w:p>
    <w:p w:rsidR="00EF46B3" w:rsidRPr="00EF46B3" w:rsidRDefault="00EF46B3">
      <w:pPr>
        <w:rPr>
          <w:rFonts w:hint="eastAsia"/>
          <w:bCs/>
          <w:color w:val="0000FF"/>
          <w:sz w:val="24"/>
        </w:rPr>
        <w:sectPr w:rsidR="00EF46B3" w:rsidRPr="00EF46B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F2A6D" w:rsidRDefault="00AD30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Table S</w:t>
      </w:r>
      <w:r w:rsidR="00EF46B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2: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Risk of bias for included studies in this meta-analysis.</w:t>
      </w:r>
    </w:p>
    <w:tbl>
      <w:tblPr>
        <w:tblStyle w:val="a5"/>
        <w:tblW w:w="14903" w:type="dxa"/>
        <w:tblInd w:w="-644" w:type="dxa"/>
        <w:tblLayout w:type="fixed"/>
        <w:tblLook w:val="04A0" w:firstRow="1" w:lastRow="0" w:firstColumn="1" w:lastColumn="0" w:noHBand="0" w:noVBand="1"/>
      </w:tblPr>
      <w:tblGrid>
        <w:gridCol w:w="1500"/>
        <w:gridCol w:w="1508"/>
        <w:gridCol w:w="1186"/>
        <w:gridCol w:w="1519"/>
        <w:gridCol w:w="1600"/>
        <w:gridCol w:w="3680"/>
        <w:gridCol w:w="1680"/>
        <w:gridCol w:w="2230"/>
      </w:tblGrid>
      <w:tr w:rsidR="008F2A6D">
        <w:tc>
          <w:tcPr>
            <w:tcW w:w="1500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</w:rPr>
              <w:t>Author, year</w:t>
            </w:r>
          </w:p>
        </w:tc>
        <w:tc>
          <w:tcPr>
            <w:tcW w:w="1508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Adequate randomization sequence generation</w:t>
            </w:r>
          </w:p>
        </w:tc>
        <w:tc>
          <w:tcPr>
            <w:tcW w:w="1186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Adequate </w:t>
            </w:r>
          </w:p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allocation concealment</w:t>
            </w:r>
          </w:p>
        </w:tc>
        <w:tc>
          <w:tcPr>
            <w:tcW w:w="1519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Blinding </w:t>
            </w:r>
          </w:p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of participants and caregivers</w:t>
            </w:r>
          </w:p>
        </w:tc>
        <w:tc>
          <w:tcPr>
            <w:tcW w:w="1600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Binding of </w:t>
            </w:r>
          </w:p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outcome assessors </w:t>
            </w:r>
          </w:p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and adjudicators</w:t>
            </w:r>
          </w:p>
        </w:tc>
        <w:tc>
          <w:tcPr>
            <w:tcW w:w="3680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Free of infrequent </w:t>
            </w:r>
          </w:p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missing outcome data</w:t>
            </w:r>
          </w:p>
        </w:tc>
        <w:tc>
          <w:tcPr>
            <w:tcW w:w="1680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Free of selective outcome reporting</w:t>
            </w:r>
          </w:p>
        </w:tc>
        <w:tc>
          <w:tcPr>
            <w:tcW w:w="2230" w:type="dxa"/>
            <w:vAlign w:val="center"/>
          </w:tcPr>
          <w:p w:rsidR="008F2A6D" w:rsidRDefault="00AD3021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Free of other bias</w:t>
            </w: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White, 2013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(EXAMINE)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no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There were 22.6% (606/2679) and 21.9% (564/2701) patients in active agent and placebo groups with missing outcome data, respectively; 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t>missing outcome data were generally balanced across treatment groups, with similar reasons for missing data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Lincoff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, 2014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AleCardio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</w:p>
        </w:tc>
        <w:tc>
          <w:tcPr>
            <w:tcW w:w="1508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using a permuted block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randomizationwithout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 stratification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through an interactive telephone and web system</w:t>
            </w:r>
          </w:p>
        </w:tc>
        <w:tc>
          <w:tcPr>
            <w:tcW w:w="1186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There were 6.2% (225/3616) and 6.3% (227/3616) patients in active agent and placebo groups with missing outcome data, respectively; </w:t>
            </w:r>
            <w:r>
              <w:rPr>
                <w:rFonts w:ascii="Times New Roman" w:eastAsia="DengXian" w:hAnsi="Times New Roman" w:cs="Times New Roman"/>
                <w:sz w:val="16"/>
                <w:szCs w:val="16"/>
              </w:rPr>
              <w:t>missing outcome data were generally balanced across treatment groups, with similar reasons for missing data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Zinman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, 2015</w:t>
            </w:r>
            <w:r>
              <w:rPr>
                <w:rFonts w:ascii="Times New Roman" w:eastAsia="DengXian" w:hAnsi="Times New Roman" w:cs="Times New Roman"/>
                <w:color w:val="000000"/>
                <w:szCs w:val="21"/>
                <w:vertAlign w:val="superscript"/>
              </w:rPr>
              <w:t>3</w:t>
            </w:r>
          </w:p>
          <w:p w:rsidR="008F2A6D" w:rsidRDefault="00AD3021">
            <w:pPr>
              <w:jc w:val="lef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(EMPA-REG)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a computer-generated random-sequence and interactive voice-</w:t>
            </w: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lastRenderedPageBreak/>
              <w:t>and web-response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lastRenderedPageBreak/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  <w:p w:rsidR="008F2A6D" w:rsidRDefault="008F2A6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There were 3.1% (144/4687) and 2.9% (67/2333) patients in active agent and placebo groups with missing outcome data, respectively; missing outcome data were generally balanced across treatment groups, </w:t>
            </w: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lastRenderedPageBreak/>
              <w:t>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lastRenderedPageBreak/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  <w:p w:rsidR="008F2A6D" w:rsidRDefault="008F2A6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Marso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, 2016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4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(LEADER)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the interactive voice/web response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(details not reported)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1.5% (25/1648) and 2.4% (40/1649)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  <w:t>Marso</w:t>
            </w:r>
            <w:proofErr w:type="spellEnd"/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  <w:t>, 2016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  <w:vertAlign w:val="superscript"/>
              </w:rPr>
              <w:t>5</w:t>
            </w:r>
          </w:p>
          <w:p w:rsidR="008F2A6D" w:rsidRDefault="00AD3021">
            <w:pPr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  <w:t>(SUSTAIN6)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(details not reported)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3.0% (139/4668) and 3.4% (159/4672)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  <w:t>Holman,2017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  <w:vertAlign w:val="superscript"/>
              </w:rPr>
              <w:t>6</w:t>
            </w:r>
          </w:p>
          <w:p w:rsidR="008F2A6D" w:rsidRDefault="00AD3021">
            <w:pPr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36"/>
                <w:szCs w:val="21"/>
              </w:rPr>
              <w:t>(EXSCEL)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an interactive voice-response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3.6% (262/7356) and 4.1% (303/7396)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Holman, 2017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7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B0F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(ACE)</w:t>
            </w:r>
          </w:p>
        </w:tc>
        <w:tc>
          <w:tcPr>
            <w:tcW w:w="1508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randomization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sequence (coded as A or B) generated by a Diabetes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lastRenderedPageBreak/>
              <w:t>Trials Unit statistician unconnected to the trial and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uploaded to the electronic Rave Trial Management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lastRenderedPageBreak/>
              <w:t>Probably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5.8% (189/3272) and 6% (195/3250)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</w:tr>
      <w:tr w:rsidR="008F2A6D">
        <w:tc>
          <w:tcPr>
            <w:tcW w:w="1500" w:type="dxa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Marso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, 2017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8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B0F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(DEVOTE)</w:t>
            </w:r>
          </w:p>
        </w:tc>
        <w:tc>
          <w:tcPr>
            <w:tcW w:w="1508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</w:t>
            </w:r>
          </w:p>
        </w:tc>
        <w:tc>
          <w:tcPr>
            <w:tcW w:w="1186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(details not reported)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2.0% (76/3818) and 1.9% (72/3819) patients in detemir and glargine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Hernandez,2018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9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(HARMONY)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a computer-generated randomization code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2.5% (111/4371) and 3.3% (154/4732)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Rosenstock,2018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10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(CARMELINA)</w:t>
            </w:r>
          </w:p>
        </w:tc>
        <w:tc>
          <w:tcPr>
            <w:tcW w:w="1508" w:type="dxa"/>
          </w:tcPr>
          <w:p w:rsidR="008F2A6D" w:rsidRDefault="00AD3021">
            <w:pPr>
              <w:rPr>
                <w:rFonts w:ascii="Times New Roman" w:eastAsia="PingFang SC Regular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PingFang SC Regular" w:hAnsi="Times New Roman" w:cs="Times New Roman"/>
                <w:color w:val="000000"/>
                <w:kern w:val="0"/>
                <w:sz w:val="16"/>
                <w:szCs w:val="16"/>
              </w:rPr>
              <w:t xml:space="preserve">Using </w:t>
            </w:r>
            <w:proofErr w:type="spellStart"/>
            <w:proofErr w:type="gramStart"/>
            <w:r>
              <w:rPr>
                <w:rFonts w:ascii="Times New Roman" w:eastAsia="PingFang SC Regular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  <w:proofErr w:type="spellEnd"/>
            <w:proofErr w:type="gramEnd"/>
            <w:r>
              <w:rPr>
                <w:rFonts w:ascii="Times New Roman" w:eastAsia="PingFang SC Regular" w:hAnsi="Times New Roman" w:cs="Times New Roman"/>
                <w:color w:val="000000"/>
                <w:kern w:val="0"/>
                <w:sz w:val="16"/>
                <w:szCs w:val="16"/>
              </w:rPr>
              <w:t xml:space="preserve"> interactive telephone/web–based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no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23.9% (834/3494) and 27.3% (955/3492) patients in active 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Wiviott,2018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11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(DECLARE-TIMI 58)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Using an interactive-voice/web response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1.3% (109/8582) and 1.7% (145/8578)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Perkovic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, 2019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12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(CREDENCE)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an interactive web response system with a computer-generated randomization schedule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0.68% (15/2202) and 1.1% (25/2174)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</w:tr>
      <w:tr w:rsidR="008F2A6D">
        <w:tc>
          <w:tcPr>
            <w:tcW w:w="1500" w:type="dxa"/>
            <w:vAlign w:val="center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Gerstein, 2019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13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(REWIND)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2.7% (132/4949) and 3.2% (159/4935)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Rosenstock, 2019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14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B0F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(CAROLINA)</w:t>
            </w:r>
          </w:p>
        </w:tc>
        <w:tc>
          <w:tcPr>
            <w:tcW w:w="1508" w:type="dxa"/>
          </w:tcPr>
          <w:p w:rsidR="008F2A6D" w:rsidRDefault="00AD3021">
            <w:pP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a computer-generated random sequence and an interactive voice and web response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  <w:p w:rsidR="008F2A6D" w:rsidRDefault="008F2A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no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37.3% (1127/3023) and 39.1% (1178/3010) patients in active agent and control groups with missing outcome data, respectively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Husain, 2019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15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color w:val="00B0F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(PIONEER 6)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an interactive-voice/web response system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0.3% (5/1591) and 0.4% (6/1592)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  <w:tr w:rsidR="008F2A6D">
        <w:tc>
          <w:tcPr>
            <w:tcW w:w="1500" w:type="dxa"/>
          </w:tcPr>
          <w:p w:rsidR="008F2A6D" w:rsidRDefault="00AD3021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McMurray, 2019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16</w:t>
            </w:r>
          </w:p>
          <w:p w:rsidR="008F2A6D" w:rsidRDefault="00AD30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(DAPA-HF)</w:t>
            </w:r>
          </w:p>
        </w:tc>
        <w:tc>
          <w:tcPr>
            <w:tcW w:w="1508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Using a computer-generated randomization code</w:t>
            </w:r>
          </w:p>
        </w:tc>
        <w:tc>
          <w:tcPr>
            <w:tcW w:w="1186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Randomized, double-blind</w:t>
            </w:r>
          </w:p>
        </w:tc>
        <w:tc>
          <w:tcPr>
            <w:tcW w:w="1519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Double-blind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(participant,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investigator)</w:t>
            </w:r>
          </w:p>
        </w:tc>
        <w:tc>
          <w:tcPr>
            <w:tcW w:w="160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368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There were 10.5% (249/2373) and 10.9% (258/2371) patients in active agent and placebo groups with missing outcome data, respectively; missing outcome data were generally balanced across treatment groups, with similar reasons for missing data across groups</w:t>
            </w:r>
          </w:p>
        </w:tc>
        <w:tc>
          <w:tcPr>
            <w:tcW w:w="1680" w:type="dxa"/>
          </w:tcPr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Definitely yes</w:t>
            </w:r>
          </w:p>
        </w:tc>
        <w:tc>
          <w:tcPr>
            <w:tcW w:w="2230" w:type="dxa"/>
          </w:tcPr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kern w:val="0"/>
                <w:sz w:val="16"/>
                <w:szCs w:val="16"/>
              </w:rPr>
              <w:t>Probably yes</w:t>
            </w:r>
          </w:p>
          <w:p w:rsidR="008F2A6D" w:rsidRDefault="00AD302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Generally balanced baseline</w:t>
            </w:r>
          </w:p>
          <w:p w:rsidR="008F2A6D" w:rsidRDefault="00AD302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characteristics across groups</w:t>
            </w:r>
          </w:p>
        </w:tc>
      </w:tr>
    </w:tbl>
    <w:p w:rsidR="008F2A6D" w:rsidRDefault="00AD3021">
      <w:pPr>
        <w:widowControl/>
        <w:jc w:val="left"/>
        <w:rPr>
          <w:rFonts w:ascii="Times New Roman" w:eastAsia="Shaker2Lancet-Bold" w:hAnsi="Times New Roman" w:cs="Times New Roman"/>
          <w:bCs/>
          <w:color w:val="000000" w:themeColor="text1"/>
          <w:kern w:val="0"/>
          <w:szCs w:val="21"/>
          <w:lang w:bidi="ar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ACE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Shaker2Lancet-Bold" w:hAnsi="Times New Roman" w:cs="Times New Roman"/>
          <w:bCs/>
          <w:color w:val="000000" w:themeColor="text1"/>
          <w:kern w:val="0"/>
          <w:szCs w:val="21"/>
          <w:lang w:bidi="ar"/>
        </w:rPr>
        <w:t>Effects of acarbose on cardiovascular and diabetes outcomes in patients with coronary heart disease and impaired glucose tolerance</w:t>
      </w:r>
    </w:p>
    <w:p w:rsidR="008F2A6D" w:rsidRDefault="00AD3021">
      <w:pPr>
        <w:rPr>
          <w:rFonts w:ascii="Times New Roman" w:eastAsia="宋体" w:hAnsi="Times New Roman" w:cs="Times New Roman"/>
          <w:color w:val="000000" w:themeColor="text1"/>
          <w:kern w:val="36"/>
          <w:szCs w:val="21"/>
        </w:rPr>
      </w:pPr>
      <w:proofErr w:type="spellStart"/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AleCardio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Effect of </w:t>
      </w:r>
      <w:proofErr w:type="spellStart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>Aleglitazar</w:t>
      </w:r>
      <w:proofErr w:type="spellEnd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 on Cardiovascular Outcomes After Acute Coronary Syndrome in Patients </w:t>
      </w:r>
      <w:proofErr w:type="gramStart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>With</w:t>
      </w:r>
      <w:proofErr w:type="gramEnd"/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 Type 2 Diabetes Mellitus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CANVAS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Canagliflozin and Cardiovascular and Renal Events in Type 2 Diabetes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CARMELINA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The Cardiovascular and Renal Microvascular Outcome Study with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szCs w:val="21"/>
        </w:rPr>
        <w:t>Linagliptin</w:t>
      </w:r>
      <w:proofErr w:type="spellEnd"/>
    </w:p>
    <w:p w:rsidR="008F2A6D" w:rsidRDefault="00AD3021">
      <w:pP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CAROLINA</w:t>
      </w:r>
      <w:r>
        <w:rPr>
          <w:rFonts w:ascii="Times New Roman" w:hAnsi="Times New Roman" w:cs="Times New Roman"/>
          <w:color w:val="000000" w:themeColor="text1"/>
          <w:szCs w:val="21"/>
        </w:rPr>
        <w:t>:</w:t>
      </w:r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>Effect</w:t>
      </w:r>
      <w:proofErr w:type="spellEnd"/>
      <w:proofErr w:type="gramEnd"/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 xml:space="preserve"> of </w:t>
      </w:r>
      <w:proofErr w:type="spellStart"/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>Linagliptin</w:t>
      </w:r>
      <w:proofErr w:type="spellEnd"/>
      <w:r>
        <w:rPr>
          <w:rFonts w:ascii="Times New Roman" w:eastAsia="GuardianSans-Medium" w:hAnsi="Times New Roman" w:cs="Times New Roman"/>
          <w:color w:val="000000" w:themeColor="text1"/>
          <w:kern w:val="0"/>
          <w:szCs w:val="21"/>
          <w:lang w:bidi="ar"/>
        </w:rPr>
        <w:t xml:space="preserve"> vs Glimepiride on Major Adverse Cardiovascular Outcomes in Patients With Type 2 Diabetes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CREDENCE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Canagliflozin and Renal Outcomes in Type 2 Diabetes and Nephropathy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DAPA-HF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>Dapagliflozin in Patients with Heart Failure and Reduced Ejection Fraction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DECLARE-TIMI 58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The Dapagliflozin Effect on Cardiovascular Events-Thrombolysis in Myocardial Infarction</w:t>
      </w:r>
    </w:p>
    <w:p w:rsidR="008F2A6D" w:rsidRDefault="00AD3021">
      <w:pP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DEVOTE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Efficacy and Safety of </w:t>
      </w:r>
      <w:proofErr w:type="spellStart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>Degludec</w:t>
      </w:r>
      <w:proofErr w:type="spellEnd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 versus Glargine in Type 2 Diabetes</w:t>
      </w:r>
    </w:p>
    <w:p w:rsidR="008F2A6D" w:rsidRDefault="00AD3021">
      <w:pP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kern w:val="36"/>
          <w:szCs w:val="21"/>
        </w:rPr>
        <w:t>EMPA-REG</w:t>
      </w:r>
      <w:r>
        <w:rPr>
          <w:rFonts w:ascii="Times New Roman" w:eastAsia="宋体" w:hAnsi="Times New Roman" w:cs="Times New Roman"/>
          <w:color w:val="000000" w:themeColor="text1"/>
          <w:kern w:val="36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231F20"/>
          <w:kern w:val="0"/>
          <w:szCs w:val="21"/>
          <w:lang w:bidi="ar"/>
        </w:rPr>
        <w:t>Empagliflozin, Cardiovascular Outcomes, and Mortality in Type 2 Diabetes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EXAMINE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szCs w:val="21"/>
        </w:rPr>
        <w:t>Alogliptin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 after Acute Coronary Syndrome in Patients with Type 2 Diabetes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EXSCEL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Exenatide Study of Cardiovascular Event Lowering study</w:t>
      </w:r>
    </w:p>
    <w:p w:rsidR="008F2A6D" w:rsidRDefault="00AD3021">
      <w:pPr>
        <w:rPr>
          <w:rFonts w:ascii="Times New Roman" w:hAnsi="Times New Roman" w:cs="Times New Roman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HARMONY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Albiglutide and Cardiovascular Outcomes in Patients with Type 2 Diabetes and Cardiovascular Disease</w:t>
      </w:r>
    </w:p>
    <w:p w:rsidR="008F2A6D" w:rsidRDefault="00AD3021">
      <w:pPr>
        <w:rPr>
          <w:rFonts w:ascii="Times New Roman" w:hAnsi="Times New Roman" w:cs="Times New Roman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LEADER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Liraglutide and Cardiovascular Outcomes in Type 2 Diabetes</w:t>
      </w:r>
    </w:p>
    <w:p w:rsidR="008F2A6D" w:rsidRDefault="00AD3021">
      <w:pP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lastRenderedPageBreak/>
        <w:t>PIONEER 6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</w:t>
      </w:r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Oral </w:t>
      </w:r>
      <w:proofErr w:type="spellStart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>Semaglutide</w:t>
      </w:r>
      <w:proofErr w:type="spellEnd"/>
      <w:r>
        <w:rPr>
          <w:rFonts w:ascii="Times New Roman" w:eastAsia="OTNEJMQuadraat" w:hAnsi="Times New Roman" w:cs="Times New Roman"/>
          <w:color w:val="000000" w:themeColor="text1"/>
          <w:kern w:val="0"/>
          <w:szCs w:val="21"/>
          <w:lang w:bidi="ar"/>
        </w:rPr>
        <w:t xml:space="preserve"> and Cardiovascular Outcomes in Patients with Type 2 Diabetes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REWIND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>: Dulaglutide and Cardiovascular Outcomes in Type 2 Diabetes</w:t>
      </w:r>
    </w:p>
    <w:p w:rsidR="008F2A6D" w:rsidRDefault="00AD3021">
      <w:pPr>
        <w:rPr>
          <w:rFonts w:ascii="Times New Roman" w:eastAsiaTheme="majorEastAsia" w:hAnsi="Times New Roman" w:cs="Times New Roman"/>
          <w:color w:val="000000" w:themeColor="text1"/>
          <w:szCs w:val="21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Cs w:val="21"/>
        </w:rPr>
        <w:t>SUSTAIN 6</w:t>
      </w:r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: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szCs w:val="21"/>
        </w:rPr>
        <w:t>Semaglutide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szCs w:val="21"/>
        </w:rPr>
        <w:t xml:space="preserve"> and Cardiovascular Outcomes in Patients with Type 2 Diabetes</w:t>
      </w:r>
    </w:p>
    <w:p w:rsidR="009121E8" w:rsidRDefault="009121E8">
      <w:pPr>
        <w:rPr>
          <w:rFonts w:eastAsiaTheme="majorEastAsia" w:hAnsiTheme="majorEastAsia" w:cstheme="majorEastAsia"/>
          <w:color w:val="000000" w:themeColor="text1"/>
          <w:szCs w:val="21"/>
        </w:rPr>
        <w:sectPr w:rsidR="009121E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121E8" w:rsidRPr="00E97AFD" w:rsidRDefault="009121E8" w:rsidP="009121E8">
      <w:pPr>
        <w:contextualSpacing/>
        <w:mirrorIndents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Table S</w:t>
      </w:r>
      <w:r w:rsidR="00EF46B3"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/>
          <w:b/>
          <w:bCs/>
          <w:sz w:val="24"/>
        </w:rPr>
        <w:t>: Primary Outcomes of CVOTs Stratified by Race</w:t>
      </w:r>
      <w:r>
        <w:rPr>
          <w:rFonts w:ascii="Times New Roman" w:hAnsi="Times New Roman" w:cs="Times New Roman" w:hint="eastAsia"/>
          <w:b/>
          <w:bCs/>
          <w:sz w:val="24"/>
        </w:rPr>
        <w:t>/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 w:hint="eastAsia"/>
          <w:b/>
          <w:bCs/>
          <w:sz w:val="24"/>
        </w:rPr>
        <w:t>thni</w:t>
      </w:r>
      <w:r>
        <w:rPr>
          <w:rFonts w:ascii="Times New Roman" w:hAnsi="Times New Roman" w:cs="Times New Roman"/>
          <w:b/>
          <w:bCs/>
          <w:sz w:val="24"/>
        </w:rPr>
        <w:t xml:space="preserve">city </w:t>
      </w:r>
    </w:p>
    <w:tbl>
      <w:tblPr>
        <w:tblStyle w:val="a5"/>
        <w:tblW w:w="9655" w:type="dxa"/>
        <w:tblInd w:w="-224" w:type="dxa"/>
        <w:tblLook w:val="04A0" w:firstRow="1" w:lastRow="0" w:firstColumn="1" w:lastColumn="0" w:noHBand="0" w:noVBand="1"/>
      </w:tblPr>
      <w:tblGrid>
        <w:gridCol w:w="1190"/>
        <w:gridCol w:w="1342"/>
        <w:gridCol w:w="2691"/>
        <w:gridCol w:w="1337"/>
        <w:gridCol w:w="1247"/>
        <w:gridCol w:w="1136"/>
        <w:gridCol w:w="712"/>
      </w:tblGrid>
      <w:tr w:rsidR="009121E8" w:rsidTr="00B232B1">
        <w:tc>
          <w:tcPr>
            <w:tcW w:w="2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Race</w:t>
            </w:r>
            <w:r>
              <w:rPr>
                <w:rFonts w:ascii="Times New Roman" w:hAnsi="Times New Roman" w:cs="Times New Roman" w:hint="eastAsia"/>
                <w:sz w:val="24"/>
              </w:rPr>
              <w:t>/</w:t>
            </w:r>
            <w:r>
              <w:rPr>
                <w:rFonts w:ascii="Times New Roman" w:hAnsi="Times New Roman" w:cs="Times New Roman"/>
                <w:sz w:val="24"/>
              </w:rPr>
              <w:t>Ethnic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groups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Number of participants</w:t>
            </w:r>
          </w:p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(Active/Control)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Proportions (%)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Odds ratio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95%CI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</w:tr>
      <w:tr w:rsidR="009121E8" w:rsidTr="00B232B1"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846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40396/40209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67.15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0.86-0.94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11050/10643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18.07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0.76-0.90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2586/2655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4.37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0.69-1.32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6276/6216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10.41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0.81-1.04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12%</w:t>
            </w:r>
          </w:p>
        </w:tc>
      </w:tr>
      <w:tr w:rsidR="009121E8" w:rsidTr="00B232B1"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outcomes of CVOTs in placebo-controlled trials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35288/35135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65.96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0.85-0.93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10202/9781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18.72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0.76-0.91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2301/2361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4.37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0.76-1.46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5868/5826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10.95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0.81-1.04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22%</w:t>
            </w:r>
          </w:p>
        </w:tc>
      </w:tr>
      <w:tr w:rsidR="009121E8" w:rsidTr="00B232B1"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 restricted to MACE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37247/27094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63.77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0.88-0.96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10073/9627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19.53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0.78-0.94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2352/2439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0.70-1.49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6061/5993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11.95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0.82-1.05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11%</w:t>
            </w:r>
          </w:p>
        </w:tc>
      </w:tr>
      <w:tr w:rsidR="009121E8" w:rsidTr="00B232B1">
        <w:trPr>
          <w:trHeight w:val="272"/>
        </w:trPr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 in treatment with GLP-1RA</w:t>
            </w:r>
          </w:p>
        </w:tc>
      </w:tr>
      <w:tr w:rsidR="009121E8" w:rsidTr="00B232B1">
        <w:trPr>
          <w:trHeight w:val="272"/>
        </w:trPr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18203/18239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72.98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0.82-0.94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2101/2130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8.47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0.53-0.82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1120/1173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4.59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0.62-1.90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3517/3448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13.95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0.75-1.02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11%</w:t>
            </w:r>
          </w:p>
        </w:tc>
      </w:tr>
      <w:tr w:rsidR="009121E8" w:rsidTr="00B232B1"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 in treatment with DPP4 inhibitor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7010/6902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66.87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0.88-1.07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1342/1369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13.03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0.80-1.31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1102/1141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10.78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1.04-1.77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965/974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9.32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0.92-1.64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16%</w:t>
            </w:r>
          </w:p>
        </w:tc>
      </w:tr>
      <w:tr w:rsidR="009121E8" w:rsidTr="00B232B1"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 in treatment with SGLT2 inhibitor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9992/9925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70.18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0.77-0.91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3076/2620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20.07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0.60-0.85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234/216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1.59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0.46-1.15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1161/1154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8.16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0.60-1.14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  <w:tr w:rsidR="009121E8" w:rsidTr="00B232B1"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 in treatment with basal insulin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2891/2882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79.51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0.80-1.14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317/332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8.94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0.21-0.81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130/125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3.51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0.11-0.75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302/282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8.04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0.42-1.50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 in treatment with PPAR antagonist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2300/2259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63.92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0.85-1.25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942/942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26.42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0.50-1.03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331/358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9.66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0.53-1.43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96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Primary outcome in treatment with AGI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White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Asian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3272/3250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0.85-1.11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Black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  <w:tr w:rsidR="009121E8" w:rsidTr="00B232B1">
        <w:tc>
          <w:tcPr>
            <w:tcW w:w="25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21E8" w:rsidRDefault="009121E8" w:rsidP="00B232B1">
            <w:pPr>
              <w:contextualSpacing/>
              <w:mirrorIndents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</w:t>
            </w:r>
          </w:p>
        </w:tc>
      </w:tr>
    </w:tbl>
    <w:p w:rsidR="009121E8" w:rsidRDefault="009121E8" w:rsidP="009121E8">
      <w:pPr>
        <w:contextualSpacing/>
        <w:mirrorIndents/>
        <w:rPr>
          <w:rFonts w:ascii="Times New Roman" w:hAnsi="Times New Roman" w:cs="Times New Roman"/>
          <w:sz w:val="24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9121E8" w:rsidRDefault="009121E8">
      <w:pPr>
        <w:rPr>
          <w:rFonts w:ascii="Times New Roman" w:hAnsi="Times New Roman" w:cs="Times New Roman"/>
        </w:rPr>
      </w:pPr>
    </w:p>
    <w:p w:rsidR="008F2A6D" w:rsidRPr="009121E8" w:rsidRDefault="009121E8">
      <w:pPr>
        <w:rPr>
          <w:rFonts w:ascii="Times New Roman" w:hAnsi="Times New Roman" w:cs="Times New Roman"/>
          <w:b/>
          <w:sz w:val="24"/>
        </w:rPr>
      </w:pPr>
      <w:r w:rsidRPr="009121E8">
        <w:rPr>
          <w:rFonts w:ascii="Times New Roman" w:hAnsi="Times New Roman" w:cs="Times New Roman"/>
          <w:b/>
          <w:sz w:val="24"/>
        </w:rPr>
        <w:lastRenderedPageBreak/>
        <w:t>Reference: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White WB, Cannon CP, Heller SR, et al.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Alogliptin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after acute coronary syndrome in patients with type 2 diabetes.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2013; 369: 1327-1335.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Lincoff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A </w:t>
      </w:r>
      <w:proofErr w:type="gramStart"/>
      <w:r w:rsidRPr="00EF46B3">
        <w:rPr>
          <w:rFonts w:ascii="Times" w:hAnsi="Times" w:cs="Times New Roman"/>
          <w:color w:val="000000" w:themeColor="text1"/>
          <w:sz w:val="24"/>
        </w:rPr>
        <w:t>M ,</w:t>
      </w:r>
      <w:proofErr w:type="gramEnd"/>
      <w:r w:rsidRPr="00EF46B3">
        <w:rPr>
          <w:rFonts w:ascii="Times" w:hAnsi="Times" w:cs="Times New Roman"/>
          <w:color w:val="000000" w:themeColor="text1"/>
          <w:sz w:val="24"/>
        </w:rPr>
        <w:t xml:space="preserve"> Tardif J C , Schwartz G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G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, et al. Effect of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Aleglitazar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on Cardiovascular Outcomes After Acute Coronary Syndrome in Patients With Type 2 Diabetes Mellitus: The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AleCardio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Randomized Clinical Trial. JAMA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2014; 311(15):1515.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Zinman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B,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Wanner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C,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Lachin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JM, et al. Empagliflozin, Cardiovascular Outcomes, and Mortality in Type 2 Diabetes.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2015; 373: 2117-2128.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Marso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SP, Daniels GH, Brown-Frandsen K, et al. Liraglutide and Cardiovascular Outcomes in Type 2 Diabetes.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2016; 375: 311-322.</w:t>
      </w:r>
    </w:p>
    <w:p w:rsidR="008F2A6D" w:rsidRPr="00EF46B3" w:rsidRDefault="00EF46B3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hyperlink r:id="rId18" w:history="1">
        <w:r w:rsidR="00AD3021" w:rsidRPr="00EF46B3">
          <w:rPr>
            <w:rFonts w:ascii="Times" w:hAnsi="Times" w:cs="Times New Roman"/>
            <w:color w:val="000000" w:themeColor="text1"/>
            <w:sz w:val="24"/>
          </w:rPr>
          <w:t>Marso SP</w:t>
        </w:r>
      </w:hyperlink>
      <w:r w:rsidR="00AD3021" w:rsidRPr="00EF46B3">
        <w:rPr>
          <w:rFonts w:ascii="Times" w:hAnsi="Times" w:cs="Times New Roman"/>
          <w:color w:val="000000" w:themeColor="text1"/>
          <w:sz w:val="24"/>
        </w:rPr>
        <w:t xml:space="preserve">, </w:t>
      </w:r>
      <w:hyperlink r:id="rId19" w:history="1">
        <w:r w:rsidR="00AD3021" w:rsidRPr="00EF46B3">
          <w:rPr>
            <w:rFonts w:ascii="Times" w:hAnsi="Times" w:cs="Times New Roman"/>
            <w:color w:val="000000" w:themeColor="text1"/>
            <w:sz w:val="24"/>
          </w:rPr>
          <w:t>Bain SC</w:t>
        </w:r>
      </w:hyperlink>
      <w:r w:rsidR="00AD3021" w:rsidRPr="00EF46B3">
        <w:rPr>
          <w:rFonts w:ascii="Times" w:hAnsi="Times" w:cs="Times New Roman"/>
          <w:color w:val="000000" w:themeColor="text1"/>
          <w:sz w:val="24"/>
        </w:rPr>
        <w:t xml:space="preserve">, </w:t>
      </w:r>
      <w:hyperlink r:id="rId20" w:history="1">
        <w:r w:rsidR="00AD3021" w:rsidRPr="00EF46B3">
          <w:rPr>
            <w:rFonts w:ascii="Times" w:hAnsi="Times" w:cs="Times New Roman"/>
            <w:color w:val="000000" w:themeColor="text1"/>
            <w:sz w:val="24"/>
          </w:rPr>
          <w:t>Consoli A</w:t>
        </w:r>
      </w:hyperlink>
      <w:r w:rsidR="00AD3021" w:rsidRPr="00EF46B3">
        <w:rPr>
          <w:rFonts w:ascii="Times" w:hAnsi="Times" w:cs="Times New Roman"/>
          <w:color w:val="000000" w:themeColor="text1"/>
          <w:sz w:val="24"/>
        </w:rPr>
        <w:t xml:space="preserve">, et al. </w:t>
      </w:r>
      <w:proofErr w:type="spellStart"/>
      <w:r w:rsidR="00AD3021" w:rsidRPr="00EF46B3">
        <w:rPr>
          <w:rFonts w:ascii="Times" w:hAnsi="Times" w:cs="Times New Roman"/>
          <w:color w:val="000000" w:themeColor="text1"/>
          <w:sz w:val="24"/>
        </w:rPr>
        <w:t>Semaglutide</w:t>
      </w:r>
      <w:proofErr w:type="spellEnd"/>
      <w:r w:rsidR="00AD3021" w:rsidRPr="00EF46B3">
        <w:rPr>
          <w:rFonts w:ascii="Times" w:hAnsi="Times" w:cs="Times New Roman"/>
          <w:color w:val="000000" w:themeColor="text1"/>
          <w:sz w:val="24"/>
        </w:rPr>
        <w:t xml:space="preserve"> and Cardiovascular Outcomes in Patients with Type 2 Diabetes. N </w:t>
      </w:r>
      <w:proofErr w:type="spellStart"/>
      <w:r w:rsidR="00AD3021"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="00AD3021"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="00AD3021" w:rsidRPr="00EF46B3">
        <w:rPr>
          <w:rFonts w:ascii="Times" w:hAnsi="Times" w:cs="Times New Roman"/>
          <w:color w:val="000000" w:themeColor="text1"/>
          <w:sz w:val="24"/>
        </w:rPr>
        <w:t>2016; 375: 1834-1844.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Holman R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R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, Bethel M A, Mentz R </w:t>
      </w:r>
      <w:proofErr w:type="gramStart"/>
      <w:r w:rsidRPr="00EF46B3">
        <w:rPr>
          <w:rFonts w:ascii="Times" w:hAnsi="Times" w:cs="Times New Roman"/>
          <w:color w:val="000000" w:themeColor="text1"/>
          <w:sz w:val="24"/>
        </w:rPr>
        <w:t>J ,</w:t>
      </w:r>
      <w:proofErr w:type="gramEnd"/>
      <w:r w:rsidRPr="00EF46B3">
        <w:rPr>
          <w:rFonts w:ascii="Times" w:hAnsi="Times" w:cs="Times New Roman"/>
          <w:color w:val="000000" w:themeColor="text1"/>
          <w:sz w:val="24"/>
        </w:rPr>
        <w:t xml:space="preserve"> et al. Effect of once-weekly exenatide on cardiovascular outcomes in type 2 diabetes.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2017, 377(13):1228.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Holman RR, Coleman RL, Chan JCN, et al. Effects of acarbose on cardiovascular and diabetes outcomes in patients with coronary heart disease and impaired glucose tolerance (ACE): a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randomised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>, double-blind, placebo-controlled trial. Lancet Diabetes Endocrinol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2017; 5(11):877-886.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Marso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SP, McGuire DK,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Zinman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B, et al. Efficacy and Safety of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Degludec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versus Glargine in Type 2 Diabetes.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2017; 377:723-32.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Hernandez AF, Green JB,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Janmohamed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S, et al. Albiglutide and cardiovascular outcomes in patients with type 2 diabetes and cardiovascular disease (Harmony Outcomes): a double-blind,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randomised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placebo-controlled trial. Lancet (London, England)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2018; 392(10157):1519-29.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Rosenstock J,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Perkovic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V, Johansen OE, et al. </w:t>
      </w:r>
      <w:bookmarkStart w:id="1" w:name="OLE_LINK1"/>
      <w:r w:rsidRPr="00EF46B3">
        <w:rPr>
          <w:rFonts w:ascii="Times" w:hAnsi="Times" w:cs="Times New Roman"/>
          <w:color w:val="000000" w:themeColor="text1"/>
          <w:sz w:val="24"/>
        </w:rPr>
        <w:t xml:space="preserve">Effect of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Linagliptin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vs Placebo on Major Cardiovascular Events in Adults with Type 2 Diabetes and High Cardiovascular and Renal Risk</w:t>
      </w:r>
      <w:bookmarkEnd w:id="1"/>
      <w:r w:rsidRPr="00EF46B3">
        <w:rPr>
          <w:rFonts w:ascii="Times" w:hAnsi="Times" w:cs="Times New Roman"/>
          <w:color w:val="000000" w:themeColor="text1"/>
          <w:sz w:val="24"/>
        </w:rPr>
        <w:t>: The CARMELINA Randomized Clinical Trial. JAMA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 xml:space="preserve">2019; 321(1):69-79. 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lastRenderedPageBreak/>
        <w:t>Wiviott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SD,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Raz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I,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Bonaca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MP, et al. Dapagliflozin and Cardiovascular Outcomes in Type 2 Diabetes.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2018;380(4):347-57.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Perkovic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V, Jardine MJ, Neal B, et al. Canagliflozin and Renal Outcomes in Type 2 Diabetes and Nephropathy.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proofErr w:type="gramStart"/>
      <w:r w:rsidRPr="00EF46B3">
        <w:rPr>
          <w:rFonts w:ascii="Times" w:hAnsi="Times" w:cs="Times New Roman"/>
          <w:color w:val="000000" w:themeColor="text1"/>
          <w:sz w:val="24"/>
        </w:rPr>
        <w:t>2019;380:2295</w:t>
      </w:r>
      <w:proofErr w:type="gramEnd"/>
      <w:r w:rsidRPr="00EF46B3">
        <w:rPr>
          <w:rFonts w:ascii="Times" w:hAnsi="Times" w:cs="Times New Roman"/>
          <w:color w:val="000000" w:themeColor="text1"/>
          <w:sz w:val="24"/>
        </w:rPr>
        <w:t>-306.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Gerstein HC, Colhoun HM,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Dagenais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GR, et al. Dulaglutide and cardiovascular outcomes in type 2 diabetes (REWIND): a double-blind,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randomised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placebo-controlled </w:t>
      </w:r>
      <w:proofErr w:type="spellStart"/>
      <w:proofErr w:type="gramStart"/>
      <w:r w:rsidRPr="00EF46B3">
        <w:rPr>
          <w:rFonts w:ascii="Times" w:hAnsi="Times" w:cs="Times New Roman"/>
          <w:color w:val="000000" w:themeColor="text1"/>
          <w:sz w:val="24"/>
        </w:rPr>
        <w:t>trial.Lancet</w:t>
      </w:r>
      <w:proofErr w:type="spellEnd"/>
      <w:proofErr w:type="gramEnd"/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proofErr w:type="gramStart"/>
      <w:r w:rsidRPr="00EF46B3">
        <w:rPr>
          <w:rFonts w:ascii="Times" w:hAnsi="Times" w:cs="Times New Roman"/>
          <w:color w:val="000000" w:themeColor="text1"/>
          <w:sz w:val="24"/>
        </w:rPr>
        <w:t>2019;394:121</w:t>
      </w:r>
      <w:proofErr w:type="gramEnd"/>
      <w:r w:rsidRPr="00EF46B3">
        <w:rPr>
          <w:rFonts w:ascii="Times" w:hAnsi="Times" w:cs="Times New Roman"/>
          <w:color w:val="000000" w:themeColor="text1"/>
          <w:sz w:val="24"/>
        </w:rPr>
        <w:t>-130.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Rosenstock J, Kahn SE, Johansen OE, et al. Effect of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Linagliptin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vs Glimepiride on Major Adverse Cardiovascular Outcomes in Patients </w:t>
      </w:r>
      <w:proofErr w:type="gramStart"/>
      <w:r w:rsidRPr="00EF46B3">
        <w:rPr>
          <w:rFonts w:ascii="Times" w:hAnsi="Times" w:cs="Times New Roman"/>
          <w:color w:val="000000" w:themeColor="text1"/>
          <w:sz w:val="24"/>
        </w:rPr>
        <w:t>With</w:t>
      </w:r>
      <w:proofErr w:type="gramEnd"/>
      <w:r w:rsidRPr="00EF46B3">
        <w:rPr>
          <w:rFonts w:ascii="Times" w:hAnsi="Times" w:cs="Times New Roman"/>
          <w:color w:val="000000" w:themeColor="text1"/>
          <w:sz w:val="24"/>
        </w:rPr>
        <w:t xml:space="preserve"> Type 2 Diabetes: The CAROLINA Randomized Clinical Trial. JAMA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2019;322(12):1155–1166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Husain M,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Birkenfeld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AL,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Donsmark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M, et al. Oral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Semaglutide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and Cardiovascular Outcomes in Patients with Type 2 Diabetes.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2019; 381(9):841-851.</w:t>
      </w:r>
    </w:p>
    <w:p w:rsidR="008F2A6D" w:rsidRPr="00EF46B3" w:rsidRDefault="00AD3021">
      <w:pPr>
        <w:pStyle w:val="a6"/>
        <w:widowControl/>
        <w:numPr>
          <w:ilvl w:val="0"/>
          <w:numId w:val="1"/>
        </w:numPr>
        <w:spacing w:line="360" w:lineRule="auto"/>
        <w:ind w:left="363" w:firstLineChars="0" w:hanging="363"/>
        <w:jc w:val="left"/>
        <w:rPr>
          <w:rFonts w:ascii="Times" w:hAnsi="Times" w:cs="Times New Roman"/>
          <w:color w:val="000000" w:themeColor="text1"/>
          <w:sz w:val="24"/>
        </w:rPr>
      </w:pPr>
      <w:r w:rsidRPr="00EF46B3">
        <w:rPr>
          <w:rFonts w:ascii="Times" w:hAnsi="Times" w:cs="Times New Roman"/>
          <w:color w:val="000000" w:themeColor="text1"/>
          <w:sz w:val="24"/>
        </w:rPr>
        <w:t xml:space="preserve">McMurray JJV, Solomon SD,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Inzucchi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SE, et al. Dapagliflozin in Patients with Heart Failure and Reduced Ejection Fraction. N </w:t>
      </w:r>
      <w:proofErr w:type="spellStart"/>
      <w:r w:rsidRPr="00EF46B3">
        <w:rPr>
          <w:rFonts w:ascii="Times" w:hAnsi="Times" w:cs="Times New Roman"/>
          <w:color w:val="000000" w:themeColor="text1"/>
          <w:sz w:val="24"/>
        </w:rPr>
        <w:t>Engl</w:t>
      </w:r>
      <w:proofErr w:type="spellEnd"/>
      <w:r w:rsidRPr="00EF46B3">
        <w:rPr>
          <w:rFonts w:ascii="Times" w:hAnsi="Times" w:cs="Times New Roman"/>
          <w:color w:val="000000" w:themeColor="text1"/>
          <w:sz w:val="24"/>
        </w:rPr>
        <w:t xml:space="preserve"> J Med</w:t>
      </w:r>
      <w:r w:rsidR="007D56C3" w:rsidRPr="00EF46B3">
        <w:rPr>
          <w:rFonts w:ascii="Times" w:hAnsi="Times" w:cs="Times New Roman"/>
          <w:color w:val="000000" w:themeColor="text1"/>
          <w:sz w:val="24"/>
        </w:rPr>
        <w:t xml:space="preserve">. </w:t>
      </w:r>
      <w:r w:rsidRPr="00EF46B3">
        <w:rPr>
          <w:rFonts w:ascii="Times" w:hAnsi="Times" w:cs="Times New Roman"/>
          <w:color w:val="000000" w:themeColor="text1"/>
          <w:sz w:val="24"/>
        </w:rPr>
        <w:t>2019;381(21):1995-2008.</w:t>
      </w:r>
    </w:p>
    <w:p w:rsidR="008F2A6D" w:rsidRPr="00EF46B3" w:rsidRDefault="008F2A6D">
      <w:pPr>
        <w:rPr>
          <w:b/>
          <w:bCs/>
          <w:sz w:val="24"/>
        </w:rPr>
      </w:pPr>
    </w:p>
    <w:p w:rsidR="008F2A6D" w:rsidRPr="00EF46B3" w:rsidRDefault="008F2A6D">
      <w:pPr>
        <w:jc w:val="left"/>
        <w:rPr>
          <w:rFonts w:cs="宋体"/>
          <w:color w:val="000000"/>
          <w:kern w:val="0"/>
          <w:sz w:val="24"/>
        </w:rPr>
      </w:pPr>
    </w:p>
    <w:sectPr w:rsidR="008F2A6D" w:rsidRPr="00EF46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haker2Lancet-Bold">
    <w:altName w:val="Segoe Print"/>
    <w:panose1 w:val="020B0604020202020204"/>
    <w:charset w:val="00"/>
    <w:family w:val="auto"/>
    <w:pitch w:val="default"/>
  </w:font>
  <w:font w:name="GuardianSans-Medium">
    <w:altName w:val="Segoe Print"/>
    <w:panose1 w:val="020B0604020202020204"/>
    <w:charset w:val="00"/>
    <w:family w:val="auto"/>
    <w:pitch w:val="default"/>
  </w:font>
  <w:font w:name="OTNEJMQuadraat">
    <w:altName w:val="Yu Gothic"/>
    <w:panose1 w:val="020B0604020202020204"/>
    <w:charset w:val="80"/>
    <w:family w:val="roman"/>
    <w:pitch w:val="default"/>
    <w:sig w:usb0="00000000" w:usb1="00000000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 Regular">
    <w:altName w:val="PingFang SC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E1468C"/>
    <w:multiLevelType w:val="multilevel"/>
    <w:tmpl w:val="61E1468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D674F"/>
    <w:rsid w:val="001431CB"/>
    <w:rsid w:val="001652ED"/>
    <w:rsid w:val="00172A27"/>
    <w:rsid w:val="001E5AA6"/>
    <w:rsid w:val="00226F92"/>
    <w:rsid w:val="00364921"/>
    <w:rsid w:val="003E2876"/>
    <w:rsid w:val="004470DC"/>
    <w:rsid w:val="004B4E91"/>
    <w:rsid w:val="00573AE7"/>
    <w:rsid w:val="007030D2"/>
    <w:rsid w:val="007D56C3"/>
    <w:rsid w:val="00801E4E"/>
    <w:rsid w:val="00853775"/>
    <w:rsid w:val="008B6184"/>
    <w:rsid w:val="008D25CD"/>
    <w:rsid w:val="008F2A6D"/>
    <w:rsid w:val="009121E8"/>
    <w:rsid w:val="00967E1B"/>
    <w:rsid w:val="00970D49"/>
    <w:rsid w:val="00AD3021"/>
    <w:rsid w:val="00C63E19"/>
    <w:rsid w:val="00C67B11"/>
    <w:rsid w:val="00D42243"/>
    <w:rsid w:val="00DD3F5F"/>
    <w:rsid w:val="00E45805"/>
    <w:rsid w:val="00E525C5"/>
    <w:rsid w:val="00EF46B3"/>
    <w:rsid w:val="01E7635B"/>
    <w:rsid w:val="021F691E"/>
    <w:rsid w:val="032D6B84"/>
    <w:rsid w:val="043965CD"/>
    <w:rsid w:val="049A145C"/>
    <w:rsid w:val="04BD27CD"/>
    <w:rsid w:val="052E35A4"/>
    <w:rsid w:val="0694659C"/>
    <w:rsid w:val="08D54EFA"/>
    <w:rsid w:val="09B53FBC"/>
    <w:rsid w:val="0B5B2937"/>
    <w:rsid w:val="0C4F3619"/>
    <w:rsid w:val="0CCC2B99"/>
    <w:rsid w:val="0DD065A1"/>
    <w:rsid w:val="0FCF78C0"/>
    <w:rsid w:val="10074A1B"/>
    <w:rsid w:val="10DF4360"/>
    <w:rsid w:val="111719EF"/>
    <w:rsid w:val="114D220D"/>
    <w:rsid w:val="11C3223E"/>
    <w:rsid w:val="12460273"/>
    <w:rsid w:val="12E034DC"/>
    <w:rsid w:val="171469D9"/>
    <w:rsid w:val="18245F42"/>
    <w:rsid w:val="188B47E1"/>
    <w:rsid w:val="18F36864"/>
    <w:rsid w:val="194F2AF7"/>
    <w:rsid w:val="1A1A05E8"/>
    <w:rsid w:val="1A1F253F"/>
    <w:rsid w:val="1BFC7C17"/>
    <w:rsid w:val="1C4B3B73"/>
    <w:rsid w:val="1C596946"/>
    <w:rsid w:val="1C765E1E"/>
    <w:rsid w:val="1D692E3E"/>
    <w:rsid w:val="1DFD3241"/>
    <w:rsid w:val="1FA472D8"/>
    <w:rsid w:val="1FBF13BE"/>
    <w:rsid w:val="20354DDD"/>
    <w:rsid w:val="2189489F"/>
    <w:rsid w:val="22610DDA"/>
    <w:rsid w:val="23622739"/>
    <w:rsid w:val="23BA23CD"/>
    <w:rsid w:val="23D53BEC"/>
    <w:rsid w:val="258D1614"/>
    <w:rsid w:val="2593101E"/>
    <w:rsid w:val="25EA4288"/>
    <w:rsid w:val="25F925AB"/>
    <w:rsid w:val="25FC0366"/>
    <w:rsid w:val="26110B52"/>
    <w:rsid w:val="26CF0A71"/>
    <w:rsid w:val="26E235A4"/>
    <w:rsid w:val="27285FBC"/>
    <w:rsid w:val="282B2BE1"/>
    <w:rsid w:val="287B143E"/>
    <w:rsid w:val="28ED5A6B"/>
    <w:rsid w:val="298C4274"/>
    <w:rsid w:val="2A506678"/>
    <w:rsid w:val="2AF72A9E"/>
    <w:rsid w:val="2BCB0989"/>
    <w:rsid w:val="2BCC7959"/>
    <w:rsid w:val="2C041568"/>
    <w:rsid w:val="2CDF568B"/>
    <w:rsid w:val="2EE85363"/>
    <w:rsid w:val="2FA80857"/>
    <w:rsid w:val="2FF172A5"/>
    <w:rsid w:val="301637B5"/>
    <w:rsid w:val="31261109"/>
    <w:rsid w:val="32B93302"/>
    <w:rsid w:val="341D2CEE"/>
    <w:rsid w:val="34200BCE"/>
    <w:rsid w:val="35225BE8"/>
    <w:rsid w:val="36F3005B"/>
    <w:rsid w:val="37652027"/>
    <w:rsid w:val="38246F26"/>
    <w:rsid w:val="396D775B"/>
    <w:rsid w:val="3A3511CF"/>
    <w:rsid w:val="3A9F07D4"/>
    <w:rsid w:val="3B4302A7"/>
    <w:rsid w:val="3C2E71F9"/>
    <w:rsid w:val="3D054BF1"/>
    <w:rsid w:val="3D4D6992"/>
    <w:rsid w:val="3D5C7142"/>
    <w:rsid w:val="3E3504B0"/>
    <w:rsid w:val="3E3F2FB1"/>
    <w:rsid w:val="3FBA1D38"/>
    <w:rsid w:val="40F95094"/>
    <w:rsid w:val="41CF6F62"/>
    <w:rsid w:val="421213D2"/>
    <w:rsid w:val="44ED32AB"/>
    <w:rsid w:val="46AC6F50"/>
    <w:rsid w:val="46BC639A"/>
    <w:rsid w:val="48034D5A"/>
    <w:rsid w:val="48BB3369"/>
    <w:rsid w:val="49282784"/>
    <w:rsid w:val="49BE029F"/>
    <w:rsid w:val="49FE36BE"/>
    <w:rsid w:val="4A2C1D79"/>
    <w:rsid w:val="4A593967"/>
    <w:rsid w:val="4BB92449"/>
    <w:rsid w:val="4CFF4942"/>
    <w:rsid w:val="4D5628CF"/>
    <w:rsid w:val="4E2C0739"/>
    <w:rsid w:val="4E810C09"/>
    <w:rsid w:val="4EAC3226"/>
    <w:rsid w:val="50092F89"/>
    <w:rsid w:val="50261709"/>
    <w:rsid w:val="51735BCB"/>
    <w:rsid w:val="51E4433C"/>
    <w:rsid w:val="52017EBD"/>
    <w:rsid w:val="52DD3DA1"/>
    <w:rsid w:val="5832030B"/>
    <w:rsid w:val="58BA713B"/>
    <w:rsid w:val="5A875B74"/>
    <w:rsid w:val="5B3863A7"/>
    <w:rsid w:val="5BE95878"/>
    <w:rsid w:val="5C192CF1"/>
    <w:rsid w:val="5C81786A"/>
    <w:rsid w:val="5CDC3787"/>
    <w:rsid w:val="5CE6394B"/>
    <w:rsid w:val="5E8847C9"/>
    <w:rsid w:val="5EED01F6"/>
    <w:rsid w:val="5F2D7DAA"/>
    <w:rsid w:val="61B70194"/>
    <w:rsid w:val="62315A54"/>
    <w:rsid w:val="626A3093"/>
    <w:rsid w:val="629D4912"/>
    <w:rsid w:val="62E50E16"/>
    <w:rsid w:val="645F55D2"/>
    <w:rsid w:val="64622568"/>
    <w:rsid w:val="65263DA8"/>
    <w:rsid w:val="65D50106"/>
    <w:rsid w:val="678E6268"/>
    <w:rsid w:val="68654489"/>
    <w:rsid w:val="68673C2B"/>
    <w:rsid w:val="69714C52"/>
    <w:rsid w:val="69A13A4D"/>
    <w:rsid w:val="69C46FB3"/>
    <w:rsid w:val="6E56546F"/>
    <w:rsid w:val="6E712C6D"/>
    <w:rsid w:val="71884727"/>
    <w:rsid w:val="72307ACF"/>
    <w:rsid w:val="7242617A"/>
    <w:rsid w:val="72663327"/>
    <w:rsid w:val="74C74FA7"/>
    <w:rsid w:val="75F05920"/>
    <w:rsid w:val="75F51773"/>
    <w:rsid w:val="76923495"/>
    <w:rsid w:val="76B1345E"/>
    <w:rsid w:val="78A16AFD"/>
    <w:rsid w:val="797B60E1"/>
    <w:rsid w:val="79B272FD"/>
    <w:rsid w:val="79E714AE"/>
    <w:rsid w:val="7A964D58"/>
    <w:rsid w:val="7C407DAA"/>
    <w:rsid w:val="7DCA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DB38662"/>
  <w15:docId w15:val="{F6EC421C-ECC1-324B-A919-C4C098070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F46B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tlid-translation">
    <w:name w:val="tlid-translatio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www.ncbi.nlm.nih.gov/pubmed/?term=Marso%20SP%5BAuthor%5D&amp;cauthor=true&amp;cauthor_uid=27633186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hyperlink" Target="https://www.ncbi.nlm.nih.gov/pubmed/?term=Consoli%20A%5BAuthor%5D&amp;cauthor=true&amp;cauthor_uid=27633186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hyperlink" Target="https://www.ncbi.nlm.nih.gov/pubmed/?term=Bain%20SC%5BAuthor%5D&amp;cauthor=true&amp;cauthor_uid=27633186" TargetMode="Externa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237AD2-5268-8D4D-A097-92D709DEA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3274</Words>
  <Characters>18664</Characters>
  <Application>Microsoft Office Word</Application>
  <DocSecurity>0</DocSecurity>
  <Lines>155</Lines>
  <Paragraphs>43</Paragraphs>
  <ScaleCrop>false</ScaleCrop>
  <Company/>
  <LinksUpToDate>false</LinksUpToDate>
  <CharactersWithSpaces>21895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晓凌</dc:creator>
  <cp:lastModifiedBy>Microsoft Office 用户</cp:lastModifiedBy>
  <cp:revision>2</cp:revision>
  <dcterms:created xsi:type="dcterms:W3CDTF">2020-06-11T15:13:00Z</dcterms:created>
  <dcterms:modified xsi:type="dcterms:W3CDTF">2020-06-11T15:13:00Z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