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564D" w:rsidRPr="00B978D8" w:rsidRDefault="00EA564D" w:rsidP="00B978D8">
      <w:pPr>
        <w:jc w:val="left"/>
        <w:rPr>
          <w:rFonts w:ascii="Arial" w:hAnsi="Arial" w:cs="Arial"/>
          <w:b/>
          <w:kern w:val="0"/>
          <w:sz w:val="32"/>
          <w:szCs w:val="22"/>
          <w14:ligatures w14:val="none"/>
        </w:rPr>
      </w:pPr>
      <w:r w:rsidRPr="00B978D8">
        <w:rPr>
          <w:rFonts w:ascii="Arial" w:hAnsi="Arial" w:cs="Arial"/>
          <w:b/>
          <w:kern w:val="0"/>
          <w:sz w:val="32"/>
          <w:szCs w:val="22"/>
          <w14:ligatures w14:val="none"/>
        </w:rPr>
        <w:t>Sup</w:t>
      </w:r>
      <w:r w:rsidR="00B72D5E">
        <w:rPr>
          <w:rFonts w:ascii="Arial" w:hAnsi="Arial" w:cs="Arial"/>
          <w:b/>
          <w:kern w:val="0"/>
          <w:sz w:val="32"/>
          <w:szCs w:val="22"/>
          <w14:ligatures w14:val="none"/>
        </w:rPr>
        <w:t>plemental Methods and Materials</w:t>
      </w:r>
    </w:p>
    <w:p w:rsidR="00EA564D" w:rsidRPr="00B978D8" w:rsidRDefault="00EA564D" w:rsidP="00B978D8">
      <w:pPr>
        <w:jc w:val="left"/>
        <w:rPr>
          <w:rFonts w:ascii="Arial" w:hAnsi="Arial" w:cs="Arial"/>
          <w:b/>
          <w:kern w:val="0"/>
          <w:sz w:val="32"/>
          <w:szCs w:val="22"/>
          <w14:ligatures w14:val="none"/>
        </w:rPr>
      </w:pPr>
    </w:p>
    <w:p w:rsidR="00EA564D" w:rsidRDefault="00EA564D" w:rsidP="008A093D">
      <w:pPr>
        <w:wordWrap/>
        <w:spacing w:line="360" w:lineRule="auto"/>
        <w:jc w:val="left"/>
        <w:rPr>
          <w:rFonts w:ascii="Arial" w:hAnsi="Arial" w:cs="Arial"/>
          <w:b/>
          <w:sz w:val="28"/>
          <w:szCs w:val="22"/>
        </w:rPr>
      </w:pPr>
      <w:r w:rsidRPr="00BD282A">
        <w:rPr>
          <w:rFonts w:ascii="Arial" w:hAnsi="Arial" w:cs="Arial"/>
          <w:b/>
          <w:sz w:val="28"/>
          <w:szCs w:val="22"/>
        </w:rPr>
        <w:t>Methods</w:t>
      </w:r>
    </w:p>
    <w:p w:rsidR="00536E3A" w:rsidRDefault="00536E3A" w:rsidP="008A093D">
      <w:pPr>
        <w:wordWrap/>
        <w:spacing w:line="360" w:lineRule="auto"/>
        <w:jc w:val="left"/>
        <w:rPr>
          <w:rFonts w:ascii="Arial" w:hAnsi="Arial" w:cs="Arial"/>
          <w:b/>
          <w:sz w:val="28"/>
          <w:szCs w:val="22"/>
        </w:rPr>
      </w:pPr>
    </w:p>
    <w:p w:rsidR="00536E3A" w:rsidRPr="00536E3A" w:rsidRDefault="00536E3A" w:rsidP="008A093D">
      <w:pPr>
        <w:wordWrap/>
        <w:spacing w:line="360" w:lineRule="auto"/>
        <w:jc w:val="left"/>
        <w:rPr>
          <w:rFonts w:ascii="Arial" w:hAnsi="Arial" w:cs="Arial"/>
          <w:bCs/>
          <w:i/>
          <w:color w:val="000000" w:themeColor="text1"/>
          <w:sz w:val="22"/>
          <w:szCs w:val="22"/>
        </w:rPr>
      </w:pPr>
      <w:r w:rsidRPr="00FB0913">
        <w:rPr>
          <w:rFonts w:ascii="Arial" w:hAnsi="Arial" w:cs="Arial"/>
          <w:bCs/>
          <w:i/>
          <w:color w:val="000000" w:themeColor="text1"/>
          <w:sz w:val="22"/>
          <w:szCs w:val="22"/>
        </w:rPr>
        <w:t>Western blots and antibodies</w:t>
      </w:r>
    </w:p>
    <w:p w:rsidR="00536E3A" w:rsidRDefault="00536E3A" w:rsidP="008A093D">
      <w:pPr>
        <w:wordWrap/>
        <w:spacing w:line="360" w:lineRule="auto"/>
        <w:jc w:val="left"/>
        <w:rPr>
          <w:rFonts w:ascii="Times New Roman" w:hAnsi="Times New Roman" w:cs="Times New Roman"/>
          <w:color w:val="000000" w:themeColor="text1"/>
          <w:sz w:val="24"/>
        </w:rPr>
      </w:pPr>
      <w:r w:rsidRPr="009C6D42">
        <w:rPr>
          <w:rFonts w:ascii="Times New Roman" w:hAnsi="Times New Roman" w:cs="Times New Roman"/>
          <w:color w:val="000000" w:themeColor="text1"/>
          <w:sz w:val="24"/>
        </w:rPr>
        <w:t xml:space="preserve">Proteins were then transferred onto a PVDF membrane </w:t>
      </w:r>
      <w:r w:rsidRPr="000208B7">
        <w:rPr>
          <w:rFonts w:ascii="Times New Roman" w:hAnsi="Times New Roman" w:cs="Times New Roman"/>
          <w:sz w:val="24"/>
        </w:rPr>
        <w:t>using a semi-dry trans blot turbo. After the transfer, membranes were washed with 1x tris buffered</w:t>
      </w:r>
      <w:r w:rsidRPr="000208B7">
        <w:rPr>
          <w:rFonts w:ascii="Times New Roman" w:hAnsi="Times New Roman" w:cs="Times New Roman" w:hint="eastAsia"/>
          <w:sz w:val="24"/>
        </w:rPr>
        <w:t xml:space="preserve"> </w:t>
      </w:r>
      <w:r w:rsidRPr="000208B7">
        <w:rPr>
          <w:rFonts w:ascii="Times New Roman" w:hAnsi="Times New Roman" w:cs="Times New Roman"/>
          <w:sz w:val="24"/>
        </w:rPr>
        <w:t>saline with tween (TBST) for 30 minutes. Membranes were then incubated with primary antibodies overnight at 4</w:t>
      </w:r>
      <w:r w:rsidRPr="000208B7">
        <w:rPr>
          <w:rFonts w:ascii="Times New Roman" w:eastAsia="맑은 고딕" w:hAnsi="Times New Roman" w:cs="Times New Roman"/>
          <w:sz w:val="24"/>
        </w:rPr>
        <w:t>℃</w:t>
      </w:r>
      <w:r w:rsidRPr="000208B7">
        <w:rPr>
          <w:rFonts w:ascii="Times New Roman" w:hAnsi="Times New Roman" w:cs="Times New Roman"/>
          <w:sz w:val="24"/>
        </w:rPr>
        <w:t xml:space="preserve">, were then incubated with either mouse or rabbit secondary antibodies conjugated to horseradish peroxidase (Cell signaling technologies (CST)) at a 1:10000 dilution ratio in TBST for 1 hour at room temperature. Membranes </w:t>
      </w:r>
      <w:r>
        <w:rPr>
          <w:rFonts w:ascii="Times New Roman" w:hAnsi="Times New Roman" w:cs="Times New Roman"/>
          <w:color w:val="000000" w:themeColor="text1"/>
          <w:sz w:val="24"/>
        </w:rPr>
        <w:t>were washed once more for 2</w:t>
      </w:r>
      <w:r w:rsidRPr="009C6D42">
        <w:rPr>
          <w:rFonts w:ascii="Times New Roman" w:hAnsi="Times New Roman" w:cs="Times New Roman"/>
          <w:color w:val="000000" w:themeColor="text1"/>
          <w:sz w:val="24"/>
        </w:rPr>
        <w:t xml:space="preserve"> hours at room temperature and observed using the Pierce ECL Western Blotting Substrate (Thermo Scientific).</w:t>
      </w:r>
    </w:p>
    <w:p w:rsidR="00536E3A" w:rsidRPr="00BD282A" w:rsidRDefault="00536E3A" w:rsidP="008A093D">
      <w:pPr>
        <w:wordWrap/>
        <w:spacing w:line="360" w:lineRule="auto"/>
        <w:jc w:val="left"/>
        <w:rPr>
          <w:rFonts w:ascii="Arial" w:hAnsi="Arial" w:cs="Arial"/>
          <w:b/>
          <w:sz w:val="28"/>
          <w:szCs w:val="22"/>
        </w:rPr>
      </w:pPr>
    </w:p>
    <w:p w:rsidR="008A093D" w:rsidRPr="008A093D" w:rsidRDefault="008A093D" w:rsidP="008A093D">
      <w:pPr>
        <w:wordWrap/>
        <w:spacing w:line="360" w:lineRule="auto"/>
        <w:jc w:val="left"/>
        <w:rPr>
          <w:rFonts w:ascii="Arial" w:hAnsi="Arial" w:cs="Arial"/>
          <w:i/>
          <w:color w:val="000000" w:themeColor="text1"/>
          <w:sz w:val="22"/>
          <w:szCs w:val="22"/>
        </w:rPr>
      </w:pPr>
      <w:r w:rsidRPr="008A093D">
        <w:rPr>
          <w:rFonts w:ascii="Arial" w:hAnsi="Arial" w:cs="Arial"/>
          <w:i/>
          <w:color w:val="000000" w:themeColor="text1"/>
          <w:sz w:val="22"/>
          <w:szCs w:val="22"/>
        </w:rPr>
        <w:t>Immunofluorescence and image quantification</w:t>
      </w:r>
    </w:p>
    <w:p w:rsidR="008A093D" w:rsidRDefault="008A093D" w:rsidP="008A093D">
      <w:pPr>
        <w:wordWrap/>
        <w:spacing w:line="360" w:lineRule="auto"/>
        <w:jc w:val="left"/>
        <w:rPr>
          <w:rFonts w:ascii="Arial" w:hAnsi="Arial" w:cs="Arial"/>
          <w:color w:val="000000" w:themeColor="text1"/>
          <w:sz w:val="22"/>
          <w:szCs w:val="22"/>
        </w:rPr>
      </w:pPr>
      <w:r w:rsidRPr="008A093D">
        <w:rPr>
          <w:rFonts w:ascii="Arial" w:hAnsi="Arial" w:cs="Arial"/>
          <w:color w:val="000000" w:themeColor="text1"/>
          <w:sz w:val="22"/>
          <w:szCs w:val="22"/>
        </w:rPr>
        <w:t xml:space="preserve">For transcriptional elongation assay using UVC-microfilter, HeLa cells were seeded </w:t>
      </w:r>
      <w:r w:rsidRPr="008A093D">
        <w:rPr>
          <w:rFonts w:ascii="Arial" w:hAnsi="Arial" w:cs="Arial"/>
          <w:sz w:val="22"/>
          <w:szCs w:val="22"/>
        </w:rPr>
        <w:t xml:space="preserve">onto coverslips in 12-well plates </w:t>
      </w:r>
      <w:r w:rsidRPr="008A093D">
        <w:rPr>
          <w:rFonts w:ascii="Arial" w:hAnsi="Arial" w:cs="Arial"/>
          <w:color w:val="000000" w:themeColor="text1"/>
          <w:sz w:val="22"/>
          <w:szCs w:val="22"/>
        </w:rPr>
        <w:t xml:space="preserve">and cultured in penicillin and streptomycin free media. At the same time of seeding, cells were transfected with indicated siRNA following previously described protocol (refer to RNAi in methods). Cells were incubated for a </w:t>
      </w:r>
      <w:r w:rsidRPr="000208B7">
        <w:rPr>
          <w:rFonts w:ascii="Arial" w:hAnsi="Arial" w:cs="Arial"/>
          <w:sz w:val="22"/>
          <w:szCs w:val="22"/>
        </w:rPr>
        <w:t>total of 48-72 hours before proceeding to fixing. 1 hour prior to fixing, the media was removed from each well and washed one time with 1x PBS. The PBS was removed from each well and the cells were irradiated with 1-100 J/m2 UV-C (UV Stratalinker 2400 or) through a 3.0, 5.0 µm-pore UV filter. After irradiation, cells were allowed to recover for 1 hour</w:t>
      </w:r>
      <w:r w:rsidR="000208B7" w:rsidRPr="000208B7">
        <w:rPr>
          <w:rFonts w:ascii="Arial" w:hAnsi="Arial" w:cs="Arial"/>
          <w:sz w:val="22"/>
          <w:szCs w:val="22"/>
        </w:rPr>
        <w:t>,</w:t>
      </w:r>
      <w:r w:rsidRPr="000208B7">
        <w:rPr>
          <w:rFonts w:ascii="Arial" w:hAnsi="Arial" w:cs="Arial"/>
          <w:sz w:val="22"/>
          <w:szCs w:val="22"/>
        </w:rPr>
        <w:t xml:space="preserve"> </w:t>
      </w:r>
      <w:r w:rsidR="000208B7" w:rsidRPr="000208B7">
        <w:rPr>
          <w:rFonts w:ascii="Arial" w:hAnsi="Arial" w:cs="Arial"/>
          <w:sz w:val="22"/>
          <w:szCs w:val="22"/>
        </w:rPr>
        <w:t>before</w:t>
      </w:r>
      <w:r w:rsidRPr="000208B7">
        <w:rPr>
          <w:rFonts w:ascii="Arial" w:hAnsi="Arial" w:cs="Arial"/>
          <w:sz w:val="22"/>
          <w:szCs w:val="22"/>
        </w:rPr>
        <w:t xml:space="preserve"> cells were fixed and stained following a previously described protocol (refer to Immunofluorescence and Image Quantificatio</w:t>
      </w:r>
      <w:r w:rsidRPr="008A093D">
        <w:rPr>
          <w:rFonts w:ascii="Arial" w:hAnsi="Arial" w:cs="Arial"/>
          <w:color w:val="000000" w:themeColor="text1"/>
          <w:sz w:val="22"/>
          <w:szCs w:val="22"/>
        </w:rPr>
        <w:t>n in methodology). Image</w:t>
      </w:r>
      <w:r w:rsidR="000208B7">
        <w:rPr>
          <w:rFonts w:ascii="Arial" w:hAnsi="Arial" w:cs="Arial"/>
          <w:color w:val="000000" w:themeColor="text1"/>
          <w:sz w:val="22"/>
          <w:szCs w:val="22"/>
        </w:rPr>
        <w:t xml:space="preserve"> </w:t>
      </w:r>
      <w:r w:rsidRPr="008A093D">
        <w:rPr>
          <w:rFonts w:ascii="Arial" w:hAnsi="Arial" w:cs="Arial"/>
          <w:color w:val="000000" w:themeColor="text1"/>
          <w:sz w:val="22"/>
          <w:szCs w:val="22"/>
        </w:rPr>
        <w:t xml:space="preserve">J was used to analyze the RFI. Using the line tool, a vector of </w:t>
      </w:r>
      <w:r w:rsidRPr="000208B7">
        <w:rPr>
          <w:rFonts w:ascii="Arial" w:hAnsi="Arial" w:cs="Arial"/>
          <w:sz w:val="22"/>
          <w:szCs w:val="22"/>
        </w:rPr>
        <w:t>100</w:t>
      </w:r>
      <w:r w:rsidRPr="008A093D">
        <w:rPr>
          <w:rFonts w:ascii="Arial" w:hAnsi="Arial" w:cs="Arial"/>
          <w:color w:val="000000" w:themeColor="text1"/>
          <w:sz w:val="22"/>
          <w:szCs w:val="22"/>
        </w:rPr>
        <w:t xml:space="preserve"> pixels was drawn across the γH2AX </w:t>
      </w:r>
      <w:r w:rsidRPr="000208B7">
        <w:rPr>
          <w:rFonts w:ascii="Arial" w:hAnsi="Arial" w:cs="Arial"/>
          <w:sz w:val="22"/>
          <w:szCs w:val="22"/>
        </w:rPr>
        <w:t xml:space="preserve">at its widest diameter </w:t>
      </w:r>
      <w:r w:rsidRPr="008A093D">
        <w:rPr>
          <w:rFonts w:ascii="Arial" w:hAnsi="Arial" w:cs="Arial"/>
          <w:color w:val="000000" w:themeColor="text1"/>
          <w:sz w:val="22"/>
          <w:szCs w:val="22"/>
        </w:rPr>
        <w:t>with the two ends at undamaged regions. The fluorescent intensity of phospho-serine 2 RNA Polymerase II staining along the vector was measured.</w:t>
      </w:r>
      <w:r>
        <w:rPr>
          <w:rFonts w:ascii="Arial" w:hAnsi="Arial" w:cs="Arial"/>
          <w:color w:val="000000" w:themeColor="text1"/>
          <w:sz w:val="22"/>
          <w:szCs w:val="22"/>
        </w:rPr>
        <w:t xml:space="preserve"> </w:t>
      </w:r>
      <w:r w:rsidRPr="008A093D">
        <w:rPr>
          <w:rFonts w:ascii="Arial" w:hAnsi="Arial" w:cs="Arial"/>
          <w:color w:val="000000" w:themeColor="text1"/>
          <w:sz w:val="22"/>
          <w:szCs w:val="22"/>
        </w:rPr>
        <w:t xml:space="preserve">pTuner263 cells were seeded in a 12-well dish onto coverslips (Fisher Scientific) with 0.13-0.17 mm thickness and cultured in penicillin and streptomycin free media. 24 hours after initial seeding, cells were treated with indicated siRNA at 20 nM for </w:t>
      </w:r>
      <w:r w:rsidRPr="008A093D">
        <w:rPr>
          <w:rFonts w:ascii="Arial" w:hAnsi="Arial" w:cs="Arial"/>
          <w:sz w:val="22"/>
          <w:szCs w:val="22"/>
        </w:rPr>
        <w:t>48-72 hours</w:t>
      </w:r>
      <w:r w:rsidRPr="008A093D">
        <w:rPr>
          <w:rFonts w:ascii="Arial" w:hAnsi="Arial" w:cs="Arial"/>
          <w:color w:val="000000" w:themeColor="text1"/>
          <w:sz w:val="22"/>
          <w:szCs w:val="22"/>
        </w:rPr>
        <w:t xml:space="preserve">. Ptuner263 cells were treated with Shield-1 (1 µM) (Takara bio) and 4-OHT (1 µM) (Sigma-Aldrich) 3 hours prior to fixing. </w:t>
      </w:r>
      <w:r w:rsidRPr="000208B7">
        <w:rPr>
          <w:rFonts w:ascii="Arial" w:hAnsi="Arial" w:cs="Arial"/>
          <w:sz w:val="22"/>
          <w:szCs w:val="22"/>
        </w:rPr>
        <w:t xml:space="preserve">Additionally, transcription was induced via tetracycline (2 µg/ml) to the growth medium 3 hours prior to fixing to induce both DSBs and transcription, respectively. For rescue analysis, </w:t>
      </w:r>
      <w:r w:rsidR="000208B7" w:rsidRPr="000208B7">
        <w:rPr>
          <w:rFonts w:ascii="Arial" w:hAnsi="Arial" w:cs="Arial"/>
          <w:sz w:val="22"/>
          <w:szCs w:val="22"/>
        </w:rPr>
        <w:t>cells were transfected with</w:t>
      </w:r>
      <w:r w:rsidRPr="000208B7">
        <w:rPr>
          <w:rFonts w:ascii="Arial" w:hAnsi="Arial" w:cs="Arial"/>
          <w:sz w:val="22"/>
          <w:szCs w:val="22"/>
        </w:rPr>
        <w:t xml:space="preserve"> indicated plasmids 24 hours prior to fixing.</w:t>
      </w:r>
      <w:r w:rsidRPr="008A093D">
        <w:rPr>
          <w:rFonts w:ascii="Arial" w:hAnsi="Arial" w:cs="Arial"/>
          <w:color w:val="000000" w:themeColor="text1"/>
          <w:sz w:val="22"/>
          <w:szCs w:val="22"/>
        </w:rPr>
        <w:t xml:space="preserve"> Images were quantified by calculating the relative fluorescent intensity (RFI) using Image</w:t>
      </w:r>
      <w:r w:rsidR="000208B7">
        <w:rPr>
          <w:rFonts w:ascii="Arial" w:hAnsi="Arial" w:cs="Arial"/>
          <w:color w:val="000000" w:themeColor="text1"/>
          <w:sz w:val="22"/>
          <w:szCs w:val="22"/>
        </w:rPr>
        <w:t xml:space="preserve"> </w:t>
      </w:r>
      <w:r w:rsidRPr="008A093D">
        <w:rPr>
          <w:rFonts w:ascii="Arial" w:hAnsi="Arial" w:cs="Arial"/>
          <w:color w:val="000000" w:themeColor="text1"/>
          <w:sz w:val="22"/>
          <w:szCs w:val="22"/>
        </w:rPr>
        <w:t>J. mCherry-Fok1 positive cells were selected for each siRNA condition and subsequently quantified. Each fluorescence channel was imported into Image</w:t>
      </w:r>
      <w:r w:rsidR="000208B7">
        <w:rPr>
          <w:rFonts w:ascii="Arial" w:hAnsi="Arial" w:cs="Arial"/>
          <w:color w:val="000000" w:themeColor="text1"/>
          <w:sz w:val="22"/>
          <w:szCs w:val="22"/>
        </w:rPr>
        <w:t xml:space="preserve"> </w:t>
      </w:r>
      <w:r w:rsidRPr="008A093D">
        <w:rPr>
          <w:rFonts w:ascii="Arial" w:hAnsi="Arial" w:cs="Arial"/>
          <w:color w:val="000000" w:themeColor="text1"/>
          <w:sz w:val="22"/>
          <w:szCs w:val="22"/>
        </w:rPr>
        <w:t xml:space="preserve">J individually. RFI was calculated by selecting </w:t>
      </w:r>
      <w:r w:rsidRPr="008A093D">
        <w:rPr>
          <w:rFonts w:ascii="Arial" w:hAnsi="Arial" w:cs="Arial"/>
          <w:color w:val="000000" w:themeColor="text1"/>
          <w:sz w:val="22"/>
          <w:szCs w:val="22"/>
        </w:rPr>
        <w:lastRenderedPageBreak/>
        <w:t xml:space="preserve">individual cells followed by calculating the raw integrated density at the </w:t>
      </w:r>
      <w:r w:rsidR="000208B7">
        <w:rPr>
          <w:rFonts w:ascii="Arial" w:hAnsi="Arial" w:cs="Arial"/>
          <w:color w:val="000000" w:themeColor="text1"/>
          <w:sz w:val="22"/>
          <w:szCs w:val="22"/>
        </w:rPr>
        <w:t>F</w:t>
      </w:r>
      <w:r w:rsidRPr="008A093D">
        <w:rPr>
          <w:rFonts w:ascii="Arial" w:hAnsi="Arial" w:cs="Arial"/>
          <w:color w:val="000000" w:themeColor="text1"/>
          <w:sz w:val="22"/>
          <w:szCs w:val="22"/>
        </w:rPr>
        <w:t xml:space="preserve">ok1 spot. The integrated density was corrected by normalization to the background of the individual cell. </w:t>
      </w:r>
      <w:r w:rsidR="000208B7">
        <w:rPr>
          <w:rFonts w:ascii="Arial" w:hAnsi="Arial" w:cs="Arial"/>
          <w:color w:val="000000" w:themeColor="text1"/>
          <w:sz w:val="22"/>
          <w:szCs w:val="22"/>
        </w:rPr>
        <w:t>N</w:t>
      </w:r>
      <w:r w:rsidRPr="008A093D">
        <w:rPr>
          <w:rFonts w:ascii="Arial" w:hAnsi="Arial" w:cs="Arial"/>
          <w:color w:val="000000" w:themeColor="text1"/>
          <w:sz w:val="22"/>
          <w:szCs w:val="22"/>
        </w:rPr>
        <w:t xml:space="preserve">ormalized density measurements were divided by the normalized average of the control. </w:t>
      </w:r>
    </w:p>
    <w:p w:rsidR="000208B7" w:rsidRPr="008A093D" w:rsidRDefault="000208B7" w:rsidP="008A093D">
      <w:pPr>
        <w:wordWrap/>
        <w:spacing w:line="360" w:lineRule="auto"/>
        <w:jc w:val="left"/>
        <w:rPr>
          <w:rFonts w:ascii="Arial" w:hAnsi="Arial" w:cs="Arial"/>
          <w:color w:val="000000" w:themeColor="text1"/>
          <w:sz w:val="22"/>
          <w:szCs w:val="22"/>
        </w:rPr>
      </w:pPr>
    </w:p>
    <w:p w:rsidR="008A093D" w:rsidRPr="008A093D" w:rsidRDefault="008A093D" w:rsidP="008A093D">
      <w:pPr>
        <w:wordWrap/>
        <w:spacing w:line="360" w:lineRule="auto"/>
        <w:jc w:val="left"/>
        <w:rPr>
          <w:rFonts w:ascii="Arial" w:eastAsia="Arial" w:hAnsi="Arial" w:cs="Arial"/>
          <w:bCs/>
          <w:i/>
          <w:color w:val="000000"/>
          <w:sz w:val="22"/>
          <w:szCs w:val="22"/>
        </w:rPr>
      </w:pPr>
      <w:r w:rsidRPr="008A093D">
        <w:rPr>
          <w:rFonts w:ascii="Arial" w:eastAsia="Arial" w:hAnsi="Arial" w:cs="Arial"/>
          <w:bCs/>
          <w:i/>
          <w:color w:val="000000"/>
          <w:sz w:val="22"/>
          <w:szCs w:val="22"/>
        </w:rPr>
        <w:t>355-nm UV-laser microirradiation and Immunostaining</w:t>
      </w:r>
    </w:p>
    <w:p w:rsidR="008A093D" w:rsidRPr="008A093D" w:rsidRDefault="008A093D" w:rsidP="008A093D">
      <w:pPr>
        <w:wordWrap/>
        <w:spacing w:line="360" w:lineRule="auto"/>
        <w:jc w:val="left"/>
        <w:rPr>
          <w:rFonts w:ascii="Arial" w:eastAsia="Arial" w:hAnsi="Arial" w:cs="Arial"/>
          <w:color w:val="000000"/>
          <w:sz w:val="22"/>
          <w:szCs w:val="22"/>
        </w:rPr>
      </w:pPr>
      <w:r w:rsidRPr="008A093D">
        <w:rPr>
          <w:rFonts w:ascii="Arial" w:eastAsia="Arial" w:hAnsi="Arial" w:cs="Arial"/>
          <w:color w:val="000000"/>
          <w:sz w:val="22"/>
          <w:szCs w:val="22"/>
        </w:rPr>
        <w:t>For the microirradiation, U2OS cells plated on confocal dish (200350, SPL Life Sciences) were pre-sensitized with 10 μM BrdU for 24 h. UV microirradiation was then applied to cells using a Diode 355-nm laser (100% power) projected through a C-Apochromat 40×/1.2W Korr FCS M27 objective, via a bleaching module (20 iterations) on a Zeiss LSM880 confocal microscope (Carl Zeiss, Oberkochen, Germany) platform. After irradiation, cells were fixed with 4% paraformaldehyde (PFA) for 20 min at room temperature, and extracted with cytoskeleton (CSK) buffer (10 mM PIPES, 100 mM NaCl, 300 mM sucrose, 3 mM MgCl</w:t>
      </w:r>
      <w:r w:rsidRPr="008A093D">
        <w:rPr>
          <w:rFonts w:ascii="Arial" w:eastAsia="Arial" w:hAnsi="Arial" w:cs="Arial"/>
          <w:color w:val="000000"/>
          <w:sz w:val="22"/>
          <w:szCs w:val="22"/>
          <w:vertAlign w:val="subscript"/>
        </w:rPr>
        <w:t>2</w:t>
      </w:r>
      <w:r w:rsidRPr="008A093D">
        <w:rPr>
          <w:rFonts w:ascii="Arial" w:eastAsia="Arial" w:hAnsi="Arial" w:cs="Arial"/>
          <w:color w:val="000000"/>
          <w:sz w:val="22"/>
          <w:szCs w:val="22"/>
        </w:rPr>
        <w:t xml:space="preserve">, 1 mM EGTA and 0.5% Triton X-100™) for 10 min on ice. After washing with phosphate-buffered saline (PBS) three times, and incubating in blocking buffer (10% FBS in PBS) for 1 </w:t>
      </w:r>
      <w:r w:rsidRPr="008A093D">
        <w:rPr>
          <w:rFonts w:ascii="Arial" w:eastAsia="맑은 고딕" w:hAnsi="Arial" w:cs="Arial"/>
          <w:color w:val="000000"/>
          <w:sz w:val="22"/>
          <w:szCs w:val="22"/>
        </w:rPr>
        <w:t>h</w:t>
      </w:r>
      <w:r w:rsidRPr="008A093D">
        <w:rPr>
          <w:rFonts w:ascii="Arial" w:eastAsia="Arial" w:hAnsi="Arial" w:cs="Arial"/>
          <w:color w:val="000000"/>
          <w:sz w:val="22"/>
          <w:szCs w:val="22"/>
        </w:rPr>
        <w:t xml:space="preserve">, cells were incubated with the indicated antibodies diluted in blocking buffer at 4°C overnight. After washing with 0.05% Triton X-100 in PBS, Alexa Fluor-conjugated secondary antibodies (Thermo Fisher Scientific) were added and incubated for 30 min. After washing, cells were mounted using ProLong Gold antifade reagent with DAPI (Vector Laboratories, Burlingame). Confocal images were acquired using a Zeiss LSM880 confocal microscope with a 40x/1.2 objective. Image acquisition and analysis were performed with ZEN 2.6 (blue edition) software. For nuclear intensity analysis, nuclei were first masked, and the mean intensity within the masked regions was measured. </w:t>
      </w:r>
    </w:p>
    <w:p w:rsidR="008A093D" w:rsidRPr="008A093D" w:rsidRDefault="008A093D" w:rsidP="008A093D">
      <w:pPr>
        <w:wordWrap/>
        <w:spacing w:line="360" w:lineRule="auto"/>
        <w:jc w:val="left"/>
        <w:rPr>
          <w:rFonts w:ascii="Arial" w:hAnsi="Arial" w:cs="Arial"/>
          <w:b/>
          <w:sz w:val="22"/>
          <w:szCs w:val="22"/>
        </w:rPr>
      </w:pPr>
    </w:p>
    <w:p w:rsidR="000832A7" w:rsidRPr="008A093D" w:rsidRDefault="000832A7" w:rsidP="008A093D">
      <w:pPr>
        <w:spacing w:line="360" w:lineRule="auto"/>
        <w:jc w:val="left"/>
        <w:rPr>
          <w:rFonts w:ascii="Arial" w:hAnsi="Arial" w:cs="Arial"/>
          <w:i/>
          <w:sz w:val="22"/>
          <w:szCs w:val="22"/>
        </w:rPr>
      </w:pPr>
      <w:r w:rsidRPr="008A093D">
        <w:rPr>
          <w:rFonts w:ascii="Arial" w:hAnsi="Arial" w:cs="Arial"/>
          <w:i/>
          <w:sz w:val="22"/>
          <w:szCs w:val="22"/>
        </w:rPr>
        <w:t>Mass spectrometry analysis</w:t>
      </w:r>
    </w:p>
    <w:p w:rsidR="000832A7" w:rsidRPr="008A093D" w:rsidRDefault="000832A7" w:rsidP="008A093D">
      <w:pPr>
        <w:spacing w:line="360" w:lineRule="auto"/>
        <w:jc w:val="left"/>
        <w:rPr>
          <w:rFonts w:ascii="Arial" w:hAnsi="Arial" w:cs="Arial"/>
          <w:sz w:val="22"/>
          <w:szCs w:val="22"/>
        </w:rPr>
      </w:pPr>
      <w:r w:rsidRPr="008A093D">
        <w:rPr>
          <w:rFonts w:ascii="Arial" w:hAnsi="Arial" w:cs="Arial"/>
          <w:sz w:val="22"/>
          <w:szCs w:val="22"/>
        </w:rPr>
        <w:t xml:space="preserve">After bands containing target protein were excised, the proteins were reduced/alkylated and digested with trypsin in the gel band. Peptides were extracted and desalted with Ziptip C18 tips. A nanoflow ultra high performance liquid chromatograph (RSLC, Dionex, Sunnyvale, CA) coupled to an electrospray bench top orbitrap mass spectrometer (Q-Exactive plus, Thermo, San Jose, CA) was used for tandem mass spectrometry peptide sequencing experiments.  The sample was first loaded onto a pre-column (2 cm x 100 µm ID packed with C18 reversed-phase resin, 5µm, 100Å) and washed for 8 minutes with aqueous 2% acetonitrile and 0.04% trifluoroacetic acid.  The trapped peptides were eluted onto the analytical column, (C18, 75 µm ID x 25 cm, 2 µm, 100Å, Dionex, Sunnyvale, CA).  The 120-minute gradient was programmed as: 95% solvent A (2% acetonitrile + 0.1% formic acid) for 8 minutes, solvent B (90% acetonitrile + 0.1% formic acid) from 5% to 15% in 5 minutes, 15% to 40% in 85 minutes, then solvent B from 50% to 90% B in 7 minutes and held at 90% for 5 minutes, followed by solvent B from 90% to 5% in 1 minute and re-equilibrate for 10 minutes.  The flow rate on analytical column was 300 nl/min. Sixteen tandem mass spectra </w:t>
      </w:r>
      <w:r w:rsidRPr="008A093D">
        <w:rPr>
          <w:rFonts w:ascii="Arial" w:hAnsi="Arial" w:cs="Arial"/>
          <w:sz w:val="22"/>
          <w:szCs w:val="22"/>
        </w:rPr>
        <w:lastRenderedPageBreak/>
        <w:t>were collected in a data-dependent manner following each survey scan. Both MS and MS/MS scans were performed in Orbitrap to obtain accurate mass measurement using 60 second exclusion for previously sampled peptide peaks. Full scan and MS/MS resolution was set at 70000 and 17 500, respectively. Protein identifications were assigned through Proteome Discoverer using the UniProt Homo sapiens database. Carbamidomethyl (C) was set as a fixed modification and acetyl (protein N-terminus) and oxidation (M) were set as variable modifications. Trypsin/P was designated as the digestion enzyme with the possibility of two missed cleavages. A mass tolerance of 20 ppm (first search)/4.5 ppm (recalibrated second search) was used for precursor ions while fragment ion mass tolerance was 20 ppmAll proteins were identified at a false discovery rate of &lt; 1% at the protein and peptide level.</w:t>
      </w:r>
    </w:p>
    <w:p w:rsidR="00EA564D" w:rsidRDefault="00EA564D" w:rsidP="00B65FBE">
      <w:pPr>
        <w:wordWrap/>
        <w:spacing w:line="360" w:lineRule="auto"/>
        <w:jc w:val="left"/>
        <w:rPr>
          <w:rFonts w:ascii="Arial" w:hAnsi="Arial" w:cs="Arial"/>
          <w:b/>
          <w:sz w:val="28"/>
          <w:szCs w:val="22"/>
        </w:rPr>
      </w:pPr>
    </w:p>
    <w:p w:rsidR="00B65FBE" w:rsidRPr="000524C4" w:rsidRDefault="00B65FBE" w:rsidP="00B65FBE">
      <w:pPr>
        <w:wordWrap/>
        <w:spacing w:line="360" w:lineRule="auto"/>
        <w:jc w:val="left"/>
        <w:rPr>
          <w:rFonts w:ascii="Arial" w:hAnsi="Arial" w:cs="Arial"/>
          <w:b/>
          <w:sz w:val="28"/>
          <w:szCs w:val="22"/>
        </w:rPr>
      </w:pPr>
      <w:r w:rsidRPr="000524C4">
        <w:rPr>
          <w:rFonts w:ascii="Arial" w:hAnsi="Arial" w:cs="Arial" w:hint="eastAsia"/>
          <w:b/>
          <w:sz w:val="28"/>
          <w:szCs w:val="22"/>
        </w:rPr>
        <w:t>Material</w:t>
      </w:r>
    </w:p>
    <w:tbl>
      <w:tblPr>
        <w:tblW w:w="9855" w:type="dxa"/>
        <w:tblCellMar>
          <w:left w:w="0" w:type="dxa"/>
          <w:right w:w="0" w:type="dxa"/>
        </w:tblCellMar>
        <w:tblLook w:val="0420" w:firstRow="1" w:lastRow="0" w:firstColumn="0" w:lastColumn="0" w:noHBand="0" w:noVBand="1"/>
      </w:tblPr>
      <w:tblGrid>
        <w:gridCol w:w="3544"/>
        <w:gridCol w:w="1346"/>
        <w:gridCol w:w="72"/>
        <w:gridCol w:w="4819"/>
        <w:gridCol w:w="74"/>
      </w:tblGrid>
      <w:tr w:rsidR="00B65FBE" w:rsidRPr="005262D1" w:rsidTr="00232F08">
        <w:trPr>
          <w:gridAfter w:val="1"/>
          <w:wAfter w:w="74" w:type="dxa"/>
          <w:trHeight w:val="340"/>
        </w:trPr>
        <w:tc>
          <w:tcPr>
            <w:tcW w:w="9781" w:type="dxa"/>
            <w:gridSpan w:val="4"/>
            <w:tcBorders>
              <w:top w:val="single" w:sz="18" w:space="0" w:color="2F5597"/>
              <w:left w:val="nil"/>
              <w:bottom w:val="single" w:sz="18" w:space="0" w:color="2F5597"/>
              <w:right w:val="single" w:sz="8" w:space="0" w:color="F2F2F2"/>
            </w:tcBorders>
            <w:shd w:val="clear" w:color="auto" w:fill="FFFFFF"/>
            <w:tcMar>
              <w:top w:w="15" w:type="dxa"/>
              <w:left w:w="108" w:type="dxa"/>
              <w:bottom w:w="0" w:type="dxa"/>
              <w:right w:w="108" w:type="dxa"/>
            </w:tcMar>
            <w:vAlign w:val="bottom"/>
            <w:hideMark/>
          </w:tcPr>
          <w:p w:rsidR="00B65FBE" w:rsidRPr="009D6A1B" w:rsidRDefault="00B65FBE" w:rsidP="00232F08">
            <w:pPr>
              <w:wordWrap/>
              <w:spacing w:line="360" w:lineRule="auto"/>
              <w:rPr>
                <w:rFonts w:ascii="Arial" w:hAnsi="Arial" w:cs="Arial"/>
                <w:b/>
                <w:sz w:val="24"/>
              </w:rPr>
            </w:pPr>
            <w:r w:rsidRPr="009D6A1B">
              <w:rPr>
                <w:rFonts w:ascii="Arial" w:hAnsi="Arial" w:cs="Arial"/>
                <w:b/>
                <w:bCs/>
                <w:sz w:val="24"/>
              </w:rPr>
              <w:t>Chemicals</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4-Hydroxytamocifen</w:t>
            </w:r>
          </w:p>
        </w:tc>
        <w:tc>
          <w:tcPr>
            <w:tcW w:w="4893" w:type="dxa"/>
            <w:gridSpan w:val="2"/>
            <w:vMerge w:val="restart"/>
            <w:tcBorders>
              <w:top w:val="single" w:sz="8" w:space="0" w:color="D9D9D9"/>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sz w:val="22"/>
                <w:szCs w:val="22"/>
              </w:rPr>
              <w:t>Sigma-Aldrich</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KU-60019 (ATM inhibitor)</w:t>
            </w:r>
          </w:p>
        </w:tc>
        <w:tc>
          <w:tcPr>
            <w:tcW w:w="4893" w:type="dxa"/>
            <w:gridSpan w:val="2"/>
            <w:vMerge/>
            <w:tcBorders>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hint="eastAsia"/>
                <w:sz w:val="22"/>
                <w:szCs w:val="22"/>
              </w:rPr>
              <w:t>Anti-FLAG M2 affinity gel</w:t>
            </w:r>
          </w:p>
        </w:tc>
        <w:tc>
          <w:tcPr>
            <w:tcW w:w="4893" w:type="dxa"/>
            <w:gridSpan w:val="2"/>
            <w:vMerge/>
            <w:tcBorders>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FD542A">
              <w:rPr>
                <w:rFonts w:ascii="Arial" w:hAnsi="Arial" w:cs="Arial"/>
                <w:sz w:val="22"/>
                <w:szCs w:val="22"/>
              </w:rPr>
              <w:t>Doxycycline hyclate</w:t>
            </w:r>
          </w:p>
        </w:tc>
        <w:tc>
          <w:tcPr>
            <w:tcW w:w="4893" w:type="dxa"/>
            <w:gridSpan w:val="2"/>
            <w:vMerge/>
            <w:tcBorders>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Shield-1</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sz w:val="22"/>
                <w:szCs w:val="22"/>
              </w:rPr>
              <w:t>Takara Bio</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AZ20 (ATR inhibitor)</w:t>
            </w:r>
          </w:p>
        </w:tc>
        <w:tc>
          <w:tcPr>
            <w:tcW w:w="4893" w:type="dxa"/>
            <w:gridSpan w:val="2"/>
            <w:vMerge w:val="restart"/>
            <w:tcBorders>
              <w:top w:val="single" w:sz="8" w:space="0" w:color="D9D9D9"/>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sz w:val="22"/>
                <w:szCs w:val="22"/>
              </w:rPr>
              <w:t>SelleckChemical</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Ku-55933 (ATM inhibitor)</w:t>
            </w:r>
          </w:p>
        </w:tc>
        <w:tc>
          <w:tcPr>
            <w:tcW w:w="4893" w:type="dxa"/>
            <w:gridSpan w:val="2"/>
            <w:vMerge/>
            <w:tcBorders>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5-ethynyl uridine (EU)</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sz w:val="22"/>
                <w:szCs w:val="22"/>
              </w:rPr>
              <w:t>Abcam</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hint="eastAsia"/>
                <w:sz w:val="22"/>
                <w:szCs w:val="22"/>
              </w:rPr>
              <w:t>Bleomycin</w:t>
            </w:r>
            <w:r w:rsidRPr="005262D1">
              <w:rPr>
                <w:rFonts w:ascii="Arial" w:hAnsi="Arial" w:cs="Arial"/>
                <w:sz w:val="22"/>
                <w:szCs w:val="22"/>
              </w:rPr>
              <w:t xml:space="preserve"> Sulfate</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hint="eastAsia"/>
                <w:sz w:val="22"/>
                <w:szCs w:val="22"/>
              </w:rPr>
              <w:t>MB</w:t>
            </w:r>
            <w:r w:rsidRPr="005262D1">
              <w:rPr>
                <w:rFonts w:ascii="Arial" w:hAnsi="Arial" w:cs="Arial"/>
                <w:sz w:val="22"/>
                <w:szCs w:val="22"/>
              </w:rPr>
              <w:t xml:space="preserve"> </w:t>
            </w:r>
            <w:r w:rsidRPr="005262D1">
              <w:rPr>
                <w:rFonts w:ascii="Arial" w:hAnsi="Arial" w:cs="Arial" w:hint="eastAsia"/>
                <w:sz w:val="22"/>
                <w:szCs w:val="22"/>
              </w:rPr>
              <w:t>cell</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Halt™ Protease Inhibitor Cocktail</w:t>
            </w:r>
          </w:p>
        </w:tc>
        <w:tc>
          <w:tcPr>
            <w:tcW w:w="4893" w:type="dxa"/>
            <w:gridSpan w:val="2"/>
            <w:vMerge w:val="restart"/>
            <w:tcBorders>
              <w:top w:val="single" w:sz="8" w:space="0" w:color="D9D9D9"/>
              <w:left w:val="nil"/>
              <w:right w:val="nil"/>
            </w:tcBorders>
            <w:shd w:val="clear" w:color="auto" w:fill="FFFFFF"/>
            <w:vAlign w:val="center"/>
          </w:tcPr>
          <w:p w:rsidR="00B65FBE" w:rsidRDefault="00B65FBE" w:rsidP="00232F08">
            <w:pPr>
              <w:wordWrap/>
              <w:spacing w:line="360" w:lineRule="auto"/>
              <w:jc w:val="center"/>
              <w:rPr>
                <w:rFonts w:ascii="Arial" w:hAnsi="Arial" w:cs="Arial"/>
                <w:sz w:val="22"/>
                <w:szCs w:val="22"/>
              </w:rPr>
            </w:pPr>
            <w:r w:rsidRPr="005262D1">
              <w:rPr>
                <w:rFonts w:ascii="Arial" w:hAnsi="Arial" w:cs="Arial"/>
                <w:sz w:val="22"/>
                <w:szCs w:val="22"/>
              </w:rPr>
              <w:t>Thermo Fisher Scientific</w:t>
            </w:r>
          </w:p>
          <w:p w:rsidR="00B65FBE" w:rsidRPr="005262D1" w:rsidRDefault="00B65FBE" w:rsidP="00232F08">
            <w:pPr>
              <w:wordWrap/>
              <w:spacing w:line="360" w:lineRule="auto"/>
              <w:jc w:val="center"/>
              <w:rPr>
                <w:rFonts w:ascii="Arial" w:hAnsi="Arial" w:cs="Arial"/>
                <w:sz w:val="22"/>
                <w:szCs w:val="22"/>
              </w:rPr>
            </w:pPr>
            <w:r>
              <w:rPr>
                <w:rFonts w:ascii="Arial" w:hAnsi="Arial" w:cs="Arial"/>
                <w:sz w:val="22"/>
                <w:szCs w:val="22"/>
              </w:rPr>
              <w:t>(Invitrogen)</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Propidium iodide</w:t>
            </w:r>
          </w:p>
        </w:tc>
        <w:tc>
          <w:tcPr>
            <w:tcW w:w="4893" w:type="dxa"/>
            <w:gridSpan w:val="2"/>
            <w:vMerge/>
            <w:tcBorders>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FD542A">
              <w:rPr>
                <w:rFonts w:ascii="Arial" w:hAnsi="Arial" w:cs="Arial"/>
                <w:sz w:val="22"/>
                <w:szCs w:val="22"/>
              </w:rPr>
              <w:t>TurboFect Transfection Reagent</w:t>
            </w:r>
          </w:p>
        </w:tc>
        <w:tc>
          <w:tcPr>
            <w:tcW w:w="4893" w:type="dxa"/>
            <w:gridSpan w:val="2"/>
            <w:vMerge/>
            <w:tcBorders>
              <w:left w:val="nil"/>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1707A" w:rsidRDefault="00B65FBE" w:rsidP="00232F08">
            <w:pPr>
              <w:wordWrap/>
              <w:spacing w:line="360" w:lineRule="auto"/>
              <w:jc w:val="left"/>
              <w:rPr>
                <w:rFonts w:ascii="Arial" w:hAnsi="Arial" w:cs="Arial"/>
                <w:sz w:val="22"/>
                <w:szCs w:val="22"/>
              </w:rPr>
            </w:pPr>
            <w:r w:rsidRPr="00FD542A">
              <w:rPr>
                <w:rFonts w:ascii="Arial" w:hAnsi="Arial" w:cs="Arial"/>
                <w:sz w:val="22"/>
                <w:szCs w:val="22"/>
              </w:rPr>
              <w:t>Lipofectamine™ RNAiMAX</w:t>
            </w:r>
          </w:p>
        </w:tc>
        <w:tc>
          <w:tcPr>
            <w:tcW w:w="4893" w:type="dxa"/>
            <w:gridSpan w:val="2"/>
            <w:vMerge/>
            <w:tcBorders>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Phosphatase Inhibitor Cocktail</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hint="eastAsia"/>
                <w:sz w:val="22"/>
                <w:szCs w:val="22"/>
              </w:rPr>
              <w:t>APExBIO</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hint="eastAsia"/>
                <w:sz w:val="22"/>
                <w:szCs w:val="22"/>
              </w:rPr>
              <w:t xml:space="preserve">RNase </w:t>
            </w:r>
            <w:r w:rsidRPr="005262D1">
              <w:rPr>
                <w:rFonts w:ascii="Arial" w:hAnsi="Arial" w:cs="Arial"/>
                <w:sz w:val="22"/>
                <w:szCs w:val="22"/>
              </w:rPr>
              <w:t>A</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hint="eastAsia"/>
                <w:sz w:val="22"/>
                <w:szCs w:val="22"/>
              </w:rPr>
              <w:t>GENERAY BIOTECH</w:t>
            </w:r>
          </w:p>
        </w:tc>
      </w:tr>
      <w:tr w:rsidR="00B65FBE" w:rsidRPr="005262D1" w:rsidTr="00232F08">
        <w:trPr>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5262D1" w:rsidRDefault="00B65FBE" w:rsidP="00232F08">
            <w:pPr>
              <w:wordWrap/>
              <w:spacing w:line="360" w:lineRule="auto"/>
              <w:jc w:val="left"/>
              <w:rPr>
                <w:rFonts w:ascii="Arial" w:hAnsi="Arial" w:cs="Arial"/>
                <w:sz w:val="22"/>
                <w:szCs w:val="22"/>
              </w:rPr>
            </w:pPr>
            <w:r w:rsidRPr="0051707A">
              <w:rPr>
                <w:rFonts w:ascii="Arial" w:hAnsi="Arial" w:cs="Arial"/>
                <w:sz w:val="22"/>
                <w:szCs w:val="22"/>
              </w:rPr>
              <w:lastRenderedPageBreak/>
              <w:t>X-tremeGENE™ HP</w:t>
            </w:r>
          </w:p>
        </w:tc>
        <w:tc>
          <w:tcPr>
            <w:tcW w:w="4893" w:type="dxa"/>
            <w:gridSpan w:val="2"/>
            <w:tcBorders>
              <w:top w:val="single" w:sz="8" w:space="0" w:color="D9D9D9"/>
              <w:left w:val="nil"/>
              <w:bottom w:val="single" w:sz="8" w:space="0" w:color="D9D9D9"/>
              <w:right w:val="nil"/>
            </w:tcBorders>
            <w:shd w:val="clear" w:color="auto" w:fill="FFFFFF"/>
            <w:vAlign w:val="center"/>
          </w:tcPr>
          <w:p w:rsidR="00B65FBE" w:rsidRPr="005262D1" w:rsidRDefault="00B65FBE" w:rsidP="00232F08">
            <w:pPr>
              <w:wordWrap/>
              <w:spacing w:line="360" w:lineRule="auto"/>
              <w:jc w:val="center"/>
              <w:rPr>
                <w:rFonts w:ascii="Arial" w:hAnsi="Arial" w:cs="Arial"/>
                <w:sz w:val="22"/>
                <w:szCs w:val="22"/>
              </w:rPr>
            </w:pPr>
            <w:r w:rsidRPr="0051707A">
              <w:rPr>
                <w:rFonts w:ascii="Arial" w:hAnsi="Arial" w:cs="Arial"/>
                <w:sz w:val="22"/>
                <w:szCs w:val="22"/>
              </w:rPr>
              <w:t>Roche</w:t>
            </w:r>
          </w:p>
        </w:tc>
      </w:tr>
      <w:tr w:rsidR="00B65FBE" w:rsidRPr="005262D1" w:rsidTr="00232F08">
        <w:trPr>
          <w:gridAfter w:val="1"/>
          <w:wAfter w:w="74" w:type="dxa"/>
          <w:trHeight w:val="340"/>
        </w:trPr>
        <w:tc>
          <w:tcPr>
            <w:tcW w:w="9781" w:type="dxa"/>
            <w:gridSpan w:val="4"/>
            <w:tcBorders>
              <w:top w:val="single" w:sz="18" w:space="0" w:color="2F5597"/>
              <w:left w:val="nil"/>
              <w:bottom w:val="single" w:sz="18" w:space="0" w:color="2F5597"/>
              <w:right w:val="single" w:sz="8" w:space="0" w:color="F2F2F2"/>
            </w:tcBorders>
            <w:shd w:val="clear" w:color="auto" w:fill="FFFFFF"/>
            <w:tcMar>
              <w:top w:w="15" w:type="dxa"/>
              <w:left w:w="108" w:type="dxa"/>
              <w:bottom w:w="0" w:type="dxa"/>
              <w:right w:w="108" w:type="dxa"/>
            </w:tcMar>
            <w:vAlign w:val="bottom"/>
            <w:hideMark/>
          </w:tcPr>
          <w:p w:rsidR="00B65FBE" w:rsidRPr="009D6A1B" w:rsidRDefault="00B65FBE" w:rsidP="00232F08">
            <w:pPr>
              <w:wordWrap/>
              <w:spacing w:line="360" w:lineRule="auto"/>
              <w:rPr>
                <w:rFonts w:ascii="Arial" w:hAnsi="Arial" w:cs="Arial"/>
                <w:b/>
                <w:sz w:val="24"/>
              </w:rPr>
            </w:pPr>
            <w:r w:rsidRPr="009D6A1B">
              <w:rPr>
                <w:rFonts w:ascii="Arial" w:hAnsi="Arial" w:cs="Arial"/>
                <w:b/>
                <w:bCs/>
                <w:sz w:val="24"/>
              </w:rPr>
              <w:t xml:space="preserve">Antibodies </w:t>
            </w:r>
          </w:p>
        </w:tc>
      </w:tr>
      <w:tr w:rsidR="00B65FBE" w:rsidRPr="005262D1" w:rsidTr="00232F08">
        <w:trPr>
          <w:gridAfter w:val="1"/>
          <w:wAfter w:w="74" w:type="dxa"/>
          <w:trHeight w:val="340"/>
        </w:trPr>
        <w:tc>
          <w:tcPr>
            <w:tcW w:w="4890" w:type="dxa"/>
            <w:gridSpan w:val="2"/>
            <w:tcBorders>
              <w:top w:val="single" w:sz="18" w:space="0" w:color="2F5597"/>
              <w:left w:val="nil"/>
              <w:bottom w:val="single" w:sz="8" w:space="0" w:color="2F5597"/>
              <w:right w:val="single" w:sz="4" w:space="0" w:color="FFFFFF" w:themeColor="background1"/>
            </w:tcBorders>
            <w:shd w:val="clear" w:color="auto" w:fill="FFFFFF"/>
            <w:tcMar>
              <w:top w:w="15" w:type="dxa"/>
              <w:left w:w="108" w:type="dxa"/>
              <w:bottom w:w="0" w:type="dxa"/>
              <w:right w:w="108" w:type="dxa"/>
            </w:tcMar>
            <w:vAlign w:val="bottom"/>
          </w:tcPr>
          <w:p w:rsidR="00B65FBE" w:rsidRPr="005262D1" w:rsidRDefault="00B65FBE" w:rsidP="00232F08">
            <w:pPr>
              <w:wordWrap/>
              <w:spacing w:line="360" w:lineRule="auto"/>
              <w:rPr>
                <w:rFonts w:ascii="Arial" w:hAnsi="Arial" w:cs="Arial"/>
                <w:bCs/>
                <w:sz w:val="22"/>
                <w:szCs w:val="22"/>
              </w:rPr>
            </w:pPr>
            <w:r w:rsidRPr="005262D1">
              <w:rPr>
                <w:rFonts w:ascii="Arial" w:hAnsi="Arial" w:cs="Arial"/>
                <w:bCs/>
                <w:sz w:val="22"/>
                <w:szCs w:val="22"/>
              </w:rPr>
              <w:t>Protein Target</w:t>
            </w:r>
          </w:p>
        </w:tc>
        <w:tc>
          <w:tcPr>
            <w:tcW w:w="4891" w:type="dxa"/>
            <w:gridSpan w:val="2"/>
            <w:tcBorders>
              <w:top w:val="single" w:sz="18" w:space="0" w:color="2F5597"/>
              <w:left w:val="single" w:sz="4" w:space="0" w:color="FFFFFF" w:themeColor="background1"/>
              <w:bottom w:val="single" w:sz="8" w:space="0" w:color="2F5597"/>
              <w:right w:val="single" w:sz="8" w:space="0" w:color="F2F2F2"/>
            </w:tcBorders>
            <w:shd w:val="clear" w:color="auto" w:fill="FFFFFF"/>
            <w:tcMar>
              <w:top w:w="15" w:type="dxa"/>
              <w:left w:w="108" w:type="dxa"/>
              <w:bottom w:w="0" w:type="dxa"/>
              <w:right w:w="108" w:type="dxa"/>
            </w:tcMar>
            <w:vAlign w:val="bottom"/>
          </w:tcPr>
          <w:p w:rsidR="00B65FBE" w:rsidRPr="005262D1" w:rsidRDefault="00B65FBE" w:rsidP="00232F08">
            <w:pPr>
              <w:wordWrap/>
              <w:spacing w:line="360" w:lineRule="auto"/>
              <w:rPr>
                <w:rFonts w:ascii="Arial" w:hAnsi="Arial" w:cs="Arial"/>
                <w:bCs/>
                <w:sz w:val="22"/>
                <w:szCs w:val="22"/>
              </w:rPr>
            </w:pPr>
            <w:r w:rsidRPr="005262D1">
              <w:rPr>
                <w:rFonts w:ascii="Arial" w:hAnsi="Arial" w:cs="Arial"/>
                <w:bCs/>
                <w:sz w:val="22"/>
                <w:szCs w:val="22"/>
              </w:rPr>
              <w:t>Company</w:t>
            </w:r>
          </w:p>
        </w:tc>
      </w:tr>
      <w:tr w:rsidR="00B65FBE" w:rsidRPr="005262D1" w:rsidTr="00232F08">
        <w:trPr>
          <w:gridAfter w:val="1"/>
          <w:wAfter w:w="74" w:type="dxa"/>
          <w:trHeight w:val="397"/>
        </w:trPr>
        <w:tc>
          <w:tcPr>
            <w:tcW w:w="4890" w:type="dxa"/>
            <w:gridSpan w:val="2"/>
            <w:tcBorders>
              <w:top w:val="single" w:sz="8" w:space="0" w:color="2F5597"/>
              <w:left w:val="nil"/>
              <w:bottom w:val="single" w:sz="8" w:space="0" w:color="D9D9D9"/>
              <w:right w:val="single" w:sz="8" w:space="0" w:color="FFFFFF"/>
            </w:tcBorders>
            <w:shd w:val="clear" w:color="auto" w:fill="FFFFFF"/>
            <w:tcMar>
              <w:top w:w="15" w:type="dxa"/>
              <w:left w:w="108" w:type="dxa"/>
              <w:bottom w:w="0" w:type="dxa"/>
              <w:right w:w="108" w:type="dxa"/>
            </w:tcMar>
            <w:vAlign w:val="center"/>
            <w:hideMark/>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Rabbit monoclonal anti-BMI1</w:t>
            </w:r>
          </w:p>
        </w:tc>
        <w:tc>
          <w:tcPr>
            <w:tcW w:w="4891" w:type="dxa"/>
            <w:gridSpan w:val="2"/>
            <w:vMerge w:val="restart"/>
            <w:tcBorders>
              <w:top w:val="single" w:sz="8" w:space="0" w:color="2F5597"/>
              <w:left w:val="single" w:sz="8" w:space="0" w:color="FFFFFF"/>
              <w:right w:val="single" w:sz="8" w:space="0" w:color="FFFFFF"/>
            </w:tcBorders>
            <w:shd w:val="clear" w:color="auto" w:fill="FFFFFF"/>
            <w:tcMar>
              <w:top w:w="72" w:type="dxa"/>
              <w:left w:w="144" w:type="dxa"/>
              <w:bottom w:w="72" w:type="dxa"/>
              <w:right w:w="144" w:type="dxa"/>
            </w:tcMar>
            <w:vAlign w:val="center"/>
            <w:hideMark/>
          </w:tcPr>
          <w:p w:rsidR="00B65FBE" w:rsidRPr="005262D1" w:rsidRDefault="00B65FBE" w:rsidP="00232F08">
            <w:pPr>
              <w:wordWrap/>
              <w:spacing w:line="360" w:lineRule="auto"/>
              <w:jc w:val="center"/>
              <w:rPr>
                <w:rFonts w:ascii="Arial" w:hAnsi="Arial" w:cs="Arial"/>
                <w:sz w:val="22"/>
                <w:szCs w:val="22"/>
              </w:rPr>
            </w:pPr>
            <w:r w:rsidRPr="005262D1">
              <w:rPr>
                <w:rFonts w:ascii="Arial" w:hAnsi="Arial" w:cs="Arial"/>
                <w:sz w:val="22"/>
                <w:szCs w:val="22"/>
              </w:rPr>
              <w:t>Cell Signaling Technology</w:t>
            </w:r>
          </w:p>
        </w:tc>
      </w:tr>
      <w:tr w:rsidR="00B65FBE" w:rsidRPr="005262D1" w:rsidTr="00232F08">
        <w:trPr>
          <w:gridAfter w:val="1"/>
          <w:wAfter w:w="74" w:type="dxa"/>
          <w:trHeight w:val="397"/>
        </w:trPr>
        <w:tc>
          <w:tcPr>
            <w:tcW w:w="4890" w:type="dxa"/>
            <w:gridSpan w:val="2"/>
            <w:tcBorders>
              <w:top w:val="single" w:sz="8" w:space="0" w:color="D9D9D9"/>
              <w:left w:val="nil"/>
              <w:bottom w:val="single" w:sz="8" w:space="0" w:color="D9D9D9"/>
              <w:right w:val="single" w:sz="8" w:space="0" w:color="FFFFFF"/>
            </w:tcBorders>
            <w:shd w:val="clear" w:color="auto" w:fill="FFFFFF"/>
            <w:tcMar>
              <w:top w:w="15" w:type="dxa"/>
              <w:left w:w="108" w:type="dxa"/>
              <w:bottom w:w="0" w:type="dxa"/>
              <w:right w:w="108" w:type="dxa"/>
            </w:tcMar>
            <w:vAlign w:val="center"/>
            <w:hideMark/>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Mouse monoclonal anti-LMNA</w:t>
            </w:r>
          </w:p>
        </w:tc>
        <w:tc>
          <w:tcPr>
            <w:tcW w:w="4891" w:type="dxa"/>
            <w:gridSpan w:val="2"/>
            <w:vMerge/>
            <w:tcBorders>
              <w:left w:val="single" w:sz="8" w:space="0" w:color="FFFFFF"/>
              <w:right w:val="single" w:sz="8" w:space="0" w:color="FFFFFF"/>
            </w:tcBorders>
            <w:vAlign w:val="center"/>
            <w:hideMark/>
          </w:tcPr>
          <w:p w:rsidR="00B65FBE" w:rsidRPr="005262D1" w:rsidRDefault="00B65FBE" w:rsidP="00232F08">
            <w:pPr>
              <w:wordWrap/>
              <w:spacing w:line="360" w:lineRule="auto"/>
              <w:jc w:val="left"/>
              <w:rPr>
                <w:rFonts w:ascii="Arial" w:hAnsi="Arial" w:cs="Arial"/>
                <w:sz w:val="22"/>
                <w:szCs w:val="22"/>
              </w:rPr>
            </w:pPr>
          </w:p>
        </w:tc>
      </w:tr>
      <w:tr w:rsidR="00B65FBE" w:rsidRPr="005262D1" w:rsidTr="00232F08">
        <w:trPr>
          <w:gridAfter w:val="1"/>
          <w:wAfter w:w="74" w:type="dxa"/>
          <w:trHeight w:val="397"/>
        </w:trPr>
        <w:tc>
          <w:tcPr>
            <w:tcW w:w="4890" w:type="dxa"/>
            <w:gridSpan w:val="2"/>
            <w:tcBorders>
              <w:top w:val="single" w:sz="8" w:space="0" w:color="D9D9D9"/>
              <w:left w:val="nil"/>
              <w:bottom w:val="single" w:sz="8" w:space="0" w:color="D9D9D9"/>
              <w:right w:val="single" w:sz="8" w:space="0" w:color="FFFFFF"/>
            </w:tcBorders>
            <w:shd w:val="clear" w:color="auto" w:fill="FFFFFF"/>
            <w:tcMar>
              <w:top w:w="15" w:type="dxa"/>
              <w:left w:w="108" w:type="dxa"/>
              <w:bottom w:w="0" w:type="dxa"/>
              <w:right w:w="108" w:type="dxa"/>
            </w:tcMar>
            <w:vAlign w:val="center"/>
            <w:hideMark/>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Rabbit monoclonal anti-53BP1</w:t>
            </w:r>
          </w:p>
        </w:tc>
        <w:tc>
          <w:tcPr>
            <w:tcW w:w="4891" w:type="dxa"/>
            <w:gridSpan w:val="2"/>
            <w:vMerge/>
            <w:tcBorders>
              <w:left w:val="single" w:sz="8" w:space="0" w:color="FFFFFF"/>
              <w:right w:val="single" w:sz="8" w:space="0" w:color="FFFFFF"/>
            </w:tcBorders>
            <w:vAlign w:val="center"/>
            <w:hideMark/>
          </w:tcPr>
          <w:p w:rsidR="00B65FBE" w:rsidRPr="005262D1" w:rsidRDefault="00B65FBE" w:rsidP="00232F08">
            <w:pPr>
              <w:wordWrap/>
              <w:spacing w:line="360" w:lineRule="auto"/>
              <w:jc w:val="left"/>
              <w:rPr>
                <w:rFonts w:ascii="Arial" w:hAnsi="Arial" w:cs="Arial"/>
                <w:sz w:val="22"/>
                <w:szCs w:val="22"/>
              </w:rPr>
            </w:pPr>
          </w:p>
        </w:tc>
      </w:tr>
      <w:tr w:rsidR="00B65FBE" w:rsidRPr="005262D1" w:rsidTr="00232F08">
        <w:trPr>
          <w:gridAfter w:val="1"/>
          <w:wAfter w:w="74" w:type="dxa"/>
          <w:trHeight w:val="397"/>
        </w:trPr>
        <w:tc>
          <w:tcPr>
            <w:tcW w:w="4890" w:type="dxa"/>
            <w:gridSpan w:val="2"/>
            <w:tcBorders>
              <w:top w:val="single" w:sz="8" w:space="0" w:color="D9D9D9"/>
              <w:left w:val="nil"/>
              <w:bottom w:val="single" w:sz="8" w:space="0" w:color="D9D9D9"/>
              <w:right w:val="single" w:sz="8" w:space="0" w:color="FFFFFF"/>
            </w:tcBorders>
            <w:shd w:val="clear" w:color="auto" w:fill="FFFFFF"/>
            <w:tcMar>
              <w:top w:w="15" w:type="dxa"/>
              <w:left w:w="108" w:type="dxa"/>
              <w:bottom w:w="0" w:type="dxa"/>
              <w:right w:w="108" w:type="dxa"/>
            </w:tcMar>
            <w:vAlign w:val="center"/>
            <w:hideMark/>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Rabbit monoclonal anti-γH2AX</w:t>
            </w:r>
          </w:p>
        </w:tc>
        <w:tc>
          <w:tcPr>
            <w:tcW w:w="4891" w:type="dxa"/>
            <w:gridSpan w:val="2"/>
            <w:vMerge/>
            <w:tcBorders>
              <w:left w:val="single" w:sz="8" w:space="0" w:color="FFFFFF"/>
              <w:right w:val="single" w:sz="8" w:space="0" w:color="FFFFFF"/>
            </w:tcBorders>
            <w:vAlign w:val="center"/>
            <w:hideMark/>
          </w:tcPr>
          <w:p w:rsidR="00B65FBE" w:rsidRPr="005262D1" w:rsidRDefault="00B65FBE" w:rsidP="00232F08">
            <w:pPr>
              <w:wordWrap/>
              <w:spacing w:line="360" w:lineRule="auto"/>
              <w:jc w:val="left"/>
              <w:rPr>
                <w:rFonts w:ascii="Arial" w:hAnsi="Arial" w:cs="Arial"/>
                <w:sz w:val="22"/>
                <w:szCs w:val="22"/>
              </w:rPr>
            </w:pPr>
          </w:p>
        </w:tc>
      </w:tr>
      <w:tr w:rsidR="00B65FBE" w:rsidRPr="005262D1"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15" w:type="dxa"/>
              <w:left w:w="108" w:type="dxa"/>
              <w:bottom w:w="0" w:type="dxa"/>
              <w:right w:w="108" w:type="dxa"/>
            </w:tcMar>
            <w:vAlign w:val="center"/>
            <w:hideMark/>
          </w:tcPr>
          <w:p w:rsidR="00B65FBE" w:rsidRPr="005262D1" w:rsidRDefault="00B65FBE" w:rsidP="00232F08">
            <w:pPr>
              <w:wordWrap/>
              <w:spacing w:line="360" w:lineRule="auto"/>
              <w:jc w:val="left"/>
              <w:rPr>
                <w:rFonts w:ascii="Arial" w:hAnsi="Arial" w:cs="Arial"/>
                <w:sz w:val="22"/>
                <w:szCs w:val="22"/>
              </w:rPr>
            </w:pPr>
            <w:r w:rsidRPr="005262D1">
              <w:rPr>
                <w:rFonts w:ascii="Arial" w:hAnsi="Arial" w:cs="Arial"/>
                <w:sz w:val="22"/>
                <w:szCs w:val="22"/>
              </w:rPr>
              <w:t>Rabbit monoclonal anti-H2A-K119ub</w:t>
            </w:r>
          </w:p>
        </w:tc>
        <w:tc>
          <w:tcPr>
            <w:tcW w:w="4891" w:type="dxa"/>
            <w:gridSpan w:val="2"/>
            <w:vMerge/>
            <w:tcBorders>
              <w:left w:val="single" w:sz="8" w:space="0" w:color="FFFFFF"/>
              <w:right w:val="single" w:sz="8" w:space="0" w:color="FFFFFF"/>
            </w:tcBorders>
            <w:vAlign w:val="center"/>
            <w:hideMark/>
          </w:tcPr>
          <w:p w:rsidR="00B65FBE" w:rsidRPr="005262D1"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15" w:type="dxa"/>
              <w:left w:w="108" w:type="dxa"/>
              <w:bottom w:w="0" w:type="dxa"/>
              <w:right w:w="108" w:type="dxa"/>
            </w:tcMar>
            <w:vAlign w:val="center"/>
            <w:hideMark/>
          </w:tcPr>
          <w:p w:rsidR="00B65FBE" w:rsidRPr="00CE7F67" w:rsidRDefault="00B65FBE" w:rsidP="00232F08">
            <w:pPr>
              <w:wordWrap/>
              <w:spacing w:line="360" w:lineRule="auto"/>
              <w:jc w:val="left"/>
              <w:rPr>
                <w:rFonts w:ascii="Arial" w:hAnsi="Arial" w:cs="Arial"/>
                <w:sz w:val="22"/>
                <w:szCs w:val="22"/>
              </w:rPr>
            </w:pPr>
            <w:r w:rsidRPr="00CE7F67">
              <w:rPr>
                <w:rFonts w:ascii="Arial" w:hAnsi="Arial" w:cs="Arial"/>
                <w:sz w:val="22"/>
                <w:szCs w:val="22"/>
              </w:rPr>
              <w:t>Phospho-ATM/ATR Substrate Motif (pS/TQ)</w:t>
            </w:r>
          </w:p>
        </w:tc>
        <w:tc>
          <w:tcPr>
            <w:tcW w:w="4891" w:type="dxa"/>
            <w:gridSpan w:val="2"/>
            <w:vMerge/>
            <w:tcBorders>
              <w:left w:val="single" w:sz="8" w:space="0" w:color="FFFFFF"/>
              <w:right w:val="single" w:sz="8" w:space="0" w:color="FFFFFF"/>
            </w:tcBorders>
            <w:vAlign w:val="center"/>
            <w:hideMark/>
          </w:tcPr>
          <w:p w:rsidR="00B65FBE" w:rsidRPr="00CE7F67"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single" w:sz="8" w:space="0" w:color="FFFFFF"/>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A3D4B">
              <w:rPr>
                <w:rFonts w:ascii="Arial" w:hAnsi="Arial" w:cs="Arial"/>
                <w:sz w:val="22"/>
                <w:szCs w:val="22"/>
              </w:rPr>
              <w:t>Rabbit polyclonal</w:t>
            </w:r>
            <w:r>
              <w:rPr>
                <w:rFonts w:ascii="Arial" w:hAnsi="Arial" w:cs="Arial"/>
                <w:sz w:val="22"/>
                <w:szCs w:val="22"/>
              </w:rPr>
              <w:t xml:space="preserve"> anti-</w:t>
            </w:r>
            <w:r w:rsidRPr="00CE7F67">
              <w:rPr>
                <w:rFonts w:ascii="Arial" w:hAnsi="Arial" w:cs="Arial"/>
                <w:sz w:val="22"/>
                <w:szCs w:val="22"/>
              </w:rPr>
              <w:t>α-Tubulin</w:t>
            </w:r>
          </w:p>
        </w:tc>
        <w:tc>
          <w:tcPr>
            <w:tcW w:w="4891" w:type="dxa"/>
            <w:gridSpan w:val="2"/>
            <w:vMerge/>
            <w:tcBorders>
              <w:left w:val="single" w:sz="8" w:space="0" w:color="FFFFFF"/>
              <w:bottom w:val="single" w:sz="8" w:space="0" w:color="D9D9D9"/>
              <w:right w:val="single" w:sz="8" w:space="0" w:color="FFFFFF"/>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A3D4B">
              <w:rPr>
                <w:rFonts w:ascii="Arial" w:hAnsi="Arial" w:cs="Arial"/>
                <w:sz w:val="22"/>
                <w:szCs w:val="22"/>
              </w:rPr>
              <w:t>Mouse monoclonal</w:t>
            </w:r>
            <w:r>
              <w:rPr>
                <w:rFonts w:ascii="Arial" w:hAnsi="Arial" w:cs="Arial"/>
                <w:sz w:val="22"/>
                <w:szCs w:val="22"/>
              </w:rPr>
              <w:t xml:space="preserve"> anti-</w:t>
            </w:r>
            <w:r w:rsidRPr="003A3D4B">
              <w:rPr>
                <w:rFonts w:ascii="Arial" w:hAnsi="Arial" w:cs="Arial"/>
                <w:sz w:val="22"/>
                <w:szCs w:val="22"/>
              </w:rPr>
              <w:t>FLAG</w:t>
            </w:r>
          </w:p>
        </w:tc>
        <w:tc>
          <w:tcPr>
            <w:tcW w:w="4891" w:type="dxa"/>
            <w:gridSpan w:val="2"/>
            <w:vMerge w:val="restart"/>
            <w:tcBorders>
              <w:top w:val="single" w:sz="8" w:space="0" w:color="D9D9D9"/>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A3D4B">
              <w:rPr>
                <w:rFonts w:ascii="Arial" w:hAnsi="Arial" w:cs="Arial"/>
                <w:sz w:val="22"/>
                <w:szCs w:val="22"/>
              </w:rPr>
              <w:t>Sigma Aldrich</w:t>
            </w: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A3D4B">
              <w:rPr>
                <w:rFonts w:ascii="Arial" w:hAnsi="Arial" w:cs="Arial"/>
                <w:sz w:val="22"/>
                <w:szCs w:val="22"/>
              </w:rPr>
              <w:t>Rabbit polyclonal</w:t>
            </w:r>
            <w:r>
              <w:rPr>
                <w:rFonts w:ascii="Arial" w:hAnsi="Arial" w:cs="Arial"/>
                <w:sz w:val="22"/>
                <w:szCs w:val="22"/>
              </w:rPr>
              <w:t xml:space="preserve"> anti-NUP107</w:t>
            </w:r>
          </w:p>
        </w:tc>
        <w:tc>
          <w:tcPr>
            <w:tcW w:w="4891" w:type="dxa"/>
            <w:gridSpan w:val="2"/>
            <w:vMerge/>
            <w:tcBorders>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CE7F67">
              <w:rPr>
                <w:rFonts w:ascii="Arial" w:hAnsi="Arial" w:cs="Arial"/>
                <w:sz w:val="22"/>
                <w:szCs w:val="22"/>
              </w:rPr>
              <w:t>FLAG</w:t>
            </w:r>
          </w:p>
        </w:tc>
        <w:tc>
          <w:tcPr>
            <w:tcW w:w="4891" w:type="dxa"/>
            <w:gridSpan w:val="2"/>
            <w:vMerge w:val="restart"/>
            <w:tcBorders>
              <w:top w:val="single" w:sz="8" w:space="0" w:color="D9D9D9"/>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A3D4B">
              <w:rPr>
                <w:rFonts w:ascii="Arial" w:hAnsi="Arial" w:cs="Arial"/>
                <w:sz w:val="22"/>
                <w:szCs w:val="22"/>
              </w:rPr>
              <w:t>Merck Millipore</w:t>
            </w: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A3D4B">
              <w:rPr>
                <w:rFonts w:ascii="Arial" w:hAnsi="Arial" w:cs="Arial"/>
                <w:sz w:val="22"/>
                <w:szCs w:val="22"/>
              </w:rPr>
              <w:t>Mouse monoclonal</w:t>
            </w:r>
            <w:r>
              <w:rPr>
                <w:rFonts w:ascii="Arial" w:hAnsi="Arial" w:cs="Arial"/>
                <w:sz w:val="22"/>
                <w:szCs w:val="22"/>
              </w:rPr>
              <w:t xml:space="preserve"> anti-</w:t>
            </w:r>
            <w:r w:rsidRPr="003A3D4B">
              <w:rPr>
                <w:rFonts w:ascii="Arial" w:hAnsi="Arial" w:cs="Arial" w:hint="eastAsia"/>
                <w:sz w:val="22"/>
                <w:szCs w:val="22"/>
              </w:rPr>
              <w:t>γ</w:t>
            </w:r>
            <w:r w:rsidRPr="003A3D4B">
              <w:rPr>
                <w:rFonts w:ascii="Arial" w:hAnsi="Arial" w:cs="Arial"/>
                <w:sz w:val="22"/>
                <w:szCs w:val="22"/>
              </w:rPr>
              <w:t>H2AX</w:t>
            </w:r>
          </w:p>
        </w:tc>
        <w:tc>
          <w:tcPr>
            <w:tcW w:w="4891" w:type="dxa"/>
            <w:gridSpan w:val="2"/>
            <w:vMerge/>
            <w:tcBorders>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Default="00B65FBE" w:rsidP="00232F08">
            <w:pPr>
              <w:wordWrap/>
              <w:spacing w:line="360" w:lineRule="auto"/>
              <w:jc w:val="left"/>
              <w:rPr>
                <w:rFonts w:ascii="Arial" w:hAnsi="Arial" w:cs="Arial"/>
                <w:sz w:val="22"/>
                <w:szCs w:val="22"/>
              </w:rPr>
            </w:pPr>
            <w:r w:rsidRPr="004F50DE">
              <w:rPr>
                <w:rFonts w:ascii="Arial" w:hAnsi="Arial" w:cs="Arial"/>
                <w:sz w:val="22"/>
                <w:szCs w:val="22"/>
              </w:rPr>
              <w:t>Rabbit polyclonal</w:t>
            </w:r>
            <w:r>
              <w:rPr>
                <w:rFonts w:ascii="Arial" w:hAnsi="Arial" w:cs="Arial"/>
                <w:sz w:val="22"/>
                <w:szCs w:val="22"/>
              </w:rPr>
              <w:t xml:space="preserve"> anti-</w:t>
            </w:r>
            <w:r w:rsidRPr="004F50DE">
              <w:rPr>
                <w:rFonts w:ascii="Arial" w:hAnsi="Arial" w:cs="Arial"/>
                <w:sz w:val="22"/>
                <w:szCs w:val="22"/>
              </w:rPr>
              <w:t xml:space="preserve">Rpb1 </w:t>
            </w:r>
          </w:p>
          <w:p w:rsidR="00B65FBE" w:rsidRPr="00CE7F67" w:rsidRDefault="00B65FBE" w:rsidP="00232F08">
            <w:pPr>
              <w:wordWrap/>
              <w:spacing w:line="360" w:lineRule="auto"/>
              <w:jc w:val="left"/>
              <w:rPr>
                <w:rFonts w:ascii="Arial" w:hAnsi="Arial" w:cs="Arial"/>
                <w:sz w:val="22"/>
                <w:szCs w:val="22"/>
              </w:rPr>
            </w:pPr>
            <w:r w:rsidRPr="004F50DE">
              <w:rPr>
                <w:rFonts w:ascii="Arial" w:hAnsi="Arial" w:cs="Arial"/>
                <w:sz w:val="22"/>
                <w:szCs w:val="22"/>
              </w:rPr>
              <w:t>(p-Ser 2 RNA Pol II)</w:t>
            </w:r>
          </w:p>
        </w:tc>
        <w:tc>
          <w:tcPr>
            <w:tcW w:w="4891" w:type="dxa"/>
            <w:gridSpan w:val="2"/>
            <w:vMerge w:val="restart"/>
            <w:tcBorders>
              <w:top w:val="single" w:sz="8" w:space="0" w:color="D9D9D9"/>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A3D4B">
              <w:rPr>
                <w:rFonts w:ascii="Arial" w:hAnsi="Arial" w:cs="Arial"/>
                <w:sz w:val="22"/>
                <w:szCs w:val="22"/>
              </w:rPr>
              <w:t>Abcam</w:t>
            </w: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tcPr>
          <w:p w:rsidR="00B65FBE" w:rsidRPr="004F50DE" w:rsidRDefault="00B65FBE" w:rsidP="00232F08">
            <w:pPr>
              <w:wordWrap/>
              <w:spacing w:line="360" w:lineRule="auto"/>
              <w:jc w:val="left"/>
              <w:rPr>
                <w:rFonts w:ascii="Arial" w:hAnsi="Arial" w:cs="Arial"/>
                <w:sz w:val="22"/>
                <w:szCs w:val="22"/>
              </w:rPr>
            </w:pPr>
            <w:r w:rsidRPr="00CB716D">
              <w:rPr>
                <w:rFonts w:ascii="Arial" w:hAnsi="Arial" w:cs="Arial"/>
                <w:sz w:val="22"/>
                <w:szCs w:val="22"/>
              </w:rPr>
              <w:t xml:space="preserve">Rabbit Polyclonal </w:t>
            </w:r>
            <w:r>
              <w:rPr>
                <w:rFonts w:ascii="Arial" w:hAnsi="Arial" w:cs="Arial"/>
                <w:sz w:val="22"/>
                <w:szCs w:val="22"/>
              </w:rPr>
              <w:t>anti-</w:t>
            </w:r>
            <w:r w:rsidRPr="004F50DE">
              <w:rPr>
                <w:rFonts w:ascii="Arial" w:hAnsi="Arial" w:cs="Arial"/>
                <w:sz w:val="22"/>
                <w:szCs w:val="22"/>
              </w:rPr>
              <w:t>NUP107</w:t>
            </w:r>
          </w:p>
        </w:tc>
        <w:tc>
          <w:tcPr>
            <w:tcW w:w="4891" w:type="dxa"/>
            <w:gridSpan w:val="2"/>
            <w:vMerge/>
            <w:tcBorders>
              <w:left w:val="nil"/>
              <w:right w:val="nil"/>
            </w:tcBorders>
            <w:shd w:val="clear" w:color="auto" w:fill="FFFFFF"/>
            <w:tcMar>
              <w:top w:w="72" w:type="dxa"/>
              <w:left w:w="144" w:type="dxa"/>
              <w:bottom w:w="72" w:type="dxa"/>
              <w:right w:w="144" w:type="dxa"/>
            </w:tcMar>
            <w:vAlign w:val="center"/>
          </w:tcPr>
          <w:p w:rsidR="00B65FBE" w:rsidRPr="003A3D4B" w:rsidRDefault="00B65FBE" w:rsidP="00232F08">
            <w:pPr>
              <w:wordWrap/>
              <w:spacing w:line="360" w:lineRule="auto"/>
              <w:jc w:val="center"/>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0D208B">
              <w:rPr>
                <w:rFonts w:ascii="Arial" w:hAnsi="Arial" w:cs="Arial"/>
                <w:sz w:val="22"/>
                <w:szCs w:val="22"/>
              </w:rPr>
              <w:t xml:space="preserve">Mouse monoclonal </w:t>
            </w:r>
            <w:r>
              <w:rPr>
                <w:rFonts w:ascii="Arial" w:hAnsi="Arial" w:cs="Arial"/>
                <w:sz w:val="22"/>
                <w:szCs w:val="22"/>
              </w:rPr>
              <w:t>anti-RNF2</w:t>
            </w:r>
          </w:p>
        </w:tc>
        <w:tc>
          <w:tcPr>
            <w:tcW w:w="4891" w:type="dxa"/>
            <w:gridSpan w:val="2"/>
            <w:vMerge w:val="restart"/>
            <w:tcBorders>
              <w:top w:val="single" w:sz="8" w:space="0" w:color="D9D9D9"/>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A3D4B">
              <w:rPr>
                <w:rFonts w:ascii="Arial" w:hAnsi="Arial" w:cs="Arial"/>
                <w:sz w:val="22"/>
                <w:szCs w:val="22"/>
              </w:rPr>
              <w:t>Santa Cruz Biotechnology</w:t>
            </w: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0D208B">
              <w:rPr>
                <w:rFonts w:ascii="Arial" w:hAnsi="Arial" w:cs="Arial"/>
                <w:sz w:val="22"/>
                <w:szCs w:val="22"/>
              </w:rPr>
              <w:t>Mouse monoclonal</w:t>
            </w:r>
            <w:r w:rsidRPr="000D208B">
              <w:rPr>
                <w:rFonts w:ascii="Arial" w:hAnsi="Arial" w:cs="Arial" w:hint="eastAsia"/>
                <w:sz w:val="22"/>
                <w:szCs w:val="22"/>
              </w:rPr>
              <w:t xml:space="preserve"> </w:t>
            </w:r>
            <w:r>
              <w:rPr>
                <w:rFonts w:ascii="Arial" w:hAnsi="Arial" w:cs="Arial"/>
                <w:sz w:val="22"/>
                <w:szCs w:val="22"/>
              </w:rPr>
              <w:t>anti-</w:t>
            </w:r>
            <w:r>
              <w:rPr>
                <w:rFonts w:ascii="Arial" w:hAnsi="Arial" w:cs="Arial" w:hint="eastAsia"/>
                <w:sz w:val="22"/>
                <w:szCs w:val="22"/>
              </w:rPr>
              <w:t>NUP133</w:t>
            </w:r>
          </w:p>
        </w:tc>
        <w:tc>
          <w:tcPr>
            <w:tcW w:w="4891" w:type="dxa"/>
            <w:gridSpan w:val="2"/>
            <w:vMerge/>
            <w:tcBorders>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p>
        </w:tc>
      </w:tr>
      <w:tr w:rsidR="00B65FBE" w:rsidRPr="00371B3A" w:rsidTr="00232F08">
        <w:trPr>
          <w:gridAfter w:val="1"/>
          <w:wAfter w:w="74" w:type="dxa"/>
          <w:trHeight w:val="397"/>
        </w:trPr>
        <w:tc>
          <w:tcPr>
            <w:tcW w:w="4890" w:type="dxa"/>
            <w:gridSpan w:val="2"/>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tcPr>
          <w:p w:rsidR="00B65FBE" w:rsidRPr="000D208B" w:rsidRDefault="00B65FBE" w:rsidP="00232F08">
            <w:pPr>
              <w:wordWrap/>
              <w:spacing w:line="360" w:lineRule="auto"/>
              <w:jc w:val="left"/>
              <w:rPr>
                <w:rFonts w:ascii="Arial" w:hAnsi="Arial" w:cs="Arial"/>
                <w:sz w:val="22"/>
                <w:szCs w:val="22"/>
              </w:rPr>
            </w:pPr>
            <w:r w:rsidRPr="000D208B">
              <w:rPr>
                <w:rFonts w:ascii="Arial" w:hAnsi="Arial" w:cs="Arial"/>
                <w:sz w:val="22"/>
                <w:szCs w:val="22"/>
              </w:rPr>
              <w:t xml:space="preserve">Rabbit polyclonal </w:t>
            </w:r>
            <w:r>
              <w:rPr>
                <w:rFonts w:ascii="Arial" w:hAnsi="Arial" w:cs="Arial"/>
                <w:sz w:val="22"/>
                <w:szCs w:val="22"/>
              </w:rPr>
              <w:t>anti</w:t>
            </w:r>
            <w:r>
              <w:rPr>
                <w:rFonts w:ascii="Arial" w:hAnsi="Arial" w:cs="Arial" w:hint="eastAsia"/>
                <w:sz w:val="22"/>
                <w:szCs w:val="22"/>
              </w:rPr>
              <w:t>-</w:t>
            </w:r>
            <w:r>
              <w:rPr>
                <w:rFonts w:ascii="Arial" w:hAnsi="Arial" w:cs="Arial"/>
                <w:sz w:val="22"/>
                <w:szCs w:val="22"/>
              </w:rPr>
              <w:t>RAD51</w:t>
            </w:r>
          </w:p>
        </w:tc>
        <w:tc>
          <w:tcPr>
            <w:tcW w:w="4891" w:type="dxa"/>
            <w:gridSpan w:val="2"/>
            <w:vMerge/>
            <w:tcBorders>
              <w:left w:val="nil"/>
              <w:bottom w:val="single" w:sz="8" w:space="0" w:color="D9D9D9"/>
              <w:right w:val="nil"/>
            </w:tcBorders>
            <w:shd w:val="clear" w:color="auto" w:fill="FFFFFF"/>
            <w:tcMar>
              <w:top w:w="72" w:type="dxa"/>
              <w:left w:w="144" w:type="dxa"/>
              <w:bottom w:w="72" w:type="dxa"/>
              <w:right w:w="144" w:type="dxa"/>
            </w:tcMar>
            <w:vAlign w:val="center"/>
          </w:tcPr>
          <w:p w:rsidR="00B65FBE" w:rsidRPr="00CE7F67" w:rsidRDefault="00B65FBE" w:rsidP="00232F08">
            <w:pPr>
              <w:wordWrap/>
              <w:spacing w:line="360" w:lineRule="auto"/>
              <w:jc w:val="center"/>
              <w:rPr>
                <w:rFonts w:ascii="Arial" w:hAnsi="Arial" w:cs="Arial"/>
                <w:sz w:val="22"/>
                <w:szCs w:val="22"/>
              </w:rPr>
            </w:pPr>
          </w:p>
        </w:tc>
      </w:tr>
      <w:tr w:rsidR="00B65FBE" w:rsidRPr="00371B3A" w:rsidTr="00232F08">
        <w:trPr>
          <w:gridAfter w:val="1"/>
          <w:wAfter w:w="74" w:type="dxa"/>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0D208B">
              <w:rPr>
                <w:rFonts w:ascii="Arial" w:hAnsi="Arial" w:cs="Arial"/>
                <w:sz w:val="22"/>
                <w:szCs w:val="22"/>
              </w:rPr>
              <w:t xml:space="preserve">Rabbit polyclonal </w:t>
            </w:r>
            <w:r>
              <w:rPr>
                <w:rFonts w:ascii="Arial" w:hAnsi="Arial" w:cs="Arial"/>
                <w:sz w:val="22"/>
                <w:szCs w:val="22"/>
              </w:rPr>
              <w:t>anti-</w:t>
            </w:r>
            <w:r w:rsidRPr="00335559">
              <w:rPr>
                <w:rFonts w:ascii="Arial" w:hAnsi="Arial" w:cs="Arial"/>
                <w:sz w:val="22"/>
                <w:szCs w:val="22"/>
              </w:rPr>
              <w:t>PHC2</w:t>
            </w:r>
          </w:p>
        </w:tc>
        <w:tc>
          <w:tcPr>
            <w:tcW w:w="4819" w:type="dxa"/>
            <w:vMerge w:val="restart"/>
            <w:tcBorders>
              <w:top w:val="single" w:sz="8" w:space="0" w:color="D9D9D9"/>
              <w:left w:val="nil"/>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35559">
              <w:rPr>
                <w:rFonts w:ascii="Arial" w:hAnsi="Arial" w:cs="Arial"/>
                <w:sz w:val="22"/>
                <w:szCs w:val="22"/>
              </w:rPr>
              <w:t>Proteintech</w:t>
            </w:r>
          </w:p>
        </w:tc>
      </w:tr>
      <w:tr w:rsidR="00B65FBE" w:rsidRPr="00371B3A" w:rsidTr="00232F08">
        <w:trPr>
          <w:gridAfter w:val="1"/>
          <w:wAfter w:w="74" w:type="dxa"/>
          <w:trHeight w:val="397"/>
        </w:trPr>
        <w:tc>
          <w:tcPr>
            <w:tcW w:w="4962" w:type="dxa"/>
            <w:gridSpan w:val="3"/>
            <w:tcBorders>
              <w:top w:val="single" w:sz="8" w:space="0" w:color="D9D9D9"/>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35559">
              <w:rPr>
                <w:rFonts w:ascii="Arial" w:hAnsi="Arial" w:cs="Arial"/>
                <w:sz w:val="22"/>
                <w:szCs w:val="22"/>
              </w:rPr>
              <w:t xml:space="preserve">Rabbit polyclonal </w:t>
            </w:r>
            <w:r>
              <w:rPr>
                <w:rFonts w:ascii="Arial" w:hAnsi="Arial" w:cs="Arial"/>
                <w:sz w:val="22"/>
                <w:szCs w:val="22"/>
              </w:rPr>
              <w:t>anti-</w:t>
            </w:r>
            <w:r w:rsidRPr="00335559">
              <w:rPr>
                <w:rFonts w:ascii="Arial" w:hAnsi="Arial" w:cs="Arial"/>
                <w:sz w:val="22"/>
                <w:szCs w:val="22"/>
              </w:rPr>
              <w:t>NUP85</w:t>
            </w:r>
          </w:p>
        </w:tc>
        <w:tc>
          <w:tcPr>
            <w:tcW w:w="4819" w:type="dxa"/>
            <w:vMerge/>
            <w:tcBorders>
              <w:left w:val="nil"/>
              <w:bottom w:val="single" w:sz="8" w:space="0" w:color="D9D9D9"/>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p>
        </w:tc>
      </w:tr>
      <w:tr w:rsidR="00B65FBE" w:rsidRPr="00371B3A" w:rsidTr="00232F08">
        <w:trPr>
          <w:gridAfter w:val="1"/>
          <w:wAfter w:w="74" w:type="dxa"/>
          <w:trHeight w:val="397"/>
        </w:trPr>
        <w:tc>
          <w:tcPr>
            <w:tcW w:w="4962" w:type="dxa"/>
            <w:gridSpan w:val="3"/>
            <w:tcBorders>
              <w:top w:val="single" w:sz="8" w:space="0" w:color="D9D9D9"/>
              <w:left w:val="nil"/>
              <w:bottom w:val="single" w:sz="18" w:space="0" w:color="2F5597"/>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left"/>
              <w:rPr>
                <w:rFonts w:ascii="Arial" w:hAnsi="Arial" w:cs="Arial"/>
                <w:sz w:val="22"/>
                <w:szCs w:val="22"/>
              </w:rPr>
            </w:pPr>
            <w:r w:rsidRPr="00335559">
              <w:rPr>
                <w:rFonts w:ascii="Arial" w:hAnsi="Arial" w:cs="Arial"/>
                <w:sz w:val="22"/>
                <w:szCs w:val="22"/>
              </w:rPr>
              <w:t>Rabbit polyclonal</w:t>
            </w:r>
            <w:r w:rsidRPr="00335559">
              <w:rPr>
                <w:rFonts w:ascii="Arial" w:hAnsi="Arial" w:cs="Arial" w:hint="eastAsia"/>
                <w:sz w:val="22"/>
                <w:szCs w:val="22"/>
              </w:rPr>
              <w:t xml:space="preserve"> </w:t>
            </w:r>
            <w:r>
              <w:rPr>
                <w:rFonts w:ascii="Arial" w:hAnsi="Arial" w:cs="Arial"/>
                <w:sz w:val="22"/>
                <w:szCs w:val="22"/>
              </w:rPr>
              <w:t>anti-</w:t>
            </w:r>
            <w:r>
              <w:rPr>
                <w:rFonts w:ascii="Arial" w:hAnsi="Arial" w:cs="Arial" w:hint="eastAsia"/>
                <w:sz w:val="22"/>
                <w:szCs w:val="22"/>
              </w:rPr>
              <w:t>NUP43</w:t>
            </w:r>
          </w:p>
        </w:tc>
        <w:tc>
          <w:tcPr>
            <w:tcW w:w="4819" w:type="dxa"/>
            <w:tcBorders>
              <w:top w:val="single" w:sz="8" w:space="0" w:color="D9D9D9"/>
              <w:left w:val="nil"/>
              <w:bottom w:val="single" w:sz="18" w:space="0" w:color="2F5597"/>
              <w:right w:val="nil"/>
            </w:tcBorders>
            <w:shd w:val="clear" w:color="auto" w:fill="FFFFFF"/>
            <w:tcMar>
              <w:top w:w="72" w:type="dxa"/>
              <w:left w:w="144" w:type="dxa"/>
              <w:bottom w:w="72" w:type="dxa"/>
              <w:right w:w="144" w:type="dxa"/>
            </w:tcMar>
            <w:vAlign w:val="center"/>
            <w:hideMark/>
          </w:tcPr>
          <w:p w:rsidR="00B65FBE" w:rsidRPr="00CE7F67" w:rsidRDefault="00B65FBE" w:rsidP="00232F08">
            <w:pPr>
              <w:wordWrap/>
              <w:spacing w:line="360" w:lineRule="auto"/>
              <w:jc w:val="center"/>
              <w:rPr>
                <w:rFonts w:ascii="Arial" w:hAnsi="Arial" w:cs="Arial"/>
                <w:sz w:val="22"/>
                <w:szCs w:val="22"/>
              </w:rPr>
            </w:pPr>
            <w:r w:rsidRPr="00335559">
              <w:rPr>
                <w:rFonts w:ascii="Arial" w:hAnsi="Arial" w:cs="Arial"/>
                <w:sz w:val="22"/>
                <w:szCs w:val="22"/>
              </w:rPr>
              <w:t>Invitrogen</w:t>
            </w:r>
          </w:p>
        </w:tc>
      </w:tr>
      <w:tr w:rsidR="00B65FBE" w:rsidRPr="00371B3A" w:rsidTr="00232F08">
        <w:trPr>
          <w:gridAfter w:val="1"/>
          <w:wAfter w:w="74" w:type="dxa"/>
          <w:trHeight w:val="340"/>
        </w:trPr>
        <w:tc>
          <w:tcPr>
            <w:tcW w:w="4890" w:type="dxa"/>
            <w:gridSpan w:val="2"/>
            <w:tcBorders>
              <w:top w:val="single" w:sz="18" w:space="0" w:color="2F5597"/>
              <w:left w:val="nil"/>
              <w:bottom w:val="single" w:sz="18" w:space="0" w:color="2F5496" w:themeColor="accent1" w:themeShade="BF"/>
              <w:right w:val="single" w:sz="4" w:space="0" w:color="FFFFFF" w:themeColor="background1"/>
            </w:tcBorders>
            <w:shd w:val="clear" w:color="auto" w:fill="FFFFFF"/>
            <w:tcMar>
              <w:top w:w="15" w:type="dxa"/>
              <w:left w:w="108" w:type="dxa"/>
              <w:bottom w:w="0" w:type="dxa"/>
              <w:right w:w="108" w:type="dxa"/>
            </w:tcMar>
            <w:vAlign w:val="bottom"/>
          </w:tcPr>
          <w:p w:rsidR="00B65FBE" w:rsidRPr="00BE04AC" w:rsidRDefault="00B65FBE" w:rsidP="00232F08">
            <w:pPr>
              <w:wordWrap/>
              <w:spacing w:line="360" w:lineRule="auto"/>
              <w:rPr>
                <w:rFonts w:ascii="Arial" w:hAnsi="Arial" w:cs="Arial"/>
                <w:b/>
                <w:bCs/>
                <w:szCs w:val="20"/>
              </w:rPr>
            </w:pPr>
            <w:r w:rsidRPr="009B2F0F">
              <w:rPr>
                <w:rFonts w:ascii="Arial" w:hAnsi="Arial" w:cs="Arial"/>
                <w:b/>
                <w:bCs/>
                <w:sz w:val="24"/>
              </w:rPr>
              <w:t>RNA Interference (RNAi)</w:t>
            </w:r>
          </w:p>
        </w:tc>
        <w:tc>
          <w:tcPr>
            <w:tcW w:w="4891" w:type="dxa"/>
            <w:gridSpan w:val="2"/>
            <w:tcBorders>
              <w:top w:val="single" w:sz="18" w:space="0" w:color="2F5597"/>
              <w:left w:val="single" w:sz="4" w:space="0" w:color="FFFFFF" w:themeColor="background1"/>
              <w:bottom w:val="single" w:sz="18" w:space="0" w:color="2F5496" w:themeColor="accent1" w:themeShade="BF"/>
              <w:right w:val="single" w:sz="8" w:space="0" w:color="F2F2F2"/>
            </w:tcBorders>
            <w:shd w:val="clear" w:color="auto" w:fill="FFFFFF"/>
            <w:tcMar>
              <w:top w:w="15" w:type="dxa"/>
              <w:left w:w="108" w:type="dxa"/>
              <w:bottom w:w="0" w:type="dxa"/>
              <w:right w:w="108" w:type="dxa"/>
            </w:tcMar>
            <w:vAlign w:val="bottom"/>
          </w:tcPr>
          <w:p w:rsidR="00B65FBE" w:rsidRPr="00371B3A" w:rsidRDefault="00B65FBE" w:rsidP="00232F08">
            <w:pPr>
              <w:wordWrap/>
              <w:spacing w:line="360" w:lineRule="auto"/>
              <w:rPr>
                <w:rFonts w:ascii="Arial" w:hAnsi="Arial" w:cs="Arial"/>
                <w:b/>
                <w:bCs/>
                <w:sz w:val="22"/>
                <w:szCs w:val="22"/>
              </w:rPr>
            </w:pPr>
          </w:p>
        </w:tc>
      </w:tr>
      <w:tr w:rsidR="00B65FBE" w:rsidRPr="00CE7F67" w:rsidTr="00232F08">
        <w:trPr>
          <w:gridAfter w:val="1"/>
          <w:wAfter w:w="74" w:type="dxa"/>
          <w:trHeight w:val="397"/>
        </w:trPr>
        <w:tc>
          <w:tcPr>
            <w:tcW w:w="3544" w:type="dxa"/>
            <w:tcBorders>
              <w:top w:val="single" w:sz="18" w:space="0" w:color="2F5496" w:themeColor="accent1" w:themeShade="BF"/>
              <w:left w:val="nil"/>
              <w:bottom w:val="single" w:sz="8" w:space="0" w:color="2F5496" w:themeColor="accent1" w:themeShade="BF"/>
              <w:right w:val="nil"/>
            </w:tcBorders>
            <w:shd w:val="clear" w:color="auto" w:fill="FFFFFF"/>
            <w:tcMar>
              <w:top w:w="72" w:type="dxa"/>
              <w:left w:w="144" w:type="dxa"/>
              <w:bottom w:w="72" w:type="dxa"/>
              <w:right w:w="144" w:type="dxa"/>
            </w:tcMar>
            <w:vAlign w:val="center"/>
          </w:tcPr>
          <w:p w:rsidR="00B65FBE" w:rsidRPr="009B2F0F" w:rsidRDefault="00B65FBE" w:rsidP="00232F08">
            <w:pPr>
              <w:wordWrap/>
              <w:spacing w:line="360" w:lineRule="auto"/>
              <w:rPr>
                <w:rFonts w:ascii="Arial" w:hAnsi="Arial" w:cs="Arial"/>
                <w:bCs/>
                <w:sz w:val="22"/>
                <w:szCs w:val="22"/>
              </w:rPr>
            </w:pPr>
            <w:r w:rsidRPr="009B2F0F">
              <w:rPr>
                <w:rFonts w:ascii="Arial" w:hAnsi="Arial" w:cs="Arial"/>
                <w:bCs/>
                <w:sz w:val="22"/>
                <w:szCs w:val="22"/>
              </w:rPr>
              <w:t>Protein target</w:t>
            </w:r>
          </w:p>
        </w:tc>
        <w:tc>
          <w:tcPr>
            <w:tcW w:w="6237" w:type="dxa"/>
            <w:gridSpan w:val="3"/>
            <w:tcBorders>
              <w:top w:val="single" w:sz="18" w:space="0" w:color="2F5496" w:themeColor="accent1" w:themeShade="BF"/>
              <w:left w:val="nil"/>
              <w:bottom w:val="single" w:sz="8" w:space="0" w:color="2F5496" w:themeColor="accent1" w:themeShade="BF"/>
              <w:right w:val="nil"/>
            </w:tcBorders>
            <w:shd w:val="clear" w:color="auto" w:fill="FFFFFF"/>
            <w:vAlign w:val="center"/>
          </w:tcPr>
          <w:p w:rsidR="00B65FBE" w:rsidRPr="009B2F0F" w:rsidRDefault="00B65FBE" w:rsidP="00232F08">
            <w:pPr>
              <w:wordWrap/>
              <w:spacing w:line="360" w:lineRule="auto"/>
              <w:jc w:val="center"/>
              <w:rPr>
                <w:rFonts w:ascii="Arial" w:hAnsi="Arial" w:cs="Arial"/>
                <w:bCs/>
                <w:sz w:val="22"/>
                <w:szCs w:val="22"/>
              </w:rPr>
            </w:pPr>
            <w:r w:rsidRPr="009B2F0F">
              <w:rPr>
                <w:rFonts w:ascii="Arial" w:hAnsi="Arial" w:cs="Arial"/>
                <w:bCs/>
                <w:sz w:val="22"/>
                <w:szCs w:val="22"/>
              </w:rPr>
              <w:t>Target Sequence</w:t>
            </w:r>
          </w:p>
        </w:tc>
      </w:tr>
      <w:tr w:rsidR="00B65FBE" w:rsidRPr="009B2F0F" w:rsidTr="00232F08">
        <w:trPr>
          <w:gridAfter w:val="1"/>
          <w:wAfter w:w="74" w:type="dxa"/>
          <w:trHeight w:val="397"/>
        </w:trPr>
        <w:tc>
          <w:tcPr>
            <w:tcW w:w="3544" w:type="dxa"/>
            <w:tcBorders>
              <w:top w:val="single" w:sz="8" w:space="0" w:color="2F5496" w:themeColor="accent1" w:themeShade="BF"/>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PHC2#1</w:t>
            </w:r>
          </w:p>
        </w:tc>
        <w:tc>
          <w:tcPr>
            <w:tcW w:w="6237" w:type="dxa"/>
            <w:gridSpan w:val="3"/>
            <w:tcBorders>
              <w:top w:val="single" w:sz="8" w:space="0" w:color="2F5496" w:themeColor="accent1" w:themeShade="BF"/>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CUGAUGAGCGCCAUGAACA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lastRenderedPageBreak/>
              <w:t>PHC2#2</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CCAGGUGUUUUGUAGCAAA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PHC2#3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CGGUGGUCUGAGCAACAUA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PHC2#4</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CUGAGUUGGGUUACUUCAA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PHC2#5</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w:t>
            </w:r>
            <w:r>
              <w:rPr>
                <w:rFonts w:ascii="Arial" w:hAnsi="Arial" w:cs="Arial" w:hint="eastAsia"/>
                <w:sz w:val="22"/>
                <w:szCs w:val="22"/>
              </w:rPr>
              <w:t xml:space="preserve"> CUGAGUUGGGUUACUUCAA 3</w:t>
            </w:r>
            <w:r>
              <w:rPr>
                <w:rFonts w:ascii="Arial" w:hAnsi="Arial" w:cs="Arial"/>
                <w:sz w:val="22"/>
                <w:szCs w:val="22"/>
              </w:rPr>
              <w:t>’</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NUP107#1</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GUCCUCUCUAAUGCUCCUA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NUP107#2</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AGACAUGGUCUUGCUCUGU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NUP107#3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UGAUGGAUGAGUUUAGCAA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NUP107#4</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 xml:space="preserve">5' </w:t>
            </w:r>
            <w:r>
              <w:rPr>
                <w:rFonts w:ascii="Arial" w:hAnsi="Arial" w:cs="Arial"/>
                <w:sz w:val="22"/>
                <w:szCs w:val="22"/>
              </w:rPr>
              <w:t xml:space="preserve">UAGGCUAGAGUGUAGGGCUUAUAAAtt </w:t>
            </w:r>
            <w:r w:rsidRPr="009B2F0F">
              <w:rPr>
                <w:rFonts w:ascii="Arial" w:hAnsi="Arial" w:cs="Arial"/>
                <w:sz w:val="22"/>
                <w:szCs w:val="22"/>
              </w:rPr>
              <w:t>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NUP107#5</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 xml:space="preserve">5' </w:t>
            </w:r>
            <w:r>
              <w:rPr>
                <w:rFonts w:ascii="Arial" w:hAnsi="Arial" w:cs="Arial"/>
                <w:sz w:val="22"/>
                <w:szCs w:val="22"/>
              </w:rPr>
              <w:t xml:space="preserve">CAAGAAGGAUGAGGCUCUAUAGAUU </w:t>
            </w:r>
            <w:r w:rsidRPr="009B2F0F">
              <w:rPr>
                <w:rFonts w:ascii="Arial" w:hAnsi="Arial" w:cs="Arial"/>
                <w:sz w:val="22"/>
                <w:szCs w:val="22"/>
              </w:rPr>
              <w:t>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NUP43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GUGUGUGAGUGGGAUCCAA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NUP133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CUCUUCCUGUUAAAGUCAU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NUP85</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CAUUGAUCUGCACUACUAU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NUP88</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CUGACAUACAUCAGUCUGU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NUP93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CUGUAUCAUUGGCAGAUGU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NUP98</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GUGAAGGGCUAAAUAGGAA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NUP35</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GCUCGGAAAGCCUUAAGCA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NUP50</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UUCACUUUCAGAAUUCCUG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NUP153</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5' GUCAACCAGUGUUUUCCUU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BMI1</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 GCUUGGCUCGCAUUCAUUU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RNF2</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7E7C8C">
              <w:rPr>
                <w:rFonts w:ascii="Arial" w:hAnsi="Arial" w:cs="Arial"/>
                <w:sz w:val="22"/>
                <w:szCs w:val="22"/>
              </w:rPr>
              <w:t>5' UUGGGUUGCCACAUCAGUUUA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ATM</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 UGUGAACCAUGAGUCUAGU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ATR</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sidRPr="009B2F0F">
              <w:rPr>
                <w:rFonts w:ascii="Arial" w:hAnsi="Arial" w:cs="Arial"/>
                <w:sz w:val="22"/>
                <w:szCs w:val="22"/>
              </w:rPr>
              <w:t xml:space="preserve">5' </w:t>
            </w:r>
            <w:r>
              <w:rPr>
                <w:rFonts w:ascii="Arial" w:hAnsi="Arial" w:cs="Arial"/>
                <w:sz w:val="22"/>
                <w:szCs w:val="22"/>
              </w:rPr>
              <w:t xml:space="preserve">CAGUUCAUUUGAAGAUCAU </w:t>
            </w:r>
            <w:r w:rsidRPr="009B2F0F">
              <w:rPr>
                <w:rFonts w:ascii="Arial" w:hAnsi="Arial" w:cs="Arial"/>
                <w:sz w:val="22"/>
                <w:szCs w:val="22"/>
              </w:rPr>
              <w:t>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BRCA2</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 CAGAGUUGAACAGUGUGUU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t>RAD51</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 GAAUUGAGACUGGAUCUAU 3’</w:t>
            </w:r>
          </w:p>
        </w:tc>
      </w:tr>
      <w:tr w:rsidR="00B65FBE" w:rsidRPr="009B2F0F" w:rsidTr="00232F08">
        <w:trPr>
          <w:gridAfter w:val="1"/>
          <w:wAfter w:w="74" w:type="dxa"/>
          <w:trHeight w:val="397"/>
        </w:trPr>
        <w:tc>
          <w:tcPr>
            <w:tcW w:w="3544" w:type="dxa"/>
            <w:tcBorders>
              <w:top w:val="single" w:sz="8" w:space="0" w:color="D9D9D9"/>
              <w:left w:val="nil"/>
              <w:bottom w:val="single" w:sz="8" w:space="0" w:color="D9D9D9"/>
              <w:right w:val="nil"/>
            </w:tcBorders>
            <w:shd w:val="clear" w:color="auto" w:fill="FFFFFF"/>
            <w:tcMar>
              <w:top w:w="72" w:type="dxa"/>
              <w:left w:w="144" w:type="dxa"/>
              <w:bottom w:w="72" w:type="dxa"/>
              <w:right w:w="144" w:type="dxa"/>
            </w:tcMar>
          </w:tcPr>
          <w:p w:rsidR="00B65FBE" w:rsidRPr="009B2F0F" w:rsidRDefault="00B65FBE" w:rsidP="00232F08">
            <w:pPr>
              <w:wordWrap/>
              <w:spacing w:line="360" w:lineRule="auto"/>
              <w:jc w:val="left"/>
              <w:rPr>
                <w:rFonts w:ascii="Arial" w:hAnsi="Arial" w:cs="Arial"/>
                <w:sz w:val="22"/>
                <w:szCs w:val="22"/>
              </w:rPr>
            </w:pPr>
            <w:r w:rsidRPr="009B2F0F">
              <w:rPr>
                <w:rFonts w:ascii="Arial" w:hAnsi="Arial" w:cs="Arial"/>
                <w:sz w:val="22"/>
                <w:szCs w:val="22"/>
              </w:rPr>
              <w:lastRenderedPageBreak/>
              <w:t>SPT16</w:t>
            </w:r>
          </w:p>
        </w:tc>
        <w:tc>
          <w:tcPr>
            <w:tcW w:w="6237" w:type="dxa"/>
            <w:gridSpan w:val="3"/>
            <w:tcBorders>
              <w:top w:val="single" w:sz="8" w:space="0" w:color="D9D9D9"/>
              <w:left w:val="nil"/>
              <w:bottom w:val="single" w:sz="8" w:space="0" w:color="D9D9D9"/>
              <w:right w:val="nil"/>
            </w:tcBorders>
            <w:shd w:val="clear" w:color="auto" w:fill="FFFFFF"/>
            <w:vAlign w:val="center"/>
          </w:tcPr>
          <w:p w:rsidR="00B65FBE" w:rsidRPr="009B2F0F" w:rsidRDefault="00B65FBE" w:rsidP="00232F08">
            <w:pPr>
              <w:wordWrap/>
              <w:spacing w:line="360" w:lineRule="auto"/>
              <w:jc w:val="center"/>
              <w:rPr>
                <w:rFonts w:ascii="Arial" w:hAnsi="Arial" w:cs="Arial"/>
                <w:sz w:val="22"/>
                <w:szCs w:val="22"/>
              </w:rPr>
            </w:pPr>
            <w:r>
              <w:rPr>
                <w:rFonts w:ascii="Arial" w:hAnsi="Arial" w:cs="Arial" w:hint="eastAsia"/>
                <w:sz w:val="22"/>
                <w:szCs w:val="22"/>
              </w:rPr>
              <w:t>5</w:t>
            </w:r>
            <w:r>
              <w:rPr>
                <w:rFonts w:ascii="Arial" w:hAnsi="Arial" w:cs="Arial"/>
                <w:sz w:val="22"/>
                <w:szCs w:val="22"/>
              </w:rPr>
              <w:t>’ ACCGGAGUAAUCCGAAACUGA 3’</w:t>
            </w:r>
          </w:p>
        </w:tc>
      </w:tr>
    </w:tbl>
    <w:p w:rsidR="00B65FBE" w:rsidRPr="00371B3A" w:rsidRDefault="00B65FBE" w:rsidP="00B65FBE">
      <w:pPr>
        <w:wordWrap/>
        <w:spacing w:line="360" w:lineRule="auto"/>
        <w:jc w:val="left"/>
        <w:rPr>
          <w:rFonts w:ascii="Arial" w:hAnsi="Arial" w:cs="Arial"/>
          <w:b/>
          <w:sz w:val="28"/>
          <w:szCs w:val="22"/>
        </w:rPr>
      </w:pPr>
      <w:r>
        <w:rPr>
          <w:rFonts w:ascii="Arial" w:hAnsi="Arial" w:cs="Arial" w:hint="eastAsia"/>
          <w:b/>
          <w:sz w:val="28"/>
          <w:szCs w:val="22"/>
        </w:rPr>
        <w:t xml:space="preserve"> </w:t>
      </w:r>
      <w:r>
        <w:rPr>
          <w:rFonts w:ascii="Arial" w:hAnsi="Arial" w:cs="Arial"/>
          <w:b/>
          <w:sz w:val="28"/>
          <w:szCs w:val="22"/>
        </w:rPr>
        <w:t xml:space="preserve"> </w:t>
      </w:r>
    </w:p>
    <w:p w:rsidR="00B65FBE" w:rsidRPr="00ED4DD0" w:rsidRDefault="00B65FBE" w:rsidP="00B65FBE">
      <w:pPr>
        <w:rPr>
          <w:rFonts w:ascii="Arial" w:eastAsia="Times New Roman" w:hAnsi="Arial" w:cs="Arial"/>
          <w:kern w:val="0"/>
          <w:sz w:val="22"/>
          <w:szCs w:val="22"/>
          <w14:ligatures w14:val="none"/>
        </w:rPr>
      </w:pPr>
    </w:p>
    <w:p w:rsidR="00172C35" w:rsidRPr="00172C35" w:rsidRDefault="00172C35" w:rsidP="00172C35">
      <w:pPr>
        <w:rPr>
          <w:rFonts w:ascii="Arial" w:hAnsi="Arial" w:cs="Arial"/>
          <w:b/>
          <w:sz w:val="22"/>
          <w:szCs w:val="22"/>
        </w:rPr>
      </w:pPr>
      <w:r w:rsidRPr="00172C35">
        <w:rPr>
          <w:rFonts w:ascii="Arial" w:hAnsi="Arial" w:cs="Arial"/>
          <w:b/>
          <w:sz w:val="22"/>
          <w:szCs w:val="22"/>
        </w:rPr>
        <w:t>Supplemental Figure legends</w:t>
      </w:r>
    </w:p>
    <w:p w:rsidR="00172C35" w:rsidRPr="00172C35" w:rsidRDefault="00172C35"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 S1.</w:t>
      </w:r>
      <w:r w:rsidRPr="00172C35">
        <w:rPr>
          <w:rFonts w:ascii="Arial" w:hAnsi="Arial" w:cs="Arial"/>
          <w:sz w:val="22"/>
          <w:szCs w:val="22"/>
        </w:rPr>
        <w:t xml:space="preserve"> </w:t>
      </w:r>
      <w:r w:rsidR="003C054D">
        <w:rPr>
          <w:rFonts w:ascii="Arial" w:hAnsi="Arial" w:cs="Arial"/>
          <w:sz w:val="22"/>
          <w:szCs w:val="22"/>
        </w:rPr>
        <w:t>YFP-MS expression analysis (</w:t>
      </w:r>
      <w:r w:rsidR="005648EB">
        <w:rPr>
          <w:rFonts w:ascii="Arial" w:hAnsi="Arial" w:cs="Arial"/>
          <w:sz w:val="22"/>
          <w:szCs w:val="22"/>
        </w:rPr>
        <w:t>pT</w:t>
      </w:r>
      <w:r w:rsidR="003C054D">
        <w:rPr>
          <w:rFonts w:ascii="Arial" w:hAnsi="Arial" w:cs="Arial"/>
          <w:sz w:val="22"/>
          <w:szCs w:val="22"/>
        </w:rPr>
        <w:t>uner263 reporter) upon each gene knockdown</w:t>
      </w:r>
      <w:r w:rsidR="00633D61">
        <w:rPr>
          <w:rFonts w:ascii="Arial" w:hAnsi="Arial" w:cs="Arial"/>
          <w:sz w:val="22"/>
          <w:szCs w:val="22"/>
        </w:rPr>
        <w:t xml:space="preserve"> </w:t>
      </w:r>
      <w:r w:rsidR="00033C74" w:rsidRPr="007D7F25">
        <w:rPr>
          <w:rFonts w:ascii="Arial" w:hAnsi="Arial" w:cs="Arial"/>
          <w:sz w:val="22"/>
          <w:szCs w:val="22"/>
        </w:rPr>
        <w:t>(**** indicates P-value &lt; 0.0001)</w:t>
      </w:r>
      <w:r w:rsidR="00033C74">
        <w:rPr>
          <w:rFonts w:ascii="Arial" w:hAnsi="Arial" w:cs="Arial"/>
          <w:sz w:val="22"/>
          <w:szCs w:val="22"/>
        </w:rPr>
        <w:t>.</w:t>
      </w:r>
    </w:p>
    <w:p w:rsidR="00172C35" w:rsidRPr="00172C35" w:rsidRDefault="00172C35"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 S2.</w:t>
      </w:r>
      <w:r w:rsidRPr="00172C35">
        <w:rPr>
          <w:rFonts w:ascii="Arial" w:hAnsi="Arial" w:cs="Arial"/>
          <w:sz w:val="22"/>
          <w:szCs w:val="22"/>
        </w:rPr>
        <w:t xml:space="preserve"> </w:t>
      </w:r>
      <w:r w:rsidR="006B50E6">
        <w:rPr>
          <w:rFonts w:ascii="Arial" w:hAnsi="Arial" w:cs="Arial"/>
          <w:sz w:val="22"/>
          <w:szCs w:val="22"/>
        </w:rPr>
        <w:t>anti-FLAG PHC2 followed by mass spectrometry analysis. Shown are unique peptide#.</w:t>
      </w:r>
    </w:p>
    <w:p w:rsidR="00172C35" w:rsidRPr="00172C35" w:rsidRDefault="00172C35"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w:t>
      </w:r>
      <w:r w:rsidR="006B50E6">
        <w:rPr>
          <w:rFonts w:ascii="Arial" w:hAnsi="Arial" w:cs="Arial"/>
          <w:b/>
          <w:sz w:val="22"/>
          <w:szCs w:val="22"/>
        </w:rPr>
        <w:t xml:space="preserve"> </w:t>
      </w:r>
      <w:r w:rsidRPr="00172C35">
        <w:rPr>
          <w:rFonts w:ascii="Arial" w:hAnsi="Arial" w:cs="Arial"/>
          <w:b/>
          <w:sz w:val="22"/>
          <w:szCs w:val="22"/>
        </w:rPr>
        <w:t>S3.</w:t>
      </w:r>
      <w:r w:rsidRPr="00172C35">
        <w:rPr>
          <w:rFonts w:ascii="Arial" w:hAnsi="Arial" w:cs="Arial"/>
          <w:sz w:val="22"/>
          <w:szCs w:val="22"/>
        </w:rPr>
        <w:t xml:space="preserve"> </w:t>
      </w:r>
      <w:r w:rsidR="00F77607">
        <w:rPr>
          <w:rFonts w:ascii="Arial" w:hAnsi="Arial" w:cs="Arial"/>
          <w:sz w:val="22"/>
          <w:szCs w:val="22"/>
        </w:rPr>
        <w:t xml:space="preserve">hTERT RPE-1 cells were transfected with indicated si RNA for 48h. </w:t>
      </w:r>
      <w:r w:rsidR="00F77607" w:rsidRPr="00F53D73">
        <w:rPr>
          <w:rFonts w:ascii="Arial" w:hAnsi="Arial" w:cs="Arial"/>
          <w:sz w:val="22"/>
          <w:szCs w:val="22"/>
        </w:rPr>
        <w:t>Signal overlap between γH2AX and RNAPII (pSer2) in hTERT RPE-1 was quantified</w:t>
      </w:r>
      <w:r w:rsidR="00F77607">
        <w:rPr>
          <w:rFonts w:ascii="Arial" w:hAnsi="Arial" w:cs="Arial"/>
          <w:sz w:val="22"/>
          <w:szCs w:val="22"/>
        </w:rPr>
        <w:t xml:space="preserve"> by </w:t>
      </w:r>
      <w:r w:rsidR="00F77607">
        <w:rPr>
          <w:rFonts w:ascii="Arial" w:hAnsi="Arial" w:cs="Arial"/>
          <w:kern w:val="0"/>
          <w:sz w:val="22"/>
          <w:szCs w:val="22"/>
        </w:rPr>
        <w:t>measuring</w:t>
      </w:r>
      <w:r w:rsidR="00F77607" w:rsidRPr="00F53D73">
        <w:rPr>
          <w:rFonts w:ascii="Arial" w:hAnsi="Arial" w:cs="Arial"/>
          <w:kern w:val="0"/>
          <w:sz w:val="22"/>
          <w:szCs w:val="22"/>
        </w:rPr>
        <w:t xml:space="preserve"> the average RFI of RNA polymerase II (P-ser2) along line across the </w:t>
      </w:r>
      <w:r w:rsidR="00F77607" w:rsidRPr="00F53D73">
        <w:rPr>
          <w:rFonts w:ascii="Arial" w:eastAsia="맑은 고딕" w:hAnsi="Arial" w:cs="Arial"/>
          <w:kern w:val="0"/>
          <w:sz w:val="22"/>
          <w:szCs w:val="22"/>
        </w:rPr>
        <w:t>γH2AX spot (n=10).</w:t>
      </w:r>
    </w:p>
    <w:p w:rsidR="00172C35" w:rsidRPr="00172C35" w:rsidRDefault="00172C35" w:rsidP="00172C35">
      <w:pPr>
        <w:rPr>
          <w:rFonts w:ascii="Arial" w:hAnsi="Arial" w:cs="Arial"/>
          <w:sz w:val="22"/>
          <w:szCs w:val="22"/>
        </w:rPr>
      </w:pPr>
    </w:p>
    <w:p w:rsidR="00F77607" w:rsidRPr="00F77607" w:rsidRDefault="00172C35" w:rsidP="00F53D73">
      <w:pPr>
        <w:rPr>
          <w:rFonts w:ascii="Arial" w:hAnsi="Arial" w:cs="Arial"/>
          <w:sz w:val="22"/>
          <w:szCs w:val="22"/>
        </w:rPr>
      </w:pPr>
      <w:r w:rsidRPr="00172C35">
        <w:rPr>
          <w:rFonts w:ascii="Arial" w:hAnsi="Arial" w:cs="Arial"/>
          <w:b/>
          <w:sz w:val="22"/>
          <w:szCs w:val="22"/>
        </w:rPr>
        <w:t>Fig S4.</w:t>
      </w:r>
      <w:r w:rsidRPr="00172C35">
        <w:rPr>
          <w:rFonts w:ascii="Arial" w:hAnsi="Arial" w:cs="Arial"/>
          <w:sz w:val="22"/>
          <w:szCs w:val="22"/>
        </w:rPr>
        <w:t xml:space="preserve"> </w:t>
      </w:r>
      <w:r w:rsidR="00F77607">
        <w:rPr>
          <w:rFonts w:ascii="Arial" w:hAnsi="Arial" w:cs="Arial"/>
          <w:sz w:val="22"/>
          <w:szCs w:val="22"/>
        </w:rPr>
        <w:t xml:space="preserve">Signal overlap between </w:t>
      </w:r>
      <w:r w:rsidR="00F77607" w:rsidRPr="00172C35">
        <w:rPr>
          <w:rFonts w:ascii="Arial" w:hAnsi="Arial" w:cs="Arial"/>
          <w:sz w:val="22"/>
          <w:szCs w:val="22"/>
        </w:rPr>
        <w:t>γH2AX</w:t>
      </w:r>
      <w:r w:rsidR="00F77607">
        <w:rPr>
          <w:rFonts w:ascii="Arial" w:hAnsi="Arial" w:cs="Arial"/>
          <w:sz w:val="22"/>
          <w:szCs w:val="22"/>
        </w:rPr>
        <w:t xml:space="preserve"> and </w:t>
      </w:r>
      <w:r w:rsidR="00F77607" w:rsidRPr="00172C35">
        <w:rPr>
          <w:rFonts w:ascii="Arial" w:hAnsi="Arial" w:cs="Arial"/>
          <w:sz w:val="22"/>
          <w:szCs w:val="22"/>
        </w:rPr>
        <w:t>RNAPII (pSer2)</w:t>
      </w:r>
      <w:r w:rsidR="00F77607">
        <w:rPr>
          <w:rFonts w:ascii="Arial" w:hAnsi="Arial" w:cs="Arial"/>
          <w:sz w:val="22"/>
          <w:szCs w:val="22"/>
        </w:rPr>
        <w:t xml:space="preserve"> in HCT116 (stably expressing HA-I-Ppo1) was quantified</w:t>
      </w:r>
      <w:r w:rsidR="001F4BD3">
        <w:rPr>
          <w:rFonts w:ascii="Arial" w:hAnsi="Arial" w:cs="Arial"/>
          <w:sz w:val="22"/>
          <w:szCs w:val="22"/>
        </w:rPr>
        <w:t>(n=10)</w:t>
      </w:r>
      <w:r w:rsidR="00F77607">
        <w:rPr>
          <w:rFonts w:ascii="Arial" w:hAnsi="Arial" w:cs="Arial"/>
          <w:sz w:val="22"/>
          <w:szCs w:val="22"/>
        </w:rPr>
        <w:t>.</w:t>
      </w:r>
    </w:p>
    <w:p w:rsidR="00F53D73" w:rsidRDefault="00F53D73" w:rsidP="00172C35">
      <w:pPr>
        <w:rPr>
          <w:rFonts w:ascii="Arial" w:hAnsi="Arial" w:cs="Arial"/>
          <w:sz w:val="22"/>
          <w:szCs w:val="22"/>
        </w:rPr>
      </w:pPr>
    </w:p>
    <w:p w:rsidR="00172C35" w:rsidRDefault="00F53D73" w:rsidP="00172C35">
      <w:pPr>
        <w:rPr>
          <w:rFonts w:ascii="Arial" w:hAnsi="Arial" w:cs="Arial"/>
          <w:sz w:val="22"/>
          <w:szCs w:val="22"/>
        </w:rPr>
      </w:pPr>
      <w:r w:rsidRPr="00172C35">
        <w:rPr>
          <w:rFonts w:ascii="Arial" w:hAnsi="Arial" w:cs="Arial"/>
          <w:b/>
          <w:sz w:val="22"/>
          <w:szCs w:val="22"/>
        </w:rPr>
        <w:t>Fig S</w:t>
      </w:r>
      <w:r>
        <w:rPr>
          <w:rFonts w:ascii="Arial" w:hAnsi="Arial" w:cs="Arial"/>
          <w:b/>
          <w:sz w:val="22"/>
          <w:szCs w:val="22"/>
        </w:rPr>
        <w:t>5</w:t>
      </w:r>
      <w:r w:rsidRPr="00172C35">
        <w:rPr>
          <w:rFonts w:ascii="Arial" w:hAnsi="Arial" w:cs="Arial"/>
          <w:b/>
          <w:sz w:val="22"/>
          <w:szCs w:val="22"/>
        </w:rPr>
        <w:t>.</w:t>
      </w:r>
      <w:r w:rsidRPr="00172C35">
        <w:rPr>
          <w:rFonts w:ascii="Arial" w:hAnsi="Arial" w:cs="Arial"/>
          <w:sz w:val="22"/>
          <w:szCs w:val="22"/>
        </w:rPr>
        <w:t xml:space="preserve"> </w:t>
      </w:r>
      <w:r w:rsidR="006B50E6">
        <w:rPr>
          <w:rFonts w:ascii="Arial" w:hAnsi="Arial" w:cs="Arial"/>
          <w:sz w:val="22"/>
          <w:szCs w:val="22"/>
        </w:rPr>
        <w:t>Relative location</w:t>
      </w:r>
      <w:r w:rsidR="000B04BE">
        <w:rPr>
          <w:rFonts w:ascii="Arial" w:hAnsi="Arial" w:cs="Arial"/>
          <w:sz w:val="22"/>
          <w:szCs w:val="22"/>
        </w:rPr>
        <w:t>s</w:t>
      </w:r>
      <w:r w:rsidR="006B50E6">
        <w:rPr>
          <w:rFonts w:ascii="Arial" w:hAnsi="Arial" w:cs="Arial"/>
          <w:sz w:val="22"/>
          <w:szCs w:val="22"/>
        </w:rPr>
        <w:t xml:space="preserve"> of 53BP1 and LMNA</w:t>
      </w:r>
      <w:r w:rsidR="000B04BE">
        <w:rPr>
          <w:rFonts w:ascii="Arial" w:hAnsi="Arial" w:cs="Arial"/>
          <w:sz w:val="22"/>
          <w:szCs w:val="22"/>
        </w:rPr>
        <w:t xml:space="preserve"> was analyzied in Ptuner263 cells.</w:t>
      </w:r>
    </w:p>
    <w:p w:rsidR="00633D61" w:rsidRDefault="00633D61" w:rsidP="00172C35">
      <w:pPr>
        <w:rPr>
          <w:rFonts w:ascii="Arial" w:hAnsi="Arial" w:cs="Arial"/>
          <w:sz w:val="22"/>
          <w:szCs w:val="22"/>
        </w:rPr>
      </w:pPr>
    </w:p>
    <w:p w:rsidR="00633D61" w:rsidRDefault="00633D61" w:rsidP="00633D61">
      <w:pPr>
        <w:rPr>
          <w:rFonts w:ascii="Arial" w:hAnsi="Arial" w:cs="Arial"/>
          <w:sz w:val="22"/>
          <w:szCs w:val="22"/>
        </w:rPr>
      </w:pPr>
      <w:r w:rsidRPr="00172C35">
        <w:rPr>
          <w:rFonts w:ascii="Arial" w:hAnsi="Arial" w:cs="Arial"/>
          <w:b/>
          <w:sz w:val="22"/>
          <w:szCs w:val="22"/>
        </w:rPr>
        <w:t>Fig S</w:t>
      </w:r>
      <w:r w:rsidR="00F53D73">
        <w:rPr>
          <w:rFonts w:ascii="Arial" w:hAnsi="Arial" w:cs="Arial"/>
          <w:b/>
          <w:sz w:val="22"/>
          <w:szCs w:val="22"/>
        </w:rPr>
        <w:t>6</w:t>
      </w:r>
      <w:r w:rsidRPr="00172C35">
        <w:rPr>
          <w:rFonts w:ascii="Arial" w:hAnsi="Arial" w:cs="Arial"/>
          <w:b/>
          <w:sz w:val="22"/>
          <w:szCs w:val="22"/>
        </w:rPr>
        <w:t>.</w:t>
      </w:r>
      <w:r w:rsidRPr="00172C35">
        <w:rPr>
          <w:rFonts w:ascii="Arial" w:hAnsi="Arial" w:cs="Arial"/>
          <w:sz w:val="22"/>
          <w:szCs w:val="22"/>
        </w:rPr>
        <w:t xml:space="preserve"> </w:t>
      </w:r>
      <w:r>
        <w:rPr>
          <w:rFonts w:ascii="Arial" w:hAnsi="Arial" w:cs="Arial"/>
          <w:sz w:val="22"/>
          <w:szCs w:val="22"/>
        </w:rPr>
        <w:t xml:space="preserve">HeLa cells expressing FLAG-BMI1 were microirradiated after each gene knockdown. Normalized intensities of FLAG signals at </w:t>
      </w:r>
      <w:r w:rsidRPr="00172C35">
        <w:rPr>
          <w:rFonts w:ascii="Arial" w:hAnsi="Arial" w:cs="Arial"/>
          <w:sz w:val="22"/>
          <w:szCs w:val="22"/>
        </w:rPr>
        <w:t>γH2AX</w:t>
      </w:r>
      <w:r>
        <w:rPr>
          <w:rFonts w:ascii="Arial" w:hAnsi="Arial" w:cs="Arial"/>
          <w:sz w:val="22"/>
          <w:szCs w:val="22"/>
        </w:rPr>
        <w:t xml:space="preserve"> were plotted</w:t>
      </w:r>
      <w:r w:rsidR="007D7F25">
        <w:rPr>
          <w:rFonts w:ascii="Arial" w:hAnsi="Arial" w:cs="Arial"/>
          <w:sz w:val="22"/>
          <w:szCs w:val="22"/>
        </w:rPr>
        <w:t xml:space="preserve"> </w:t>
      </w:r>
      <w:r w:rsidR="007D7F25" w:rsidRPr="007D7F25">
        <w:rPr>
          <w:rFonts w:ascii="Arial" w:hAnsi="Arial" w:cs="Arial"/>
          <w:sz w:val="22"/>
          <w:szCs w:val="22"/>
        </w:rPr>
        <w:t>(**** indicates P-value &lt; 0.0001)</w:t>
      </w:r>
      <w:r>
        <w:rPr>
          <w:rFonts w:ascii="Arial" w:hAnsi="Arial" w:cs="Arial"/>
          <w:sz w:val="22"/>
          <w:szCs w:val="22"/>
        </w:rPr>
        <w:t xml:space="preserve">. </w:t>
      </w:r>
    </w:p>
    <w:p w:rsidR="00633D61" w:rsidRDefault="00633D61"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 S</w:t>
      </w:r>
      <w:r w:rsidR="00F53D73">
        <w:rPr>
          <w:rFonts w:ascii="Arial" w:hAnsi="Arial" w:cs="Arial"/>
          <w:b/>
          <w:sz w:val="22"/>
          <w:szCs w:val="22"/>
        </w:rPr>
        <w:t>7</w:t>
      </w:r>
      <w:r w:rsidRPr="00172C35">
        <w:rPr>
          <w:rFonts w:ascii="Arial" w:hAnsi="Arial" w:cs="Arial"/>
          <w:b/>
          <w:sz w:val="22"/>
          <w:szCs w:val="22"/>
        </w:rPr>
        <w:t>.</w:t>
      </w:r>
      <w:r w:rsidRPr="00172C35">
        <w:rPr>
          <w:rFonts w:ascii="Arial" w:hAnsi="Arial" w:cs="Arial"/>
          <w:sz w:val="22"/>
          <w:szCs w:val="22"/>
        </w:rPr>
        <w:t xml:space="preserve"> </w:t>
      </w:r>
      <w:r w:rsidR="000B04BE">
        <w:rPr>
          <w:rFonts w:ascii="Arial" w:hAnsi="Arial" w:cs="Arial"/>
          <w:sz w:val="22"/>
          <w:szCs w:val="22"/>
        </w:rPr>
        <w:t xml:space="preserve">HeLa cells </w:t>
      </w:r>
      <w:r w:rsidR="007656AA">
        <w:rPr>
          <w:rFonts w:ascii="Arial" w:hAnsi="Arial" w:cs="Arial"/>
          <w:sz w:val="22"/>
          <w:szCs w:val="22"/>
        </w:rPr>
        <w:t>were stained with anti-PHC2 antibody after each gene knockdown.</w:t>
      </w:r>
      <w:r w:rsidR="00B759F8">
        <w:rPr>
          <w:rFonts w:ascii="Arial" w:hAnsi="Arial" w:cs="Arial"/>
          <w:sz w:val="22"/>
          <w:szCs w:val="22"/>
        </w:rPr>
        <w:t xml:space="preserve"> </w:t>
      </w:r>
      <w:r w:rsidR="007656AA">
        <w:rPr>
          <w:rFonts w:ascii="Arial" w:hAnsi="Arial" w:cs="Arial"/>
          <w:sz w:val="22"/>
          <w:szCs w:val="22"/>
        </w:rPr>
        <w:t>Nuclear intensities of PHC2 were quantified and plotted.</w:t>
      </w:r>
      <w:r w:rsidR="00633D61">
        <w:rPr>
          <w:rFonts w:ascii="Arial" w:hAnsi="Arial" w:cs="Arial"/>
          <w:sz w:val="22"/>
          <w:szCs w:val="22"/>
        </w:rPr>
        <w:t xml:space="preserve"> (ns: not significant)</w:t>
      </w:r>
    </w:p>
    <w:p w:rsidR="00172C35" w:rsidRPr="00172C35" w:rsidRDefault="00172C35"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 S</w:t>
      </w:r>
      <w:r w:rsidR="00F53D73">
        <w:rPr>
          <w:rFonts w:ascii="Arial" w:hAnsi="Arial" w:cs="Arial"/>
          <w:b/>
          <w:sz w:val="22"/>
          <w:szCs w:val="22"/>
        </w:rPr>
        <w:t>8</w:t>
      </w:r>
      <w:r w:rsidRPr="00172C35">
        <w:rPr>
          <w:rFonts w:ascii="Arial" w:hAnsi="Arial" w:cs="Arial"/>
          <w:b/>
          <w:sz w:val="22"/>
          <w:szCs w:val="22"/>
        </w:rPr>
        <w:t>.</w:t>
      </w:r>
      <w:r w:rsidRPr="00172C35">
        <w:rPr>
          <w:rFonts w:ascii="Arial" w:hAnsi="Arial" w:cs="Arial"/>
          <w:sz w:val="22"/>
          <w:szCs w:val="22"/>
        </w:rPr>
        <w:t xml:space="preserve"> </w:t>
      </w:r>
      <w:r w:rsidR="00633D61">
        <w:rPr>
          <w:rFonts w:ascii="Arial" w:hAnsi="Arial" w:cs="Arial"/>
          <w:sz w:val="22"/>
          <w:szCs w:val="22"/>
        </w:rPr>
        <w:t xml:space="preserve">HeLa cells were stained with </w:t>
      </w:r>
      <w:r w:rsidR="00633D61" w:rsidRPr="00172C35">
        <w:rPr>
          <w:rFonts w:ascii="Arial" w:hAnsi="Arial" w:cs="Arial"/>
          <w:sz w:val="22"/>
          <w:szCs w:val="22"/>
        </w:rPr>
        <w:t>RNAPII (pSer2</w:t>
      </w:r>
      <w:r w:rsidR="00633D61">
        <w:rPr>
          <w:rFonts w:ascii="Arial" w:hAnsi="Arial" w:cs="Arial"/>
          <w:sz w:val="22"/>
          <w:szCs w:val="22"/>
        </w:rPr>
        <w:t>) antibody after gene knockdown.</w:t>
      </w:r>
    </w:p>
    <w:p w:rsidR="00172C35" w:rsidRPr="00172C35" w:rsidRDefault="00172C35" w:rsidP="00172C35">
      <w:pPr>
        <w:rPr>
          <w:rFonts w:ascii="Arial" w:hAnsi="Arial" w:cs="Arial"/>
          <w:sz w:val="22"/>
          <w:szCs w:val="22"/>
        </w:rPr>
      </w:pPr>
    </w:p>
    <w:p w:rsidR="001C6996" w:rsidRDefault="00172C35" w:rsidP="001C6996">
      <w:pPr>
        <w:rPr>
          <w:rFonts w:ascii="Arial" w:hAnsi="Arial" w:cs="Arial"/>
          <w:sz w:val="22"/>
          <w:szCs w:val="22"/>
        </w:rPr>
      </w:pPr>
      <w:r w:rsidRPr="00172C35">
        <w:rPr>
          <w:rFonts w:ascii="Arial" w:hAnsi="Arial" w:cs="Arial"/>
          <w:b/>
          <w:sz w:val="22"/>
          <w:szCs w:val="22"/>
        </w:rPr>
        <w:t>Fig S</w:t>
      </w:r>
      <w:r w:rsidR="00F53D73">
        <w:rPr>
          <w:rFonts w:ascii="Arial" w:hAnsi="Arial" w:cs="Arial"/>
          <w:b/>
          <w:sz w:val="22"/>
          <w:szCs w:val="22"/>
        </w:rPr>
        <w:t>9</w:t>
      </w:r>
      <w:r w:rsidRPr="00172C35">
        <w:rPr>
          <w:rFonts w:ascii="Arial" w:hAnsi="Arial" w:cs="Arial"/>
          <w:b/>
          <w:sz w:val="22"/>
          <w:szCs w:val="22"/>
        </w:rPr>
        <w:t>.</w:t>
      </w:r>
      <w:r w:rsidRPr="00172C35">
        <w:rPr>
          <w:rFonts w:ascii="Arial" w:hAnsi="Arial" w:cs="Arial"/>
          <w:sz w:val="22"/>
          <w:szCs w:val="22"/>
        </w:rPr>
        <w:t xml:space="preserve"> </w:t>
      </w:r>
      <w:r w:rsidR="00633D61">
        <w:rPr>
          <w:rFonts w:ascii="Arial" w:hAnsi="Arial" w:cs="Arial"/>
          <w:sz w:val="22"/>
          <w:szCs w:val="22"/>
        </w:rPr>
        <w:t>HeLa cells were stained with RAD51 antibody after gene knockdown</w:t>
      </w:r>
      <w:r w:rsidR="001C6996">
        <w:rPr>
          <w:rFonts w:ascii="Arial" w:hAnsi="Arial" w:cs="Arial"/>
          <w:sz w:val="22"/>
          <w:szCs w:val="22"/>
        </w:rPr>
        <w:t xml:space="preserve"> </w:t>
      </w:r>
      <w:r w:rsidR="001C6996" w:rsidRPr="00A17B1A">
        <w:rPr>
          <w:rFonts w:ascii="Arial" w:hAnsi="Arial" w:cs="Arial"/>
          <w:sz w:val="22"/>
          <w:szCs w:val="22"/>
        </w:rPr>
        <w:t xml:space="preserve">(* indicates </w:t>
      </w:r>
      <w:r w:rsidR="001C6996" w:rsidRPr="007D7F25">
        <w:rPr>
          <w:rFonts w:ascii="Arial" w:hAnsi="Arial" w:cs="Arial"/>
          <w:sz w:val="22"/>
          <w:szCs w:val="22"/>
        </w:rPr>
        <w:t>P-value</w:t>
      </w:r>
      <w:r w:rsidR="001C6996" w:rsidRPr="00A17B1A">
        <w:rPr>
          <w:rFonts w:ascii="Arial" w:hAnsi="Arial" w:cs="Arial"/>
          <w:sz w:val="22"/>
          <w:szCs w:val="22"/>
        </w:rPr>
        <w:t xml:space="preserve"> &lt; 0.05)</w:t>
      </w:r>
      <w:r w:rsidR="001C6996">
        <w:rPr>
          <w:rFonts w:ascii="Arial" w:hAnsi="Arial" w:cs="Arial"/>
          <w:sz w:val="22"/>
          <w:szCs w:val="22"/>
        </w:rPr>
        <w:t>.</w:t>
      </w:r>
    </w:p>
    <w:p w:rsidR="00172C35" w:rsidRDefault="00172C35" w:rsidP="00172C35">
      <w:pPr>
        <w:rPr>
          <w:rFonts w:ascii="Arial" w:hAnsi="Arial" w:cs="Arial"/>
          <w:sz w:val="22"/>
          <w:szCs w:val="22"/>
        </w:rPr>
      </w:pPr>
      <w:bookmarkStart w:id="0" w:name="_GoBack"/>
      <w:bookmarkEnd w:id="0"/>
    </w:p>
    <w:p w:rsidR="00633D61" w:rsidRDefault="00172C35" w:rsidP="00633D61">
      <w:pPr>
        <w:rPr>
          <w:rFonts w:ascii="Arial" w:hAnsi="Arial" w:cs="Arial"/>
          <w:sz w:val="22"/>
          <w:szCs w:val="22"/>
        </w:rPr>
      </w:pPr>
      <w:r w:rsidRPr="00172C35">
        <w:rPr>
          <w:rFonts w:ascii="Arial" w:hAnsi="Arial" w:cs="Arial"/>
          <w:b/>
          <w:sz w:val="22"/>
          <w:szCs w:val="22"/>
        </w:rPr>
        <w:t>Fig S</w:t>
      </w:r>
      <w:r w:rsidR="00F53D73">
        <w:rPr>
          <w:rFonts w:ascii="Arial" w:hAnsi="Arial" w:cs="Arial"/>
          <w:b/>
          <w:sz w:val="22"/>
          <w:szCs w:val="22"/>
        </w:rPr>
        <w:t>10</w:t>
      </w:r>
      <w:r w:rsidRPr="00172C35">
        <w:rPr>
          <w:rFonts w:ascii="Arial" w:hAnsi="Arial" w:cs="Arial"/>
          <w:b/>
          <w:sz w:val="22"/>
          <w:szCs w:val="22"/>
        </w:rPr>
        <w:t>.</w:t>
      </w:r>
      <w:r w:rsidRPr="00172C35">
        <w:rPr>
          <w:rFonts w:ascii="Arial" w:hAnsi="Arial" w:cs="Arial"/>
          <w:sz w:val="22"/>
          <w:szCs w:val="22"/>
        </w:rPr>
        <w:t xml:space="preserve"> </w:t>
      </w:r>
      <w:r w:rsidR="00633D61">
        <w:rPr>
          <w:rFonts w:ascii="Arial" w:hAnsi="Arial" w:cs="Arial"/>
          <w:sz w:val="22"/>
          <w:szCs w:val="22"/>
        </w:rPr>
        <w:t>HeLa cells were stained with HDAC1 antibody after gene knockdown. (ns: not significant)</w:t>
      </w:r>
    </w:p>
    <w:p w:rsidR="00172C35" w:rsidRPr="00172C35" w:rsidRDefault="00172C35" w:rsidP="00172C35">
      <w:pPr>
        <w:rPr>
          <w:rFonts w:ascii="Arial" w:hAnsi="Arial" w:cs="Arial"/>
          <w:sz w:val="22"/>
          <w:szCs w:val="22"/>
        </w:rPr>
      </w:pPr>
    </w:p>
    <w:p w:rsidR="00633D61" w:rsidRDefault="00172C35" w:rsidP="00172C35">
      <w:pPr>
        <w:rPr>
          <w:rFonts w:ascii="Arial" w:hAnsi="Arial" w:cs="Arial"/>
          <w:sz w:val="22"/>
          <w:szCs w:val="22"/>
        </w:rPr>
      </w:pPr>
      <w:r w:rsidRPr="00172C35">
        <w:rPr>
          <w:rFonts w:ascii="Arial" w:hAnsi="Arial" w:cs="Arial"/>
          <w:b/>
          <w:sz w:val="22"/>
          <w:szCs w:val="22"/>
        </w:rPr>
        <w:t>Fig S</w:t>
      </w:r>
      <w:r w:rsidR="00633D61">
        <w:rPr>
          <w:rFonts w:ascii="Arial" w:hAnsi="Arial" w:cs="Arial"/>
          <w:b/>
          <w:sz w:val="22"/>
          <w:szCs w:val="22"/>
        </w:rPr>
        <w:t>1</w:t>
      </w:r>
      <w:r w:rsidR="00F53D73">
        <w:rPr>
          <w:rFonts w:ascii="Arial" w:hAnsi="Arial" w:cs="Arial"/>
          <w:b/>
          <w:sz w:val="22"/>
          <w:szCs w:val="22"/>
        </w:rPr>
        <w:t>1</w:t>
      </w:r>
      <w:r w:rsidRPr="00172C35">
        <w:rPr>
          <w:rFonts w:ascii="Arial" w:hAnsi="Arial" w:cs="Arial"/>
          <w:b/>
          <w:sz w:val="22"/>
          <w:szCs w:val="22"/>
        </w:rPr>
        <w:t>.</w:t>
      </w:r>
      <w:r w:rsidRPr="00172C35">
        <w:rPr>
          <w:rFonts w:ascii="Arial" w:hAnsi="Arial" w:cs="Arial"/>
          <w:sz w:val="22"/>
          <w:szCs w:val="22"/>
        </w:rPr>
        <w:t xml:space="preserve"> </w:t>
      </w:r>
      <w:r w:rsidR="00633D61">
        <w:rPr>
          <w:rFonts w:ascii="Arial" w:hAnsi="Arial" w:cs="Arial"/>
          <w:sz w:val="22"/>
          <w:szCs w:val="22"/>
        </w:rPr>
        <w:t>HeLa cells expressing GFP-53BP1 were knocked down with siRNAs and nuclear GFP foci were quantified</w:t>
      </w:r>
      <w:r w:rsidR="001C6996">
        <w:rPr>
          <w:rFonts w:ascii="Arial" w:hAnsi="Arial" w:cs="Arial"/>
          <w:sz w:val="22"/>
          <w:szCs w:val="22"/>
        </w:rPr>
        <w:t xml:space="preserve"> </w:t>
      </w:r>
      <w:r w:rsidR="001C6996" w:rsidRPr="007D7F25">
        <w:rPr>
          <w:rFonts w:ascii="Arial" w:hAnsi="Arial" w:cs="Arial"/>
          <w:sz w:val="22"/>
          <w:szCs w:val="22"/>
        </w:rPr>
        <w:t>(**** indicates P-value &lt; 0.0001)</w:t>
      </w:r>
      <w:r w:rsidR="001C6996">
        <w:rPr>
          <w:rFonts w:ascii="Arial" w:hAnsi="Arial" w:cs="Arial"/>
          <w:sz w:val="22"/>
          <w:szCs w:val="22"/>
        </w:rPr>
        <w:t>.</w:t>
      </w:r>
    </w:p>
    <w:p w:rsidR="00633D61" w:rsidRDefault="00633D61" w:rsidP="00172C35">
      <w:pPr>
        <w:rPr>
          <w:rFonts w:ascii="Arial" w:hAnsi="Arial" w:cs="Arial"/>
          <w:sz w:val="22"/>
          <w:szCs w:val="22"/>
        </w:rPr>
      </w:pPr>
    </w:p>
    <w:p w:rsidR="00633D61" w:rsidRDefault="00172C35" w:rsidP="00633D61">
      <w:pPr>
        <w:rPr>
          <w:rFonts w:ascii="Arial" w:hAnsi="Arial" w:cs="Arial"/>
          <w:sz w:val="22"/>
          <w:szCs w:val="22"/>
        </w:rPr>
      </w:pPr>
      <w:r w:rsidRPr="00172C35">
        <w:rPr>
          <w:rFonts w:ascii="Arial" w:hAnsi="Arial" w:cs="Arial"/>
          <w:b/>
          <w:sz w:val="22"/>
          <w:szCs w:val="22"/>
        </w:rPr>
        <w:t>Fig S1</w:t>
      </w:r>
      <w:r w:rsidR="00F53D73">
        <w:rPr>
          <w:rFonts w:ascii="Arial" w:hAnsi="Arial" w:cs="Arial"/>
          <w:b/>
          <w:sz w:val="22"/>
          <w:szCs w:val="22"/>
        </w:rPr>
        <w:t>2</w:t>
      </w:r>
      <w:r w:rsidRPr="00172C35">
        <w:rPr>
          <w:rFonts w:ascii="Arial" w:hAnsi="Arial" w:cs="Arial"/>
          <w:b/>
          <w:sz w:val="22"/>
          <w:szCs w:val="22"/>
        </w:rPr>
        <w:t>.</w:t>
      </w:r>
      <w:r w:rsidRPr="00172C35">
        <w:rPr>
          <w:rFonts w:ascii="Arial" w:hAnsi="Arial" w:cs="Arial"/>
          <w:sz w:val="22"/>
          <w:szCs w:val="22"/>
        </w:rPr>
        <w:t xml:space="preserve"> </w:t>
      </w:r>
      <w:r w:rsidR="00633D61">
        <w:rPr>
          <w:rFonts w:ascii="Arial" w:hAnsi="Arial" w:cs="Arial"/>
          <w:sz w:val="22"/>
          <w:szCs w:val="22"/>
        </w:rPr>
        <w:t>HeLa cells were knocked down with each siRNA with or without ATMi treatment (</w:t>
      </w:r>
      <w:r w:rsidR="00CF7429">
        <w:rPr>
          <w:rFonts w:ascii="Arial" w:hAnsi="Arial" w:cs="Arial"/>
          <w:sz w:val="22"/>
          <w:szCs w:val="22"/>
        </w:rPr>
        <w:t>10</w:t>
      </w:r>
      <w:r w:rsidR="00633D61">
        <w:rPr>
          <w:rFonts w:ascii="Arial" w:hAnsi="Arial" w:cs="Arial"/>
          <w:sz w:val="22"/>
          <w:szCs w:val="22"/>
        </w:rPr>
        <w:t xml:space="preserve">uM, </w:t>
      </w:r>
      <w:r w:rsidR="00CF7429">
        <w:rPr>
          <w:rFonts w:ascii="Arial" w:hAnsi="Arial" w:cs="Arial"/>
          <w:sz w:val="22"/>
          <w:szCs w:val="22"/>
        </w:rPr>
        <w:t xml:space="preserve">6 </w:t>
      </w:r>
      <w:r w:rsidR="00633D61">
        <w:rPr>
          <w:rFonts w:ascii="Arial" w:hAnsi="Arial" w:cs="Arial"/>
          <w:sz w:val="22"/>
          <w:szCs w:val="22"/>
        </w:rPr>
        <w:t>hours)  and nuclear 53BP1 foci were quantified</w:t>
      </w:r>
      <w:r w:rsidR="00E60945">
        <w:rPr>
          <w:rFonts w:ascii="Arial" w:hAnsi="Arial" w:cs="Arial"/>
          <w:sz w:val="22"/>
          <w:szCs w:val="22"/>
        </w:rPr>
        <w:t xml:space="preserve"> </w:t>
      </w:r>
      <w:r w:rsidR="00E60945" w:rsidRPr="007D7F25">
        <w:rPr>
          <w:rFonts w:ascii="Arial" w:hAnsi="Arial" w:cs="Arial"/>
          <w:sz w:val="22"/>
          <w:szCs w:val="22"/>
        </w:rPr>
        <w:t>(**** indicates P-value &lt; 0.0001)</w:t>
      </w:r>
      <w:r w:rsidR="00E60945">
        <w:rPr>
          <w:rFonts w:ascii="Arial" w:hAnsi="Arial" w:cs="Arial"/>
          <w:sz w:val="22"/>
          <w:szCs w:val="22"/>
        </w:rPr>
        <w:t>.</w:t>
      </w:r>
    </w:p>
    <w:p w:rsidR="00172C35" w:rsidRDefault="00172C35" w:rsidP="00172C35">
      <w:pPr>
        <w:rPr>
          <w:rFonts w:ascii="Arial" w:hAnsi="Arial" w:cs="Arial"/>
          <w:sz w:val="22"/>
          <w:szCs w:val="22"/>
        </w:rPr>
      </w:pPr>
    </w:p>
    <w:p w:rsidR="00172C35" w:rsidRDefault="00172C35" w:rsidP="00172C35">
      <w:pPr>
        <w:rPr>
          <w:rFonts w:ascii="Arial" w:hAnsi="Arial" w:cs="Arial"/>
          <w:sz w:val="22"/>
          <w:szCs w:val="22"/>
        </w:rPr>
      </w:pPr>
      <w:r w:rsidRPr="00172C35">
        <w:rPr>
          <w:rFonts w:ascii="Arial" w:hAnsi="Arial" w:cs="Arial"/>
          <w:b/>
          <w:sz w:val="22"/>
          <w:szCs w:val="22"/>
        </w:rPr>
        <w:t>Fig S1</w:t>
      </w:r>
      <w:r w:rsidR="00F53D73">
        <w:rPr>
          <w:rFonts w:ascii="Arial" w:hAnsi="Arial" w:cs="Arial"/>
          <w:b/>
          <w:sz w:val="22"/>
          <w:szCs w:val="22"/>
        </w:rPr>
        <w:t>3</w:t>
      </w:r>
      <w:r w:rsidRPr="00172C35">
        <w:rPr>
          <w:rFonts w:ascii="Arial" w:hAnsi="Arial" w:cs="Arial"/>
          <w:b/>
          <w:sz w:val="22"/>
          <w:szCs w:val="22"/>
        </w:rPr>
        <w:t>.</w:t>
      </w:r>
      <w:r w:rsidRPr="00172C35">
        <w:rPr>
          <w:rFonts w:ascii="Arial" w:hAnsi="Arial" w:cs="Arial"/>
          <w:sz w:val="22"/>
          <w:szCs w:val="22"/>
        </w:rPr>
        <w:t xml:space="preserve"> </w:t>
      </w:r>
      <w:r w:rsidR="00DA2FFD">
        <w:rPr>
          <w:rFonts w:ascii="Arial" w:hAnsi="Arial" w:cs="Arial"/>
          <w:sz w:val="22"/>
          <w:szCs w:val="22"/>
        </w:rPr>
        <w:t>pTuner263 cells were transfected with FLAG-NUP107. Cells were treated with 4-OHT and Shield-1 before fixation. Cells were stained with FLAG</w:t>
      </w:r>
      <w:r w:rsidR="00033C74">
        <w:rPr>
          <w:rFonts w:ascii="Arial" w:hAnsi="Arial" w:cs="Arial"/>
          <w:sz w:val="22"/>
          <w:szCs w:val="22"/>
        </w:rPr>
        <w:t>, RAD51.</w:t>
      </w:r>
    </w:p>
    <w:p w:rsidR="001F4BD3" w:rsidRDefault="001F4BD3" w:rsidP="00172C35">
      <w:pPr>
        <w:rPr>
          <w:rFonts w:ascii="Arial" w:hAnsi="Arial" w:cs="Arial"/>
          <w:sz w:val="22"/>
          <w:szCs w:val="22"/>
        </w:rPr>
      </w:pPr>
    </w:p>
    <w:p w:rsidR="001F4BD3" w:rsidRPr="00C10D9B" w:rsidRDefault="001F4BD3" w:rsidP="00172C35">
      <w:pPr>
        <w:rPr>
          <w:rFonts w:ascii="Arial" w:hAnsi="Arial" w:cs="Arial"/>
          <w:sz w:val="22"/>
          <w:szCs w:val="22"/>
        </w:rPr>
      </w:pPr>
      <w:r w:rsidRPr="00172C35">
        <w:rPr>
          <w:rFonts w:ascii="Arial" w:hAnsi="Arial" w:cs="Arial"/>
          <w:b/>
          <w:sz w:val="22"/>
          <w:szCs w:val="22"/>
        </w:rPr>
        <w:t>Fig S1</w:t>
      </w:r>
      <w:r>
        <w:rPr>
          <w:rFonts w:ascii="Arial" w:hAnsi="Arial" w:cs="Arial"/>
          <w:b/>
          <w:sz w:val="22"/>
          <w:szCs w:val="22"/>
        </w:rPr>
        <w:t>4</w:t>
      </w:r>
      <w:r w:rsidRPr="00172C35">
        <w:rPr>
          <w:rFonts w:ascii="Arial" w:hAnsi="Arial" w:cs="Arial"/>
          <w:b/>
          <w:sz w:val="22"/>
          <w:szCs w:val="22"/>
        </w:rPr>
        <w:t>.</w:t>
      </w:r>
      <w:r w:rsidR="00621B99">
        <w:rPr>
          <w:rFonts w:ascii="Arial" w:hAnsi="Arial" w:cs="Arial"/>
          <w:b/>
          <w:sz w:val="22"/>
          <w:szCs w:val="22"/>
        </w:rPr>
        <w:t xml:space="preserve"> </w:t>
      </w:r>
      <w:r w:rsidR="00DA2FFD">
        <w:rPr>
          <w:rFonts w:ascii="Arial" w:hAnsi="Arial" w:cs="Arial"/>
          <w:sz w:val="22"/>
          <w:szCs w:val="22"/>
        </w:rPr>
        <w:t>pT</w:t>
      </w:r>
      <w:r w:rsidR="00C10D9B">
        <w:rPr>
          <w:rFonts w:ascii="Arial" w:hAnsi="Arial" w:cs="Arial"/>
          <w:sz w:val="22"/>
          <w:szCs w:val="22"/>
        </w:rPr>
        <w:t xml:space="preserve">uner263 cells were stained with RAD51AP1 antibody and NUP107 antibody. </w:t>
      </w:r>
    </w:p>
    <w:p w:rsidR="001F4BD3" w:rsidRDefault="001F4BD3" w:rsidP="00172C35">
      <w:pPr>
        <w:rPr>
          <w:rFonts w:ascii="Arial" w:hAnsi="Arial" w:cs="Arial"/>
          <w:sz w:val="22"/>
          <w:szCs w:val="22"/>
        </w:rPr>
      </w:pPr>
    </w:p>
    <w:p w:rsidR="001F4BD3" w:rsidRDefault="001F4BD3" w:rsidP="00172C35">
      <w:pPr>
        <w:rPr>
          <w:rFonts w:ascii="Arial" w:hAnsi="Arial" w:cs="Arial"/>
          <w:sz w:val="22"/>
          <w:szCs w:val="22"/>
        </w:rPr>
      </w:pPr>
      <w:r w:rsidRPr="00172C35">
        <w:rPr>
          <w:rFonts w:ascii="Arial" w:hAnsi="Arial" w:cs="Arial"/>
          <w:b/>
          <w:sz w:val="22"/>
          <w:szCs w:val="22"/>
        </w:rPr>
        <w:t>Fig S1</w:t>
      </w:r>
      <w:r>
        <w:rPr>
          <w:rFonts w:ascii="Arial" w:hAnsi="Arial" w:cs="Arial"/>
          <w:b/>
          <w:sz w:val="22"/>
          <w:szCs w:val="22"/>
        </w:rPr>
        <w:t>5</w:t>
      </w:r>
      <w:r w:rsidR="00C10D9B">
        <w:rPr>
          <w:rFonts w:ascii="Arial" w:hAnsi="Arial" w:cs="Arial"/>
          <w:b/>
          <w:sz w:val="22"/>
          <w:szCs w:val="22"/>
        </w:rPr>
        <w:t xml:space="preserve">. </w:t>
      </w:r>
      <w:r w:rsidR="00DA2FFD">
        <w:rPr>
          <w:rFonts w:ascii="Arial" w:hAnsi="Arial" w:cs="Arial"/>
          <w:sz w:val="22"/>
          <w:szCs w:val="22"/>
        </w:rPr>
        <w:t>pT</w:t>
      </w:r>
      <w:r w:rsidR="00C10D9B">
        <w:rPr>
          <w:rFonts w:ascii="Arial" w:hAnsi="Arial" w:cs="Arial"/>
          <w:sz w:val="22"/>
          <w:szCs w:val="22"/>
        </w:rPr>
        <w:t>uner263 cells were transfected with siNUP107 for 72hr and stained with RAD51AP1</w:t>
      </w:r>
      <w:r w:rsidR="00F7491B">
        <w:rPr>
          <w:rFonts w:ascii="Arial" w:hAnsi="Arial" w:cs="Arial"/>
          <w:sz w:val="22"/>
          <w:szCs w:val="22"/>
        </w:rPr>
        <w:t xml:space="preserve">. </w:t>
      </w:r>
      <w:r w:rsidR="00C10D9B">
        <w:rPr>
          <w:rFonts w:ascii="Arial" w:hAnsi="Arial" w:cs="Arial"/>
          <w:sz w:val="22"/>
          <w:szCs w:val="22"/>
        </w:rPr>
        <w:t xml:space="preserve"> antibody.</w:t>
      </w:r>
      <w:r w:rsidR="0029501C">
        <w:rPr>
          <w:rFonts w:ascii="Arial" w:hAnsi="Arial" w:cs="Arial"/>
          <w:sz w:val="22"/>
          <w:szCs w:val="22"/>
        </w:rPr>
        <w:t xml:space="preserve"> The experiments were duplicate</w:t>
      </w:r>
      <w:r w:rsidR="00240235">
        <w:rPr>
          <w:rFonts w:ascii="Arial" w:hAnsi="Arial" w:cs="Arial"/>
          <w:sz w:val="22"/>
          <w:szCs w:val="22"/>
        </w:rPr>
        <w:t xml:space="preserve"> (</w:t>
      </w:r>
      <w:r w:rsidR="0029501C">
        <w:rPr>
          <w:rFonts w:ascii="Arial" w:hAnsi="Arial" w:cs="Arial"/>
          <w:sz w:val="22"/>
          <w:szCs w:val="22"/>
        </w:rPr>
        <w:t>n=20</w:t>
      </w:r>
      <w:r w:rsidR="00240235">
        <w:rPr>
          <w:rFonts w:ascii="Arial" w:hAnsi="Arial" w:cs="Arial"/>
          <w:sz w:val="22"/>
          <w:szCs w:val="22"/>
        </w:rPr>
        <w:t xml:space="preserve"> each</w:t>
      </w:r>
      <w:r w:rsidR="0029501C">
        <w:rPr>
          <w:rFonts w:ascii="Arial" w:hAnsi="Arial" w:cs="Arial"/>
          <w:sz w:val="22"/>
          <w:szCs w:val="22"/>
        </w:rPr>
        <w:t>)</w:t>
      </w:r>
    </w:p>
    <w:p w:rsidR="005648EB" w:rsidRPr="00C10D9B" w:rsidRDefault="005648EB" w:rsidP="00172C35">
      <w:pPr>
        <w:rPr>
          <w:rFonts w:ascii="Arial" w:hAnsi="Arial" w:cs="Arial"/>
          <w:sz w:val="22"/>
          <w:szCs w:val="22"/>
        </w:rPr>
      </w:pPr>
    </w:p>
    <w:p w:rsidR="00172C35" w:rsidRDefault="001F4BD3" w:rsidP="00172C35">
      <w:pPr>
        <w:rPr>
          <w:rFonts w:ascii="Arial" w:hAnsi="Arial" w:cs="Arial"/>
          <w:sz w:val="22"/>
          <w:szCs w:val="22"/>
        </w:rPr>
      </w:pPr>
      <w:r w:rsidRPr="00172C35">
        <w:rPr>
          <w:rFonts w:ascii="Arial" w:hAnsi="Arial" w:cs="Arial"/>
          <w:b/>
          <w:sz w:val="22"/>
          <w:szCs w:val="22"/>
        </w:rPr>
        <w:t>Fig S1</w:t>
      </w:r>
      <w:r>
        <w:rPr>
          <w:rFonts w:ascii="Arial" w:hAnsi="Arial" w:cs="Arial"/>
          <w:b/>
          <w:sz w:val="22"/>
          <w:szCs w:val="22"/>
        </w:rPr>
        <w:t>6</w:t>
      </w:r>
      <w:r w:rsidRPr="00172C35">
        <w:rPr>
          <w:rFonts w:ascii="Arial" w:hAnsi="Arial" w:cs="Arial"/>
          <w:b/>
          <w:sz w:val="22"/>
          <w:szCs w:val="22"/>
        </w:rPr>
        <w:t>.</w:t>
      </w:r>
      <w:r w:rsidR="00DA2FFD">
        <w:rPr>
          <w:rFonts w:ascii="Arial" w:hAnsi="Arial" w:cs="Arial" w:hint="eastAsia"/>
          <w:sz w:val="22"/>
          <w:szCs w:val="22"/>
        </w:rPr>
        <w:t xml:space="preserve"> </w:t>
      </w:r>
      <w:r w:rsidR="00DA2FFD">
        <w:rPr>
          <w:rFonts w:ascii="Arial" w:hAnsi="Arial" w:cs="Arial"/>
          <w:sz w:val="22"/>
          <w:szCs w:val="22"/>
        </w:rPr>
        <w:t xml:space="preserve">Disorder prediction analysis of NUP107 was performed using </w:t>
      </w:r>
      <w:r w:rsidR="000208B7">
        <w:rPr>
          <w:rFonts w:ascii="Arial" w:hAnsi="Arial" w:cs="Arial"/>
          <w:sz w:val="22"/>
          <w:szCs w:val="22"/>
        </w:rPr>
        <w:t xml:space="preserve">the </w:t>
      </w:r>
      <w:r w:rsidR="00DA2FFD">
        <w:rPr>
          <w:rFonts w:ascii="Arial" w:hAnsi="Arial" w:cs="Arial"/>
          <w:sz w:val="22"/>
          <w:szCs w:val="22"/>
        </w:rPr>
        <w:t xml:space="preserve">VSL2 predictor in Predictor of Natural Disorder Regions </w:t>
      </w:r>
      <w:r w:rsidR="00DA2FFD" w:rsidRPr="00347C4E">
        <w:rPr>
          <w:rFonts w:ascii="Arial" w:hAnsi="Arial" w:cs="Arial"/>
          <w:sz w:val="22"/>
          <w:szCs w:val="22"/>
        </w:rPr>
        <w:t>(PONDR).</w:t>
      </w:r>
    </w:p>
    <w:p w:rsidR="005648EB" w:rsidRDefault="005648EB" w:rsidP="00172C35">
      <w:pPr>
        <w:rPr>
          <w:rFonts w:ascii="Arial" w:hAnsi="Arial" w:cs="Arial"/>
          <w:sz w:val="22"/>
          <w:szCs w:val="22"/>
        </w:rPr>
      </w:pPr>
    </w:p>
    <w:p w:rsidR="005648EB" w:rsidRPr="00172C35" w:rsidRDefault="005648EB" w:rsidP="00172C35">
      <w:pPr>
        <w:rPr>
          <w:rFonts w:ascii="Arial" w:hAnsi="Arial" w:cs="Arial"/>
          <w:sz w:val="22"/>
          <w:szCs w:val="22"/>
        </w:rPr>
      </w:pPr>
    </w:p>
    <w:sectPr w:rsidR="005648EB" w:rsidRPr="00172C35" w:rsidSect="00E260CE">
      <w:footerReference w:type="default" r:id="rId6"/>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46D5D" w:rsidRDefault="00646D5D">
      <w:r>
        <w:separator/>
      </w:r>
    </w:p>
  </w:endnote>
  <w:endnote w:type="continuationSeparator" w:id="0">
    <w:p w:rsidR="00646D5D" w:rsidRDefault="00646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4111903"/>
      <w:docPartObj>
        <w:docPartGallery w:val="Page Numbers (Bottom of Page)"/>
        <w:docPartUnique/>
      </w:docPartObj>
    </w:sdtPr>
    <w:sdtEndPr>
      <w:rPr>
        <w:noProof/>
      </w:rPr>
    </w:sdtEndPr>
    <w:sdtContent>
      <w:p w:rsidR="00806218" w:rsidRDefault="00EA564D">
        <w:pPr>
          <w:pStyle w:val="a3"/>
          <w:jc w:val="center"/>
        </w:pPr>
        <w:r>
          <w:fldChar w:fldCharType="begin"/>
        </w:r>
        <w:r>
          <w:instrText xml:space="preserve"> PAGE   \* MERGEFORMAT </w:instrText>
        </w:r>
        <w:r>
          <w:fldChar w:fldCharType="separate"/>
        </w:r>
        <w:r w:rsidR="00536E3A">
          <w:rPr>
            <w:noProof/>
          </w:rPr>
          <w:t>8</w:t>
        </w:r>
        <w:r>
          <w:rPr>
            <w:noProof/>
          </w:rPr>
          <w:fldChar w:fldCharType="end"/>
        </w:r>
      </w:p>
    </w:sdtContent>
  </w:sdt>
  <w:p w:rsidR="00806218" w:rsidRDefault="00646D5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46D5D" w:rsidRDefault="00646D5D">
      <w:r>
        <w:separator/>
      </w:r>
    </w:p>
  </w:footnote>
  <w:footnote w:type="continuationSeparator" w:id="0">
    <w:p w:rsidR="00646D5D" w:rsidRDefault="00646D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FBE"/>
    <w:rsid w:val="000208B7"/>
    <w:rsid w:val="00033C74"/>
    <w:rsid w:val="00041FEB"/>
    <w:rsid w:val="000832A7"/>
    <w:rsid w:val="000B04BE"/>
    <w:rsid w:val="000C6696"/>
    <w:rsid w:val="00172514"/>
    <w:rsid w:val="00172C35"/>
    <w:rsid w:val="001C6996"/>
    <w:rsid w:val="001F4BD3"/>
    <w:rsid w:val="00240235"/>
    <w:rsid w:val="00240765"/>
    <w:rsid w:val="0029501C"/>
    <w:rsid w:val="003A692B"/>
    <w:rsid w:val="003C054D"/>
    <w:rsid w:val="0042359B"/>
    <w:rsid w:val="004D1517"/>
    <w:rsid w:val="00501D28"/>
    <w:rsid w:val="00505439"/>
    <w:rsid w:val="00510D6F"/>
    <w:rsid w:val="00536E3A"/>
    <w:rsid w:val="005648EB"/>
    <w:rsid w:val="00621B99"/>
    <w:rsid w:val="00633D61"/>
    <w:rsid w:val="00646D5D"/>
    <w:rsid w:val="006B50E6"/>
    <w:rsid w:val="00711D3F"/>
    <w:rsid w:val="007656AA"/>
    <w:rsid w:val="00771F5C"/>
    <w:rsid w:val="007D7F25"/>
    <w:rsid w:val="008371FE"/>
    <w:rsid w:val="008A093D"/>
    <w:rsid w:val="008D4FCA"/>
    <w:rsid w:val="00947114"/>
    <w:rsid w:val="00992667"/>
    <w:rsid w:val="009D6A1B"/>
    <w:rsid w:val="009F39AF"/>
    <w:rsid w:val="00A05BFD"/>
    <w:rsid w:val="00A4760C"/>
    <w:rsid w:val="00B65FBE"/>
    <w:rsid w:val="00B72D5E"/>
    <w:rsid w:val="00B759F8"/>
    <w:rsid w:val="00B978D8"/>
    <w:rsid w:val="00BD282A"/>
    <w:rsid w:val="00BE7275"/>
    <w:rsid w:val="00C026DF"/>
    <w:rsid w:val="00C10D9B"/>
    <w:rsid w:val="00CA79F7"/>
    <w:rsid w:val="00CF7429"/>
    <w:rsid w:val="00D84125"/>
    <w:rsid w:val="00DA2FFD"/>
    <w:rsid w:val="00E60945"/>
    <w:rsid w:val="00EA564D"/>
    <w:rsid w:val="00EC2F34"/>
    <w:rsid w:val="00F05CFA"/>
    <w:rsid w:val="00F53D73"/>
    <w:rsid w:val="00F7491B"/>
    <w:rsid w:val="00F77607"/>
    <w:rsid w:val="00FA5FE4"/>
    <w:rsid w:val="00FD1E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A5F4F1"/>
  <w15:chartTrackingRefBased/>
  <w15:docId w15:val="{C148872D-F8CE-422B-A90D-9C339ADAF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65FBE"/>
    <w:pPr>
      <w:widowControl w:val="0"/>
      <w:wordWrap w:val="0"/>
      <w:autoSpaceDE w:val="0"/>
      <w:autoSpaceDN w:val="0"/>
      <w:spacing w:after="0" w:line="240" w:lineRule="auto"/>
    </w:pPr>
    <w:rPr>
      <w:szCs w:val="24"/>
      <w14:ligatures w14:val="standardContextual"/>
    </w:rPr>
  </w:style>
  <w:style w:type="paragraph" w:styleId="2">
    <w:name w:val="heading 2"/>
    <w:basedOn w:val="a"/>
    <w:link w:val="2Char"/>
    <w:uiPriority w:val="9"/>
    <w:qFormat/>
    <w:rsid w:val="00240765"/>
    <w:pPr>
      <w:widowControl/>
      <w:wordWrap/>
      <w:autoSpaceDE/>
      <w:autoSpaceDN/>
      <w:spacing w:before="100" w:beforeAutospacing="1" w:after="100" w:afterAutospacing="1"/>
      <w:jc w:val="left"/>
      <w:outlineLvl w:val="1"/>
    </w:pPr>
    <w:rPr>
      <w:rFonts w:ascii="굴림" w:eastAsia="굴림" w:hAnsi="굴림" w:cs="굴림"/>
      <w:b/>
      <w:bCs/>
      <w:kern w:val="0"/>
      <w:sz w:val="36"/>
      <w:szCs w:val="36"/>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B65FBE"/>
    <w:pPr>
      <w:tabs>
        <w:tab w:val="center" w:pos="4680"/>
        <w:tab w:val="right" w:pos="9360"/>
      </w:tabs>
    </w:pPr>
  </w:style>
  <w:style w:type="character" w:customStyle="1" w:styleId="Char">
    <w:name w:val="바닥글 Char"/>
    <w:basedOn w:val="a0"/>
    <w:link w:val="a3"/>
    <w:uiPriority w:val="99"/>
    <w:rsid w:val="00B65FBE"/>
    <w:rPr>
      <w:szCs w:val="24"/>
      <w14:ligatures w14:val="standardContextual"/>
    </w:rPr>
  </w:style>
  <w:style w:type="paragraph" w:styleId="a4">
    <w:name w:val="header"/>
    <w:basedOn w:val="a"/>
    <w:link w:val="Char0"/>
    <w:uiPriority w:val="99"/>
    <w:unhideWhenUsed/>
    <w:rsid w:val="008371FE"/>
    <w:pPr>
      <w:tabs>
        <w:tab w:val="center" w:pos="4513"/>
        <w:tab w:val="right" w:pos="9026"/>
      </w:tabs>
      <w:snapToGrid w:val="0"/>
    </w:pPr>
  </w:style>
  <w:style w:type="character" w:customStyle="1" w:styleId="Char0">
    <w:name w:val="머리글 Char"/>
    <w:basedOn w:val="a0"/>
    <w:link w:val="a4"/>
    <w:uiPriority w:val="99"/>
    <w:rsid w:val="008371FE"/>
    <w:rPr>
      <w:szCs w:val="24"/>
      <w14:ligatures w14:val="standardContextual"/>
    </w:rPr>
  </w:style>
  <w:style w:type="paragraph" w:styleId="a5">
    <w:name w:val="Normal (Web)"/>
    <w:basedOn w:val="a"/>
    <w:uiPriority w:val="99"/>
    <w:semiHidden/>
    <w:unhideWhenUsed/>
    <w:rsid w:val="000832A7"/>
    <w:pPr>
      <w:widowControl/>
      <w:wordWrap/>
      <w:autoSpaceDE/>
      <w:autoSpaceDN/>
      <w:spacing w:before="100" w:beforeAutospacing="1" w:after="100" w:afterAutospacing="1"/>
      <w:jc w:val="left"/>
    </w:pPr>
    <w:rPr>
      <w:rFonts w:ascii="굴림" w:eastAsia="굴림" w:hAnsi="굴림" w:cs="굴림"/>
      <w:kern w:val="0"/>
      <w:sz w:val="24"/>
      <w14:ligatures w14:val="none"/>
    </w:rPr>
  </w:style>
  <w:style w:type="character" w:customStyle="1" w:styleId="2Char">
    <w:name w:val="제목 2 Char"/>
    <w:basedOn w:val="a0"/>
    <w:link w:val="2"/>
    <w:uiPriority w:val="9"/>
    <w:rsid w:val="00240765"/>
    <w:rPr>
      <w:rFonts w:ascii="굴림" w:eastAsia="굴림" w:hAnsi="굴림" w:cs="굴림"/>
      <w:b/>
      <w:bCs/>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124693">
      <w:bodyDiv w:val="1"/>
      <w:marLeft w:val="0"/>
      <w:marRight w:val="0"/>
      <w:marTop w:val="0"/>
      <w:marBottom w:val="0"/>
      <w:divBdr>
        <w:top w:val="none" w:sz="0" w:space="0" w:color="auto"/>
        <w:left w:val="none" w:sz="0" w:space="0" w:color="auto"/>
        <w:bottom w:val="none" w:sz="0" w:space="0" w:color="auto"/>
        <w:right w:val="none" w:sz="0" w:space="0" w:color="auto"/>
      </w:divBdr>
    </w:div>
    <w:div w:id="97132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6</Pages>
  <Words>1653</Words>
  <Characters>9427</Characters>
  <Application>Microsoft Office Word</Application>
  <DocSecurity>0</DocSecurity>
  <Lines>78</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배유빈</dc:creator>
  <cp:keywords/>
  <dc:description/>
  <cp:lastModifiedBy>Younghoon Kee</cp:lastModifiedBy>
  <cp:revision>13</cp:revision>
  <dcterms:created xsi:type="dcterms:W3CDTF">2024-05-14T19:31:00Z</dcterms:created>
  <dcterms:modified xsi:type="dcterms:W3CDTF">2024-07-03T10:09:00Z</dcterms:modified>
</cp:coreProperties>
</file>