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863F1C" w14:textId="77777777" w:rsidR="000039C4" w:rsidRPr="004112C5" w:rsidRDefault="000039C4" w:rsidP="000039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2C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72754CA9" wp14:editId="190AF0F3">
            <wp:extent cx="2162175" cy="2419350"/>
            <wp:effectExtent l="0" t="0" r="9525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4112C5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4112C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3CA5000" wp14:editId="136BF2E9">
            <wp:extent cx="2447925" cy="2428875"/>
            <wp:effectExtent l="0" t="0" r="9525" b="95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C2FE9EB" w14:textId="77777777" w:rsidR="000039C4" w:rsidRPr="004112C5" w:rsidRDefault="000039C4" w:rsidP="000039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2C5">
        <w:rPr>
          <w:rFonts w:ascii="Times New Roman" w:hAnsi="Times New Roman" w:cs="Times New Roman"/>
          <w:sz w:val="24"/>
          <w:szCs w:val="24"/>
        </w:rPr>
        <w:t xml:space="preserve"> </w:t>
      </w:r>
      <w:r w:rsidRPr="004112C5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              </w:t>
      </w:r>
    </w:p>
    <w:p w14:paraId="752DA08E" w14:textId="77777777" w:rsidR="000039C4" w:rsidRPr="004112C5" w:rsidRDefault="000039C4" w:rsidP="000039C4">
      <w:pPr>
        <w:pStyle w:val="ListParagraph"/>
        <w:autoSpaceDE w:val="0"/>
        <w:autoSpaceDN w:val="0"/>
        <w:adjustRightInd w:val="0"/>
        <w:spacing w:line="360" w:lineRule="auto"/>
        <w:jc w:val="both"/>
      </w:pPr>
      <w:r w:rsidRPr="004112C5">
        <w:t>Diagram showing - (A) Genus richness within the sub families (B) Species richness within the sub families (c) species richness under different shade patterns (D) efficiency of different collection techniques.</w:t>
      </w:r>
    </w:p>
    <w:p w14:paraId="78F457C3" w14:textId="77777777" w:rsidR="004634B1" w:rsidRPr="000039C4" w:rsidRDefault="004634B1">
      <w:pPr>
        <w:rPr>
          <w:lang w:val="en-US"/>
        </w:rPr>
      </w:pPr>
    </w:p>
    <w:sectPr w:rsidR="004634B1" w:rsidRPr="00003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9C4"/>
    <w:rsid w:val="000039C4"/>
    <w:rsid w:val="002B57B8"/>
    <w:rsid w:val="004634B1"/>
    <w:rsid w:val="00DA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67F27"/>
  <w15:chartTrackingRefBased/>
  <w15:docId w15:val="{0430651A-5FEC-4025-B6DF-EAAD684C9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9C4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39C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39C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39C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39C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39C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39C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39C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39C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39C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9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39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39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39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39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39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39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39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39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3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3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39C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3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39C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39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39C4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39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3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39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39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/>
              <a:t> </a:t>
            </a:r>
            <a:r>
              <a:rPr lang="en-US" sz="1000">
                <a:latin typeface="Times New Roman" pitchFamily="18" charset="0"/>
                <a:cs typeface="Times New Roman" pitchFamily="18" charset="0"/>
              </a:rPr>
              <a:t>Genus Richness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7287530220354011"/>
          <c:y val="0.21791575509072261"/>
          <c:w val="0.57228306010455354"/>
          <c:h val="0.3218148194213081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Sheet1!$B$70</c:f>
              <c:strCache>
                <c:ptCount val="1"/>
                <c:pt idx="0">
                  <c:v>Percentage of Genus</c:v>
                </c:pt>
              </c:strCache>
            </c:strRef>
          </c:tx>
          <c:invertIfNegative val="0"/>
          <c:cat>
            <c:strRef>
              <c:f>Sheet1!$A$71:$A$76</c:f>
              <c:strCache>
                <c:ptCount val="6"/>
                <c:pt idx="0">
                  <c:v>Formicinae</c:v>
                </c:pt>
                <c:pt idx="1">
                  <c:v>Dolichoderinae</c:v>
                </c:pt>
                <c:pt idx="2">
                  <c:v>Ponerinae</c:v>
                </c:pt>
                <c:pt idx="3">
                  <c:v>Myrmicinae</c:v>
                </c:pt>
                <c:pt idx="4">
                  <c:v>Dorylinae</c:v>
                </c:pt>
                <c:pt idx="5">
                  <c:v>Pseudomyrmecinae</c:v>
                </c:pt>
              </c:strCache>
            </c:strRef>
          </c:cat>
          <c:val>
            <c:numRef>
              <c:f>Sheet1!$B$71:$B$76</c:f>
              <c:numCache>
                <c:formatCode>General</c:formatCode>
                <c:ptCount val="6"/>
                <c:pt idx="0">
                  <c:v>27</c:v>
                </c:pt>
                <c:pt idx="1">
                  <c:v>8</c:v>
                </c:pt>
                <c:pt idx="2">
                  <c:v>23</c:v>
                </c:pt>
                <c:pt idx="3">
                  <c:v>34</c:v>
                </c:pt>
                <c:pt idx="4">
                  <c:v>4</c:v>
                </c:pt>
                <c:pt idx="5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DD-46F1-9C31-0482490DF7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81170304"/>
        <c:axId val="281172224"/>
      </c:barChart>
      <c:catAx>
        <c:axId val="2811703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Sub</a:t>
                </a:r>
                <a:r>
                  <a:rPr lang="en-GB" baseline="0"/>
                  <a:t> Family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0.16857431463001921"/>
              <c:y val="0.90493016901982082"/>
            </c:manualLayout>
          </c:layout>
          <c:overlay val="0"/>
        </c:title>
        <c:numFmt formatCode="General" sourceLinked="0"/>
        <c:majorTickMark val="none"/>
        <c:minorTickMark val="none"/>
        <c:tickLblPos val="nextTo"/>
        <c:crossAx val="281172224"/>
        <c:crosses val="autoZero"/>
        <c:auto val="1"/>
        <c:lblAlgn val="ctr"/>
        <c:lblOffset val="100"/>
        <c:noMultiLvlLbl val="0"/>
      </c:catAx>
      <c:valAx>
        <c:axId val="281172224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Percentage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en-US"/>
          </a:p>
        </c:txPr>
        <c:crossAx val="281170304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000">
                <a:latin typeface="Times New Roman" pitchFamily="18" charset="0"/>
                <a:cs typeface="Times New Roman" pitchFamily="18" charset="0"/>
              </a:defRPr>
            </a:pPr>
            <a:r>
              <a:rPr lang="en-US" sz="1000">
                <a:latin typeface="Times New Roman" pitchFamily="18" charset="0"/>
                <a:cs typeface="Times New Roman" pitchFamily="18" charset="0"/>
              </a:rPr>
              <a:t>Species Richness 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6601558927422042"/>
          <c:y val="0.20918296064330871"/>
          <c:w val="0.64625610903797004"/>
          <c:h val="0.3228598551280703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Sheet1!$B$97</c:f>
              <c:strCache>
                <c:ptCount val="1"/>
                <c:pt idx="0">
                  <c:v>Percentage of Species</c:v>
                </c:pt>
              </c:strCache>
            </c:strRef>
          </c:tx>
          <c:invertIfNegative val="0"/>
          <c:cat>
            <c:strRef>
              <c:f>Sheet1!$A$98:$A$103</c:f>
              <c:strCache>
                <c:ptCount val="6"/>
                <c:pt idx="0">
                  <c:v>Formicinae</c:v>
                </c:pt>
                <c:pt idx="1">
                  <c:v>Dolichoderinae</c:v>
                </c:pt>
                <c:pt idx="2">
                  <c:v>Ponerinae</c:v>
                </c:pt>
                <c:pt idx="3">
                  <c:v>Myrmicinae</c:v>
                </c:pt>
                <c:pt idx="4">
                  <c:v>Dorylinae</c:v>
                </c:pt>
                <c:pt idx="5">
                  <c:v>Pseudomyrmecinae</c:v>
                </c:pt>
              </c:strCache>
            </c:strRef>
          </c:cat>
          <c:val>
            <c:numRef>
              <c:f>Sheet1!$B$98:$B$103</c:f>
              <c:numCache>
                <c:formatCode>General</c:formatCode>
                <c:ptCount val="6"/>
                <c:pt idx="0">
                  <c:v>33</c:v>
                </c:pt>
                <c:pt idx="1">
                  <c:v>10</c:v>
                </c:pt>
                <c:pt idx="2">
                  <c:v>22</c:v>
                </c:pt>
                <c:pt idx="3">
                  <c:v>27</c:v>
                </c:pt>
                <c:pt idx="4">
                  <c:v>2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4B-4F71-8CB5-0F4D0832D9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80824064"/>
        <c:axId val="280842240"/>
      </c:barChart>
      <c:catAx>
        <c:axId val="2808240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280842240"/>
        <c:crosses val="autoZero"/>
        <c:auto val="1"/>
        <c:lblAlgn val="ctr"/>
        <c:lblOffset val="100"/>
        <c:noMultiLvlLbl val="0"/>
      </c:catAx>
      <c:valAx>
        <c:axId val="28084224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Percentage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800"/>
            </a:pPr>
            <a:endParaRPr lang="en-US"/>
          </a:p>
        </c:txPr>
        <c:crossAx val="280824064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  <c:userShapes r:id="rId3"/>
</c:chartSpac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0.15703</cdr:x>
      <cdr:y>0.87226</cdr:y>
    </cdr:from>
    <cdr:to>
      <cdr:x>0.43794</cdr:x>
      <cdr:y>1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440029" y="2066568"/>
          <a:ext cx="787181" cy="302559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SpringerNature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2024-07-31T08:44:00Z</dcterms:created>
  <dcterms:modified xsi:type="dcterms:W3CDTF">2024-07-31T08:44:00Z</dcterms:modified>
</cp:coreProperties>
</file>