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ED9519" w14:textId="09733266" w:rsidR="004162E3" w:rsidRPr="00DD5A44" w:rsidRDefault="00DB34EB" w:rsidP="004162E3">
      <w:pPr>
        <w:pStyle w:val="NormalWeb"/>
        <w:rPr>
          <w:rFonts w:ascii="Times" w:hAnsi="Times"/>
          <w:b/>
          <w:bCs/>
          <w:sz w:val="28"/>
          <w:szCs w:val="28"/>
        </w:rPr>
      </w:pPr>
      <w:bookmarkStart w:id="0" w:name="_GoBack"/>
      <w:r w:rsidRPr="00DD5A44">
        <w:rPr>
          <w:rFonts w:ascii="Times" w:hAnsi="Times"/>
          <w:b/>
          <w:bCs/>
          <w:sz w:val="28"/>
          <w:szCs w:val="28"/>
        </w:rPr>
        <w:t xml:space="preserve">Supplementary </w:t>
      </w:r>
      <w:r w:rsidR="00DD5A44" w:rsidRPr="00DD5A44">
        <w:rPr>
          <w:rFonts w:ascii="Times" w:hAnsi="Times"/>
          <w:b/>
          <w:bCs/>
          <w:sz w:val="28"/>
          <w:szCs w:val="28"/>
        </w:rPr>
        <w:t>Appendix</w:t>
      </w:r>
    </w:p>
    <w:bookmarkEnd w:id="0"/>
    <w:p w14:paraId="2A2DA54A" w14:textId="77777777" w:rsidR="004162E3" w:rsidRPr="00DD5A44" w:rsidRDefault="004162E3" w:rsidP="004162E3">
      <w:pPr>
        <w:spacing w:line="273" w:lineRule="auto"/>
        <w:rPr>
          <w:rFonts w:ascii="Times" w:eastAsia="Arial" w:hAnsi="Times" w:cstheme="minorHAnsi"/>
          <w:b/>
          <w:bCs/>
          <w:u w:val="single"/>
        </w:rPr>
      </w:pPr>
      <w:r w:rsidRPr="00DD5A44">
        <w:rPr>
          <w:rFonts w:ascii="Times" w:eastAsia="Arial" w:hAnsi="Times" w:cstheme="minorHAnsi"/>
          <w:b/>
          <w:bCs/>
          <w:u w:val="single"/>
        </w:rPr>
        <w:t>Inclusion Criteria:</w:t>
      </w:r>
    </w:p>
    <w:p w14:paraId="342AD489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Age over 18 years.</w:t>
      </w:r>
    </w:p>
    <w:p w14:paraId="6A285EA3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Both genders are eligible.</w:t>
      </w:r>
    </w:p>
    <w:p w14:paraId="29C38F5F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A documented history of liver cirrhosis from any cause.</w:t>
      </w:r>
    </w:p>
    <w:p w14:paraId="4E600887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The presence of at least one hepatic nodule by MRI that does not have definite HCC (LIRADS-5) or probable HCC (LIRADS-4) features.</w:t>
      </w:r>
    </w:p>
    <w:p w14:paraId="5533F4CA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At least one stable MRI liver finding within 6-12 months from the first MRI with the nodules.</w:t>
      </w:r>
    </w:p>
    <w:p w14:paraId="4542C9BE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Liver nodules follow-up modality by MRI only.</w:t>
      </w:r>
    </w:p>
    <w:p w14:paraId="2E424821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At least one-year follow-up from the first MRI with hepatic nodules.</w:t>
      </w:r>
    </w:p>
    <w:p w14:paraId="3FD5E61E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</w:p>
    <w:p w14:paraId="0BE9D55C" w14:textId="77777777" w:rsidR="004162E3" w:rsidRPr="00DD5A44" w:rsidRDefault="004162E3" w:rsidP="004162E3">
      <w:pPr>
        <w:spacing w:line="273" w:lineRule="auto"/>
        <w:rPr>
          <w:rFonts w:ascii="Times" w:eastAsia="Arial" w:hAnsi="Times" w:cstheme="minorHAnsi"/>
          <w:b/>
          <w:bCs/>
          <w:u w:val="single"/>
        </w:rPr>
      </w:pPr>
      <w:r w:rsidRPr="00DD5A44">
        <w:rPr>
          <w:rFonts w:ascii="Times" w:eastAsia="Arial" w:hAnsi="Times" w:cstheme="minorHAnsi"/>
          <w:b/>
          <w:bCs/>
          <w:u w:val="single"/>
        </w:rPr>
        <w:t>Exclusion criteria:</w:t>
      </w:r>
    </w:p>
    <w:p w14:paraId="24AAD056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Absence of liver cirrhosis.</w:t>
      </w:r>
    </w:p>
    <w:p w14:paraId="480749A2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Definite HCC (LIRADS-5) or probable HCC (LIRADS-4) at baseline.</w:t>
      </w:r>
    </w:p>
    <w:p w14:paraId="5AA0B640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Features of metastatic liver lesions.</w:t>
      </w:r>
    </w:p>
    <w:p w14:paraId="627C8C64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Liver transplant as a baseline.</w:t>
      </w:r>
    </w:p>
    <w:p w14:paraId="5F22BBAE" w14:textId="77777777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Lesions with benign features (LIRADS-1) such as hemangioma.</w:t>
      </w:r>
    </w:p>
    <w:p w14:paraId="5286FCDE" w14:textId="4D591831" w:rsidR="004162E3" w:rsidRPr="00C64630" w:rsidRDefault="004162E3" w:rsidP="004162E3">
      <w:pPr>
        <w:spacing w:line="273" w:lineRule="auto"/>
        <w:rPr>
          <w:rFonts w:ascii="Times" w:eastAsia="Arial" w:hAnsi="Times" w:cstheme="minorHAnsi"/>
        </w:rPr>
      </w:pPr>
      <w:r w:rsidRPr="00C64630">
        <w:rPr>
          <w:rFonts w:ascii="Times" w:eastAsia="Arial" w:hAnsi="Times" w:cstheme="minorHAnsi"/>
        </w:rPr>
        <w:t>- Insufficient follow-up of the nodule less than 6-12 months from initial detection.</w:t>
      </w:r>
    </w:p>
    <w:p w14:paraId="6E01E8AA" w14:textId="085B6AF8" w:rsidR="004162E3" w:rsidRPr="00C64630" w:rsidRDefault="004162E3" w:rsidP="004162E3">
      <w:pPr>
        <w:spacing w:line="273" w:lineRule="auto"/>
        <w:rPr>
          <w:rFonts w:ascii="Times" w:hAnsi="Times"/>
        </w:rPr>
      </w:pPr>
    </w:p>
    <w:p w14:paraId="580E8337" w14:textId="77777777" w:rsidR="00DD5A44" w:rsidRDefault="00DD5A44" w:rsidP="000D3380">
      <w:pPr>
        <w:rPr>
          <w:rFonts w:ascii="Times" w:hAnsi="Times"/>
        </w:rPr>
      </w:pPr>
    </w:p>
    <w:p w14:paraId="0FD48B7A" w14:textId="7FC2323E" w:rsidR="000D3380" w:rsidRPr="00DD5A44" w:rsidRDefault="000D3380" w:rsidP="000D3380">
      <w:pPr>
        <w:rPr>
          <w:rFonts w:ascii="Times" w:eastAsia="Times New Roman" w:hAnsi="Times" w:cs="Times New Roman"/>
          <w:b/>
          <w:bCs/>
          <w:color w:val="0E101A"/>
          <w:sz w:val="26"/>
          <w:szCs w:val="26"/>
          <w:u w:val="single"/>
        </w:rPr>
      </w:pPr>
      <w:r w:rsidRPr="000D3380">
        <w:rPr>
          <w:rFonts w:ascii="Times" w:eastAsia="Times New Roman" w:hAnsi="Times" w:cs="Times New Roman"/>
          <w:b/>
          <w:bCs/>
          <w:color w:val="0E101A"/>
          <w:sz w:val="26"/>
          <w:szCs w:val="26"/>
          <w:u w:val="single"/>
        </w:rPr>
        <w:t xml:space="preserve">The LI-RADS score </w:t>
      </w:r>
      <w:r w:rsidR="00DD5A44" w:rsidRPr="00DD5A44">
        <w:rPr>
          <w:rFonts w:ascii="Times" w:eastAsia="Times New Roman" w:hAnsi="Times" w:cs="Times New Roman"/>
          <w:b/>
          <w:bCs/>
          <w:color w:val="0E101A"/>
          <w:sz w:val="26"/>
          <w:szCs w:val="26"/>
          <w:u w:val="single"/>
        </w:rPr>
        <w:t>system:</w:t>
      </w:r>
    </w:p>
    <w:p w14:paraId="4F124C14" w14:textId="77777777" w:rsidR="000D3380" w:rsidRPr="000D3380" w:rsidRDefault="000D3380" w:rsidP="000D3380">
      <w:pPr>
        <w:rPr>
          <w:rFonts w:ascii="Times" w:eastAsia="Times New Roman" w:hAnsi="Times" w:cs="Times New Roman"/>
          <w:color w:val="0E101A"/>
        </w:rPr>
      </w:pPr>
    </w:p>
    <w:p w14:paraId="67F773E7" w14:textId="77777777" w:rsidR="000D3380" w:rsidRPr="000D3380" w:rsidRDefault="000D3380" w:rsidP="000D3380">
      <w:pPr>
        <w:outlineLvl w:val="4"/>
        <w:rPr>
          <w:rFonts w:ascii="Times" w:eastAsia="Times New Roman" w:hAnsi="Times" w:cs="Times New Roman"/>
          <w:b/>
          <w:bCs/>
          <w:color w:val="0E101A"/>
        </w:rPr>
      </w:pPr>
      <w:r w:rsidRPr="000D3380">
        <w:rPr>
          <w:rFonts w:ascii="Times" w:eastAsia="Times New Roman" w:hAnsi="Times" w:cs="Times New Roman"/>
          <w:b/>
          <w:bCs/>
          <w:color w:val="0E101A"/>
        </w:rPr>
        <w:t>LR-1 (100% benign)</w:t>
      </w:r>
    </w:p>
    <w:p w14:paraId="1B2641AF" w14:textId="77777777" w:rsidR="000D3380" w:rsidRPr="000D3380" w:rsidRDefault="000D3380" w:rsidP="000D3380">
      <w:pPr>
        <w:numPr>
          <w:ilvl w:val="0"/>
          <w:numId w:val="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Imaging features diagnostic of a benign entity:</w:t>
      </w:r>
    </w:p>
    <w:p w14:paraId="25B2851B" w14:textId="77777777" w:rsidR="000D3380" w:rsidRPr="000D3380" w:rsidRDefault="000D3380" w:rsidP="000D3380">
      <w:pPr>
        <w:numPr>
          <w:ilvl w:val="1"/>
          <w:numId w:val="2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 xml:space="preserve">cyst </w:t>
      </w:r>
    </w:p>
    <w:p w14:paraId="4CA92EEE" w14:textId="77777777" w:rsidR="000D3380" w:rsidRPr="000D3380" w:rsidRDefault="000D3380" w:rsidP="000D3380">
      <w:pPr>
        <w:numPr>
          <w:ilvl w:val="1"/>
          <w:numId w:val="2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hemangioma</w:t>
      </w:r>
    </w:p>
    <w:p w14:paraId="117A3D4D" w14:textId="77777777" w:rsidR="000D3380" w:rsidRPr="000D3380" w:rsidRDefault="000D3380" w:rsidP="000D3380">
      <w:pPr>
        <w:numPr>
          <w:ilvl w:val="1"/>
          <w:numId w:val="2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vascular anomaly</w:t>
      </w:r>
    </w:p>
    <w:p w14:paraId="198E6879" w14:textId="77777777" w:rsidR="000D3380" w:rsidRPr="000D3380" w:rsidRDefault="000D3380" w:rsidP="000D3380">
      <w:pPr>
        <w:numPr>
          <w:ilvl w:val="1"/>
          <w:numId w:val="2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perfusion alteration</w:t>
      </w:r>
    </w:p>
    <w:p w14:paraId="58800F37" w14:textId="77777777" w:rsidR="000D3380" w:rsidRPr="000D3380" w:rsidRDefault="000D3380" w:rsidP="000D3380">
      <w:pPr>
        <w:numPr>
          <w:ilvl w:val="1"/>
          <w:numId w:val="2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focal scar</w:t>
      </w:r>
    </w:p>
    <w:p w14:paraId="4BA4EE8C" w14:textId="77777777" w:rsidR="000D3380" w:rsidRPr="000D3380" w:rsidRDefault="000D3380" w:rsidP="000D3380">
      <w:pPr>
        <w:outlineLvl w:val="4"/>
        <w:rPr>
          <w:rFonts w:ascii="Times" w:eastAsia="Times New Roman" w:hAnsi="Times" w:cs="Times New Roman"/>
          <w:b/>
          <w:bCs/>
          <w:color w:val="0E101A"/>
        </w:rPr>
      </w:pPr>
      <w:r w:rsidRPr="000D3380">
        <w:rPr>
          <w:rFonts w:ascii="Times" w:eastAsia="Times New Roman" w:hAnsi="Times" w:cs="Times New Roman"/>
          <w:b/>
          <w:bCs/>
          <w:color w:val="0E101A"/>
        </w:rPr>
        <w:t>LR-2 (probably benign)</w:t>
      </w:r>
    </w:p>
    <w:p w14:paraId="11604FF2" w14:textId="77777777" w:rsidR="000D3380" w:rsidRPr="000D3380" w:rsidRDefault="000D3380" w:rsidP="000D3380">
      <w:pPr>
        <w:numPr>
          <w:ilvl w:val="0"/>
          <w:numId w:val="3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Entities are similar to LR1, but the appearance is highly suggestive of the entity instead of 100% diagnostically confident.</w:t>
      </w:r>
    </w:p>
    <w:p w14:paraId="36E7BDA6" w14:textId="77777777" w:rsidR="000D3380" w:rsidRPr="000D3380" w:rsidRDefault="000D3380" w:rsidP="000D3380">
      <w:pPr>
        <w:outlineLvl w:val="4"/>
        <w:rPr>
          <w:rFonts w:ascii="Times" w:eastAsia="Times New Roman" w:hAnsi="Times" w:cs="Times New Roman"/>
          <w:b/>
          <w:bCs/>
          <w:color w:val="0E101A"/>
        </w:rPr>
      </w:pPr>
      <w:r w:rsidRPr="000D3380">
        <w:rPr>
          <w:rFonts w:ascii="Times" w:eastAsia="Times New Roman" w:hAnsi="Times" w:cs="Times New Roman"/>
          <w:b/>
          <w:bCs/>
          <w:color w:val="0E101A"/>
        </w:rPr>
        <w:t>LR-3 (intermediate probability for HCC)</w:t>
      </w:r>
    </w:p>
    <w:p w14:paraId="73634EC3" w14:textId="77777777" w:rsidR="000D3380" w:rsidRPr="000D3380" w:rsidRDefault="000D3380" w:rsidP="000D3380">
      <w:pPr>
        <w:numPr>
          <w:ilvl w:val="0"/>
          <w:numId w:val="4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not a definitely benign entity, but not definitely HCC</w:t>
      </w:r>
    </w:p>
    <w:p w14:paraId="43D1774A" w14:textId="77777777" w:rsidR="000D3380" w:rsidRPr="000D3380" w:rsidRDefault="000D3380" w:rsidP="000D3380">
      <w:pPr>
        <w:numPr>
          <w:ilvl w:val="0"/>
          <w:numId w:val="4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Includes entities with the following features:</w:t>
      </w:r>
    </w:p>
    <w:p w14:paraId="55DA33D0" w14:textId="77777777" w:rsidR="000D3380" w:rsidRPr="000D3380" w:rsidRDefault="000D3380" w:rsidP="000D3380">
      <w:pPr>
        <w:numPr>
          <w:ilvl w:val="1"/>
          <w:numId w:val="5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not a definite mass</w:t>
      </w:r>
    </w:p>
    <w:p w14:paraId="2F029BEA" w14:textId="77777777" w:rsidR="000D3380" w:rsidRPr="000D3380" w:rsidRDefault="000D3380" w:rsidP="000D3380">
      <w:pPr>
        <w:numPr>
          <w:ilvl w:val="1"/>
          <w:numId w:val="5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mass with </w:t>
      </w:r>
      <w:r w:rsidRPr="00C64630">
        <w:rPr>
          <w:rFonts w:ascii="Times" w:eastAsia="Times New Roman" w:hAnsi="Times" w:cs="Times New Roman"/>
          <w:color w:val="0E101A"/>
        </w:rPr>
        <w:t>hepatic arterial phase iso- or hypoenhancement</w:t>
      </w:r>
    </w:p>
    <w:p w14:paraId="12242253" w14:textId="77777777" w:rsidR="000D3380" w:rsidRPr="000D3380" w:rsidRDefault="000D3380" w:rsidP="000D3380">
      <w:pPr>
        <w:numPr>
          <w:ilvl w:val="2"/>
          <w:numId w:val="6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&lt;20 mm with </w:t>
      </w:r>
      <w:r w:rsidRPr="00C64630">
        <w:rPr>
          <w:rFonts w:ascii="Times" w:eastAsia="Times New Roman" w:hAnsi="Times" w:cs="Times New Roman"/>
          <w:i/>
          <w:iCs/>
          <w:color w:val="0E101A"/>
        </w:rPr>
        <w:t>no more than one </w:t>
      </w:r>
      <w:r w:rsidRPr="000D3380">
        <w:rPr>
          <w:rFonts w:ascii="Times" w:eastAsia="Times New Roman" w:hAnsi="Times" w:cs="Times New Roman"/>
          <w:color w:val="0E101A"/>
        </w:rPr>
        <w:t>of the following:</w:t>
      </w:r>
    </w:p>
    <w:p w14:paraId="0F45741E" w14:textId="77777777" w:rsidR="000D3380" w:rsidRPr="000D3380" w:rsidRDefault="000D3380" w:rsidP="000D3380">
      <w:pPr>
        <w:numPr>
          <w:ilvl w:val="3"/>
          <w:numId w:val="7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non-peripheral "washout"</w:t>
      </w:r>
    </w:p>
    <w:p w14:paraId="76844B95" w14:textId="77777777" w:rsidR="000D3380" w:rsidRPr="000D3380" w:rsidRDefault="000D3380" w:rsidP="000D3380">
      <w:pPr>
        <w:numPr>
          <w:ilvl w:val="3"/>
          <w:numId w:val="7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capsule</w:t>
      </w:r>
    </w:p>
    <w:p w14:paraId="4C54852B" w14:textId="77777777" w:rsidR="000D3380" w:rsidRPr="000D3380" w:rsidRDefault="000D3380" w:rsidP="000D3380">
      <w:pPr>
        <w:numPr>
          <w:ilvl w:val="3"/>
          <w:numId w:val="7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threshold growth</w:t>
      </w:r>
    </w:p>
    <w:p w14:paraId="6185AE24" w14:textId="77777777" w:rsidR="000D3380" w:rsidRPr="000D3380" w:rsidRDefault="000D3380" w:rsidP="000D3380">
      <w:pPr>
        <w:numPr>
          <w:ilvl w:val="1"/>
          <w:numId w:val="7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mass with </w:t>
      </w:r>
      <w:r w:rsidRPr="00C64630">
        <w:rPr>
          <w:rFonts w:ascii="Times" w:eastAsia="Times New Roman" w:hAnsi="Times" w:cs="Times New Roman"/>
          <w:color w:val="0E101A"/>
        </w:rPr>
        <w:t>hepatic arterial phase hyperenhancement</w:t>
      </w:r>
    </w:p>
    <w:p w14:paraId="60768E04" w14:textId="77777777" w:rsidR="000D3380" w:rsidRPr="000D3380" w:rsidRDefault="000D3380" w:rsidP="000D3380">
      <w:pPr>
        <w:numPr>
          <w:ilvl w:val="2"/>
          <w:numId w:val="7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&lt;20 mm with no "washout," capsule, or threshold growth</w:t>
      </w:r>
    </w:p>
    <w:p w14:paraId="3F3321B8" w14:textId="77777777" w:rsidR="000D3380" w:rsidRPr="000D3380" w:rsidRDefault="000D3380" w:rsidP="000D3380">
      <w:pPr>
        <w:outlineLvl w:val="4"/>
        <w:rPr>
          <w:rFonts w:ascii="Times" w:eastAsia="Times New Roman" w:hAnsi="Times" w:cs="Times New Roman"/>
          <w:b/>
          <w:bCs/>
          <w:color w:val="0E101A"/>
        </w:rPr>
      </w:pPr>
      <w:r w:rsidRPr="000D3380">
        <w:rPr>
          <w:rFonts w:ascii="Times" w:eastAsia="Times New Roman" w:hAnsi="Times" w:cs="Times New Roman"/>
          <w:b/>
          <w:bCs/>
          <w:color w:val="0E101A"/>
        </w:rPr>
        <w:lastRenderedPageBreak/>
        <w:t>LR-4 (probably HCC)</w:t>
      </w:r>
    </w:p>
    <w:p w14:paraId="27A169C2" w14:textId="77777777" w:rsidR="000D3380" w:rsidRPr="000D3380" w:rsidRDefault="000D3380" w:rsidP="000D3380">
      <w:pPr>
        <w:numPr>
          <w:ilvl w:val="0"/>
          <w:numId w:val="8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no arterial phase hyperenhancement</w:t>
      </w:r>
    </w:p>
    <w:p w14:paraId="7663101D" w14:textId="77777777" w:rsidR="000D3380" w:rsidRPr="000D3380" w:rsidRDefault="000D3380" w:rsidP="000D3380">
      <w:pPr>
        <w:numPr>
          <w:ilvl w:val="1"/>
          <w:numId w:val="9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&lt;20 mm</w:t>
      </w:r>
    </w:p>
    <w:p w14:paraId="516E242B" w14:textId="77777777" w:rsidR="000D3380" w:rsidRPr="000D3380" w:rsidRDefault="000D3380" w:rsidP="000D3380">
      <w:pPr>
        <w:numPr>
          <w:ilvl w:val="2"/>
          <w:numId w:val="10"/>
        </w:numPr>
        <w:rPr>
          <w:rFonts w:ascii="Times" w:eastAsia="Times New Roman" w:hAnsi="Times" w:cs="Times New Roman"/>
          <w:color w:val="0E101A"/>
        </w:rPr>
      </w:pPr>
      <w:r w:rsidRPr="00C64630">
        <w:rPr>
          <w:rFonts w:ascii="Times" w:eastAsia="Times New Roman" w:hAnsi="Times" w:cs="Times New Roman"/>
          <w:i/>
          <w:iCs/>
          <w:color w:val="0E101A"/>
        </w:rPr>
        <w:t>two or more</w:t>
      </w:r>
      <w:r w:rsidRPr="000D3380">
        <w:rPr>
          <w:rFonts w:ascii="Times" w:eastAsia="Times New Roman" w:hAnsi="Times" w:cs="Times New Roman"/>
          <w:color w:val="0E101A"/>
        </w:rPr>
        <w:t> of the following</w:t>
      </w:r>
    </w:p>
    <w:p w14:paraId="096E5460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non-peripheral "washout"</w:t>
      </w:r>
    </w:p>
    <w:p w14:paraId="68A796AD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enhancing capsule</w:t>
      </w:r>
    </w:p>
    <w:p w14:paraId="004C66B5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threshold growth</w:t>
      </w:r>
    </w:p>
    <w:p w14:paraId="0E0CEAE6" w14:textId="77777777" w:rsidR="000D3380" w:rsidRPr="000D3380" w:rsidRDefault="000D3380" w:rsidP="000D3380">
      <w:pPr>
        <w:numPr>
          <w:ilvl w:val="1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≥20 mm</w:t>
      </w:r>
    </w:p>
    <w:p w14:paraId="209C356D" w14:textId="77777777" w:rsidR="000D3380" w:rsidRPr="000D3380" w:rsidRDefault="000D3380" w:rsidP="000D3380">
      <w:pPr>
        <w:numPr>
          <w:ilvl w:val="2"/>
          <w:numId w:val="11"/>
        </w:numPr>
        <w:rPr>
          <w:rFonts w:ascii="Times" w:eastAsia="Times New Roman" w:hAnsi="Times" w:cs="Times New Roman"/>
          <w:color w:val="0E101A"/>
        </w:rPr>
      </w:pPr>
      <w:r w:rsidRPr="00C64630">
        <w:rPr>
          <w:rFonts w:ascii="Times" w:eastAsia="Times New Roman" w:hAnsi="Times" w:cs="Times New Roman"/>
          <w:i/>
          <w:iCs/>
          <w:color w:val="0E101A"/>
        </w:rPr>
        <w:t>one or more </w:t>
      </w:r>
      <w:r w:rsidRPr="000D3380">
        <w:rPr>
          <w:rFonts w:ascii="Times" w:eastAsia="Times New Roman" w:hAnsi="Times" w:cs="Times New Roman"/>
          <w:color w:val="0E101A"/>
        </w:rPr>
        <w:t>of the following</w:t>
      </w:r>
    </w:p>
    <w:p w14:paraId="23BA5D77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non-peripheral "washout"</w:t>
      </w:r>
    </w:p>
    <w:p w14:paraId="3FA05321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enhancing capsule</w:t>
      </w:r>
    </w:p>
    <w:p w14:paraId="04A1FBF9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threshold growth</w:t>
      </w:r>
    </w:p>
    <w:p w14:paraId="554C30E9" w14:textId="77777777" w:rsidR="000D3380" w:rsidRPr="000D3380" w:rsidRDefault="000D3380" w:rsidP="000D3380">
      <w:pPr>
        <w:numPr>
          <w:ilvl w:val="0"/>
          <w:numId w:val="11"/>
        </w:numPr>
        <w:rPr>
          <w:rFonts w:ascii="Times" w:eastAsia="Times New Roman" w:hAnsi="Times" w:cs="Times New Roman"/>
          <w:color w:val="0E101A"/>
        </w:rPr>
      </w:pPr>
      <w:r w:rsidRPr="00C64630">
        <w:rPr>
          <w:rFonts w:ascii="Times" w:eastAsia="Times New Roman" w:hAnsi="Times" w:cs="Times New Roman"/>
          <w:b/>
          <w:bCs/>
          <w:color w:val="0E101A"/>
        </w:rPr>
        <w:t>non-rim arterial phase hyperenhancement</w:t>
      </w:r>
    </w:p>
    <w:p w14:paraId="66FD2FFC" w14:textId="77777777" w:rsidR="000D3380" w:rsidRPr="000D3380" w:rsidRDefault="000D3380" w:rsidP="000D3380">
      <w:pPr>
        <w:numPr>
          <w:ilvl w:val="1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&lt;10 mm</w:t>
      </w:r>
    </w:p>
    <w:p w14:paraId="1A26D27B" w14:textId="77777777" w:rsidR="000D3380" w:rsidRPr="000D3380" w:rsidRDefault="000D3380" w:rsidP="000D3380">
      <w:pPr>
        <w:numPr>
          <w:ilvl w:val="2"/>
          <w:numId w:val="11"/>
        </w:numPr>
        <w:rPr>
          <w:rFonts w:ascii="Times" w:eastAsia="Times New Roman" w:hAnsi="Times" w:cs="Times New Roman"/>
          <w:color w:val="0E101A"/>
        </w:rPr>
      </w:pPr>
      <w:r w:rsidRPr="00C64630">
        <w:rPr>
          <w:rFonts w:ascii="Times" w:eastAsia="Times New Roman" w:hAnsi="Times" w:cs="Times New Roman"/>
          <w:i/>
          <w:iCs/>
          <w:color w:val="0E101A"/>
        </w:rPr>
        <w:t>one or more </w:t>
      </w:r>
      <w:r w:rsidRPr="000D3380">
        <w:rPr>
          <w:rFonts w:ascii="Times" w:eastAsia="Times New Roman" w:hAnsi="Times" w:cs="Times New Roman"/>
          <w:color w:val="0E101A"/>
        </w:rPr>
        <w:t>of the following</w:t>
      </w:r>
    </w:p>
    <w:p w14:paraId="5E657CCB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non-peripheral "washout"</w:t>
      </w:r>
    </w:p>
    <w:p w14:paraId="767155DA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enhancing capsule</w:t>
      </w:r>
    </w:p>
    <w:p w14:paraId="74F791CA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threshold growth</w:t>
      </w:r>
    </w:p>
    <w:p w14:paraId="58A0ED7D" w14:textId="77777777" w:rsidR="000D3380" w:rsidRPr="000D3380" w:rsidRDefault="000D3380" w:rsidP="000D3380">
      <w:pPr>
        <w:numPr>
          <w:ilvl w:val="1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10-19 mm</w:t>
      </w:r>
    </w:p>
    <w:p w14:paraId="30C3BF09" w14:textId="77777777" w:rsidR="000D3380" w:rsidRPr="000D3380" w:rsidRDefault="000D3380" w:rsidP="000D3380">
      <w:pPr>
        <w:numPr>
          <w:ilvl w:val="2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Enhancing "capsule" but does not meet threshold growth or washout criteria</w:t>
      </w:r>
    </w:p>
    <w:p w14:paraId="608481F4" w14:textId="77777777" w:rsidR="000D3380" w:rsidRPr="000D3380" w:rsidRDefault="000D3380" w:rsidP="000D3380">
      <w:pPr>
        <w:numPr>
          <w:ilvl w:val="1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≥20 mm</w:t>
      </w:r>
    </w:p>
    <w:p w14:paraId="567A44A2" w14:textId="77777777" w:rsidR="000D3380" w:rsidRPr="000D3380" w:rsidRDefault="000D3380" w:rsidP="000D3380">
      <w:pPr>
        <w:numPr>
          <w:ilvl w:val="2"/>
          <w:numId w:val="11"/>
        </w:numPr>
        <w:rPr>
          <w:rFonts w:ascii="Times" w:eastAsia="Times New Roman" w:hAnsi="Times" w:cs="Times New Roman"/>
          <w:color w:val="0E101A"/>
        </w:rPr>
      </w:pPr>
      <w:r w:rsidRPr="00C64630">
        <w:rPr>
          <w:rFonts w:ascii="Times" w:eastAsia="Times New Roman" w:hAnsi="Times" w:cs="Times New Roman"/>
          <w:i/>
          <w:iCs/>
          <w:color w:val="0E101A"/>
        </w:rPr>
        <w:t>No </w:t>
      </w:r>
      <w:r w:rsidRPr="000D3380">
        <w:rPr>
          <w:rFonts w:ascii="Times" w:eastAsia="Times New Roman" w:hAnsi="Times" w:cs="Times New Roman"/>
          <w:color w:val="0E101A"/>
        </w:rPr>
        <w:t>major suspicious features:</w:t>
      </w:r>
    </w:p>
    <w:p w14:paraId="2BA7D045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non-peripheral "washout"</w:t>
      </w:r>
    </w:p>
    <w:p w14:paraId="5FEDC39A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enhancing capsule</w:t>
      </w:r>
    </w:p>
    <w:p w14:paraId="3F75D14C" w14:textId="77777777" w:rsidR="000D3380" w:rsidRPr="000D3380" w:rsidRDefault="000D3380" w:rsidP="000D3380">
      <w:pPr>
        <w:numPr>
          <w:ilvl w:val="3"/>
          <w:numId w:val="11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threshold growth</w:t>
      </w:r>
    </w:p>
    <w:p w14:paraId="25EB2F19" w14:textId="77777777" w:rsidR="000D3380" w:rsidRPr="000D3380" w:rsidRDefault="000D3380" w:rsidP="000D3380">
      <w:pPr>
        <w:outlineLvl w:val="4"/>
        <w:rPr>
          <w:rFonts w:ascii="Times" w:eastAsia="Times New Roman" w:hAnsi="Times" w:cs="Times New Roman"/>
          <w:b/>
          <w:bCs/>
          <w:color w:val="0E101A"/>
        </w:rPr>
      </w:pPr>
      <w:r w:rsidRPr="000D3380">
        <w:rPr>
          <w:rFonts w:ascii="Times" w:eastAsia="Times New Roman" w:hAnsi="Times" w:cs="Times New Roman"/>
          <w:b/>
          <w:bCs/>
          <w:color w:val="0E101A"/>
        </w:rPr>
        <w:t>LR-5 (100% definite HCC)</w:t>
      </w:r>
    </w:p>
    <w:p w14:paraId="4A7A876E" w14:textId="77777777" w:rsidR="000D3380" w:rsidRPr="000D3380" w:rsidRDefault="000D3380" w:rsidP="000D3380">
      <w:pPr>
        <w:numPr>
          <w:ilvl w:val="0"/>
          <w:numId w:val="12"/>
        </w:numPr>
        <w:rPr>
          <w:rFonts w:ascii="Times" w:eastAsia="Times New Roman" w:hAnsi="Times" w:cs="Times New Roman"/>
          <w:color w:val="0E101A"/>
        </w:rPr>
      </w:pPr>
      <w:r w:rsidRPr="00C64630">
        <w:rPr>
          <w:rFonts w:ascii="Times" w:eastAsia="Times New Roman" w:hAnsi="Times" w:cs="Times New Roman"/>
          <w:b/>
          <w:bCs/>
          <w:color w:val="0E101A"/>
        </w:rPr>
        <w:t>non-rim arterial phase hyperenhancement</w:t>
      </w:r>
    </w:p>
    <w:p w14:paraId="59AA6D63" w14:textId="77777777" w:rsidR="000D3380" w:rsidRPr="000D3380" w:rsidRDefault="000D3380" w:rsidP="000D3380">
      <w:pPr>
        <w:numPr>
          <w:ilvl w:val="1"/>
          <w:numId w:val="13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10-19 mm</w:t>
      </w:r>
    </w:p>
    <w:p w14:paraId="7A33546A" w14:textId="77777777" w:rsidR="000D3380" w:rsidRPr="000D3380" w:rsidRDefault="000D3380" w:rsidP="000D3380">
      <w:pPr>
        <w:numPr>
          <w:ilvl w:val="2"/>
          <w:numId w:val="14"/>
        </w:numPr>
        <w:rPr>
          <w:rFonts w:ascii="Times" w:eastAsia="Times New Roman" w:hAnsi="Times" w:cs="Times New Roman"/>
          <w:color w:val="0E101A"/>
        </w:rPr>
      </w:pPr>
      <w:r w:rsidRPr="00C64630">
        <w:rPr>
          <w:rFonts w:ascii="Times" w:eastAsia="Times New Roman" w:hAnsi="Times" w:cs="Times New Roman"/>
          <w:i/>
          <w:iCs/>
          <w:color w:val="0E101A"/>
        </w:rPr>
        <w:t>single </w:t>
      </w:r>
      <w:r w:rsidRPr="000D3380">
        <w:rPr>
          <w:rFonts w:ascii="Times" w:eastAsia="Times New Roman" w:hAnsi="Times" w:cs="Times New Roman"/>
          <w:color w:val="0E101A"/>
        </w:rPr>
        <w:t>major suspicious feature (washout or threshold growth), excluding enhancing "capsule" (LR-4)</w:t>
      </w:r>
    </w:p>
    <w:p w14:paraId="1E3A6477" w14:textId="77777777" w:rsidR="000D3380" w:rsidRPr="000D3380" w:rsidRDefault="000D3380" w:rsidP="000D3380">
      <w:pPr>
        <w:numPr>
          <w:ilvl w:val="2"/>
          <w:numId w:val="14"/>
        </w:numPr>
        <w:rPr>
          <w:rFonts w:ascii="Times" w:eastAsia="Times New Roman" w:hAnsi="Times" w:cs="Times New Roman"/>
          <w:color w:val="0E101A"/>
        </w:rPr>
      </w:pPr>
      <w:r w:rsidRPr="00C64630">
        <w:rPr>
          <w:rFonts w:ascii="Times" w:eastAsia="Times New Roman" w:hAnsi="Times" w:cs="Times New Roman"/>
          <w:i/>
          <w:iCs/>
          <w:color w:val="0E101A"/>
        </w:rPr>
        <w:t>two or more</w:t>
      </w:r>
      <w:r w:rsidRPr="000D3380">
        <w:rPr>
          <w:rFonts w:ascii="Times" w:eastAsia="Times New Roman" w:hAnsi="Times" w:cs="Times New Roman"/>
          <w:color w:val="0E101A"/>
        </w:rPr>
        <w:t xml:space="preserve"> of the following</w:t>
      </w:r>
    </w:p>
    <w:p w14:paraId="412CE9BE" w14:textId="77777777" w:rsidR="000D3380" w:rsidRPr="000D3380" w:rsidRDefault="000D3380" w:rsidP="000D3380">
      <w:pPr>
        <w:numPr>
          <w:ilvl w:val="3"/>
          <w:numId w:val="15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threshold growth</w:t>
      </w:r>
    </w:p>
    <w:p w14:paraId="731006EC" w14:textId="77777777" w:rsidR="000D3380" w:rsidRPr="000D3380" w:rsidRDefault="000D3380" w:rsidP="000D3380">
      <w:pPr>
        <w:numPr>
          <w:ilvl w:val="3"/>
          <w:numId w:val="15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enhancing capsule</w:t>
      </w:r>
    </w:p>
    <w:p w14:paraId="48E670F6" w14:textId="77777777" w:rsidR="000D3380" w:rsidRPr="000D3380" w:rsidRDefault="000D3380" w:rsidP="000D3380">
      <w:pPr>
        <w:numPr>
          <w:ilvl w:val="3"/>
          <w:numId w:val="15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non-peripheral "washout"</w:t>
      </w:r>
    </w:p>
    <w:p w14:paraId="4B88767E" w14:textId="77777777" w:rsidR="000D3380" w:rsidRPr="000D3380" w:rsidRDefault="000D3380" w:rsidP="000D3380">
      <w:pPr>
        <w:numPr>
          <w:ilvl w:val="1"/>
          <w:numId w:val="15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≥20 mm</w:t>
      </w:r>
    </w:p>
    <w:p w14:paraId="4D36938B" w14:textId="77777777" w:rsidR="000D3380" w:rsidRPr="000D3380" w:rsidRDefault="000D3380" w:rsidP="000D3380">
      <w:pPr>
        <w:numPr>
          <w:ilvl w:val="2"/>
          <w:numId w:val="15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​</w:t>
      </w:r>
      <w:r w:rsidRPr="00C64630">
        <w:rPr>
          <w:rFonts w:ascii="Times" w:eastAsia="Times New Roman" w:hAnsi="Times" w:cs="Times New Roman"/>
          <w:i/>
          <w:iCs/>
          <w:color w:val="0E101A"/>
        </w:rPr>
        <w:t>one or more</w:t>
      </w:r>
      <w:r w:rsidRPr="000D3380">
        <w:rPr>
          <w:rFonts w:ascii="Times" w:eastAsia="Times New Roman" w:hAnsi="Times" w:cs="Times New Roman"/>
          <w:color w:val="0E101A"/>
        </w:rPr>
        <w:t xml:space="preserve"> of the following</w:t>
      </w:r>
    </w:p>
    <w:p w14:paraId="41C7182F" w14:textId="77777777" w:rsidR="000D3380" w:rsidRPr="000D3380" w:rsidRDefault="000D3380" w:rsidP="000D3380">
      <w:pPr>
        <w:numPr>
          <w:ilvl w:val="3"/>
          <w:numId w:val="15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threshold growth</w:t>
      </w:r>
    </w:p>
    <w:p w14:paraId="0DF79101" w14:textId="77777777" w:rsidR="000D3380" w:rsidRPr="000D3380" w:rsidRDefault="000D3380" w:rsidP="000D3380">
      <w:pPr>
        <w:numPr>
          <w:ilvl w:val="3"/>
          <w:numId w:val="15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enhancing capsule</w:t>
      </w:r>
    </w:p>
    <w:p w14:paraId="6D82833D" w14:textId="77777777" w:rsidR="000D3380" w:rsidRPr="000D3380" w:rsidRDefault="000D3380" w:rsidP="000D3380">
      <w:pPr>
        <w:numPr>
          <w:ilvl w:val="3"/>
          <w:numId w:val="15"/>
        </w:numPr>
        <w:rPr>
          <w:rFonts w:ascii="Times" w:eastAsia="Times New Roman" w:hAnsi="Times" w:cs="Times New Roman"/>
          <w:color w:val="0E101A"/>
        </w:rPr>
      </w:pPr>
      <w:r w:rsidRPr="000D3380">
        <w:rPr>
          <w:rFonts w:ascii="Times" w:eastAsia="Times New Roman" w:hAnsi="Times" w:cs="Times New Roman"/>
          <w:color w:val="0E101A"/>
        </w:rPr>
        <w:t>non-peripheral "washout"</w:t>
      </w:r>
    </w:p>
    <w:p w14:paraId="3241676D" w14:textId="77777777" w:rsidR="000D3380" w:rsidRPr="00C64630" w:rsidRDefault="000D3380" w:rsidP="004162E3">
      <w:pPr>
        <w:spacing w:line="273" w:lineRule="auto"/>
        <w:rPr>
          <w:rFonts w:ascii="Times" w:hAnsi="Times"/>
        </w:rPr>
      </w:pPr>
    </w:p>
    <w:p w14:paraId="40F81D2D" w14:textId="0A197015" w:rsidR="00DB34EB" w:rsidRPr="00C64630" w:rsidRDefault="00DB34EB" w:rsidP="00DB34EB">
      <w:pPr>
        <w:pStyle w:val="NormalWeb"/>
        <w:rPr>
          <w:rFonts w:ascii="Times" w:hAnsi="Times"/>
        </w:rPr>
      </w:pPr>
      <w:r w:rsidRPr="00C64630">
        <w:rPr>
          <w:rFonts w:ascii="Times" w:hAnsi="Times"/>
          <w:b/>
          <w:bCs/>
        </w:rPr>
        <w:t xml:space="preserve"> </w:t>
      </w:r>
    </w:p>
    <w:p w14:paraId="67315B4A" w14:textId="77777777" w:rsidR="004C287C" w:rsidRPr="00C64630" w:rsidRDefault="004C287C">
      <w:pPr>
        <w:rPr>
          <w:rFonts w:ascii="Times" w:hAnsi="Times"/>
        </w:rPr>
      </w:pPr>
    </w:p>
    <w:sectPr w:rsidR="004C287C" w:rsidRPr="00C64630" w:rsidSect="00A356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4A7CE6"/>
    <w:multiLevelType w:val="multilevel"/>
    <w:tmpl w:val="B4E42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C71557"/>
    <w:multiLevelType w:val="multilevel"/>
    <w:tmpl w:val="BD3C1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680648"/>
    <w:multiLevelType w:val="multilevel"/>
    <w:tmpl w:val="42843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480571"/>
    <w:multiLevelType w:val="multilevel"/>
    <w:tmpl w:val="034E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5E3E45"/>
    <w:multiLevelType w:val="multilevel"/>
    <w:tmpl w:val="19226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">
    <w:abstractNumId w:val="0"/>
  </w:num>
  <w:num w:numId="4">
    <w:abstractNumId w:val="2"/>
  </w:num>
  <w:num w:numId="5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8">
    <w:abstractNumId w:val="3"/>
  </w:num>
  <w:num w:numId="9">
    <w:abstractNumId w:val="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0">
    <w:abstractNumId w:val="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11">
    <w:abstractNumId w:val="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2">
    <w:abstractNumId w:val="4"/>
  </w:num>
  <w:num w:numId="13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4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15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4EB"/>
    <w:rsid w:val="000D3380"/>
    <w:rsid w:val="004162E3"/>
    <w:rsid w:val="004C287C"/>
    <w:rsid w:val="00A3568B"/>
    <w:rsid w:val="00C64630"/>
    <w:rsid w:val="00D1513C"/>
    <w:rsid w:val="00DB34EB"/>
    <w:rsid w:val="00DD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2D4E10"/>
  <w14:defaultImageDpi w14:val="32767"/>
  <w15:chartTrackingRefBased/>
  <w15:docId w15:val="{95C2F296-64AC-164E-8643-5DEB25B23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0D3380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34E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eading5Char">
    <w:name w:val="Heading 5 Char"/>
    <w:basedOn w:val="DefaultParagraphFont"/>
    <w:link w:val="Heading5"/>
    <w:uiPriority w:val="9"/>
    <w:rsid w:val="000D3380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0D3380"/>
    <w:rPr>
      <w:b/>
      <w:bCs/>
    </w:rPr>
  </w:style>
  <w:style w:type="character" w:styleId="Emphasis">
    <w:name w:val="Emphasis"/>
    <w:basedOn w:val="DefaultParagraphFont"/>
    <w:uiPriority w:val="20"/>
    <w:qFormat/>
    <w:rsid w:val="000D338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6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13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yousef yahia</dc:creator>
  <cp:keywords/>
  <dc:description/>
  <cp:lastModifiedBy>yousef yahia</cp:lastModifiedBy>
  <cp:revision>1</cp:revision>
  <dcterms:created xsi:type="dcterms:W3CDTF">2024-06-12T19:28:00Z</dcterms:created>
  <dcterms:modified xsi:type="dcterms:W3CDTF">2024-06-12T19:42:00Z</dcterms:modified>
</cp:coreProperties>
</file>