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6C60D0" w14:textId="77777777" w:rsidR="00DA5299" w:rsidRDefault="00000000">
      <w:pPr>
        <w:spacing w:line="48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sz w:val="24"/>
          <w:szCs w:val="28"/>
        </w:rPr>
        <w:t xml:space="preserve">FIGURE S1. </w:t>
      </w:r>
      <w:bookmarkStart w:id="0" w:name="_Hlk167974941"/>
      <w:bookmarkStart w:id="1" w:name="_Hlk168295168"/>
      <w:bookmarkStart w:id="2" w:name="_Hlk167268063"/>
      <w:r>
        <w:rPr>
          <w:rFonts w:ascii="Times New Roman" w:hAnsi="Times New Roman" w:hint="eastAsia"/>
          <w:sz w:val="24"/>
          <w:szCs w:val="28"/>
        </w:rPr>
        <w:t>Effects of hyperuricemia</w:t>
      </w:r>
      <w:r>
        <w:rPr>
          <w:rFonts w:ascii="Times New Roman" w:hAnsi="Times New Roman"/>
          <w:sz w:val="24"/>
          <w:szCs w:val="28"/>
        </w:rPr>
        <w:t xml:space="preserve">, </w:t>
      </w:r>
      <w:r>
        <w:rPr>
          <w:rFonts w:ascii="Times New Roman" w:hAnsi="Times New Roman" w:hint="eastAsia"/>
          <w:sz w:val="24"/>
          <w:szCs w:val="28"/>
        </w:rPr>
        <w:t>s</w:t>
      </w:r>
      <w:r>
        <w:rPr>
          <w:rFonts w:ascii="Times New Roman" w:hAnsi="Times New Roman"/>
          <w:sz w:val="24"/>
          <w:szCs w:val="28"/>
        </w:rPr>
        <w:t xml:space="preserve">erum UA and UA/Cr </w:t>
      </w:r>
      <w:r>
        <w:rPr>
          <w:rFonts w:ascii="Times New Roman" w:hAnsi="Times New Roman" w:hint="eastAsia"/>
          <w:sz w:val="24"/>
          <w:szCs w:val="28"/>
        </w:rPr>
        <w:t>r</w:t>
      </w:r>
      <w:r>
        <w:rPr>
          <w:rFonts w:ascii="Times New Roman" w:hAnsi="Times New Roman"/>
          <w:sz w:val="24"/>
          <w:szCs w:val="28"/>
        </w:rPr>
        <w:t>atio</w:t>
      </w:r>
      <w:r>
        <w:rPr>
          <w:rFonts w:ascii="Times New Roman" w:hAnsi="Times New Roman" w:hint="eastAsia"/>
          <w:sz w:val="24"/>
          <w:szCs w:val="28"/>
        </w:rPr>
        <w:t xml:space="preserve"> on r</w:t>
      </w:r>
      <w:r>
        <w:rPr>
          <w:rFonts w:ascii="Times New Roman" w:hAnsi="Times New Roman"/>
          <w:sz w:val="24"/>
          <w:szCs w:val="28"/>
        </w:rPr>
        <w:t xml:space="preserve">isk of </w:t>
      </w:r>
      <w:r>
        <w:rPr>
          <w:rFonts w:ascii="Times New Roman" w:hAnsi="Times New Roman" w:hint="eastAsia"/>
          <w:sz w:val="24"/>
          <w:szCs w:val="28"/>
        </w:rPr>
        <w:t>d</w:t>
      </w:r>
      <w:r>
        <w:rPr>
          <w:rFonts w:ascii="Times New Roman" w:hAnsi="Times New Roman"/>
          <w:sz w:val="24"/>
          <w:szCs w:val="28"/>
        </w:rPr>
        <w:t xml:space="preserve">eveloping </w:t>
      </w:r>
      <w:r>
        <w:rPr>
          <w:rFonts w:ascii="Times New Roman" w:hAnsi="Times New Roman" w:hint="eastAsia"/>
          <w:sz w:val="24"/>
          <w:szCs w:val="28"/>
        </w:rPr>
        <w:t xml:space="preserve">moderate/severe </w:t>
      </w:r>
      <w:bookmarkEnd w:id="0"/>
      <w:r>
        <w:rPr>
          <w:rFonts w:ascii="Times New Roman" w:hAnsi="Times New Roman" w:hint="eastAsia"/>
          <w:sz w:val="24"/>
          <w:szCs w:val="28"/>
        </w:rPr>
        <w:t>periodontitis</w:t>
      </w:r>
      <w:bookmarkEnd w:id="1"/>
      <w:r>
        <w:rPr>
          <w:rFonts w:ascii="Times New Roman" w:hAnsi="Times New Roman" w:hint="eastAsia"/>
          <w:sz w:val="24"/>
          <w:szCs w:val="28"/>
        </w:rPr>
        <w:t xml:space="preserve"> (vs.</w:t>
      </w:r>
      <w:r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 w:hint="eastAsia"/>
          <w:sz w:val="24"/>
          <w:szCs w:val="28"/>
        </w:rPr>
        <w:t xml:space="preserve">non/mild periodontitis) </w:t>
      </w:r>
    </w:p>
    <w:bookmarkEnd w:id="2"/>
    <w:p w14:paraId="45CAE806" w14:textId="77777777" w:rsidR="00DA5299" w:rsidRDefault="00000000">
      <w:pPr>
        <w:spacing w:line="48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pict w14:anchorId="5FE46D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2pt;height:157.2pt">
            <v:imagedata r:id="rId5" o:title="Figure(TS1)"/>
          </v:shape>
        </w:pict>
      </w:r>
    </w:p>
    <w:p w14:paraId="14340D91" w14:textId="77777777" w:rsidR="00DA5299" w:rsidRDefault="0000000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†</w:t>
      </w:r>
      <w:r>
        <w:rPr>
          <w:rFonts w:ascii="Times New Roman" w:hAnsi="Times New Roman"/>
        </w:rPr>
        <w:t>,</w:t>
      </w:r>
      <w:r>
        <w:rPr>
          <w:rFonts w:ascii="Times New Roman" w:hAnsi="Times New Roman" w:hint="eastAsia"/>
        </w:rPr>
        <w:t xml:space="preserve"> hyperuricemia </w:t>
      </w:r>
      <w:r>
        <w:rPr>
          <w:rFonts w:ascii="Times New Roman" w:hAnsi="Times New Roman"/>
        </w:rPr>
        <w:t xml:space="preserve">was defined as </w:t>
      </w:r>
      <w:r>
        <w:rPr>
          <w:rFonts w:ascii="Times New Roman" w:hAnsi="Times New Roman" w:hint="eastAsia"/>
        </w:rPr>
        <w:t xml:space="preserve">serum uric acid levels </w:t>
      </w:r>
      <w:r>
        <w:rPr>
          <w:rFonts w:ascii="Times New Roman" w:hAnsi="Times New Roman"/>
        </w:rPr>
        <w:t>&gt;</w:t>
      </w:r>
      <w:r>
        <w:rPr>
          <w:rFonts w:ascii="Times New Roman" w:hAnsi="Times New Roman" w:hint="eastAsia"/>
        </w:rPr>
        <w:t xml:space="preserve"> 7.0</w:t>
      </w:r>
      <w:r>
        <w:rPr>
          <w:rFonts w:ascii="Times New Roman" w:hAnsi="Times New Roman"/>
        </w:rPr>
        <w:t xml:space="preserve"> mg/dL </w:t>
      </w:r>
      <w:r>
        <w:rPr>
          <w:rFonts w:ascii="Times New Roman" w:hAnsi="Times New Roman" w:hint="eastAsia"/>
        </w:rPr>
        <w:t xml:space="preserve">regardless </w:t>
      </w:r>
      <w:r>
        <w:rPr>
          <w:rFonts w:ascii="Times New Roman" w:hAnsi="Times New Roman"/>
        </w:rPr>
        <w:t>of sex</w:t>
      </w:r>
      <w:r>
        <w:rPr>
          <w:rFonts w:ascii="Times New Roman" w:hAnsi="Times New Roman" w:hint="eastAsia"/>
        </w:rPr>
        <w:t>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vertAlign w:val="superscript"/>
        </w:rPr>
        <w:t>‡</w:t>
      </w:r>
      <w:r>
        <w:rPr>
          <w:rFonts w:ascii="Times New Roman" w:hAnsi="Times New Roman" w:hint="eastAsia"/>
        </w:rPr>
        <w:t xml:space="preserve">, hyperuricemia defined as  serum uric acid levels &gt; 6.0 mg/dL in females and serum uric acid levels &gt; 7.0 mg/dL in males; ***,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0.001; **,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0.01; 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0.05; </w:t>
      </w:r>
      <w:r>
        <w:rPr>
          <w:rFonts w:ascii="Times New Roman" w:hAnsi="Times New Roman" w:hint="eastAsia"/>
          <w:i/>
          <w:iCs/>
        </w:rPr>
        <w:t>CI</w:t>
      </w:r>
      <w:r>
        <w:rPr>
          <w:rFonts w:ascii="Times New Roman" w:hAnsi="Times New Roman" w:hint="eastAsia"/>
        </w:rPr>
        <w:t xml:space="preserve">, confidence interval; </w:t>
      </w:r>
      <w:r>
        <w:rPr>
          <w:rFonts w:ascii="Times New Roman" w:hAnsi="Times New Roman" w:hint="eastAsia"/>
          <w:i/>
          <w:iCs/>
        </w:rPr>
        <w:t>OR</w:t>
      </w:r>
      <w:r>
        <w:rPr>
          <w:rFonts w:ascii="Times New Roman" w:hAnsi="Times New Roman" w:hint="eastAsia"/>
        </w:rPr>
        <w:t xml:space="preserve">, odds ratio; UA, uric acid; UA/Cr ratio, uric acid to creatinine ratio; Model 1, adjusted for demographic factors, including sex, age, ethnicity, poverty to income ratio, educational attainment; Model 2, adjusted for smoking status, alcohol consumption, body mass index and the aforementioned demographic factors; Model 3, adjusted for cerebra-cardiovascular conditions (including congestive heart </w:t>
      </w:r>
      <w:r>
        <w:rPr>
          <w:rFonts w:ascii="Times New Roman" w:hAnsi="Times New Roman"/>
        </w:rPr>
        <w:t>failure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coronary heart disease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angina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heart attack</w:t>
      </w:r>
      <w:r>
        <w:rPr>
          <w:rFonts w:ascii="Times New Roman" w:hAnsi="Times New Roman" w:hint="eastAsia"/>
        </w:rPr>
        <w:t>, stroke and hypertension), hyperlipidemia, diabetes, cancer, kidney conditions, periodontal treatment and urate-lowering therapy on the basis of model 2.</w:t>
      </w:r>
    </w:p>
    <w:p w14:paraId="2BF92FEB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11B025B6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2DA37AB4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73A71F15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6D6064B5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26046C2A" w14:textId="01548C9E" w:rsidR="00DA5299" w:rsidRDefault="00000000">
      <w:pPr>
        <w:spacing w:line="48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sz w:val="24"/>
          <w:szCs w:val="28"/>
        </w:rPr>
        <w:lastRenderedPageBreak/>
        <w:t>FIGURE S2 Effects of hyperuricemia</w:t>
      </w:r>
      <w:r>
        <w:rPr>
          <w:rFonts w:ascii="Times New Roman" w:hAnsi="Times New Roman"/>
          <w:sz w:val="24"/>
          <w:szCs w:val="28"/>
        </w:rPr>
        <w:t xml:space="preserve">, </w:t>
      </w:r>
      <w:r>
        <w:rPr>
          <w:rFonts w:ascii="Times New Roman" w:hAnsi="Times New Roman" w:hint="eastAsia"/>
          <w:sz w:val="24"/>
          <w:szCs w:val="28"/>
        </w:rPr>
        <w:t>s</w:t>
      </w:r>
      <w:r>
        <w:rPr>
          <w:rFonts w:ascii="Times New Roman" w:hAnsi="Times New Roman"/>
          <w:sz w:val="24"/>
          <w:szCs w:val="28"/>
        </w:rPr>
        <w:t xml:space="preserve">erum UA and UA/Cr </w:t>
      </w:r>
      <w:r>
        <w:rPr>
          <w:rFonts w:ascii="Times New Roman" w:hAnsi="Times New Roman" w:hint="eastAsia"/>
          <w:sz w:val="24"/>
          <w:szCs w:val="28"/>
        </w:rPr>
        <w:t>r</w:t>
      </w:r>
      <w:r>
        <w:rPr>
          <w:rFonts w:ascii="Times New Roman" w:hAnsi="Times New Roman"/>
          <w:sz w:val="24"/>
          <w:szCs w:val="28"/>
        </w:rPr>
        <w:t>atio</w:t>
      </w:r>
      <w:r>
        <w:rPr>
          <w:rFonts w:ascii="Times New Roman" w:hAnsi="Times New Roman" w:hint="eastAsia"/>
          <w:sz w:val="24"/>
          <w:szCs w:val="28"/>
        </w:rPr>
        <w:t xml:space="preserve"> on r</w:t>
      </w:r>
      <w:r>
        <w:rPr>
          <w:rFonts w:ascii="Times New Roman" w:hAnsi="Times New Roman"/>
          <w:sz w:val="24"/>
          <w:szCs w:val="28"/>
        </w:rPr>
        <w:t xml:space="preserve">isk of </w:t>
      </w:r>
      <w:r>
        <w:rPr>
          <w:rFonts w:ascii="Times New Roman" w:hAnsi="Times New Roman" w:hint="eastAsia"/>
          <w:sz w:val="24"/>
          <w:szCs w:val="28"/>
        </w:rPr>
        <w:t>d</w:t>
      </w:r>
      <w:r>
        <w:rPr>
          <w:rFonts w:ascii="Times New Roman" w:hAnsi="Times New Roman"/>
          <w:sz w:val="24"/>
          <w:szCs w:val="28"/>
        </w:rPr>
        <w:t xml:space="preserve">eveloping </w:t>
      </w:r>
      <w:r>
        <w:rPr>
          <w:rFonts w:ascii="Times New Roman" w:hAnsi="Times New Roman" w:hint="eastAsia"/>
          <w:sz w:val="24"/>
          <w:szCs w:val="28"/>
        </w:rPr>
        <w:t>periodontitis (n</w:t>
      </w:r>
      <w:r>
        <w:rPr>
          <w:rFonts w:ascii="Times New Roman" w:hAnsi="Times New Roman"/>
          <w:sz w:val="24"/>
          <w:szCs w:val="28"/>
        </w:rPr>
        <w:t>on-</w:t>
      </w:r>
      <w:r>
        <w:rPr>
          <w:rFonts w:ascii="Times New Roman" w:hAnsi="Times New Roman" w:hint="eastAsia"/>
          <w:sz w:val="24"/>
          <w:szCs w:val="28"/>
        </w:rPr>
        <w:t>p</w:t>
      </w:r>
      <w:r>
        <w:rPr>
          <w:rFonts w:ascii="Times New Roman" w:hAnsi="Times New Roman"/>
          <w:sz w:val="24"/>
          <w:szCs w:val="28"/>
        </w:rPr>
        <w:t>eriodontitis</w:t>
      </w:r>
      <w:r>
        <w:rPr>
          <w:rFonts w:ascii="Times New Roman" w:hAnsi="Times New Roman" w:hint="eastAsia"/>
          <w:sz w:val="24"/>
          <w:szCs w:val="28"/>
        </w:rPr>
        <w:t xml:space="preserve"> vs. periodontitis) </w:t>
      </w:r>
    </w:p>
    <w:p w14:paraId="12B65D34" w14:textId="77777777" w:rsidR="00DA5299" w:rsidRDefault="00000000">
      <w:pPr>
        <w:spacing w:line="48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pict w14:anchorId="5957FBD2">
          <v:shape id="_x0000_i1026" type="#_x0000_t75" style="width:414pt;height:157.2pt">
            <v:imagedata r:id="rId6" o:title="Figure(TS2)"/>
          </v:shape>
        </w:pict>
      </w:r>
    </w:p>
    <w:p w14:paraId="7922547A" w14:textId="77777777" w:rsidR="00DA5299" w:rsidRDefault="0000000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†</w:t>
      </w:r>
      <w:r>
        <w:rPr>
          <w:rFonts w:ascii="Times New Roman" w:hAnsi="Times New Roman"/>
        </w:rPr>
        <w:t>,</w:t>
      </w:r>
      <w:r>
        <w:rPr>
          <w:rFonts w:ascii="Times New Roman" w:hAnsi="Times New Roman" w:hint="eastAsia"/>
        </w:rPr>
        <w:t xml:space="preserve"> hyperuricemia </w:t>
      </w:r>
      <w:r>
        <w:rPr>
          <w:rFonts w:ascii="Times New Roman" w:hAnsi="Times New Roman"/>
        </w:rPr>
        <w:t xml:space="preserve">was defined as </w:t>
      </w:r>
      <w:r>
        <w:rPr>
          <w:rFonts w:ascii="Times New Roman" w:hAnsi="Times New Roman" w:hint="eastAsia"/>
        </w:rPr>
        <w:t xml:space="preserve">serum uric acid levels </w:t>
      </w:r>
      <w:r>
        <w:rPr>
          <w:rFonts w:ascii="Times New Roman" w:hAnsi="Times New Roman"/>
        </w:rPr>
        <w:t>&gt;</w:t>
      </w:r>
      <w:r>
        <w:rPr>
          <w:rFonts w:ascii="Times New Roman" w:hAnsi="Times New Roman" w:hint="eastAsia"/>
        </w:rPr>
        <w:t xml:space="preserve"> 7.0</w:t>
      </w:r>
      <w:r>
        <w:rPr>
          <w:rFonts w:ascii="Times New Roman" w:hAnsi="Times New Roman"/>
        </w:rPr>
        <w:t xml:space="preserve"> mg/dL </w:t>
      </w:r>
      <w:r>
        <w:rPr>
          <w:rFonts w:ascii="Times New Roman" w:hAnsi="Times New Roman" w:hint="eastAsia"/>
        </w:rPr>
        <w:t xml:space="preserve">regardless </w:t>
      </w:r>
      <w:r>
        <w:rPr>
          <w:rFonts w:ascii="Times New Roman" w:hAnsi="Times New Roman"/>
        </w:rPr>
        <w:t>of sex</w:t>
      </w:r>
      <w:r>
        <w:rPr>
          <w:rFonts w:ascii="Times New Roman" w:hAnsi="Times New Roman" w:hint="eastAsia"/>
        </w:rPr>
        <w:t>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vertAlign w:val="superscript"/>
        </w:rPr>
        <w:t>‡</w:t>
      </w:r>
      <w:r>
        <w:rPr>
          <w:rFonts w:ascii="Times New Roman" w:hAnsi="Times New Roman" w:hint="eastAsia"/>
        </w:rPr>
        <w:t xml:space="preserve">, hyperuricemia defined as  serum uric acid levels &gt; 6.0 mg/dL in females and serum uric acid levels &gt; 7.0 mg/dL in males; ***,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0.001; **,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0.01; 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0.05; </w:t>
      </w:r>
      <w:r>
        <w:rPr>
          <w:rFonts w:ascii="Times New Roman" w:hAnsi="Times New Roman" w:hint="eastAsia"/>
          <w:i/>
          <w:iCs/>
        </w:rPr>
        <w:t>CI</w:t>
      </w:r>
      <w:r>
        <w:rPr>
          <w:rFonts w:ascii="Times New Roman" w:hAnsi="Times New Roman" w:hint="eastAsia"/>
        </w:rPr>
        <w:t xml:space="preserve">, confidence interval; </w:t>
      </w:r>
      <w:r>
        <w:rPr>
          <w:rFonts w:ascii="Times New Roman" w:hAnsi="Times New Roman" w:hint="eastAsia"/>
          <w:i/>
          <w:iCs/>
        </w:rPr>
        <w:t>OR</w:t>
      </w:r>
      <w:r>
        <w:rPr>
          <w:rFonts w:ascii="Times New Roman" w:hAnsi="Times New Roman" w:hint="eastAsia"/>
        </w:rPr>
        <w:t xml:space="preserve">, odds ratio; UA, uric acid; UA/Cr ratio, uric acid to creatinine ratio; Model 1, adjusted for demographic factors, including sex, age, ethnicity, poverty to income ratio, educational attainment; Model 2, adjusted for smoking status, alcohol consumption, body mass index and the aforementioned demographic factors; Model 3, adjusted for cerebra-cardiovascular conditions (including congestive heart </w:t>
      </w:r>
      <w:r>
        <w:rPr>
          <w:rFonts w:ascii="Times New Roman" w:hAnsi="Times New Roman"/>
        </w:rPr>
        <w:t>failure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coronary heart disease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angina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heart attack</w:t>
      </w:r>
      <w:r>
        <w:rPr>
          <w:rFonts w:ascii="Times New Roman" w:hAnsi="Times New Roman" w:hint="eastAsia"/>
        </w:rPr>
        <w:t>, stroke and hypertension), hyperlipidemia, diabetes, cancer, kidney conditions, periodontal treatment and urate-lowering therapy on the basis of model 2.</w:t>
      </w:r>
    </w:p>
    <w:p w14:paraId="350FBC30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37B35E9F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7741C3CA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310107E8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0F991BF0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7FD172B1" w14:textId="1967FCEC" w:rsidR="00DA5299" w:rsidRDefault="00000000">
      <w:pPr>
        <w:spacing w:line="48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sz w:val="24"/>
          <w:szCs w:val="28"/>
        </w:rPr>
        <w:lastRenderedPageBreak/>
        <w:t xml:space="preserve">FIGURE S3 </w:t>
      </w:r>
      <w:bookmarkStart w:id="3" w:name="_Hlk167268133"/>
      <w:r>
        <w:rPr>
          <w:rFonts w:ascii="Times New Roman" w:hAnsi="Times New Roman" w:hint="eastAsia"/>
          <w:sz w:val="24"/>
          <w:szCs w:val="28"/>
        </w:rPr>
        <w:t>Effects of hyperuricemia</w:t>
      </w:r>
      <w:r>
        <w:rPr>
          <w:rFonts w:ascii="Times New Roman" w:hAnsi="Times New Roman"/>
          <w:sz w:val="24"/>
          <w:szCs w:val="28"/>
        </w:rPr>
        <w:t xml:space="preserve">, </w:t>
      </w:r>
      <w:r>
        <w:rPr>
          <w:rFonts w:ascii="Times New Roman" w:hAnsi="Times New Roman" w:hint="eastAsia"/>
          <w:sz w:val="24"/>
          <w:szCs w:val="28"/>
        </w:rPr>
        <w:t>s</w:t>
      </w:r>
      <w:r>
        <w:rPr>
          <w:rFonts w:ascii="Times New Roman" w:hAnsi="Times New Roman"/>
          <w:sz w:val="24"/>
          <w:szCs w:val="28"/>
        </w:rPr>
        <w:t xml:space="preserve">erum UA and UA/Cr </w:t>
      </w:r>
      <w:r>
        <w:rPr>
          <w:rFonts w:ascii="Times New Roman" w:hAnsi="Times New Roman" w:hint="eastAsia"/>
          <w:sz w:val="24"/>
          <w:szCs w:val="28"/>
        </w:rPr>
        <w:t>r</w:t>
      </w:r>
      <w:r>
        <w:rPr>
          <w:rFonts w:ascii="Times New Roman" w:hAnsi="Times New Roman"/>
          <w:sz w:val="24"/>
          <w:szCs w:val="28"/>
        </w:rPr>
        <w:t>atio</w:t>
      </w:r>
      <w:r>
        <w:rPr>
          <w:rFonts w:ascii="Times New Roman" w:hAnsi="Times New Roman" w:hint="eastAsia"/>
          <w:sz w:val="24"/>
          <w:szCs w:val="28"/>
        </w:rPr>
        <w:t xml:space="preserve"> on r</w:t>
      </w:r>
      <w:r>
        <w:rPr>
          <w:rFonts w:ascii="Times New Roman" w:hAnsi="Times New Roman"/>
          <w:sz w:val="24"/>
          <w:szCs w:val="28"/>
        </w:rPr>
        <w:t xml:space="preserve">isk of </w:t>
      </w:r>
      <w:r>
        <w:rPr>
          <w:rFonts w:ascii="Times New Roman" w:hAnsi="Times New Roman" w:hint="eastAsia"/>
          <w:sz w:val="24"/>
          <w:szCs w:val="28"/>
        </w:rPr>
        <w:t>d</w:t>
      </w:r>
      <w:r>
        <w:rPr>
          <w:rFonts w:ascii="Times New Roman" w:hAnsi="Times New Roman"/>
          <w:sz w:val="24"/>
          <w:szCs w:val="28"/>
        </w:rPr>
        <w:t>eveloping</w:t>
      </w:r>
      <w:r>
        <w:rPr>
          <w:rFonts w:ascii="Times New Roman" w:hAnsi="Times New Roman" w:hint="eastAsia"/>
          <w:sz w:val="24"/>
          <w:szCs w:val="28"/>
        </w:rPr>
        <w:t xml:space="preserve"> periodontitis</w:t>
      </w:r>
      <w:r>
        <w:rPr>
          <w:rFonts w:ascii="Times New Roman" w:hAnsi="Times New Roman"/>
          <w:sz w:val="24"/>
          <w:szCs w:val="28"/>
        </w:rPr>
        <w:t xml:space="preserve"> (</w:t>
      </w:r>
      <w:r w:rsidR="002E5F3E">
        <w:rPr>
          <w:rFonts w:ascii="Times New Roman" w:hAnsi="Times New Roman" w:hint="eastAsia"/>
          <w:sz w:val="24"/>
          <w:szCs w:val="28"/>
        </w:rPr>
        <w:t>non-p</w:t>
      </w:r>
      <w:r w:rsidR="002E5F3E">
        <w:rPr>
          <w:rFonts w:ascii="Times New Roman" w:hAnsi="Times New Roman"/>
          <w:sz w:val="24"/>
          <w:szCs w:val="28"/>
        </w:rPr>
        <w:t>eriodontitis</w:t>
      </w:r>
      <w:r w:rsidR="002E5F3E">
        <w:rPr>
          <w:rFonts w:ascii="Times New Roman" w:hAnsi="Times New Roman" w:hint="eastAsia"/>
          <w:sz w:val="24"/>
          <w:szCs w:val="28"/>
        </w:rPr>
        <w:t xml:space="preserve"> </w:t>
      </w:r>
      <w:r>
        <w:rPr>
          <w:rFonts w:ascii="Times New Roman" w:hAnsi="Times New Roman" w:hint="eastAsia"/>
          <w:sz w:val="24"/>
          <w:szCs w:val="28"/>
        </w:rPr>
        <w:t>vs.</w:t>
      </w:r>
      <w:r w:rsidR="002E5F3E">
        <w:rPr>
          <w:rFonts w:ascii="Times New Roman" w:hAnsi="Times New Roman" w:hint="eastAsia"/>
          <w:sz w:val="24"/>
          <w:szCs w:val="28"/>
        </w:rPr>
        <w:t xml:space="preserve"> mild periodontitis</w:t>
      </w:r>
      <w:r>
        <w:rPr>
          <w:rFonts w:ascii="Times New Roman" w:hAnsi="Times New Roman"/>
          <w:sz w:val="24"/>
          <w:szCs w:val="28"/>
        </w:rPr>
        <w:t>)</w:t>
      </w:r>
    </w:p>
    <w:bookmarkEnd w:id="3"/>
    <w:p w14:paraId="2129EC76" w14:textId="77777777" w:rsidR="00DA5299" w:rsidRDefault="00000000">
      <w:pPr>
        <w:spacing w:line="48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pict w14:anchorId="1F649224">
          <v:shape id="_x0000_i1027" type="#_x0000_t75" style="width:414pt;height:157.2pt">
            <v:imagedata r:id="rId7" o:title="Figure(TS3)"/>
          </v:shape>
        </w:pict>
      </w:r>
    </w:p>
    <w:p w14:paraId="60611D98" w14:textId="77777777" w:rsidR="00DA5299" w:rsidRDefault="00000000">
      <w:pPr>
        <w:spacing w:line="480" w:lineRule="auto"/>
        <w:rPr>
          <w:rFonts w:ascii="Times New Roman" w:hAnsi="Times New Roman"/>
        </w:rPr>
      </w:pPr>
      <w:bookmarkStart w:id="4" w:name="_Hlk166161321"/>
      <w:r>
        <w:rPr>
          <w:rFonts w:ascii="Times New Roman" w:hAnsi="Times New Roman"/>
          <w:vertAlign w:val="superscript"/>
        </w:rPr>
        <w:t>†</w:t>
      </w:r>
      <w:r>
        <w:rPr>
          <w:rFonts w:ascii="Times New Roman" w:hAnsi="Times New Roman"/>
        </w:rPr>
        <w:t>,</w:t>
      </w:r>
      <w:r>
        <w:rPr>
          <w:rFonts w:ascii="Times New Roman" w:hAnsi="Times New Roman" w:hint="eastAsia"/>
        </w:rPr>
        <w:t xml:space="preserve"> hyperuricemia </w:t>
      </w:r>
      <w:r>
        <w:rPr>
          <w:rFonts w:ascii="Times New Roman" w:hAnsi="Times New Roman"/>
        </w:rPr>
        <w:t xml:space="preserve">was defined as </w:t>
      </w:r>
      <w:r>
        <w:rPr>
          <w:rFonts w:ascii="Times New Roman" w:hAnsi="Times New Roman" w:hint="eastAsia"/>
        </w:rPr>
        <w:t xml:space="preserve">serum uric acid levels </w:t>
      </w:r>
      <w:r>
        <w:rPr>
          <w:rFonts w:ascii="Times New Roman" w:hAnsi="Times New Roman"/>
        </w:rPr>
        <w:t>&gt;</w:t>
      </w:r>
      <w:r>
        <w:rPr>
          <w:rFonts w:ascii="Times New Roman" w:hAnsi="Times New Roman" w:hint="eastAsia"/>
        </w:rPr>
        <w:t xml:space="preserve"> 7.0</w:t>
      </w:r>
      <w:r>
        <w:rPr>
          <w:rFonts w:ascii="Times New Roman" w:hAnsi="Times New Roman"/>
        </w:rPr>
        <w:t xml:space="preserve"> mg/dL </w:t>
      </w:r>
      <w:r>
        <w:rPr>
          <w:rFonts w:ascii="Times New Roman" w:hAnsi="Times New Roman" w:hint="eastAsia"/>
        </w:rPr>
        <w:t xml:space="preserve">regardless </w:t>
      </w:r>
      <w:r>
        <w:rPr>
          <w:rFonts w:ascii="Times New Roman" w:hAnsi="Times New Roman"/>
        </w:rPr>
        <w:t>of sex</w:t>
      </w:r>
      <w:r>
        <w:rPr>
          <w:rFonts w:ascii="Times New Roman" w:hAnsi="Times New Roman" w:hint="eastAsia"/>
        </w:rPr>
        <w:t>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vertAlign w:val="superscript"/>
        </w:rPr>
        <w:t>‡</w:t>
      </w:r>
      <w:r>
        <w:rPr>
          <w:rFonts w:ascii="Times New Roman" w:hAnsi="Times New Roman" w:hint="eastAsia"/>
        </w:rPr>
        <w:t xml:space="preserve">, hyperuricemia defined as  serum uric acid levels &gt; 6.0 mg/dL in females and serum uric acid levels &gt; 7.0 mg/dL in males; ***,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0.001; **,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0.01; 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0.05; </w:t>
      </w:r>
      <w:r>
        <w:rPr>
          <w:rFonts w:ascii="Times New Roman" w:hAnsi="Times New Roman" w:hint="eastAsia"/>
          <w:i/>
          <w:iCs/>
        </w:rPr>
        <w:t>CI</w:t>
      </w:r>
      <w:r>
        <w:rPr>
          <w:rFonts w:ascii="Times New Roman" w:hAnsi="Times New Roman" w:hint="eastAsia"/>
        </w:rPr>
        <w:t xml:space="preserve">, confidence interval; </w:t>
      </w:r>
      <w:r>
        <w:rPr>
          <w:rFonts w:ascii="Times New Roman" w:hAnsi="Times New Roman" w:hint="eastAsia"/>
          <w:i/>
          <w:iCs/>
        </w:rPr>
        <w:t>OR</w:t>
      </w:r>
      <w:r>
        <w:rPr>
          <w:rFonts w:ascii="Times New Roman" w:hAnsi="Times New Roman" w:hint="eastAsia"/>
        </w:rPr>
        <w:t xml:space="preserve">, odds ratio; UA, uric acid; UA/Cr ratio, uric acid to creatinine ratio; Model 1, adjusted for demographic factors, including sex, age, ethnicity, poverty to income ratio, educational attainment; Model 2, adjusted for smoking status, alcohol consumption, body mass index and the aforementioned demographic factors; Model 3, adjusted for cerebra-cardiovascular conditions (including congestive heart </w:t>
      </w:r>
      <w:r>
        <w:rPr>
          <w:rFonts w:ascii="Times New Roman" w:hAnsi="Times New Roman"/>
        </w:rPr>
        <w:t>failure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coronary heart disease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angina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heart attack</w:t>
      </w:r>
      <w:r>
        <w:rPr>
          <w:rFonts w:ascii="Times New Roman" w:hAnsi="Times New Roman" w:hint="eastAsia"/>
        </w:rPr>
        <w:t>, stroke and hypertension), hyperlipidemia, diabetes, cancer, kidney conditions, periodontal treatment and urate-lowering therapy on the basis of model 2.</w:t>
      </w:r>
    </w:p>
    <w:p w14:paraId="08B928F0" w14:textId="77777777" w:rsidR="00DA5299" w:rsidRDefault="0000000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>2.</w:t>
      </w:r>
    </w:p>
    <w:p w14:paraId="42643510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bookmarkEnd w:id="4"/>
    <w:p w14:paraId="1954714B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578B12DA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0D5F0F6A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12DEFD4C" w14:textId="0F3D3E65" w:rsidR="00DA5299" w:rsidRDefault="00000000">
      <w:pPr>
        <w:spacing w:line="48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sz w:val="24"/>
          <w:szCs w:val="28"/>
        </w:rPr>
        <w:lastRenderedPageBreak/>
        <w:t>FIGURE S4 Effects of hyperuricemia</w:t>
      </w:r>
      <w:r>
        <w:rPr>
          <w:rFonts w:ascii="Times New Roman" w:hAnsi="Times New Roman"/>
          <w:sz w:val="24"/>
          <w:szCs w:val="28"/>
        </w:rPr>
        <w:t xml:space="preserve">, </w:t>
      </w:r>
      <w:r>
        <w:rPr>
          <w:rFonts w:ascii="Times New Roman" w:hAnsi="Times New Roman" w:hint="eastAsia"/>
          <w:sz w:val="24"/>
          <w:szCs w:val="28"/>
        </w:rPr>
        <w:t>s</w:t>
      </w:r>
      <w:r>
        <w:rPr>
          <w:rFonts w:ascii="Times New Roman" w:hAnsi="Times New Roman"/>
          <w:sz w:val="24"/>
          <w:szCs w:val="28"/>
        </w:rPr>
        <w:t xml:space="preserve">erum UA and UA/Cr </w:t>
      </w:r>
      <w:r>
        <w:rPr>
          <w:rFonts w:ascii="Times New Roman" w:hAnsi="Times New Roman" w:hint="eastAsia"/>
          <w:sz w:val="24"/>
          <w:szCs w:val="28"/>
        </w:rPr>
        <w:t>r</w:t>
      </w:r>
      <w:r>
        <w:rPr>
          <w:rFonts w:ascii="Times New Roman" w:hAnsi="Times New Roman"/>
          <w:sz w:val="24"/>
          <w:szCs w:val="28"/>
        </w:rPr>
        <w:t>atio</w:t>
      </w:r>
      <w:r>
        <w:rPr>
          <w:rFonts w:ascii="Times New Roman" w:hAnsi="Times New Roman" w:hint="eastAsia"/>
          <w:sz w:val="24"/>
          <w:szCs w:val="28"/>
        </w:rPr>
        <w:t xml:space="preserve"> on r</w:t>
      </w:r>
      <w:r>
        <w:rPr>
          <w:rFonts w:ascii="Times New Roman" w:hAnsi="Times New Roman"/>
          <w:sz w:val="24"/>
          <w:szCs w:val="28"/>
        </w:rPr>
        <w:t xml:space="preserve">isk of </w:t>
      </w:r>
      <w:r>
        <w:rPr>
          <w:rFonts w:ascii="Times New Roman" w:hAnsi="Times New Roman" w:hint="eastAsia"/>
          <w:sz w:val="24"/>
          <w:szCs w:val="28"/>
        </w:rPr>
        <w:t>d</w:t>
      </w:r>
      <w:r>
        <w:rPr>
          <w:rFonts w:ascii="Times New Roman" w:hAnsi="Times New Roman"/>
          <w:sz w:val="24"/>
          <w:szCs w:val="28"/>
        </w:rPr>
        <w:t xml:space="preserve">eveloping </w:t>
      </w:r>
      <w:r>
        <w:rPr>
          <w:rFonts w:ascii="Times New Roman" w:hAnsi="Times New Roman" w:hint="eastAsia"/>
          <w:sz w:val="24"/>
          <w:szCs w:val="28"/>
        </w:rPr>
        <w:t>periodontitis</w:t>
      </w:r>
      <w:r>
        <w:rPr>
          <w:rFonts w:ascii="Times New Roman" w:hAnsi="Times New Roman"/>
          <w:sz w:val="24"/>
          <w:szCs w:val="28"/>
        </w:rPr>
        <w:t xml:space="preserve"> (</w:t>
      </w:r>
      <w:r>
        <w:rPr>
          <w:rFonts w:ascii="Times New Roman" w:hAnsi="Times New Roman" w:hint="eastAsia"/>
          <w:sz w:val="24"/>
          <w:szCs w:val="28"/>
        </w:rPr>
        <w:t>n</w:t>
      </w:r>
      <w:r>
        <w:rPr>
          <w:rFonts w:ascii="Times New Roman" w:hAnsi="Times New Roman"/>
          <w:sz w:val="24"/>
          <w:szCs w:val="28"/>
        </w:rPr>
        <w:t>on-</w:t>
      </w:r>
      <w:r>
        <w:rPr>
          <w:rFonts w:ascii="Times New Roman" w:hAnsi="Times New Roman" w:hint="eastAsia"/>
          <w:sz w:val="24"/>
          <w:szCs w:val="28"/>
        </w:rPr>
        <w:t>p</w:t>
      </w:r>
      <w:r>
        <w:rPr>
          <w:rFonts w:ascii="Times New Roman" w:hAnsi="Times New Roman"/>
          <w:sz w:val="24"/>
          <w:szCs w:val="28"/>
        </w:rPr>
        <w:t xml:space="preserve">eriodontitis vs. </w:t>
      </w:r>
      <w:r>
        <w:rPr>
          <w:rFonts w:ascii="Times New Roman" w:hAnsi="Times New Roman" w:hint="eastAsia"/>
          <w:sz w:val="24"/>
          <w:szCs w:val="28"/>
        </w:rPr>
        <w:t>severe</w:t>
      </w:r>
      <w:r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 w:hint="eastAsia"/>
          <w:sz w:val="24"/>
          <w:szCs w:val="28"/>
        </w:rPr>
        <w:t>p</w:t>
      </w:r>
      <w:r>
        <w:rPr>
          <w:rFonts w:ascii="Times New Roman" w:hAnsi="Times New Roman"/>
          <w:sz w:val="24"/>
          <w:szCs w:val="28"/>
        </w:rPr>
        <w:t>eriodontitis)</w:t>
      </w:r>
    </w:p>
    <w:p w14:paraId="0FA81166" w14:textId="77777777" w:rsidR="00DA5299" w:rsidRDefault="00000000">
      <w:pPr>
        <w:spacing w:line="48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pict w14:anchorId="7047234D">
          <v:shape id="_x0000_i1028" type="#_x0000_t75" style="width:414pt;height:157.2pt">
            <v:imagedata r:id="rId8" o:title="Figure(TS4)"/>
          </v:shape>
        </w:pict>
      </w:r>
    </w:p>
    <w:p w14:paraId="3DB01FCA" w14:textId="77777777" w:rsidR="00DA5299" w:rsidRDefault="00000000">
      <w:pPr>
        <w:spacing w:line="480" w:lineRule="auto"/>
        <w:rPr>
          <w:rFonts w:ascii="Times New Roman" w:hAnsi="Times New Roman"/>
        </w:rPr>
      </w:pPr>
      <w:bookmarkStart w:id="5" w:name="_Hlk168332840"/>
      <w:bookmarkStart w:id="6" w:name="_Hlk168332586"/>
      <w:r>
        <w:rPr>
          <w:rFonts w:ascii="Times New Roman" w:hAnsi="Times New Roman"/>
          <w:vertAlign w:val="superscript"/>
        </w:rPr>
        <w:t>†</w:t>
      </w:r>
      <w:r>
        <w:rPr>
          <w:rFonts w:ascii="Times New Roman" w:hAnsi="Times New Roman"/>
        </w:rPr>
        <w:t>,</w:t>
      </w:r>
      <w:r>
        <w:rPr>
          <w:rFonts w:ascii="Times New Roman" w:hAnsi="Times New Roman" w:hint="eastAsia"/>
        </w:rPr>
        <w:t xml:space="preserve"> hyperuricemia </w:t>
      </w:r>
      <w:r>
        <w:rPr>
          <w:rFonts w:ascii="Times New Roman" w:hAnsi="Times New Roman"/>
        </w:rPr>
        <w:t xml:space="preserve">was defined as </w:t>
      </w:r>
      <w:r>
        <w:rPr>
          <w:rFonts w:ascii="Times New Roman" w:hAnsi="Times New Roman" w:hint="eastAsia"/>
        </w:rPr>
        <w:t xml:space="preserve">serum uric acid levels </w:t>
      </w:r>
      <w:r>
        <w:rPr>
          <w:rFonts w:ascii="Times New Roman" w:hAnsi="Times New Roman"/>
        </w:rPr>
        <w:t>&gt;</w:t>
      </w:r>
      <w:r>
        <w:rPr>
          <w:rFonts w:ascii="Times New Roman" w:hAnsi="Times New Roman" w:hint="eastAsia"/>
        </w:rPr>
        <w:t xml:space="preserve"> 7.0</w:t>
      </w:r>
      <w:r>
        <w:rPr>
          <w:rFonts w:ascii="Times New Roman" w:hAnsi="Times New Roman"/>
        </w:rPr>
        <w:t xml:space="preserve"> mg/dL </w:t>
      </w:r>
      <w:r>
        <w:rPr>
          <w:rFonts w:ascii="Times New Roman" w:hAnsi="Times New Roman" w:hint="eastAsia"/>
        </w:rPr>
        <w:t xml:space="preserve">regardless </w:t>
      </w:r>
      <w:r>
        <w:rPr>
          <w:rFonts w:ascii="Times New Roman" w:hAnsi="Times New Roman"/>
        </w:rPr>
        <w:t>of sex</w:t>
      </w:r>
      <w:r>
        <w:rPr>
          <w:rFonts w:ascii="Times New Roman" w:hAnsi="Times New Roman" w:hint="eastAsia"/>
        </w:rPr>
        <w:t>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vertAlign w:val="superscript"/>
        </w:rPr>
        <w:t>‡</w:t>
      </w:r>
      <w:r>
        <w:rPr>
          <w:rFonts w:ascii="Times New Roman" w:hAnsi="Times New Roman" w:hint="eastAsia"/>
        </w:rPr>
        <w:t xml:space="preserve">, hyperuricemia defined as  serum uric acid levels &gt; 6.0 mg/dL in females and serum uric acid levels &gt; 7.0 mg/dL in males; ***,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0.001; **,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0.01; 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0.05; </w:t>
      </w:r>
      <w:r>
        <w:rPr>
          <w:rFonts w:ascii="Times New Roman" w:hAnsi="Times New Roman" w:hint="eastAsia"/>
          <w:i/>
          <w:iCs/>
        </w:rPr>
        <w:t>CI</w:t>
      </w:r>
      <w:r>
        <w:rPr>
          <w:rFonts w:ascii="Times New Roman" w:hAnsi="Times New Roman" w:hint="eastAsia"/>
        </w:rPr>
        <w:t xml:space="preserve">, confidence interval; </w:t>
      </w:r>
      <w:r>
        <w:rPr>
          <w:rFonts w:ascii="Times New Roman" w:hAnsi="Times New Roman" w:hint="eastAsia"/>
          <w:i/>
          <w:iCs/>
        </w:rPr>
        <w:t>OR</w:t>
      </w:r>
      <w:r>
        <w:rPr>
          <w:rFonts w:ascii="Times New Roman" w:hAnsi="Times New Roman" w:hint="eastAsia"/>
        </w:rPr>
        <w:t xml:space="preserve">, odds ratio; UA, uric acid; UA/Cr ratio, uric acid to creatinine ratio; Model 1, adjusted for demographic factors, including sex, age, ethnicity, poverty to income ratio, educational attainment; Model 2, adjusted for smoking status, alcohol consumption, body mass index and the aforementioned demographic factors; Model 3, adjusted for cerebra-cardiovascular conditions (including congestive heart </w:t>
      </w:r>
      <w:r>
        <w:rPr>
          <w:rFonts w:ascii="Times New Roman" w:hAnsi="Times New Roman"/>
        </w:rPr>
        <w:t>failure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coronary heart disease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angina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heart attack</w:t>
      </w:r>
      <w:r>
        <w:rPr>
          <w:rFonts w:ascii="Times New Roman" w:hAnsi="Times New Roman" w:hint="eastAsia"/>
        </w:rPr>
        <w:t xml:space="preserve">, stroke and hypertension), hyperlipidemia, diabetes, cancer, kidney conditions, periodontal treatment and urate-lowering therapy on the basis of model </w:t>
      </w:r>
      <w:bookmarkEnd w:id="5"/>
      <w:r>
        <w:rPr>
          <w:rFonts w:ascii="Times New Roman" w:hAnsi="Times New Roman" w:hint="eastAsia"/>
        </w:rPr>
        <w:t>2.</w:t>
      </w:r>
    </w:p>
    <w:bookmarkEnd w:id="6"/>
    <w:p w14:paraId="28C068E4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7884CADE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196790E6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352E90E9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567A0DD0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8"/>
        </w:rPr>
      </w:pPr>
    </w:p>
    <w:p w14:paraId="2370D63B" w14:textId="77777777" w:rsidR="00DA5299" w:rsidRDefault="00000000">
      <w:pPr>
        <w:spacing w:line="48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sz w:val="24"/>
          <w:szCs w:val="28"/>
        </w:rPr>
        <w:lastRenderedPageBreak/>
        <w:t xml:space="preserve">FIGURE S5 </w:t>
      </w:r>
      <w:bookmarkStart w:id="7" w:name="_Hlk167991775"/>
      <w:r>
        <w:rPr>
          <w:rFonts w:ascii="Times New Roman" w:hAnsi="Times New Roman" w:hint="eastAsia"/>
          <w:sz w:val="24"/>
          <w:szCs w:val="28"/>
        </w:rPr>
        <w:t xml:space="preserve">Subgroup analyses of the effects of hyperuricemia on </w:t>
      </w:r>
      <w:bookmarkEnd w:id="7"/>
      <w:r>
        <w:rPr>
          <w:rFonts w:ascii="Times New Roman" w:hAnsi="Times New Roman" w:hint="eastAsia"/>
          <w:sz w:val="24"/>
          <w:szCs w:val="28"/>
        </w:rPr>
        <w:t>periodontitis</w:t>
      </w:r>
    </w:p>
    <w:p w14:paraId="3AD75DF7" w14:textId="77777777" w:rsidR="00DA5299" w:rsidRDefault="00000000">
      <w:pPr>
        <w:spacing w:line="48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pict w14:anchorId="742231F6">
          <v:shape id="_x0000_i1029" type="#_x0000_t75" style="width:398.4pt;height:157.2pt">
            <v:imagedata r:id="rId9" o:title="interaction analysis"/>
          </v:shape>
        </w:pict>
      </w:r>
    </w:p>
    <w:p w14:paraId="733C9FF9" w14:textId="77777777" w:rsidR="00DA5299" w:rsidRDefault="00000000">
      <w:pPr>
        <w:spacing w:line="480" w:lineRule="auto"/>
        <w:rPr>
          <w:rFonts w:ascii="Times New Roman" w:hAnsi="Times New Roman"/>
        </w:rPr>
      </w:pPr>
      <w:bookmarkStart w:id="8" w:name="_Hlk167991791"/>
      <w:r>
        <w:rPr>
          <w:rFonts w:ascii="Times New Roman" w:hAnsi="Times New Roman" w:hint="eastAsia"/>
          <w:szCs w:val="21"/>
        </w:rPr>
        <w:t>This forest plot displayed the effects of hyperuricemia (defined as serum uric acid levels &gt; 7.0 ml/dL regardless of sex) on periodontitis (no/mild vs. moderate/severe) in diverse subgroups;</w:t>
      </w:r>
      <w:r>
        <w:rPr>
          <w:rFonts w:ascii="Times New Roman" w:hAnsi="Times New Roman" w:hint="eastAsia"/>
        </w:rPr>
        <w:t xml:space="preserve"> The </w:t>
      </w:r>
      <w:r>
        <w:rPr>
          <w:rFonts w:ascii="Times New Roman" w:hAnsi="Times New Roman"/>
        </w:rPr>
        <w:t>logistic</w:t>
      </w:r>
      <w:r>
        <w:rPr>
          <w:rFonts w:ascii="Times New Roman" w:hAnsi="Times New Roman" w:hint="eastAsia"/>
        </w:rPr>
        <w:t xml:space="preserve"> regression models adjusted for sex, age, ethnicity, poverty to income ratio, educational attainment smoking status, alcohol consumption, body mass index cerebra-cardiovascular conditions (including congestive heart </w:t>
      </w:r>
      <w:r>
        <w:rPr>
          <w:rFonts w:ascii="Times New Roman" w:hAnsi="Times New Roman"/>
        </w:rPr>
        <w:t>failure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coronary heart disease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angina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heart attack</w:t>
      </w:r>
      <w:r>
        <w:rPr>
          <w:rFonts w:ascii="Times New Roman" w:hAnsi="Times New Roman" w:hint="eastAsia"/>
        </w:rPr>
        <w:t>, stroke and hypertension), hyperlipidemia, diabetes, cancer, kidney conditions, periodontal treatment and urate-lowering therapy;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</w:rPr>
        <w:t xml:space="preserve">***,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0.001; **,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0.01; 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0.05; </w:t>
      </w:r>
      <w:r>
        <w:rPr>
          <w:rFonts w:ascii="Times New Roman" w:hAnsi="Times New Roman" w:hint="eastAsia"/>
          <w:i/>
          <w:iCs/>
        </w:rPr>
        <w:t>CI</w:t>
      </w:r>
      <w:r>
        <w:rPr>
          <w:rFonts w:ascii="Times New Roman" w:hAnsi="Times New Roman" w:hint="eastAsia"/>
        </w:rPr>
        <w:t xml:space="preserve">, confidence interval; </w:t>
      </w:r>
      <w:r>
        <w:rPr>
          <w:rFonts w:ascii="Times New Roman" w:hAnsi="Times New Roman" w:hint="eastAsia"/>
          <w:i/>
          <w:iCs/>
        </w:rPr>
        <w:t>OR</w:t>
      </w:r>
      <w:r>
        <w:rPr>
          <w:rFonts w:ascii="Times New Roman" w:hAnsi="Times New Roman" w:hint="eastAsia"/>
        </w:rPr>
        <w:t xml:space="preserve">, odds ratio; </w:t>
      </w:r>
      <w:bookmarkEnd w:id="8"/>
    </w:p>
    <w:p w14:paraId="77D20C17" w14:textId="77777777" w:rsidR="00DA5299" w:rsidRDefault="00DA5299">
      <w:pPr>
        <w:spacing w:line="480" w:lineRule="auto"/>
        <w:rPr>
          <w:rFonts w:ascii="Times New Roman" w:hAnsi="Times New Roman"/>
          <w:szCs w:val="21"/>
        </w:rPr>
      </w:pPr>
    </w:p>
    <w:p w14:paraId="5026B947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89EBA6C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C62B512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1C96CD8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57619DAB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56EA850F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DFF656A" w14:textId="77777777" w:rsidR="00DA5299" w:rsidRDefault="00DA529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49E292F6" w14:textId="77777777" w:rsidR="00DA5299" w:rsidRDefault="00000000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lastRenderedPageBreak/>
        <w:t>TABLE S1 Subgroup analyses of the effects of hyperuricemia on periodontitis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83"/>
        <w:gridCol w:w="1560"/>
        <w:gridCol w:w="993"/>
        <w:gridCol w:w="2126"/>
        <w:gridCol w:w="1276"/>
        <w:gridCol w:w="1184"/>
      </w:tblGrid>
      <w:tr w:rsidR="00DA5299" w14:paraId="62937442" w14:textId="77777777"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42CC029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Characteristic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3D4A1BD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Subgroup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F4D9604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No. of subjects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E8106CC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iCs/>
                <w:szCs w:val="21"/>
              </w:rPr>
              <w:t>OR</w:t>
            </w:r>
            <w:r>
              <w:rPr>
                <w:rFonts w:ascii="Times New Roman" w:hAnsi="Times New Roman"/>
                <w:szCs w:val="21"/>
              </w:rPr>
              <w:t xml:space="preserve"> (95% CI)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6EE96CC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iCs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 xml:space="preserve"> value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A1C1662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iCs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 xml:space="preserve"> for interaction</w:t>
            </w:r>
          </w:p>
        </w:tc>
      </w:tr>
      <w:tr w:rsidR="00DA5299" w14:paraId="38A93C5D" w14:textId="77777777">
        <w:tc>
          <w:tcPr>
            <w:tcW w:w="0" w:type="auto"/>
            <w:shd w:val="clear" w:color="auto" w:fill="auto"/>
          </w:tcPr>
          <w:p w14:paraId="4DDFECD4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ULT</w:t>
            </w:r>
          </w:p>
        </w:tc>
        <w:tc>
          <w:tcPr>
            <w:tcW w:w="1560" w:type="dxa"/>
            <w:shd w:val="clear" w:color="auto" w:fill="auto"/>
          </w:tcPr>
          <w:p w14:paraId="228D6D97" w14:textId="77777777" w:rsidR="00DA5299" w:rsidRDefault="00DA5299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93" w:type="dxa"/>
            <w:shd w:val="clear" w:color="auto" w:fill="auto"/>
          </w:tcPr>
          <w:p w14:paraId="26B1F4E7" w14:textId="77777777" w:rsidR="00DA5299" w:rsidRDefault="00DA5299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shd w:val="clear" w:color="auto" w:fill="auto"/>
          </w:tcPr>
          <w:p w14:paraId="140CFA7E" w14:textId="77777777" w:rsidR="00DA5299" w:rsidRDefault="00DA5299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50F26C92" w14:textId="77777777" w:rsidR="00DA5299" w:rsidRDefault="00DA5299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4" w:type="dxa"/>
            <w:shd w:val="clear" w:color="auto" w:fill="auto"/>
          </w:tcPr>
          <w:p w14:paraId="7F3BEABC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&lt; 0.001***</w:t>
            </w:r>
          </w:p>
        </w:tc>
      </w:tr>
      <w:tr w:rsidR="00DA5299" w14:paraId="337E74D5" w14:textId="77777777">
        <w:tc>
          <w:tcPr>
            <w:tcW w:w="0" w:type="auto"/>
            <w:shd w:val="clear" w:color="auto" w:fill="auto"/>
          </w:tcPr>
          <w:p w14:paraId="4F7D7E3F" w14:textId="77777777" w:rsidR="00DA5299" w:rsidRDefault="00DA5299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shd w:val="clear" w:color="auto" w:fill="auto"/>
          </w:tcPr>
          <w:p w14:paraId="1C611526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Non-ULT</w:t>
            </w:r>
          </w:p>
        </w:tc>
        <w:tc>
          <w:tcPr>
            <w:tcW w:w="993" w:type="dxa"/>
            <w:shd w:val="clear" w:color="auto" w:fill="auto"/>
          </w:tcPr>
          <w:p w14:paraId="5375199C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10030</w:t>
            </w:r>
          </w:p>
        </w:tc>
        <w:tc>
          <w:tcPr>
            <w:tcW w:w="2126" w:type="dxa"/>
            <w:shd w:val="clear" w:color="auto" w:fill="auto"/>
          </w:tcPr>
          <w:p w14:paraId="4E646876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1.209 (1.017,1.437)</w:t>
            </w:r>
          </w:p>
        </w:tc>
        <w:tc>
          <w:tcPr>
            <w:tcW w:w="1276" w:type="dxa"/>
            <w:shd w:val="clear" w:color="auto" w:fill="auto"/>
          </w:tcPr>
          <w:p w14:paraId="7D085B31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0.032*</w:t>
            </w:r>
          </w:p>
        </w:tc>
        <w:tc>
          <w:tcPr>
            <w:tcW w:w="1184" w:type="dxa"/>
            <w:shd w:val="clear" w:color="auto" w:fill="auto"/>
          </w:tcPr>
          <w:p w14:paraId="449F6F52" w14:textId="77777777" w:rsidR="00DA5299" w:rsidRDefault="00DA5299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DA5299" w14:paraId="29F36176" w14:textId="77777777"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</w:tcPr>
          <w:p w14:paraId="1554D344" w14:textId="77777777" w:rsidR="00DA5299" w:rsidRDefault="00DA5299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auto" w:fill="auto"/>
          </w:tcPr>
          <w:p w14:paraId="7239A0E8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ULT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</w:tcPr>
          <w:p w14:paraId="27DECFE1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128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shd w:val="clear" w:color="auto" w:fill="auto"/>
          </w:tcPr>
          <w:p w14:paraId="29D9BE49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19.488 (3.898,97.444)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</w:tcPr>
          <w:p w14:paraId="2165BE4E" w14:textId="77777777" w:rsidR="00DA5299" w:rsidRDefault="00000000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&lt; 0.001***</w:t>
            </w:r>
          </w:p>
        </w:tc>
        <w:tc>
          <w:tcPr>
            <w:tcW w:w="1184" w:type="dxa"/>
            <w:tcBorders>
              <w:bottom w:val="single" w:sz="12" w:space="0" w:color="auto"/>
            </w:tcBorders>
            <w:shd w:val="clear" w:color="auto" w:fill="auto"/>
          </w:tcPr>
          <w:p w14:paraId="57426A43" w14:textId="77777777" w:rsidR="00DA5299" w:rsidRDefault="00DA5299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</w:tbl>
    <w:p w14:paraId="78EEAC87" w14:textId="77777777" w:rsidR="00DA5299" w:rsidRDefault="0000000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  <w:szCs w:val="21"/>
        </w:rPr>
        <w:t xml:space="preserve">This table displayed the effects of hyperuricemia (defined as serum uric acid levels &gt; 7.0 mg/dL regardless of sex) on periodontitis (no/mild vs. moderate/severe) in ULT-stratified subgroups; </w:t>
      </w:r>
      <w:r>
        <w:rPr>
          <w:rFonts w:ascii="Times New Roman" w:hAnsi="Times New Roman" w:hint="eastAsia"/>
        </w:rPr>
        <w:t xml:space="preserve">The </w:t>
      </w:r>
      <w:r>
        <w:rPr>
          <w:rFonts w:ascii="Times New Roman" w:hAnsi="Times New Roman"/>
        </w:rPr>
        <w:t>logistic</w:t>
      </w:r>
      <w:r>
        <w:rPr>
          <w:rFonts w:ascii="Times New Roman" w:hAnsi="Times New Roman" w:hint="eastAsia"/>
        </w:rPr>
        <w:t xml:space="preserve"> regression models adjusted for sex, age, ethnicity, poverty to income ratio, educational attainment smoking status, alcohol consumption, body mass index cerebra-cardiovascular conditions (including congestive heart </w:t>
      </w:r>
      <w:r>
        <w:rPr>
          <w:rFonts w:ascii="Times New Roman" w:hAnsi="Times New Roman"/>
        </w:rPr>
        <w:t>failure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coronary heart disease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angina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heart attack</w:t>
      </w:r>
      <w:r>
        <w:rPr>
          <w:rFonts w:ascii="Times New Roman" w:hAnsi="Times New Roman" w:hint="eastAsia"/>
        </w:rPr>
        <w:t xml:space="preserve">, stroke and hypertension), hyperlipidemia, diabetes, cancer, kidney conditions, periodontal treatment and urate-lowering therapy; ***,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0.001; **,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0.01; *, </w:t>
      </w:r>
      <w:r>
        <w:rPr>
          <w:rFonts w:ascii="Times New Roman" w:hAnsi="Times New Roman" w:hint="eastAsia"/>
          <w:i/>
          <w:iCs/>
        </w:rPr>
        <w:t>P</w:t>
      </w:r>
      <w:r>
        <w:rPr>
          <w:rFonts w:ascii="Times New Roman" w:hAnsi="Times New Roman" w:hint="eastAsia"/>
        </w:rPr>
        <w:t xml:space="preserve"> &lt; 0.05; </w:t>
      </w:r>
      <w:r>
        <w:rPr>
          <w:rFonts w:ascii="Times New Roman" w:hAnsi="Times New Roman" w:hint="eastAsia"/>
          <w:i/>
          <w:iCs/>
        </w:rPr>
        <w:t>CI</w:t>
      </w:r>
      <w:r>
        <w:rPr>
          <w:rFonts w:ascii="Times New Roman" w:hAnsi="Times New Roman" w:hint="eastAsia"/>
        </w:rPr>
        <w:t xml:space="preserve">, confidence interval; </w:t>
      </w:r>
      <w:r>
        <w:rPr>
          <w:rFonts w:ascii="Times New Roman" w:hAnsi="Times New Roman" w:hint="eastAsia"/>
          <w:i/>
          <w:iCs/>
        </w:rPr>
        <w:t>OR</w:t>
      </w:r>
      <w:r>
        <w:rPr>
          <w:rFonts w:ascii="Times New Roman" w:hAnsi="Times New Roman" w:hint="eastAsia"/>
        </w:rPr>
        <w:t xml:space="preserve">, odds ratio; ULT, urate-lowering therapy; </w:t>
      </w:r>
    </w:p>
    <w:p w14:paraId="775DADE0" w14:textId="77777777" w:rsidR="00DA5299" w:rsidRDefault="00DA5299">
      <w:pPr>
        <w:spacing w:line="480" w:lineRule="auto"/>
        <w:rPr>
          <w:rFonts w:ascii="Times New Roman" w:hAnsi="Times New Roman"/>
          <w:szCs w:val="21"/>
        </w:rPr>
      </w:pPr>
    </w:p>
    <w:sectPr w:rsidR="00DA52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oNotTrackMoves/>
  <w:defaultTabStop w:val="420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DljYzUzMWQ4OWI0YzBkYjYzMDRhZTY5ZjZkYmFmYTgifQ=="/>
  </w:docVars>
  <w:rsids>
    <w:rsidRoot w:val="001E603E"/>
    <w:rsid w:val="00014CC1"/>
    <w:rsid w:val="001054E7"/>
    <w:rsid w:val="001416A4"/>
    <w:rsid w:val="00144904"/>
    <w:rsid w:val="00160104"/>
    <w:rsid w:val="0019212C"/>
    <w:rsid w:val="001E603E"/>
    <w:rsid w:val="001F468F"/>
    <w:rsid w:val="00205E0B"/>
    <w:rsid w:val="00221665"/>
    <w:rsid w:val="00235400"/>
    <w:rsid w:val="00251148"/>
    <w:rsid w:val="002941E7"/>
    <w:rsid w:val="002E5F3E"/>
    <w:rsid w:val="00305F49"/>
    <w:rsid w:val="0034129F"/>
    <w:rsid w:val="003447B0"/>
    <w:rsid w:val="00354834"/>
    <w:rsid w:val="003E0129"/>
    <w:rsid w:val="00421961"/>
    <w:rsid w:val="00423163"/>
    <w:rsid w:val="004A2DB0"/>
    <w:rsid w:val="004A4366"/>
    <w:rsid w:val="004F7D13"/>
    <w:rsid w:val="00534206"/>
    <w:rsid w:val="00550473"/>
    <w:rsid w:val="005602C3"/>
    <w:rsid w:val="005C2E9C"/>
    <w:rsid w:val="00632C29"/>
    <w:rsid w:val="00683829"/>
    <w:rsid w:val="00692FB4"/>
    <w:rsid w:val="006D1F3B"/>
    <w:rsid w:val="00742F27"/>
    <w:rsid w:val="00767603"/>
    <w:rsid w:val="00793CEE"/>
    <w:rsid w:val="007D0363"/>
    <w:rsid w:val="007E69E7"/>
    <w:rsid w:val="008471B2"/>
    <w:rsid w:val="00881562"/>
    <w:rsid w:val="008B730D"/>
    <w:rsid w:val="0092654D"/>
    <w:rsid w:val="009A05AC"/>
    <w:rsid w:val="009E0ECF"/>
    <w:rsid w:val="00A013B0"/>
    <w:rsid w:val="00A01D8A"/>
    <w:rsid w:val="00A13C9B"/>
    <w:rsid w:val="00A453DA"/>
    <w:rsid w:val="00AB74E0"/>
    <w:rsid w:val="00AE677E"/>
    <w:rsid w:val="00B41295"/>
    <w:rsid w:val="00B55668"/>
    <w:rsid w:val="00B70B1F"/>
    <w:rsid w:val="00B97A86"/>
    <w:rsid w:val="00BB6FF6"/>
    <w:rsid w:val="00BD40D0"/>
    <w:rsid w:val="00C776A0"/>
    <w:rsid w:val="00CE4D78"/>
    <w:rsid w:val="00CE6570"/>
    <w:rsid w:val="00DA5299"/>
    <w:rsid w:val="00DB6E1C"/>
    <w:rsid w:val="00DC4AFC"/>
    <w:rsid w:val="00E17733"/>
    <w:rsid w:val="00E475D3"/>
    <w:rsid w:val="00EB15B3"/>
    <w:rsid w:val="00EF615C"/>
    <w:rsid w:val="00F869CD"/>
    <w:rsid w:val="00FB5025"/>
    <w:rsid w:val="00FB707B"/>
    <w:rsid w:val="00FC6E12"/>
    <w:rsid w:val="03875C5D"/>
    <w:rsid w:val="71C1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59F031"/>
  <w15:docId w15:val="{65C80E4B-F1F0-41F9-BCA0-4D8443965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autoRedefine/>
    <w:uiPriority w:val="99"/>
    <w:semiHidden/>
    <w:unhideWhenUsed/>
    <w:qFormat/>
    <w:rPr>
      <w:b/>
      <w:bCs/>
    </w:rPr>
  </w:style>
  <w:style w:type="table" w:styleId="ad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autoRedefine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link w:val="a9"/>
    <w:autoRedefine/>
    <w:uiPriority w:val="99"/>
    <w:qFormat/>
    <w:rPr>
      <w:kern w:val="2"/>
      <w:sz w:val="18"/>
      <w:szCs w:val="18"/>
    </w:rPr>
  </w:style>
  <w:style w:type="character" w:customStyle="1" w:styleId="a8">
    <w:name w:val="页脚 字符"/>
    <w:link w:val="a7"/>
    <w:autoRedefine/>
    <w:uiPriority w:val="99"/>
    <w:qFormat/>
    <w:rPr>
      <w:kern w:val="2"/>
      <w:sz w:val="18"/>
      <w:szCs w:val="18"/>
    </w:rPr>
  </w:style>
  <w:style w:type="character" w:customStyle="1" w:styleId="a4">
    <w:name w:val="批注文字 字符"/>
    <w:link w:val="a3"/>
    <w:autoRedefine/>
    <w:uiPriority w:val="99"/>
    <w:semiHidden/>
    <w:rPr>
      <w:kern w:val="2"/>
      <w:sz w:val="21"/>
      <w:szCs w:val="22"/>
    </w:rPr>
  </w:style>
  <w:style w:type="character" w:customStyle="1" w:styleId="ac">
    <w:name w:val="批注主题 字符"/>
    <w:link w:val="ab"/>
    <w:autoRedefine/>
    <w:uiPriority w:val="99"/>
    <w:semiHidden/>
    <w:qFormat/>
    <w:rPr>
      <w:b/>
      <w:bCs/>
      <w:kern w:val="2"/>
      <w:sz w:val="21"/>
      <w:szCs w:val="22"/>
    </w:rPr>
  </w:style>
  <w:style w:type="character" w:customStyle="1" w:styleId="a6">
    <w:name w:val="批注框文本 字符"/>
    <w:link w:val="a5"/>
    <w:autoRedefine/>
    <w:uiPriority w:val="99"/>
    <w:semiHidden/>
    <w:qFormat/>
    <w:rPr>
      <w:kern w:val="2"/>
      <w:sz w:val="18"/>
      <w:szCs w:val="18"/>
    </w:rPr>
  </w:style>
  <w:style w:type="paragraph" w:customStyle="1" w:styleId="1">
    <w:name w:val="修订1"/>
    <w:autoRedefine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B476B-DF65-4CC1-AB97-36A3F72E8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6</Pages>
  <Words>880</Words>
  <Characters>5017</Characters>
  <Application>Microsoft Office Word</Application>
  <DocSecurity>0</DocSecurity>
  <Lines>41</Lines>
  <Paragraphs>11</Paragraphs>
  <ScaleCrop>false</ScaleCrop>
  <Company/>
  <LinksUpToDate>false</LinksUpToDate>
  <CharactersWithSpaces>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Jackie Chen</dc:creator>
  <cp:lastModifiedBy>Jackie Chen</cp:lastModifiedBy>
  <cp:revision>11</cp:revision>
  <dcterms:created xsi:type="dcterms:W3CDTF">2024-06-02T14:52:00Z</dcterms:created>
  <dcterms:modified xsi:type="dcterms:W3CDTF">2024-06-05T11:34:00Z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69706A11FEDB41089685C4DD16D5FAB1_12</vt:lpwstr>
  </property>
</Properties>
</file>