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numPr>
          <w:ilvl w:val="255"/>
          <w:numId w:val="0"/>
        </w:numPr>
        <w:spacing w:line="360" w:lineRule="auto"/>
        <w:rPr>
          <w:rFonts w:ascii="Times New Roman" w:hAnsi="Times New Roman" w:cs="Times New Roman"/>
          <w:sz w:val="24"/>
        </w:rPr>
      </w:pPr>
      <w:r>
        <w:rPr>
          <w:rFonts w:ascii="Times New Roman" w:hAnsi="Times New Roman" w:cs="Times New Roman"/>
          <w:b/>
          <w:bCs/>
          <w:sz w:val="24"/>
        </w:rPr>
        <w:drawing>
          <wp:inline distT="0" distB="0" distL="114300" distR="114300">
            <wp:extent cx="5271770" cy="5182235"/>
            <wp:effectExtent l="0" t="0" r="11430" b="12065"/>
            <wp:docPr id="2" name="图片 2" descr="Fig-2_SUP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Fig-2_SUP2"/>
                    <pic:cNvPicPr>
                      <a:picLocks noChangeAspect="1"/>
                    </pic:cNvPicPr>
                  </pic:nvPicPr>
                  <pic:blipFill>
                    <a:blip r:embed="rId4"/>
                    <a:stretch>
                      <a:fillRect/>
                    </a:stretch>
                  </pic:blipFill>
                  <pic:spPr>
                    <a:xfrm>
                      <a:off x="0" y="0"/>
                      <a:ext cx="5271770" cy="5182235"/>
                    </a:xfrm>
                    <a:prstGeom prst="rect">
                      <a:avLst/>
                    </a:prstGeom>
                  </pic:spPr>
                </pic:pic>
              </a:graphicData>
            </a:graphic>
          </wp:inline>
        </w:drawing>
      </w:r>
      <w:r>
        <w:rPr>
          <w:rFonts w:ascii="Times New Roman" w:hAnsi="Times New Roman" w:cs="Times New Roman"/>
          <w:b/>
          <w:bCs/>
          <w:sz w:val="24"/>
        </w:rPr>
        <w:t>Fig</w:t>
      </w:r>
      <w:r>
        <w:rPr>
          <w:rFonts w:hint="eastAsia" w:ascii="Times New Roman" w:hAnsi="Times New Roman" w:cs="Times New Roman"/>
          <w:b/>
          <w:bCs/>
          <w:sz w:val="24"/>
        </w:rPr>
        <w:t>ure</w:t>
      </w:r>
      <w:r>
        <w:rPr>
          <w:rFonts w:ascii="Times New Roman" w:hAnsi="Times New Roman" w:cs="Times New Roman"/>
          <w:b/>
          <w:bCs/>
          <w:sz w:val="24"/>
        </w:rPr>
        <w:t xml:space="preserve"> S</w:t>
      </w:r>
      <w:r>
        <w:rPr>
          <w:rFonts w:hint="eastAsia" w:ascii="Times New Roman" w:hAnsi="Times New Roman" w:cs="Times New Roman"/>
          <w:b/>
          <w:bCs/>
          <w:sz w:val="24"/>
          <w:lang w:val="en-US" w:eastAsia="zh-CN"/>
        </w:rPr>
        <w:t>1</w:t>
      </w:r>
      <w:r>
        <w:rPr>
          <w:rFonts w:hint="eastAsia" w:ascii="Times New Roman" w:hAnsi="Times New Roman" w:cs="Times New Roman"/>
          <w:b/>
          <w:bCs/>
          <w:sz w:val="24"/>
        </w:rPr>
        <w:t>. (related to Figure 2)</w:t>
      </w:r>
      <w:r>
        <w:rPr>
          <w:rFonts w:ascii="Times New Roman" w:hAnsi="Times New Roman" w:cs="Times New Roman"/>
          <w:b/>
          <w:bCs/>
          <w:sz w:val="24"/>
        </w:rPr>
        <w:t xml:space="preserve"> </w:t>
      </w:r>
      <w:r>
        <w:rPr>
          <w:rFonts w:hint="eastAsia" w:ascii="Times New Roman" w:hAnsi="Times New Roman" w:cs="Times New Roman"/>
          <w:b/>
          <w:bCs/>
          <w:sz w:val="24"/>
        </w:rPr>
        <w:t xml:space="preserve">Overexpression of CD137L in tumor cells did not affect in vitro cell growth and flow of flow-cytometer assay analysis </w:t>
      </w:r>
      <w:r>
        <w:rPr>
          <w:rFonts w:ascii="Times New Roman" w:hAnsi="Times New Roman" w:cs="Times New Roman"/>
          <w:b/>
          <w:bCs/>
          <w:sz w:val="24"/>
        </w:rPr>
        <w:t xml:space="preserve">. </w:t>
      </w:r>
      <w:bookmarkStart w:id="0" w:name="OLE_LINK16"/>
      <w:bookmarkStart w:id="1" w:name="OLE_LINK15"/>
    </w:p>
    <w:bookmarkEnd w:id="0"/>
    <w:bookmarkEnd w:id="1"/>
    <w:p>
      <w:pPr>
        <w:spacing w:line="360" w:lineRule="auto"/>
        <w:rPr>
          <w:rFonts w:ascii="Times New Roman" w:hAnsi="Times New Roman" w:cs="Times New Roman"/>
          <w:sz w:val="24"/>
        </w:rPr>
      </w:pPr>
      <w:r>
        <w:rPr>
          <w:rFonts w:hint="eastAsia" w:ascii="Times New Roman" w:hAnsi="Times New Roman" w:cs="Times New Roman"/>
          <w:b/>
          <w:bCs/>
          <w:sz w:val="24"/>
        </w:rPr>
        <w:t>（</w:t>
      </w:r>
      <w:r>
        <w:rPr>
          <w:rFonts w:ascii="Times New Roman" w:hAnsi="Times New Roman" w:cs="Times New Roman"/>
          <w:b/>
          <w:bCs/>
          <w:sz w:val="24"/>
        </w:rPr>
        <w:t>A</w:t>
      </w:r>
      <w:r>
        <w:rPr>
          <w:rFonts w:hint="eastAsia" w:ascii="Times New Roman" w:hAnsi="Times New Roman" w:cs="Times New Roman"/>
          <w:b/>
          <w:bCs/>
          <w:sz w:val="24"/>
        </w:rPr>
        <w:t>）</w:t>
      </w:r>
      <w:r>
        <w:rPr>
          <w:rFonts w:hint="eastAsia" w:ascii="Times New Roman" w:hAnsi="Times New Roman" w:cs="Times New Roman"/>
          <w:sz w:val="24"/>
        </w:rPr>
        <w:t xml:space="preserve"> </w:t>
      </w:r>
      <w:r>
        <w:rPr>
          <w:rFonts w:ascii="Times New Roman" w:hAnsi="Times New Roman" w:cs="Times New Roman"/>
          <w:sz w:val="24"/>
        </w:rPr>
        <w:t>Overexpression CD137L in A375</w:t>
      </w:r>
      <w:r>
        <w:rPr>
          <w:rFonts w:hint="eastAsia" w:ascii="Times New Roman" w:hAnsi="Times New Roman" w:cs="Times New Roman"/>
          <w:sz w:val="24"/>
        </w:rPr>
        <w:t>,</w:t>
      </w:r>
      <w:r>
        <w:rPr>
          <w:rFonts w:ascii="Times New Roman" w:hAnsi="Times New Roman" w:cs="Times New Roman"/>
          <w:sz w:val="24"/>
        </w:rPr>
        <w:t xml:space="preserve"> SK-MEL-28</w:t>
      </w:r>
      <w:r>
        <w:rPr>
          <w:rFonts w:hint="eastAsia" w:ascii="Times New Roman" w:hAnsi="Times New Roman" w:cs="Times New Roman"/>
          <w:sz w:val="24"/>
        </w:rPr>
        <w:t xml:space="preserve">, </w:t>
      </w:r>
      <w:r>
        <w:rPr>
          <w:rFonts w:ascii="Times New Roman" w:hAnsi="Times New Roman" w:cs="Times New Roman"/>
          <w:sz w:val="24"/>
        </w:rPr>
        <w:t>and B16F10 cells and checked the cell growth by MTT assay. Data represent mean ± SD. n = 3.</w:t>
      </w:r>
      <w:r>
        <w:rPr>
          <w:rFonts w:hint="eastAsia" w:ascii="Times New Roman" w:hAnsi="Times New Roman" w:cs="Times New Roman"/>
          <w:sz w:val="24"/>
        </w:rPr>
        <w:t xml:space="preserve"> </w:t>
      </w:r>
      <w:r>
        <w:rPr>
          <w:rFonts w:ascii="Times New Roman" w:hAnsi="Times New Roman" w:cs="Times New Roman"/>
          <w:sz w:val="24"/>
        </w:rPr>
        <w:t>(</w:t>
      </w:r>
      <w:r>
        <w:rPr>
          <w:rFonts w:hint="eastAsia" w:ascii="Times New Roman" w:hAnsi="Times New Roman" w:cs="Times New Roman"/>
          <w:b/>
          <w:bCs/>
          <w:sz w:val="24"/>
        </w:rPr>
        <w:t>B</w:t>
      </w:r>
      <w:r>
        <w:rPr>
          <w:rFonts w:ascii="Times New Roman" w:hAnsi="Times New Roman" w:cs="Times New Roman"/>
          <w:sz w:val="24"/>
        </w:rPr>
        <w:t>)</w:t>
      </w:r>
      <w:r>
        <w:rPr>
          <w:rFonts w:ascii="Times New Roman" w:hAnsi="Times New Roman" w:cs="Times New Roman"/>
          <w:b/>
          <w:bCs/>
          <w:sz w:val="24"/>
        </w:rPr>
        <w:t xml:space="preserve"> </w:t>
      </w:r>
      <w:r>
        <w:rPr>
          <w:rFonts w:ascii="Times New Roman" w:hAnsi="Times New Roman" w:cs="Times New Roman"/>
          <w:sz w:val="24"/>
        </w:rPr>
        <w:t xml:space="preserve">Representative images showing the long-term effect on cell growth of exogenous cell lines with stable expression </w:t>
      </w:r>
      <w:r>
        <w:rPr>
          <w:rFonts w:hint="eastAsia" w:ascii="Times New Roman" w:hAnsi="Times New Roman" w:cs="Times New Roman"/>
          <w:sz w:val="24"/>
        </w:rPr>
        <w:t xml:space="preserve">CD137L </w:t>
      </w:r>
      <w:r>
        <w:rPr>
          <w:rFonts w:ascii="Times New Roman" w:hAnsi="Times New Roman" w:cs="Times New Roman"/>
          <w:sz w:val="24"/>
        </w:rPr>
        <w:t>w</w:t>
      </w:r>
      <w:r>
        <w:rPr>
          <w:rFonts w:hint="eastAsia" w:ascii="Times New Roman" w:hAnsi="Times New Roman" w:cs="Times New Roman"/>
          <w:sz w:val="24"/>
        </w:rPr>
        <w:t>ere</w:t>
      </w:r>
      <w:r>
        <w:rPr>
          <w:rFonts w:ascii="Times New Roman" w:hAnsi="Times New Roman" w:cs="Times New Roman"/>
          <w:sz w:val="24"/>
        </w:rPr>
        <w:t xml:space="preserve"> evaluated by clone formation assay and subjected to crystal violet staining. (</w:t>
      </w:r>
      <w:r>
        <w:rPr>
          <w:rFonts w:hint="eastAsia" w:ascii="Times New Roman" w:hAnsi="Times New Roman" w:cs="Times New Roman"/>
          <w:b/>
          <w:bCs/>
          <w:sz w:val="24"/>
        </w:rPr>
        <w:t>C</w:t>
      </w:r>
      <w:r>
        <w:rPr>
          <w:rFonts w:ascii="Times New Roman" w:hAnsi="Times New Roman" w:cs="Times New Roman"/>
          <w:sz w:val="24"/>
        </w:rPr>
        <w:t>) B16F10 cells with CD137L stable expression and negative control cells were injected into BALB/c nude mice (n = 6 mice per group) on day 0, Body weight was measured on the indicated time points, and Data represent mean±SD.</w:t>
      </w:r>
      <w:r>
        <w:rPr>
          <w:rFonts w:hint="eastAsia" w:ascii="Times New Roman" w:hAnsi="Times New Roman" w:cs="Times New Roman"/>
          <w:b/>
          <w:bCs/>
          <w:sz w:val="24"/>
        </w:rPr>
        <w:t xml:space="preserve"> </w:t>
      </w:r>
      <w:r>
        <w:rPr>
          <w:rFonts w:ascii="Times New Roman" w:hAnsi="Times New Roman" w:cs="Times New Roman"/>
          <w:sz w:val="24"/>
        </w:rPr>
        <w:t>(</w:t>
      </w:r>
      <w:r>
        <w:rPr>
          <w:rFonts w:hint="eastAsia" w:ascii="Times New Roman" w:hAnsi="Times New Roman" w:cs="Times New Roman"/>
          <w:b/>
          <w:bCs/>
          <w:sz w:val="24"/>
        </w:rPr>
        <w:t>D</w:t>
      </w:r>
      <w:r>
        <w:rPr>
          <w:rFonts w:ascii="Times New Roman" w:hAnsi="Times New Roman" w:cs="Times New Roman"/>
          <w:sz w:val="24"/>
        </w:rPr>
        <w:t>) B16F10 cells with CD137L stable expression and negative control cells were injected into C57BL/6 mice (n = 6 mice per group) on day 0, Body weight was measured on the indicated time points, and Data represent mean±SD</w:t>
      </w:r>
      <w:r>
        <w:rPr>
          <w:rFonts w:hint="eastAsia" w:ascii="Times New Roman" w:hAnsi="Times New Roman" w:cs="Times New Roman"/>
          <w:sz w:val="24"/>
        </w:rPr>
        <w:t>.</w:t>
      </w:r>
      <w:r>
        <w:rPr>
          <w:rFonts w:ascii="Times New Roman" w:hAnsi="Times New Roman" w:cs="Times New Roman"/>
          <w:sz w:val="24"/>
        </w:rPr>
        <w:t xml:space="preserve"> (</w:t>
      </w:r>
      <w:r>
        <w:rPr>
          <w:rFonts w:hint="eastAsia" w:ascii="Times New Roman" w:hAnsi="Times New Roman" w:cs="Times New Roman"/>
          <w:b/>
          <w:bCs/>
          <w:sz w:val="24"/>
        </w:rPr>
        <w:t>E</w:t>
      </w:r>
      <w:r>
        <w:rPr>
          <w:rFonts w:ascii="Times New Roman" w:hAnsi="Times New Roman" w:cs="Times New Roman"/>
          <w:sz w:val="24"/>
        </w:rPr>
        <w:t>)</w:t>
      </w:r>
      <w:r>
        <w:t xml:space="preserve"> </w:t>
      </w:r>
      <w:r>
        <w:rPr>
          <w:rFonts w:ascii="Times New Roman" w:hAnsi="Times New Roman" w:cs="Times New Roman"/>
          <w:sz w:val="24"/>
        </w:rPr>
        <w:t>Flow cytometry analysis flow of immune cells in mouse tumors. CD137L+ cells, CD45+ cells, CD3+ T cells , CD8+ T cells, and GZMB+CD8+ T cells were analyzed in mouse tumors by flow cytometry.</w:t>
      </w:r>
      <w:r>
        <w:rPr>
          <w:rFonts w:hint="eastAsia" w:ascii="Times New Roman" w:hAnsi="Times New Roman" w:cs="Times New Roman"/>
          <w:sz w:val="24"/>
        </w:rPr>
        <w:t xml:space="preserve"> </w:t>
      </w:r>
      <w:r>
        <w:rPr>
          <w:rFonts w:ascii="Times New Roman" w:hAnsi="Times New Roman" w:cs="Times New Roman"/>
          <w:sz w:val="24"/>
        </w:rPr>
        <w:t>(</w:t>
      </w:r>
      <w:r>
        <w:rPr>
          <w:rFonts w:ascii="Times New Roman" w:hAnsi="Times New Roman" w:cs="Times New Roman"/>
          <w:b/>
          <w:bCs/>
          <w:sz w:val="24"/>
        </w:rPr>
        <w:t>F</w:t>
      </w:r>
      <w:r>
        <w:rPr>
          <w:rFonts w:ascii="Times New Roman" w:hAnsi="Times New Roman" w:cs="Times New Roman"/>
          <w:sz w:val="24"/>
        </w:rPr>
        <w:t>)The CD137L stably expressed B16F10 cells were injected into C57BL/6 immunocompetent mice,</w:t>
      </w:r>
      <w:r>
        <w:rPr>
          <w:rFonts w:hint="eastAsia" w:ascii="Times New Roman" w:hAnsi="Times New Roman" w:cs="Times New Roman"/>
          <w:sz w:val="24"/>
        </w:rPr>
        <w:t xml:space="preserve"> </w:t>
      </w:r>
      <w:r>
        <w:rPr>
          <w:rFonts w:ascii="Times New Roman" w:hAnsi="Times New Roman" w:cs="Times New Roman"/>
          <w:sz w:val="24"/>
        </w:rPr>
        <w:t>CD137L+ cells were analyzed by flow cytometry.</w:t>
      </w:r>
      <w:r>
        <w:rPr>
          <w:rFonts w:hint="eastAsia" w:ascii="Times New Roman" w:hAnsi="Times New Roman" w:cs="Times New Roman"/>
          <w:sz w:val="24"/>
        </w:rPr>
        <w:t xml:space="preserve"> </w:t>
      </w:r>
      <w:r>
        <w:rPr>
          <w:rFonts w:ascii="Times New Roman" w:hAnsi="Times New Roman" w:cs="Times New Roman"/>
          <w:sz w:val="24"/>
          <w:vertAlign w:val="superscript"/>
        </w:rPr>
        <w:t>NS</w:t>
      </w:r>
      <w:r>
        <w:rPr>
          <w:rFonts w:ascii="Times New Roman" w:hAnsi="Times New Roman" w:cs="Times New Roman"/>
          <w:i/>
          <w:iCs/>
          <w:sz w:val="24"/>
        </w:rPr>
        <w:t>p</w:t>
      </w:r>
      <w:r>
        <w:rPr>
          <w:rFonts w:ascii="Times New Roman" w:hAnsi="Times New Roman" w:cs="Times New Roman"/>
          <w:sz w:val="24"/>
        </w:rPr>
        <w:t xml:space="preserve"> &gt; 0.05.</w:t>
      </w:r>
    </w:p>
    <w:p>
      <w:pPr>
        <w:spacing w:line="360" w:lineRule="auto"/>
        <w:rPr>
          <w:rFonts w:ascii="Times New Roman" w:hAnsi="Times New Roman" w:cs="Times New Roman"/>
          <w:sz w:val="24"/>
        </w:rPr>
      </w:pPr>
    </w:p>
    <w:p>
      <w:pPr>
        <w:spacing w:line="360" w:lineRule="auto"/>
        <w:rPr>
          <w:rFonts w:ascii="Times New Roman" w:hAnsi="Times New Roman" w:cs="Times New Roman"/>
          <w:sz w:val="24"/>
        </w:rPr>
      </w:pPr>
      <w:r>
        <w:rPr>
          <w:rFonts w:ascii="Times New Roman" w:hAnsi="Times New Roman" w:cs="Times New Roman"/>
          <w:sz w:val="24"/>
        </w:rPr>
        <w:drawing>
          <wp:inline distT="0" distB="0" distL="0" distR="0">
            <wp:extent cx="5274310" cy="7163435"/>
            <wp:effectExtent l="0" t="0" r="0" b="0"/>
            <wp:docPr id="1" name="图片 1" descr="图示&#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示&#10;&#10;中度可信度描述已自动生成"/>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5274310" cy="7163435"/>
                    </a:xfrm>
                    <a:prstGeom prst="rect">
                      <a:avLst/>
                    </a:prstGeom>
                  </pic:spPr>
                </pic:pic>
              </a:graphicData>
            </a:graphic>
          </wp:inline>
        </w:drawing>
      </w:r>
    </w:p>
    <w:p>
      <w:pPr>
        <w:spacing w:line="360" w:lineRule="auto"/>
        <w:rPr>
          <w:rFonts w:ascii="Times New Roman" w:hAnsi="Times New Roman" w:cs="Times New Roman"/>
          <w:sz w:val="24"/>
        </w:rPr>
      </w:pPr>
    </w:p>
    <w:p>
      <w:pPr>
        <w:spacing w:line="360" w:lineRule="auto"/>
        <w:rPr>
          <w:rFonts w:ascii="Times New Roman" w:hAnsi="Times New Roman" w:cs="Times New Roman"/>
          <w:sz w:val="24"/>
        </w:rPr>
      </w:pPr>
    </w:p>
    <w:p>
      <w:pPr>
        <w:spacing w:line="360" w:lineRule="auto"/>
        <w:rPr>
          <w:rFonts w:ascii="Times New Roman" w:hAnsi="Times New Roman" w:cs="Times New Roman"/>
          <w:sz w:val="24"/>
        </w:rPr>
      </w:pPr>
      <w:r>
        <w:rPr>
          <w:rFonts w:ascii="Times New Roman" w:hAnsi="Times New Roman" w:cs="Times New Roman"/>
          <w:b/>
          <w:bCs/>
          <w:sz w:val="24"/>
        </w:rPr>
        <w:t>Fig</w:t>
      </w:r>
      <w:r>
        <w:rPr>
          <w:rFonts w:hint="eastAsia" w:ascii="Times New Roman" w:hAnsi="Times New Roman" w:cs="Times New Roman"/>
          <w:b/>
          <w:bCs/>
          <w:sz w:val="24"/>
        </w:rPr>
        <w:t xml:space="preserve">ure </w:t>
      </w:r>
      <w:r>
        <w:rPr>
          <w:rFonts w:ascii="Times New Roman" w:hAnsi="Times New Roman" w:cs="Times New Roman"/>
          <w:b/>
          <w:bCs/>
          <w:sz w:val="24"/>
        </w:rPr>
        <w:t>S</w:t>
      </w:r>
      <w:r>
        <w:rPr>
          <w:rFonts w:hint="eastAsia" w:ascii="Times New Roman" w:hAnsi="Times New Roman" w:cs="Times New Roman"/>
          <w:b/>
          <w:bCs/>
          <w:sz w:val="24"/>
          <w:lang w:val="en-US" w:eastAsia="zh-CN"/>
        </w:rPr>
        <w:t>2</w:t>
      </w:r>
      <w:r>
        <w:rPr>
          <w:rFonts w:hint="eastAsia" w:ascii="Times New Roman" w:hAnsi="Times New Roman" w:cs="Times New Roman"/>
          <w:b/>
          <w:bCs/>
          <w:sz w:val="24"/>
        </w:rPr>
        <w:t>.</w:t>
      </w:r>
      <w:r>
        <w:rPr>
          <w:rFonts w:ascii="Times New Roman" w:hAnsi="Times New Roman" w:cs="Times New Roman"/>
          <w:b/>
          <w:bCs/>
          <w:sz w:val="24"/>
        </w:rPr>
        <w:t xml:space="preserve"> </w:t>
      </w:r>
      <w:r>
        <w:rPr>
          <w:rFonts w:hint="eastAsia" w:ascii="Times New Roman" w:hAnsi="Times New Roman" w:cs="Times New Roman"/>
          <w:b/>
          <w:bCs/>
          <w:sz w:val="24"/>
        </w:rPr>
        <w:t xml:space="preserve">(related to Figure </w:t>
      </w:r>
      <w:r>
        <w:rPr>
          <w:rFonts w:ascii="Times New Roman" w:hAnsi="Times New Roman" w:cs="Times New Roman"/>
          <w:b/>
          <w:bCs/>
          <w:sz w:val="24"/>
        </w:rPr>
        <w:t>3</w:t>
      </w:r>
      <w:r>
        <w:rPr>
          <w:rFonts w:hint="eastAsia" w:ascii="Times New Roman" w:hAnsi="Times New Roman" w:cs="Times New Roman"/>
          <w:b/>
          <w:bCs/>
          <w:sz w:val="24"/>
        </w:rPr>
        <w:t xml:space="preserve">) </w:t>
      </w:r>
      <w:r>
        <w:rPr>
          <w:rFonts w:ascii="Times New Roman" w:hAnsi="Times New Roman" w:cs="Times New Roman"/>
          <w:b/>
          <w:bCs/>
          <w:sz w:val="24"/>
        </w:rPr>
        <w:t xml:space="preserve">HLTF </w:t>
      </w:r>
      <w:r>
        <w:rPr>
          <w:rFonts w:hint="eastAsia" w:ascii="Times New Roman" w:hAnsi="Times New Roman" w:cs="Times New Roman"/>
          <w:b/>
          <w:bCs/>
          <w:sz w:val="24"/>
        </w:rPr>
        <w:t>control the</w:t>
      </w:r>
      <w:r>
        <w:rPr>
          <w:rFonts w:ascii="Times New Roman" w:hAnsi="Times New Roman" w:cs="Times New Roman"/>
          <w:b/>
          <w:bCs/>
          <w:sz w:val="24"/>
        </w:rPr>
        <w:t xml:space="preserve"> CTL activity</w:t>
      </w:r>
      <w:r>
        <w:rPr>
          <w:rFonts w:hint="eastAsia" w:ascii="Times New Roman" w:hAnsi="Times New Roman" w:cs="Times New Roman"/>
          <w:b/>
          <w:bCs/>
          <w:sz w:val="24"/>
        </w:rPr>
        <w:t xml:space="preserve"> to anti-tumor</w:t>
      </w:r>
      <w:r>
        <w:rPr>
          <w:rFonts w:ascii="Times New Roman" w:hAnsi="Times New Roman" w:cs="Times New Roman"/>
          <w:b/>
          <w:bCs/>
          <w:sz w:val="24"/>
        </w:rPr>
        <w:t xml:space="preserve"> in vivo and in vitro.</w:t>
      </w:r>
      <w:r>
        <w:rPr>
          <w:rFonts w:hint="eastAsia" w:ascii="Times New Roman" w:hAnsi="Times New Roman" w:cs="Times New Roman"/>
          <w:b/>
          <w:bCs/>
          <w:sz w:val="24"/>
        </w:rPr>
        <w:t xml:space="preserve"> </w:t>
      </w:r>
      <w:r>
        <w:rPr>
          <w:rFonts w:ascii="Times New Roman" w:hAnsi="Times New Roman" w:cs="Times New Roman"/>
          <w:sz w:val="24"/>
        </w:rPr>
        <w:t>(</w:t>
      </w:r>
      <w:r>
        <w:rPr>
          <w:rFonts w:ascii="Times New Roman" w:hAnsi="Times New Roman" w:cs="Times New Roman"/>
          <w:b/>
          <w:bCs/>
          <w:sz w:val="24"/>
        </w:rPr>
        <w:t>A</w:t>
      </w:r>
      <w:r>
        <w:rPr>
          <w:rFonts w:ascii="Times New Roman" w:hAnsi="Times New Roman" w:cs="Times New Roman"/>
          <w:sz w:val="24"/>
        </w:rPr>
        <w:t xml:space="preserve">) </w:t>
      </w:r>
      <w:r>
        <w:rPr>
          <w:rFonts w:hint="eastAsia" w:ascii="Times New Roman" w:hAnsi="Times New Roman" w:cs="Times New Roman"/>
          <w:sz w:val="24"/>
        </w:rPr>
        <w:t xml:space="preserve">No significant difference of average DNA methylation level at promoter of CD137L between tumor and normal samples. Density plot showed the distribution of average DNA methylation level at promoter. Bar plot showed the average average DNA methylation level in two groups. Wilcoxon rank sum test was performed. </w:t>
      </w:r>
      <w:r>
        <w:rPr>
          <w:rFonts w:ascii="Times New Roman" w:hAnsi="Times New Roman" w:cs="Times New Roman"/>
          <w:sz w:val="24"/>
        </w:rPr>
        <w:t>(</w:t>
      </w:r>
      <w:r>
        <w:rPr>
          <w:rFonts w:ascii="Times New Roman" w:hAnsi="Times New Roman" w:cs="Times New Roman"/>
          <w:b/>
          <w:bCs/>
          <w:sz w:val="24"/>
        </w:rPr>
        <w:t>B</w:t>
      </w:r>
      <w:r>
        <w:rPr>
          <w:rFonts w:ascii="Times New Roman" w:hAnsi="Times New Roman" w:cs="Times New Roman"/>
          <w:sz w:val="24"/>
        </w:rPr>
        <w:t>) Schematic of the DNA-pull Down reaction used for the detection of CD137L promoter binding proteins. (</w:t>
      </w:r>
      <w:r>
        <w:rPr>
          <w:rFonts w:ascii="Times New Roman" w:hAnsi="Times New Roman" w:cs="Times New Roman"/>
          <w:b/>
          <w:bCs/>
          <w:sz w:val="24"/>
        </w:rPr>
        <w:t>C</w:t>
      </w:r>
      <w:r>
        <w:rPr>
          <w:rFonts w:ascii="Times New Roman" w:hAnsi="Times New Roman" w:cs="Times New Roman"/>
          <w:sz w:val="24"/>
        </w:rPr>
        <w:t xml:space="preserve">) </w:t>
      </w:r>
      <w:r>
        <w:rPr>
          <w:rFonts w:ascii="Times New Roman" w:hAnsi="Times New Roman" w:cs="Times New Roman"/>
        </w:rPr>
        <w:t>S</w:t>
      </w:r>
      <w:r>
        <w:rPr>
          <w:rFonts w:ascii="Times New Roman" w:hAnsi="Times New Roman" w:cs="Times New Roman"/>
          <w:sz w:val="24"/>
        </w:rPr>
        <w:t>econdary mass spectral profile of the</w:t>
      </w:r>
      <w:r>
        <w:rPr>
          <w:rFonts w:hint="eastAsia" w:ascii="Times New Roman" w:hAnsi="Times New Roman" w:cs="Times New Roman"/>
          <w:sz w:val="24"/>
        </w:rPr>
        <w:t xml:space="preserve"> HLTF in the bands for LSC/MS analysis.</w:t>
      </w:r>
      <w:r>
        <w:rPr>
          <w:rFonts w:ascii="Times New Roman" w:hAnsi="Times New Roman" w:cs="Times New Roman"/>
          <w:sz w:val="24"/>
        </w:rPr>
        <w:t xml:space="preserve"> (</w:t>
      </w:r>
      <w:r>
        <w:rPr>
          <w:rFonts w:ascii="Times New Roman" w:hAnsi="Times New Roman" w:cs="Times New Roman"/>
          <w:b/>
          <w:bCs/>
          <w:sz w:val="24"/>
        </w:rPr>
        <w:t>D</w:t>
      </w:r>
      <w:r>
        <w:rPr>
          <w:rFonts w:ascii="Times New Roman" w:hAnsi="Times New Roman" w:cs="Times New Roman"/>
          <w:sz w:val="24"/>
        </w:rPr>
        <w:t xml:space="preserve">) </w:t>
      </w:r>
      <w:r>
        <w:rPr>
          <w:rFonts w:hint="eastAsia" w:ascii="Times New Roman" w:hAnsi="Times New Roman" w:cs="Times New Roman"/>
          <w:sz w:val="24"/>
        </w:rPr>
        <w:t xml:space="preserve">Expression level of CD137L </w:t>
      </w:r>
      <w:r>
        <w:rPr>
          <w:rFonts w:ascii="Times New Roman" w:hAnsi="Times New Roman" w:cs="Times New Roman"/>
          <w:sz w:val="24"/>
        </w:rPr>
        <w:t>in melanoma</w:t>
      </w:r>
      <w:r>
        <w:rPr>
          <w:rFonts w:hint="eastAsia" w:ascii="Times New Roman" w:hAnsi="Times New Roman" w:cs="Times New Roman"/>
          <w:sz w:val="24"/>
        </w:rPr>
        <w:t xml:space="preserve"> using single cell </w:t>
      </w:r>
      <w:r>
        <w:rPr>
          <w:rFonts w:ascii="Times New Roman" w:hAnsi="Times New Roman" w:cs="Times New Roman"/>
          <w:sz w:val="24"/>
        </w:rPr>
        <w:t>transcriptomic</w:t>
      </w:r>
      <w:r>
        <w:rPr>
          <w:rFonts w:hint="eastAsia" w:ascii="Times New Roman" w:hAnsi="Times New Roman" w:cs="Times New Roman"/>
          <w:sz w:val="24"/>
        </w:rPr>
        <w:t xml:space="preserve"> data. T</w:t>
      </w:r>
      <w:r>
        <w:rPr>
          <w:rFonts w:ascii="Times New Roman" w:hAnsi="Times New Roman" w:cs="Times New Roman"/>
          <w:sz w:val="24"/>
        </w:rPr>
        <w:t xml:space="preserve">he annotation </w:t>
      </w:r>
      <w:r>
        <w:rPr>
          <w:rFonts w:hint="eastAsia" w:ascii="Times New Roman" w:hAnsi="Times New Roman" w:cs="Times New Roman"/>
          <w:sz w:val="24"/>
        </w:rPr>
        <w:t>of each cell cluster, and expression levels of CD137Lin different cell types were shown using VlnPlot.</w:t>
      </w:r>
      <w:r>
        <w:rPr>
          <w:rFonts w:ascii="Times New Roman" w:hAnsi="Times New Roman" w:cs="Times New Roman"/>
          <w:sz w:val="24"/>
        </w:rPr>
        <w:t xml:space="preserve"> (</w:t>
      </w:r>
      <w:r>
        <w:rPr>
          <w:rFonts w:ascii="Times New Roman" w:hAnsi="Times New Roman" w:cs="Times New Roman"/>
          <w:b/>
          <w:bCs/>
          <w:sz w:val="24"/>
        </w:rPr>
        <w:t>E</w:t>
      </w:r>
      <w:r>
        <w:rPr>
          <w:rFonts w:ascii="Times New Roman" w:hAnsi="Times New Roman" w:cs="Times New Roman"/>
          <w:sz w:val="24"/>
        </w:rPr>
        <w:t>) mRNA level of HLTF and CD137L with different</w:t>
      </w:r>
      <w:r>
        <w:rPr>
          <w:rFonts w:hint="eastAsia" w:ascii="Times New Roman" w:hAnsi="Times New Roman" w:cs="Times New Roman"/>
          <w:sz w:val="24"/>
        </w:rPr>
        <w:t xml:space="preserve"> </w:t>
      </w:r>
      <w:r>
        <w:rPr>
          <w:rFonts w:ascii="Times New Roman" w:hAnsi="Times New Roman" w:cs="Times New Roman"/>
          <w:sz w:val="24"/>
        </w:rPr>
        <w:t xml:space="preserve">sgRNA mediated knockout HLTF in A375 cells, Data represent mean ± SD. The protein level of HLTF and CD137L in sgRNA knockout HLTF cells. GAPDH sever as the loading control. </w:t>
      </w:r>
      <w:r>
        <w:rPr>
          <w:rFonts w:hint="eastAsia" w:ascii="Times New Roman" w:hAnsi="Times New Roman" w:cs="Times New Roman"/>
          <w:sz w:val="24"/>
        </w:rPr>
        <w:t>T</w:t>
      </w:r>
      <w:r>
        <w:rPr>
          <w:rFonts w:ascii="Times New Roman" w:hAnsi="Times New Roman" w:cs="Times New Roman"/>
          <w:sz w:val="24"/>
        </w:rPr>
        <w:t>he Membrane CD137L expression by flow cytometric analysis after sgRNA knockout HLTF</w:t>
      </w:r>
      <w:r>
        <w:rPr>
          <w:rFonts w:hint="eastAsia" w:ascii="Times New Roman" w:hAnsi="Times New Roman" w:cs="Times New Roman"/>
          <w:sz w:val="24"/>
        </w:rPr>
        <w:t xml:space="preserve">, </w:t>
      </w:r>
      <w:r>
        <w:rPr>
          <w:rFonts w:ascii="Times New Roman" w:hAnsi="Times New Roman" w:cs="Times New Roman"/>
          <w:sz w:val="24"/>
        </w:rPr>
        <w:t>Data represent mean ± SD. (</w:t>
      </w:r>
      <w:r>
        <w:rPr>
          <w:rFonts w:ascii="Times New Roman" w:hAnsi="Times New Roman" w:cs="Times New Roman"/>
          <w:b/>
          <w:bCs/>
          <w:sz w:val="24"/>
        </w:rPr>
        <w:t>F</w:t>
      </w:r>
      <w:r>
        <w:rPr>
          <w:rFonts w:ascii="Times New Roman" w:hAnsi="Times New Roman" w:cs="Times New Roman"/>
          <w:sz w:val="24"/>
        </w:rPr>
        <w:t xml:space="preserve">) </w:t>
      </w:r>
      <w:r>
        <w:rPr>
          <w:rFonts w:hint="eastAsia" w:ascii="Times New Roman" w:hAnsi="Times New Roman" w:cs="Times New Roman"/>
          <w:sz w:val="24"/>
        </w:rPr>
        <w:t>Boxplots represent the infiltration of immune cells across different groups. Samples were divided into two groups based on the gene expression of HLTF or CD137L. Wilcoxon rank-sum test were performed.</w:t>
      </w:r>
      <w:r>
        <w:rPr>
          <w:rFonts w:ascii="Times New Roman" w:hAnsi="Times New Roman" w:cs="Times New Roman"/>
          <w:sz w:val="24"/>
        </w:rPr>
        <w:t xml:space="preserve"> </w:t>
      </w:r>
      <w:bookmarkStart w:id="2" w:name="OLE_LINK7"/>
      <w:bookmarkStart w:id="3" w:name="OLE_LINK8"/>
      <w:r>
        <w:rPr>
          <w:rFonts w:ascii="Times New Roman" w:hAnsi="Times New Roman" w:cs="Times New Roman"/>
          <w:sz w:val="24"/>
          <w:vertAlign w:val="superscript"/>
        </w:rPr>
        <w:t>NS</w:t>
      </w:r>
      <w:r>
        <w:rPr>
          <w:rFonts w:ascii="Times New Roman" w:hAnsi="Times New Roman" w:cs="Times New Roman"/>
          <w:i/>
          <w:iCs/>
          <w:sz w:val="24"/>
        </w:rPr>
        <w:t>p</w:t>
      </w:r>
      <w:r>
        <w:rPr>
          <w:rFonts w:ascii="Times New Roman" w:hAnsi="Times New Roman" w:cs="Times New Roman"/>
          <w:sz w:val="24"/>
        </w:rPr>
        <w:t xml:space="preserve"> &gt; 0.05 ,</w:t>
      </w:r>
      <w:r>
        <w:rPr>
          <w:rFonts w:ascii="Times New Roman" w:hAnsi="Times New Roman" w:cs="Times New Roman"/>
          <w:sz w:val="24"/>
          <w:vertAlign w:val="superscript"/>
        </w:rPr>
        <w:t>*</w:t>
      </w:r>
      <w:r>
        <w:rPr>
          <w:rFonts w:ascii="Times New Roman" w:hAnsi="Times New Roman" w:cs="Times New Roman"/>
          <w:i/>
          <w:iCs/>
          <w:sz w:val="24"/>
        </w:rPr>
        <w:t>p</w:t>
      </w:r>
      <w:r>
        <w:rPr>
          <w:rFonts w:ascii="Times New Roman" w:hAnsi="Times New Roman" w:cs="Times New Roman"/>
          <w:sz w:val="24"/>
        </w:rPr>
        <w:t xml:space="preserve"> &lt; 0.05,</w:t>
      </w:r>
      <w:r>
        <w:rPr>
          <w:rFonts w:ascii="Times New Roman" w:hAnsi="Times New Roman" w:cs="Times New Roman"/>
          <w:sz w:val="24"/>
          <w:vertAlign w:val="superscript"/>
        </w:rPr>
        <w:t>**</w:t>
      </w:r>
      <w:r>
        <w:rPr>
          <w:rFonts w:ascii="Times New Roman" w:hAnsi="Times New Roman" w:cs="Times New Roman"/>
          <w:i/>
          <w:iCs/>
          <w:sz w:val="24"/>
        </w:rPr>
        <w:t>p</w:t>
      </w:r>
      <w:r>
        <w:rPr>
          <w:rFonts w:ascii="Times New Roman" w:hAnsi="Times New Roman" w:cs="Times New Roman"/>
          <w:sz w:val="24"/>
        </w:rPr>
        <w:t> &lt; 0.01,</w:t>
      </w:r>
      <w:r>
        <w:rPr>
          <w:rFonts w:hint="eastAsia" w:ascii="Times New Roman" w:hAnsi="Times New Roman" w:cs="Times New Roman"/>
          <w:sz w:val="24"/>
        </w:rPr>
        <w:t xml:space="preserve"> </w:t>
      </w:r>
      <w:r>
        <w:rPr>
          <w:rFonts w:ascii="Times New Roman" w:hAnsi="Times New Roman" w:cs="Times New Roman"/>
          <w:sz w:val="24"/>
          <w:vertAlign w:val="superscript"/>
        </w:rPr>
        <w:t>***</w:t>
      </w:r>
      <w:r>
        <w:rPr>
          <w:rFonts w:ascii="Times New Roman" w:hAnsi="Times New Roman" w:cs="Times New Roman"/>
          <w:i/>
          <w:iCs/>
          <w:sz w:val="24"/>
        </w:rPr>
        <w:t>p</w:t>
      </w:r>
      <w:r>
        <w:rPr>
          <w:rFonts w:ascii="Times New Roman" w:hAnsi="Times New Roman" w:cs="Times New Roman"/>
          <w:sz w:val="24"/>
        </w:rPr>
        <w:t> &lt; 0.</w:t>
      </w:r>
      <w:r>
        <w:rPr>
          <w:rFonts w:hint="eastAsia" w:ascii="Times New Roman" w:hAnsi="Times New Roman" w:cs="Times New Roman"/>
          <w:sz w:val="24"/>
        </w:rPr>
        <w:t>0</w:t>
      </w:r>
      <w:r>
        <w:rPr>
          <w:rFonts w:ascii="Times New Roman" w:hAnsi="Times New Roman" w:cs="Times New Roman"/>
          <w:sz w:val="24"/>
        </w:rPr>
        <w:t>01.</w:t>
      </w:r>
    </w:p>
    <w:bookmarkEnd w:id="2"/>
    <w:bookmarkEnd w:id="3"/>
    <w:p>
      <w:pPr>
        <w:spacing w:line="360" w:lineRule="auto"/>
        <w:rPr>
          <w:rFonts w:ascii="Times New Roman" w:hAnsi="Times New Roman" w:cs="Times New Roman"/>
          <w:sz w:val="24"/>
        </w:rPr>
      </w:pPr>
    </w:p>
    <w:p>
      <w:pPr>
        <w:spacing w:line="360" w:lineRule="auto"/>
        <w:rPr>
          <w:rFonts w:ascii="Times New Roman" w:hAnsi="Times New Roman" w:cs="Times New Roman"/>
          <w:sz w:val="24"/>
        </w:rPr>
      </w:pPr>
    </w:p>
    <w:p>
      <w:pPr>
        <w:spacing w:line="360" w:lineRule="auto"/>
        <w:rPr>
          <w:rFonts w:ascii="Times New Roman" w:hAnsi="Times New Roman" w:cs="Times New Roman"/>
          <w:sz w:val="24"/>
        </w:rPr>
      </w:pPr>
    </w:p>
    <w:p>
      <w:pPr>
        <w:spacing w:line="360" w:lineRule="auto"/>
        <w:rPr>
          <w:rFonts w:ascii="Times New Roman" w:hAnsi="Times New Roman" w:cs="Times New Roman"/>
          <w:sz w:val="24"/>
        </w:rPr>
      </w:pPr>
    </w:p>
    <w:p>
      <w:pPr>
        <w:widowControl/>
        <w:numPr>
          <w:ilvl w:val="255"/>
          <w:numId w:val="0"/>
        </w:numPr>
        <w:spacing w:line="360" w:lineRule="auto"/>
        <w:jc w:val="left"/>
        <w:rPr>
          <w:rFonts w:ascii="Times New Roman" w:hAnsi="Times New Roman" w:cs="Times New Roman"/>
          <w:sz w:val="24"/>
        </w:rPr>
      </w:pPr>
      <w:r>
        <w:rPr>
          <w:rFonts w:ascii="Times New Roman" w:hAnsi="Times New Roman" w:cs="Times New Roman"/>
          <w:sz w:val="24"/>
        </w:rPr>
        <w:br w:type="page"/>
      </w:r>
    </w:p>
    <w:p>
      <w:pPr>
        <w:spacing w:line="360" w:lineRule="auto"/>
        <w:rPr>
          <w:rFonts w:ascii="Times New Roman" w:hAnsi="Times New Roman" w:cs="Times New Roman"/>
          <w:sz w:val="24"/>
        </w:rPr>
      </w:pPr>
      <w:r>
        <w:rPr>
          <w:rFonts w:ascii="Times New Roman" w:hAnsi="Times New Roman" w:cs="Times New Roman"/>
          <w:sz w:val="24"/>
        </w:rPr>
        <w:drawing>
          <wp:inline distT="0" distB="0" distL="114300" distR="114300">
            <wp:extent cx="5273040" cy="7059295"/>
            <wp:effectExtent l="0" t="0" r="10160" b="1905"/>
            <wp:docPr id="3" name="图片 3" descr="Fig-3_sup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Fig-3_sup3"/>
                    <pic:cNvPicPr>
                      <a:picLocks noChangeAspect="1"/>
                    </pic:cNvPicPr>
                  </pic:nvPicPr>
                  <pic:blipFill>
                    <a:blip r:embed="rId6"/>
                    <a:stretch>
                      <a:fillRect/>
                    </a:stretch>
                  </pic:blipFill>
                  <pic:spPr>
                    <a:xfrm>
                      <a:off x="0" y="0"/>
                      <a:ext cx="5273040" cy="7059295"/>
                    </a:xfrm>
                    <a:prstGeom prst="rect">
                      <a:avLst/>
                    </a:prstGeom>
                  </pic:spPr>
                </pic:pic>
              </a:graphicData>
            </a:graphic>
          </wp:inline>
        </w:drawing>
      </w:r>
    </w:p>
    <w:p>
      <w:pPr>
        <w:spacing w:line="360" w:lineRule="auto"/>
        <w:rPr>
          <w:rFonts w:ascii="Times New Roman" w:hAnsi="Times New Roman" w:cs="Times New Roman"/>
          <w:b/>
          <w:bCs/>
          <w:sz w:val="24"/>
        </w:rPr>
      </w:pPr>
      <w:r>
        <w:rPr>
          <w:rFonts w:ascii="Times New Roman" w:hAnsi="Times New Roman" w:cs="Times New Roman"/>
          <w:b/>
          <w:bCs/>
          <w:sz w:val="24"/>
        </w:rPr>
        <w:t>Fig</w:t>
      </w:r>
      <w:r>
        <w:rPr>
          <w:rFonts w:hint="eastAsia" w:ascii="Times New Roman" w:hAnsi="Times New Roman" w:cs="Times New Roman"/>
          <w:b/>
          <w:bCs/>
          <w:sz w:val="24"/>
        </w:rPr>
        <w:t>ure</w:t>
      </w:r>
      <w:r>
        <w:rPr>
          <w:rFonts w:ascii="Times New Roman" w:hAnsi="Times New Roman" w:cs="Times New Roman"/>
          <w:b/>
          <w:bCs/>
          <w:sz w:val="24"/>
        </w:rPr>
        <w:t xml:space="preserve"> S</w:t>
      </w:r>
      <w:r>
        <w:rPr>
          <w:rFonts w:hint="eastAsia" w:ascii="Times New Roman" w:hAnsi="Times New Roman" w:cs="Times New Roman"/>
          <w:b/>
          <w:bCs/>
          <w:sz w:val="24"/>
          <w:lang w:val="en-US" w:eastAsia="zh-CN"/>
        </w:rPr>
        <w:t>3</w:t>
      </w:r>
      <w:r>
        <w:rPr>
          <w:rFonts w:hint="eastAsia" w:ascii="Times New Roman" w:hAnsi="Times New Roman" w:cs="Times New Roman"/>
          <w:b/>
          <w:bCs/>
          <w:sz w:val="24"/>
        </w:rPr>
        <w:t xml:space="preserve">. (related to Figure 3) Knockdown </w:t>
      </w:r>
      <w:r>
        <w:rPr>
          <w:rFonts w:ascii="Times New Roman" w:hAnsi="Times New Roman" w:cs="Times New Roman"/>
          <w:b/>
          <w:bCs/>
          <w:sz w:val="24"/>
        </w:rPr>
        <w:t xml:space="preserve">HLTF </w:t>
      </w:r>
      <w:r>
        <w:rPr>
          <w:rFonts w:hint="eastAsia" w:ascii="Times New Roman" w:hAnsi="Times New Roman" w:cs="Times New Roman"/>
          <w:b/>
          <w:bCs/>
          <w:sz w:val="24"/>
        </w:rPr>
        <w:t>enhance the</w:t>
      </w:r>
      <w:r>
        <w:rPr>
          <w:rFonts w:ascii="Times New Roman" w:hAnsi="Times New Roman" w:cs="Times New Roman"/>
          <w:b/>
          <w:bCs/>
          <w:sz w:val="24"/>
        </w:rPr>
        <w:t xml:space="preserve"> CTL activity</w:t>
      </w:r>
      <w:r>
        <w:rPr>
          <w:rFonts w:hint="eastAsia" w:ascii="Times New Roman" w:hAnsi="Times New Roman" w:cs="Times New Roman"/>
          <w:b/>
          <w:bCs/>
          <w:sz w:val="24"/>
        </w:rPr>
        <w:t xml:space="preserve"> to anti-tumor</w:t>
      </w:r>
      <w:r>
        <w:rPr>
          <w:rFonts w:ascii="Times New Roman" w:hAnsi="Times New Roman" w:cs="Times New Roman"/>
          <w:b/>
          <w:bCs/>
          <w:sz w:val="24"/>
        </w:rPr>
        <w:t xml:space="preserve"> in vivo</w:t>
      </w:r>
      <w:r>
        <w:rPr>
          <w:rFonts w:hint="eastAsia" w:ascii="Times New Roman" w:hAnsi="Times New Roman" w:cs="Times New Roman"/>
          <w:b/>
          <w:bCs/>
          <w:sz w:val="24"/>
        </w:rPr>
        <w:t xml:space="preserve">. </w:t>
      </w:r>
    </w:p>
    <w:p>
      <w:pPr>
        <w:spacing w:line="360" w:lineRule="auto"/>
        <w:rPr>
          <w:rFonts w:ascii="Times New Roman" w:hAnsi="Times New Roman" w:cs="Times New Roman"/>
          <w:sz w:val="24"/>
        </w:rPr>
      </w:pPr>
      <w:r>
        <w:rPr>
          <w:rFonts w:ascii="Times New Roman" w:hAnsi="Times New Roman" w:cs="Times New Roman"/>
          <w:sz w:val="24"/>
        </w:rPr>
        <w:t>(</w:t>
      </w:r>
      <w:r>
        <w:rPr>
          <w:rFonts w:hint="eastAsia" w:ascii="Times New Roman" w:hAnsi="Times New Roman" w:cs="Times New Roman"/>
          <w:b/>
          <w:bCs/>
          <w:sz w:val="24"/>
        </w:rPr>
        <w:t>A</w:t>
      </w:r>
      <w:r>
        <w:rPr>
          <w:rFonts w:ascii="Times New Roman" w:hAnsi="Times New Roman" w:cs="Times New Roman"/>
          <w:sz w:val="24"/>
        </w:rPr>
        <w:t>)</w:t>
      </w:r>
      <w:r>
        <w:rPr>
          <w:rFonts w:hint="eastAsia" w:ascii="Times New Roman" w:hAnsi="Times New Roman" w:cs="Times New Roman"/>
          <w:sz w:val="24"/>
        </w:rPr>
        <w:t xml:space="preserve"> </w:t>
      </w:r>
      <w:r>
        <w:rPr>
          <w:rFonts w:ascii="Times New Roman" w:hAnsi="Times New Roman" w:cs="Times New Roman"/>
          <w:sz w:val="24"/>
        </w:rPr>
        <w:t xml:space="preserve">The representative Western Blotting for CRISPR/Cas9 mediated HLTF </w:t>
      </w:r>
      <w:r>
        <w:rPr>
          <w:rFonts w:hint="eastAsia" w:ascii="Times New Roman" w:hAnsi="Times New Roman" w:cs="Times New Roman"/>
          <w:sz w:val="24"/>
        </w:rPr>
        <w:t>k</w:t>
      </w:r>
      <w:r>
        <w:rPr>
          <w:rFonts w:ascii="Times New Roman" w:hAnsi="Times New Roman" w:cs="Times New Roman"/>
          <w:sz w:val="24"/>
        </w:rPr>
        <w:t xml:space="preserve">nockout </w:t>
      </w:r>
      <w:r>
        <w:rPr>
          <w:rFonts w:hint="eastAsia" w:ascii="Times New Roman" w:hAnsi="Times New Roman" w:cs="Times New Roman"/>
          <w:sz w:val="24"/>
        </w:rPr>
        <w:t xml:space="preserve">and shRNA mediated HLTF knockdwon, </w:t>
      </w:r>
      <w:r>
        <w:rPr>
          <w:rFonts w:ascii="Times New Roman" w:hAnsi="Times New Roman" w:cs="Times New Roman"/>
          <w:sz w:val="24"/>
        </w:rPr>
        <w:t>in B16F10 cells.</w:t>
      </w:r>
      <w:r>
        <w:rPr>
          <w:rFonts w:hint="eastAsia" w:ascii="Times New Roman" w:hAnsi="Times New Roman" w:cs="Times New Roman"/>
          <w:sz w:val="24"/>
        </w:rPr>
        <w:t xml:space="preserve"> </w:t>
      </w:r>
      <w:r>
        <w:rPr>
          <w:rFonts w:ascii="Times New Roman" w:hAnsi="Times New Roman" w:cs="Times New Roman"/>
          <w:sz w:val="24"/>
        </w:rPr>
        <w:t>(</w:t>
      </w:r>
      <w:r>
        <w:rPr>
          <w:rFonts w:hint="eastAsia" w:ascii="Times New Roman" w:hAnsi="Times New Roman" w:cs="Times New Roman"/>
          <w:b/>
          <w:bCs/>
          <w:sz w:val="24"/>
        </w:rPr>
        <w:t>B</w:t>
      </w:r>
      <w:r>
        <w:rPr>
          <w:rFonts w:ascii="Times New Roman" w:hAnsi="Times New Roman" w:cs="Times New Roman"/>
          <w:sz w:val="24"/>
        </w:rPr>
        <w:t>)</w:t>
      </w:r>
      <w:r>
        <w:rPr>
          <w:rFonts w:hint="eastAsia" w:ascii="Times New Roman" w:hAnsi="Times New Roman" w:cs="Times New Roman"/>
          <w:sz w:val="24"/>
        </w:rPr>
        <w:t xml:space="preserve"> </w:t>
      </w:r>
      <w:r>
        <w:rPr>
          <w:rFonts w:ascii="Times New Roman" w:hAnsi="Times New Roman" w:cs="Times New Roman"/>
          <w:sz w:val="24"/>
        </w:rPr>
        <w:t>HLTF knockout B16F10 cells were implanted in C57BL/6 mice. Body weight was measured in indicated time points. (</w:t>
      </w:r>
      <w:r>
        <w:rPr>
          <w:rFonts w:hint="eastAsia" w:ascii="Times New Roman" w:hAnsi="Times New Roman" w:cs="Times New Roman"/>
          <w:b/>
          <w:bCs/>
          <w:sz w:val="24"/>
        </w:rPr>
        <w:t>C</w:t>
      </w:r>
      <w:r>
        <w:rPr>
          <w:rFonts w:ascii="Times New Roman" w:hAnsi="Times New Roman" w:cs="Times New Roman"/>
          <w:sz w:val="24"/>
        </w:rPr>
        <w:t>)</w:t>
      </w:r>
      <w:r>
        <w:rPr>
          <w:rFonts w:hint="eastAsia" w:ascii="Times New Roman" w:hAnsi="Times New Roman" w:cs="Times New Roman"/>
          <w:sz w:val="24"/>
        </w:rPr>
        <w:t xml:space="preserve"> </w:t>
      </w:r>
      <w:r>
        <w:rPr>
          <w:rFonts w:ascii="Times New Roman" w:hAnsi="Times New Roman" w:cs="Times New Roman"/>
          <w:sz w:val="24"/>
        </w:rPr>
        <w:t>Representative flow staining of CD45</w:t>
      </w:r>
      <w:r>
        <w:rPr>
          <w:rFonts w:ascii="Times New Roman" w:hAnsi="Times New Roman" w:cs="Times New Roman"/>
          <w:sz w:val="24"/>
          <w:vertAlign w:val="superscript"/>
        </w:rPr>
        <w:t xml:space="preserve">- </w:t>
      </w:r>
      <w:r>
        <w:rPr>
          <w:rFonts w:ascii="Times New Roman" w:hAnsi="Times New Roman" w:cs="Times New Roman"/>
          <w:sz w:val="24"/>
        </w:rPr>
        <w:t>CD137L</w:t>
      </w:r>
      <w:r>
        <w:rPr>
          <w:rFonts w:ascii="Times New Roman" w:hAnsi="Times New Roman" w:cs="Times New Roman"/>
          <w:sz w:val="24"/>
          <w:vertAlign w:val="superscript"/>
        </w:rPr>
        <w:t xml:space="preserve">+ </w:t>
      </w:r>
      <w:r>
        <w:rPr>
          <w:rFonts w:ascii="Times New Roman" w:hAnsi="Times New Roman" w:cs="Times New Roman"/>
          <w:sz w:val="24"/>
        </w:rPr>
        <w:t>cells, CD3</w:t>
      </w:r>
      <w:r>
        <w:rPr>
          <w:rFonts w:ascii="Times New Roman" w:hAnsi="Times New Roman" w:cs="Times New Roman"/>
          <w:sz w:val="24"/>
          <w:vertAlign w:val="superscript"/>
        </w:rPr>
        <w:t>+</w:t>
      </w:r>
      <w:r>
        <w:rPr>
          <w:rFonts w:hint="eastAsia" w:ascii="Times New Roman" w:hAnsi="Times New Roman" w:cs="Times New Roman"/>
          <w:sz w:val="24"/>
        </w:rPr>
        <w:t xml:space="preserve"> </w:t>
      </w:r>
      <w:r>
        <w:rPr>
          <w:rFonts w:ascii="Times New Roman" w:hAnsi="Times New Roman" w:cs="Times New Roman"/>
          <w:sz w:val="24"/>
        </w:rPr>
        <w:t>CD8</w:t>
      </w:r>
      <w:r>
        <w:rPr>
          <w:rFonts w:hint="eastAsia" w:ascii="Times New Roman" w:hAnsi="Times New Roman" w:cs="Times New Roman"/>
          <w:sz w:val="24"/>
        </w:rPr>
        <w:t xml:space="preserve"> </w:t>
      </w:r>
      <w:r>
        <w:rPr>
          <w:rFonts w:ascii="Times New Roman" w:hAnsi="Times New Roman" w:cs="Times New Roman"/>
          <w:sz w:val="24"/>
          <w:vertAlign w:val="superscript"/>
        </w:rPr>
        <w:t xml:space="preserve">+ </w:t>
      </w:r>
      <w:r>
        <w:rPr>
          <w:rFonts w:ascii="Times New Roman" w:hAnsi="Times New Roman" w:cs="Times New Roman"/>
          <w:sz w:val="24"/>
        </w:rPr>
        <w:t>T cells and CD8</w:t>
      </w:r>
      <w:r>
        <w:rPr>
          <w:rFonts w:ascii="Times New Roman" w:hAnsi="Times New Roman" w:cs="Times New Roman"/>
          <w:sz w:val="24"/>
          <w:vertAlign w:val="superscript"/>
        </w:rPr>
        <w:t>+</w:t>
      </w:r>
      <w:r>
        <w:rPr>
          <w:rFonts w:ascii="Times New Roman" w:hAnsi="Times New Roman" w:cs="Times New Roman"/>
          <w:sz w:val="24"/>
        </w:rPr>
        <w:t>GZMB</w:t>
      </w:r>
      <w:r>
        <w:rPr>
          <w:rFonts w:ascii="Times New Roman" w:hAnsi="Times New Roman" w:cs="Times New Roman"/>
          <w:sz w:val="24"/>
          <w:vertAlign w:val="superscript"/>
        </w:rPr>
        <w:t>+</w:t>
      </w:r>
      <w:r>
        <w:rPr>
          <w:rFonts w:ascii="Times New Roman" w:hAnsi="Times New Roman" w:cs="Times New Roman"/>
          <w:sz w:val="24"/>
        </w:rPr>
        <w:t xml:space="preserve"> T cells in tumor xenograft of indicated groups Data represent mean ± SD.</w:t>
      </w:r>
      <w:r>
        <w:rPr>
          <w:rFonts w:hint="eastAsia" w:ascii="Times New Roman" w:hAnsi="Times New Roman" w:cs="Times New Roman"/>
          <w:sz w:val="24"/>
        </w:rPr>
        <w:t xml:space="preserve"> </w:t>
      </w:r>
      <w:r>
        <w:rPr>
          <w:rFonts w:ascii="Times New Roman" w:hAnsi="Times New Roman" w:cs="Times New Roman"/>
          <w:sz w:val="24"/>
        </w:rPr>
        <w:t>(</w:t>
      </w:r>
      <w:r>
        <w:rPr>
          <w:rFonts w:hint="eastAsia" w:ascii="Times New Roman" w:hAnsi="Times New Roman" w:cs="Times New Roman"/>
          <w:b/>
          <w:bCs/>
          <w:sz w:val="24"/>
        </w:rPr>
        <w:t>D</w:t>
      </w:r>
      <w:r>
        <w:rPr>
          <w:rFonts w:ascii="Times New Roman" w:hAnsi="Times New Roman" w:cs="Times New Roman"/>
          <w:sz w:val="24"/>
        </w:rPr>
        <w:t xml:space="preserve">) </w:t>
      </w:r>
      <w:r>
        <w:rPr>
          <w:rFonts w:hint="eastAsia" w:ascii="Times New Roman" w:hAnsi="Times New Roman" w:cs="Times New Roman"/>
          <w:sz w:val="24"/>
        </w:rPr>
        <w:t>T</w:t>
      </w:r>
      <w:r>
        <w:rPr>
          <w:rFonts w:ascii="Times New Roman" w:hAnsi="Times New Roman" w:cs="Times New Roman"/>
          <w:sz w:val="24"/>
        </w:rPr>
        <w:t xml:space="preserve">he representative Western Blotting for CRISPR/Cas9 mediated HLTF </w:t>
      </w:r>
      <w:r>
        <w:rPr>
          <w:rFonts w:hint="eastAsia" w:ascii="Times New Roman" w:hAnsi="Times New Roman" w:cs="Times New Roman"/>
          <w:sz w:val="24"/>
        </w:rPr>
        <w:t>k</w:t>
      </w:r>
      <w:r>
        <w:rPr>
          <w:rFonts w:ascii="Times New Roman" w:hAnsi="Times New Roman" w:cs="Times New Roman"/>
          <w:sz w:val="24"/>
        </w:rPr>
        <w:t xml:space="preserve">nockout </w:t>
      </w:r>
      <w:r>
        <w:rPr>
          <w:rFonts w:hint="eastAsia" w:ascii="Times New Roman" w:hAnsi="Times New Roman" w:cs="Times New Roman"/>
          <w:sz w:val="24"/>
        </w:rPr>
        <w:t xml:space="preserve">and shRNA mediated HLTF knockdwon, </w:t>
      </w:r>
      <w:r>
        <w:rPr>
          <w:rFonts w:ascii="Times New Roman" w:hAnsi="Times New Roman" w:cs="Times New Roman"/>
          <w:sz w:val="24"/>
        </w:rPr>
        <w:t>in B16F10 cells. .</w:t>
      </w:r>
      <w:r>
        <w:rPr>
          <w:rFonts w:hint="eastAsia" w:ascii="Times New Roman" w:hAnsi="Times New Roman" w:cs="Times New Roman"/>
          <w:sz w:val="24"/>
        </w:rPr>
        <w:t xml:space="preserve"> </w:t>
      </w:r>
      <w:r>
        <w:rPr>
          <w:rFonts w:ascii="Times New Roman" w:hAnsi="Times New Roman" w:cs="Times New Roman"/>
          <w:sz w:val="24"/>
        </w:rPr>
        <w:t>(</w:t>
      </w:r>
      <w:r>
        <w:rPr>
          <w:rFonts w:hint="eastAsia" w:ascii="Times New Roman" w:hAnsi="Times New Roman" w:cs="Times New Roman"/>
          <w:b/>
          <w:bCs/>
          <w:sz w:val="24"/>
        </w:rPr>
        <w:t>E</w:t>
      </w:r>
      <w:r>
        <w:rPr>
          <w:rFonts w:ascii="Times New Roman" w:hAnsi="Times New Roman" w:cs="Times New Roman"/>
          <w:sz w:val="24"/>
        </w:rPr>
        <w:t>)</w:t>
      </w:r>
      <w:r>
        <w:rPr>
          <w:rFonts w:ascii="Times New Roman" w:hAnsi="Times New Roman" w:cs="Times New Roman"/>
          <w:b/>
          <w:bCs/>
          <w:sz w:val="24"/>
        </w:rPr>
        <w:t xml:space="preserve"> </w:t>
      </w:r>
      <w:r>
        <w:rPr>
          <w:rFonts w:hint="eastAsia" w:ascii="Times New Roman" w:hAnsi="Times New Roman" w:cs="Times New Roman"/>
          <w:sz w:val="24"/>
        </w:rPr>
        <w:t>s</w:t>
      </w:r>
      <w:r>
        <w:rPr>
          <w:rFonts w:ascii="Times New Roman" w:hAnsi="Times New Roman" w:cs="Times New Roman"/>
          <w:sz w:val="24"/>
        </w:rPr>
        <w:t>hRNA knockdown HLTF and control cells were implanted in C57BL/6 mice. Body weight was measured on indicated time points.</w:t>
      </w:r>
      <w:r>
        <w:rPr>
          <w:rFonts w:hint="eastAsia" w:ascii="Times New Roman" w:hAnsi="Times New Roman" w:cs="Times New Roman"/>
          <w:sz w:val="24"/>
        </w:rPr>
        <w:t xml:space="preserve"> （</w:t>
      </w:r>
      <w:r>
        <w:rPr>
          <w:rFonts w:hint="eastAsia" w:ascii="Times New Roman" w:hAnsi="Times New Roman" w:cs="Times New Roman"/>
          <w:b/>
          <w:bCs/>
          <w:sz w:val="24"/>
        </w:rPr>
        <w:t>F</w:t>
      </w:r>
      <w:r>
        <w:rPr>
          <w:rFonts w:hint="eastAsia" w:ascii="Times New Roman" w:hAnsi="Times New Roman" w:cs="Times New Roman"/>
          <w:sz w:val="24"/>
        </w:rPr>
        <w:t>）</w:t>
      </w:r>
      <w:r>
        <w:rPr>
          <w:rFonts w:ascii="Times New Roman" w:hAnsi="Times New Roman" w:cs="Times New Roman"/>
          <w:sz w:val="24"/>
        </w:rPr>
        <w:t>The tumor volume was measured on indicated time points. Data represent mean ± SD</w:t>
      </w:r>
      <w:r>
        <w:rPr>
          <w:rFonts w:hint="eastAsia" w:ascii="Times New Roman" w:hAnsi="Times New Roman" w:cs="Times New Roman"/>
          <w:sz w:val="24"/>
        </w:rPr>
        <w:t>. （</w:t>
      </w:r>
      <w:r>
        <w:rPr>
          <w:rFonts w:hint="eastAsia" w:ascii="Times New Roman" w:hAnsi="Times New Roman" w:cs="Times New Roman"/>
          <w:b/>
          <w:bCs/>
          <w:sz w:val="24"/>
        </w:rPr>
        <w:t>G</w:t>
      </w:r>
      <w:r>
        <w:rPr>
          <w:rFonts w:hint="eastAsia" w:ascii="Times New Roman" w:hAnsi="Times New Roman" w:cs="Times New Roman"/>
          <w:sz w:val="24"/>
        </w:rPr>
        <w:t xml:space="preserve">） </w:t>
      </w:r>
      <w:r>
        <w:rPr>
          <w:rFonts w:ascii="Times New Roman" w:hAnsi="Times New Roman" w:cs="Times New Roman"/>
          <w:sz w:val="24"/>
        </w:rPr>
        <w:t>Representative images of the endpoint tumors in C57BL/6 mice. Tumor weight plotted as means ± SD. (n= 4 per group), Data represent mean ± SD. (</w:t>
      </w:r>
      <w:r>
        <w:rPr>
          <w:rFonts w:hint="eastAsia" w:ascii="Times New Roman" w:hAnsi="Times New Roman" w:cs="Times New Roman"/>
          <w:b/>
          <w:bCs/>
          <w:sz w:val="24"/>
        </w:rPr>
        <w:t>H</w:t>
      </w:r>
      <w:r>
        <w:rPr>
          <w:rFonts w:ascii="Times New Roman" w:hAnsi="Times New Roman" w:cs="Times New Roman"/>
          <w:sz w:val="24"/>
        </w:rPr>
        <w:t>)</w:t>
      </w:r>
      <w:r>
        <w:rPr>
          <w:rFonts w:ascii="Times New Roman" w:hAnsi="Times New Roman" w:cs="Times New Roman"/>
          <w:b/>
          <w:bCs/>
          <w:sz w:val="24"/>
        </w:rPr>
        <w:t xml:space="preserve"> </w:t>
      </w:r>
      <w:r>
        <w:rPr>
          <w:rFonts w:ascii="Times New Roman" w:hAnsi="Times New Roman" w:cs="Times New Roman"/>
          <w:sz w:val="24"/>
        </w:rPr>
        <w:t>Kaplan–Meier survival curves for the survival of mice bearing HLTF knock</w:t>
      </w:r>
      <w:r>
        <w:rPr>
          <w:rFonts w:hint="eastAsia" w:ascii="Times New Roman" w:hAnsi="Times New Roman" w:cs="Times New Roman"/>
          <w:sz w:val="24"/>
        </w:rPr>
        <w:t>down by different shRNA</w:t>
      </w:r>
      <w:r>
        <w:rPr>
          <w:rFonts w:ascii="Times New Roman" w:hAnsi="Times New Roman" w:cs="Times New Roman"/>
          <w:sz w:val="24"/>
        </w:rPr>
        <w:t xml:space="preserve"> or NC tumors. Significance was determined by the log-rank test (n = 5 mice per group). (</w:t>
      </w:r>
      <w:r>
        <w:rPr>
          <w:rFonts w:ascii="Times New Roman" w:hAnsi="Times New Roman" w:cs="Times New Roman"/>
          <w:b/>
          <w:bCs/>
          <w:sz w:val="24"/>
        </w:rPr>
        <w:t>I</w:t>
      </w:r>
      <w:r>
        <w:rPr>
          <w:rFonts w:ascii="Times New Roman" w:hAnsi="Times New Roman" w:cs="Times New Roman"/>
          <w:sz w:val="24"/>
        </w:rPr>
        <w:t>)</w:t>
      </w:r>
      <w:r>
        <w:rPr>
          <w:rFonts w:ascii="Times New Roman" w:hAnsi="Times New Roman" w:cs="Times New Roman"/>
          <w:b/>
          <w:bCs/>
          <w:sz w:val="24"/>
        </w:rPr>
        <w:t xml:space="preserve"> </w:t>
      </w:r>
      <w:r>
        <w:rPr>
          <w:rFonts w:ascii="Times New Roman" w:hAnsi="Times New Roman" w:cs="Times New Roman"/>
          <w:sz w:val="24"/>
        </w:rPr>
        <w:t>Representative flow staining (left panel) and frequency (right panel) of CD45- CD137L+ cells in tumor xenograft of indicated groups</w:t>
      </w:r>
      <w:r>
        <w:rPr>
          <w:rFonts w:hint="eastAsia" w:ascii="Times New Roman" w:hAnsi="Times New Roman" w:cs="Times New Roman"/>
          <w:sz w:val="24"/>
        </w:rPr>
        <w:t>.</w:t>
      </w:r>
      <w:r>
        <w:rPr>
          <w:rFonts w:ascii="Times New Roman" w:hAnsi="Times New Roman" w:cs="Times New Roman"/>
          <w:sz w:val="24"/>
        </w:rPr>
        <w:t xml:space="preserve"> (</w:t>
      </w:r>
      <w:r>
        <w:rPr>
          <w:rFonts w:ascii="Times New Roman" w:hAnsi="Times New Roman" w:cs="Times New Roman"/>
          <w:b/>
          <w:bCs/>
          <w:sz w:val="24"/>
        </w:rPr>
        <w:t>J</w:t>
      </w:r>
      <w:r>
        <w:rPr>
          <w:rFonts w:ascii="Times New Roman" w:hAnsi="Times New Roman" w:cs="Times New Roman"/>
          <w:sz w:val="24"/>
        </w:rPr>
        <w:t xml:space="preserve">) Representative images of flow staining (left panel) and frequency (right panel) of CD45+CD3+ CD8+ and GZMB+ CD8+ cells in tumor xenograft of indicated groups. Data represent mean ± SD . </w:t>
      </w:r>
      <w:r>
        <w:rPr>
          <w:rFonts w:ascii="Times New Roman" w:hAnsi="Times New Roman" w:cs="Times New Roman"/>
          <w:sz w:val="24"/>
          <w:vertAlign w:val="superscript"/>
        </w:rPr>
        <w:t>*</w:t>
      </w:r>
      <w:r>
        <w:rPr>
          <w:rFonts w:ascii="Times New Roman" w:hAnsi="Times New Roman" w:cs="Times New Roman"/>
          <w:i/>
          <w:iCs/>
          <w:sz w:val="24"/>
        </w:rPr>
        <w:t>p</w:t>
      </w:r>
      <w:r>
        <w:rPr>
          <w:rFonts w:ascii="Times New Roman" w:hAnsi="Times New Roman" w:cs="Times New Roman"/>
          <w:sz w:val="24"/>
        </w:rPr>
        <w:t xml:space="preserve"> &lt; 0.05; </w:t>
      </w:r>
      <w:r>
        <w:rPr>
          <w:rFonts w:ascii="Times New Roman" w:hAnsi="Times New Roman" w:cs="Times New Roman"/>
          <w:sz w:val="24"/>
          <w:vertAlign w:val="superscript"/>
        </w:rPr>
        <w:t>**</w:t>
      </w:r>
      <w:r>
        <w:rPr>
          <w:rFonts w:ascii="Times New Roman" w:hAnsi="Times New Roman" w:cs="Times New Roman"/>
          <w:i/>
          <w:iCs/>
          <w:sz w:val="24"/>
        </w:rPr>
        <w:t>p </w:t>
      </w:r>
      <w:r>
        <w:rPr>
          <w:rFonts w:ascii="Times New Roman" w:hAnsi="Times New Roman" w:cs="Times New Roman"/>
          <w:sz w:val="24"/>
        </w:rPr>
        <w:t xml:space="preserve">&lt; 0.01 </w:t>
      </w:r>
    </w:p>
    <w:p>
      <w:pPr>
        <w:numPr>
          <w:ilvl w:val="255"/>
          <w:numId w:val="0"/>
        </w:numPr>
        <w:spacing w:line="360" w:lineRule="auto"/>
        <w:rPr>
          <w:rFonts w:ascii="Times New Roman" w:hAnsi="Times New Roman" w:cs="Times New Roman"/>
          <w:sz w:val="24"/>
        </w:rPr>
      </w:pPr>
    </w:p>
    <w:p>
      <w:pPr>
        <w:numPr>
          <w:ilvl w:val="255"/>
          <w:numId w:val="0"/>
        </w:numPr>
        <w:spacing w:line="360" w:lineRule="auto"/>
        <w:rPr>
          <w:rFonts w:ascii="Times New Roman" w:hAnsi="Times New Roman" w:cs="Times New Roman"/>
          <w:sz w:val="24"/>
        </w:rPr>
      </w:pPr>
    </w:p>
    <w:p>
      <w:pPr>
        <w:spacing w:line="360" w:lineRule="auto"/>
        <w:jc w:val="center"/>
        <w:rPr>
          <w:rFonts w:ascii="Times New Roman" w:hAnsi="Times New Roman" w:cs="Times New Roman"/>
          <w:sz w:val="24"/>
        </w:rPr>
      </w:pPr>
      <w:r>
        <w:rPr>
          <w:rFonts w:ascii="Times New Roman" w:hAnsi="Times New Roman" w:cs="Times New Roman"/>
          <w:b/>
          <w:bCs/>
          <w:sz w:val="24"/>
        </w:rPr>
        <w:drawing>
          <wp:inline distT="0" distB="0" distL="114300" distR="114300">
            <wp:extent cx="5270500" cy="5255260"/>
            <wp:effectExtent l="0" t="0" r="0" b="2540"/>
            <wp:docPr id="5" name="图片 5" descr="Fig-4-sup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Fig-4-sup5"/>
                    <pic:cNvPicPr>
                      <a:picLocks noChangeAspect="1"/>
                    </pic:cNvPicPr>
                  </pic:nvPicPr>
                  <pic:blipFill>
                    <a:blip r:embed="rId7"/>
                    <a:stretch>
                      <a:fillRect/>
                    </a:stretch>
                  </pic:blipFill>
                  <pic:spPr>
                    <a:xfrm>
                      <a:off x="0" y="0"/>
                      <a:ext cx="5270500" cy="5255260"/>
                    </a:xfrm>
                    <a:prstGeom prst="rect">
                      <a:avLst/>
                    </a:prstGeom>
                  </pic:spPr>
                </pic:pic>
              </a:graphicData>
            </a:graphic>
          </wp:inline>
        </w:drawing>
      </w:r>
    </w:p>
    <w:p>
      <w:pPr>
        <w:spacing w:line="360" w:lineRule="auto"/>
        <w:rPr>
          <w:rFonts w:ascii="Times New Roman" w:hAnsi="Times New Roman"/>
          <w:b/>
          <w:i/>
          <w:sz w:val="24"/>
        </w:rPr>
      </w:pPr>
      <w:r>
        <w:rPr>
          <w:rFonts w:ascii="Times New Roman" w:hAnsi="Times New Roman" w:cs="Times New Roman"/>
          <w:b/>
          <w:bCs/>
          <w:sz w:val="24"/>
        </w:rPr>
        <w:t>Fig</w:t>
      </w:r>
      <w:r>
        <w:rPr>
          <w:rFonts w:hint="eastAsia" w:ascii="Times New Roman" w:hAnsi="Times New Roman" w:cs="Times New Roman"/>
          <w:b/>
          <w:bCs/>
          <w:sz w:val="24"/>
        </w:rPr>
        <w:t xml:space="preserve">ure </w:t>
      </w:r>
      <w:r>
        <w:rPr>
          <w:rFonts w:ascii="Times New Roman" w:hAnsi="Times New Roman" w:cs="Times New Roman"/>
          <w:b/>
          <w:bCs/>
          <w:sz w:val="24"/>
        </w:rPr>
        <w:t>S</w:t>
      </w:r>
      <w:r>
        <w:rPr>
          <w:rFonts w:hint="eastAsia" w:ascii="Times New Roman" w:hAnsi="Times New Roman" w:cs="Times New Roman"/>
          <w:b/>
          <w:bCs/>
          <w:sz w:val="24"/>
          <w:lang w:val="en-US" w:eastAsia="zh-CN"/>
        </w:rPr>
        <w:t>4</w:t>
      </w:r>
      <w:bookmarkStart w:id="5" w:name="_GoBack"/>
      <w:bookmarkEnd w:id="5"/>
      <w:r>
        <w:rPr>
          <w:rFonts w:hint="eastAsia" w:ascii="Times New Roman" w:hAnsi="Times New Roman" w:cs="Times New Roman"/>
          <w:b/>
          <w:bCs/>
          <w:sz w:val="24"/>
        </w:rPr>
        <w:t xml:space="preserve">. (related to Figure </w:t>
      </w:r>
      <w:r>
        <w:rPr>
          <w:rFonts w:ascii="Times New Roman" w:hAnsi="Times New Roman" w:cs="Times New Roman"/>
          <w:b/>
          <w:bCs/>
          <w:sz w:val="24"/>
        </w:rPr>
        <w:t>4</w:t>
      </w:r>
      <w:r>
        <w:rPr>
          <w:rFonts w:hint="eastAsia" w:ascii="Times New Roman" w:hAnsi="Times New Roman" w:cs="Times New Roman"/>
          <w:b/>
          <w:bCs/>
          <w:sz w:val="24"/>
        </w:rPr>
        <w:t>)</w:t>
      </w:r>
      <w:r>
        <w:rPr>
          <w:rFonts w:ascii="Times New Roman" w:hAnsi="Times New Roman" w:cs="Times New Roman"/>
          <w:b/>
          <w:bCs/>
          <w:sz w:val="24"/>
        </w:rPr>
        <w:t xml:space="preserve"> </w:t>
      </w:r>
      <w:r>
        <w:rPr>
          <w:rFonts w:hint="eastAsia" w:ascii="Times New Roman" w:hAnsi="Times New Roman" w:cs="Times New Roman"/>
          <w:b/>
          <w:bCs/>
          <w:sz w:val="24"/>
        </w:rPr>
        <w:t>RNA-seq analysis of AICAR-treated cells and the effect of AMPK agonists on CD137L and T-cell killing</w:t>
      </w:r>
      <w:r>
        <w:rPr>
          <w:rFonts w:ascii="Times New Roman" w:hAnsi="Times New Roman"/>
          <w:b/>
          <w:i/>
          <w:sz w:val="24"/>
        </w:rPr>
        <w:t>.</w:t>
      </w:r>
    </w:p>
    <w:p>
      <w:pPr>
        <w:spacing w:line="360" w:lineRule="auto"/>
        <w:rPr>
          <w:rFonts w:ascii="Times New Roman" w:hAnsi="Times New Roman" w:cs="Times New Roman"/>
          <w:sz w:val="24"/>
        </w:rPr>
      </w:pPr>
      <w:r>
        <w:rPr>
          <w:rFonts w:ascii="Times New Roman" w:hAnsi="Times New Roman"/>
          <w:b/>
          <w:iCs/>
          <w:sz w:val="24"/>
        </w:rPr>
        <w:t>(</w:t>
      </w:r>
      <w:r>
        <w:rPr>
          <w:rFonts w:hint="eastAsia" w:ascii="Times New Roman" w:hAnsi="Times New Roman"/>
          <w:b/>
          <w:iCs/>
          <w:sz w:val="24"/>
        </w:rPr>
        <w:t>A</w:t>
      </w:r>
      <w:r>
        <w:rPr>
          <w:rFonts w:ascii="Times New Roman" w:hAnsi="Times New Roman"/>
          <w:b/>
          <w:iCs/>
          <w:sz w:val="24"/>
        </w:rPr>
        <w:t>)</w:t>
      </w:r>
      <w:r>
        <w:rPr>
          <w:rFonts w:hint="eastAsia" w:ascii="Times New Roman" w:hAnsi="Times New Roman"/>
          <w:b/>
          <w:i/>
          <w:sz w:val="24"/>
        </w:rPr>
        <w:t xml:space="preserve"> </w:t>
      </w:r>
      <w:r>
        <w:rPr>
          <w:rFonts w:hint="eastAsia" w:ascii="Times New Roman" w:hAnsi="Times New Roman" w:cs="Times New Roman"/>
          <w:sz w:val="24"/>
        </w:rPr>
        <w:t xml:space="preserve">Function enrichment analysis revealed downstream pathway of AMPK using differential expressed genes between tumor cellline treated with and without AICAR. Color represent the significance level (BH-adjusted p&lt;0.05). </w:t>
      </w:r>
      <w:r>
        <w:rPr>
          <w:rFonts w:ascii="Times New Roman" w:hAnsi="Times New Roman" w:cs="Times New Roman"/>
          <w:sz w:val="24"/>
        </w:rPr>
        <w:t>(</w:t>
      </w:r>
      <w:r>
        <w:rPr>
          <w:rFonts w:hint="eastAsia" w:ascii="Times New Roman" w:hAnsi="Times New Roman" w:cs="Times New Roman"/>
          <w:b/>
          <w:bCs/>
          <w:sz w:val="24"/>
        </w:rPr>
        <w:t>B</w:t>
      </w:r>
      <w:r>
        <w:rPr>
          <w:rFonts w:ascii="Times New Roman" w:hAnsi="Times New Roman" w:cs="Times New Roman"/>
          <w:sz w:val="24"/>
        </w:rPr>
        <w:t>)</w:t>
      </w:r>
      <w:r>
        <w:rPr>
          <w:rFonts w:hint="eastAsia" w:ascii="Times New Roman" w:hAnsi="Times New Roman" w:cs="Times New Roman"/>
          <w:b/>
          <w:bCs/>
          <w:sz w:val="24"/>
        </w:rPr>
        <w:t xml:space="preserve"> </w:t>
      </w:r>
      <w:r>
        <w:rPr>
          <w:rFonts w:hint="eastAsia" w:ascii="Times New Roman" w:hAnsi="Times New Roman" w:cs="Times New Roman"/>
          <w:sz w:val="24"/>
        </w:rPr>
        <w:t>Network visualization of enriched pathways genrated with considering term similarity by R package clusterProfiler</w:t>
      </w:r>
      <w:r>
        <w:rPr>
          <w:rFonts w:ascii="Times New Roman" w:hAnsi="Times New Roman" w:cs="Times New Roman"/>
          <w:sz w:val="24"/>
        </w:rPr>
        <w:t>.</w:t>
      </w:r>
      <w:r>
        <w:rPr>
          <w:rFonts w:hint="eastAsia" w:ascii="Times New Roman" w:hAnsi="Times New Roman" w:cs="Times New Roman"/>
          <w:sz w:val="24"/>
        </w:rPr>
        <w:t xml:space="preserve"> </w:t>
      </w:r>
      <w:r>
        <w:rPr>
          <w:rFonts w:ascii="Times New Roman" w:hAnsi="Times New Roman" w:cs="Times New Roman"/>
          <w:sz w:val="24"/>
        </w:rPr>
        <w:t>(</w:t>
      </w:r>
      <w:r>
        <w:rPr>
          <w:rFonts w:hint="eastAsia" w:ascii="Times New Roman" w:hAnsi="Times New Roman" w:cs="Times New Roman"/>
          <w:b/>
          <w:bCs/>
          <w:sz w:val="24"/>
        </w:rPr>
        <w:t>C</w:t>
      </w:r>
      <w:r>
        <w:rPr>
          <w:rFonts w:ascii="Times New Roman" w:hAnsi="Times New Roman" w:cs="Times New Roman"/>
          <w:sz w:val="24"/>
        </w:rPr>
        <w:t>)</w:t>
      </w:r>
      <w:r>
        <w:rPr>
          <w:rFonts w:hint="eastAsia" w:ascii="Times New Roman" w:hAnsi="Times New Roman" w:cs="Times New Roman"/>
          <w:sz w:val="24"/>
        </w:rPr>
        <w:t xml:space="preserve"> </w:t>
      </w:r>
      <w:r>
        <w:rPr>
          <w:rFonts w:ascii="Times New Roman" w:hAnsi="Times New Roman" w:cs="Times New Roman"/>
          <w:sz w:val="24"/>
        </w:rPr>
        <w:t xml:space="preserve">The A375 cells were treated with different dosages of </w:t>
      </w:r>
      <w:r>
        <w:rPr>
          <w:rFonts w:hint="eastAsia" w:ascii="Times New Roman" w:hAnsi="Times New Roman" w:cs="Times New Roman"/>
          <w:sz w:val="24"/>
        </w:rPr>
        <w:t>AMPK agonist GSK621</w:t>
      </w:r>
      <w:r>
        <w:rPr>
          <w:rFonts w:ascii="Times New Roman" w:hAnsi="Times New Roman" w:cs="Times New Roman"/>
          <w:sz w:val="24"/>
        </w:rPr>
        <w:t xml:space="preserve"> (</w:t>
      </w:r>
      <w:r>
        <w:rPr>
          <w:rFonts w:hint="eastAsia" w:ascii="Times New Roman" w:hAnsi="Times New Roman" w:cs="Times New Roman"/>
          <w:sz w:val="24"/>
        </w:rPr>
        <w:t xml:space="preserve">10 </w:t>
      </w:r>
      <w:r>
        <w:rPr>
          <w:rFonts w:ascii="Times New Roman" w:hAnsi="Times New Roman" w:cs="Times New Roman"/>
          <w:sz w:val="24"/>
        </w:rPr>
        <w:t xml:space="preserve">to </w:t>
      </w:r>
      <w:r>
        <w:rPr>
          <w:rFonts w:hint="eastAsia" w:ascii="Times New Roman" w:hAnsi="Times New Roman" w:cs="Times New Roman"/>
          <w:sz w:val="24"/>
        </w:rPr>
        <w:t xml:space="preserve">20 </w:t>
      </w:r>
      <w:r>
        <w:rPr>
          <w:rFonts w:ascii="Times New Roman" w:hAnsi="Times New Roman" w:cs="Times New Roman"/>
          <w:sz w:val="24"/>
        </w:rPr>
        <w:t>μM) for 24 hr, then the CD137L</w:t>
      </w:r>
      <w:r>
        <w:rPr>
          <w:rFonts w:hint="eastAsia" w:ascii="Times New Roman" w:hAnsi="Times New Roman" w:cs="Times New Roman"/>
          <w:sz w:val="24"/>
        </w:rPr>
        <w:t xml:space="preserve"> and</w:t>
      </w:r>
      <w:r>
        <w:rPr>
          <w:rFonts w:ascii="Times New Roman" w:hAnsi="Times New Roman" w:cs="Times New Roman"/>
          <w:sz w:val="24"/>
        </w:rPr>
        <w:t xml:space="preserve"> p-AMPK</w:t>
      </w:r>
      <w:r>
        <w:rPr>
          <w:rFonts w:hint="eastAsia" w:ascii="Times New Roman" w:hAnsi="Times New Roman" w:cs="Times New Roman"/>
          <w:sz w:val="24"/>
        </w:rPr>
        <w:t xml:space="preserve"> </w:t>
      </w:r>
      <w:r>
        <w:rPr>
          <w:rFonts w:ascii="Times New Roman" w:hAnsi="Times New Roman" w:cs="Times New Roman"/>
          <w:sz w:val="24"/>
        </w:rPr>
        <w:t>were detected by western blotting. GAPDH server as the loading control.</w:t>
      </w:r>
      <w:r>
        <w:rPr>
          <w:rFonts w:hint="eastAsia" w:ascii="Times New Roman" w:hAnsi="Times New Roman" w:cs="Times New Roman"/>
          <w:sz w:val="24"/>
        </w:rPr>
        <w:t xml:space="preserve"> </w:t>
      </w:r>
      <w:r>
        <w:rPr>
          <w:rFonts w:ascii="Times New Roman" w:hAnsi="Times New Roman" w:cs="Times New Roman"/>
          <w:sz w:val="24"/>
        </w:rPr>
        <w:t>(</w:t>
      </w:r>
      <w:r>
        <w:rPr>
          <w:rFonts w:hint="eastAsia" w:ascii="Times New Roman" w:hAnsi="Times New Roman" w:cs="Times New Roman"/>
          <w:b/>
          <w:bCs/>
          <w:sz w:val="24"/>
        </w:rPr>
        <w:t>D-E</w:t>
      </w:r>
      <w:r>
        <w:rPr>
          <w:rFonts w:ascii="Times New Roman" w:hAnsi="Times New Roman" w:cs="Times New Roman"/>
          <w:sz w:val="24"/>
        </w:rPr>
        <w:t>)</w:t>
      </w:r>
      <w:r>
        <w:rPr>
          <w:rFonts w:hint="eastAsia" w:ascii="Times New Roman" w:hAnsi="Times New Roman" w:cs="Times New Roman"/>
          <w:sz w:val="24"/>
        </w:rPr>
        <w:t xml:space="preserve"> </w:t>
      </w:r>
      <w:r>
        <w:rPr>
          <w:rFonts w:ascii="Times New Roman" w:hAnsi="Times New Roman" w:cs="Times New Roman"/>
          <w:sz w:val="24"/>
        </w:rPr>
        <w:t>A375 cells co-cultured with activated T cells with or without AICAR (0.1-0.5 mM) for 24 hr, or per-treated AICAR (0.1-0.5 mM) for 24 hr, then change to the fresh medium co-cultered with acitivated T cells were subjected to crystal violet staining</w:t>
      </w:r>
      <w:r>
        <w:rPr>
          <w:rFonts w:hint="eastAsia" w:ascii="Times New Roman" w:hAnsi="Times New Roman" w:cs="Times New Roman"/>
          <w:sz w:val="24"/>
        </w:rPr>
        <w:t>.</w:t>
      </w:r>
      <w:r>
        <w:rPr>
          <w:rFonts w:ascii="Times New Roman" w:hAnsi="Times New Roman" w:cs="Times New Roman"/>
          <w:sz w:val="24"/>
        </w:rPr>
        <w:t xml:space="preserve"> A375 cells to T- cell ratio, 1:2.5. n = 3 independent experiments. Data represent mean ± SD. (</w:t>
      </w:r>
      <w:r>
        <w:rPr>
          <w:rFonts w:ascii="Times New Roman" w:hAnsi="Times New Roman" w:cs="Times New Roman"/>
          <w:sz w:val="24"/>
          <w:vertAlign w:val="superscript"/>
        </w:rPr>
        <w:t>*</w:t>
      </w:r>
      <w:r>
        <w:rPr>
          <w:rFonts w:ascii="Times New Roman" w:hAnsi="Times New Roman" w:cs="Times New Roman"/>
          <w:i/>
          <w:iCs/>
          <w:sz w:val="24"/>
        </w:rPr>
        <w:t>p</w:t>
      </w:r>
      <w:r>
        <w:rPr>
          <w:rFonts w:ascii="Times New Roman" w:hAnsi="Times New Roman" w:cs="Times New Roman"/>
          <w:sz w:val="24"/>
        </w:rPr>
        <w:t xml:space="preserve"> &lt; 0.05; </w:t>
      </w:r>
      <w:r>
        <w:rPr>
          <w:rFonts w:ascii="Times New Roman" w:hAnsi="Times New Roman" w:cs="Times New Roman"/>
          <w:sz w:val="24"/>
          <w:vertAlign w:val="superscript"/>
        </w:rPr>
        <w:t>**</w:t>
      </w:r>
      <w:r>
        <w:rPr>
          <w:rFonts w:ascii="Times New Roman" w:hAnsi="Times New Roman" w:cs="Times New Roman"/>
          <w:i/>
          <w:iCs/>
          <w:sz w:val="24"/>
        </w:rPr>
        <w:t>p</w:t>
      </w:r>
      <w:r>
        <w:rPr>
          <w:rFonts w:ascii="Times New Roman" w:hAnsi="Times New Roman" w:cs="Times New Roman"/>
          <w:sz w:val="24"/>
        </w:rPr>
        <w:t xml:space="preserve"> &lt; 0.01), Student’s t test.</w:t>
      </w:r>
      <w:r>
        <w:rPr>
          <w:rFonts w:hint="eastAsia" w:ascii="Times New Roman" w:hAnsi="Times New Roman" w:cs="Times New Roman"/>
          <w:sz w:val="24"/>
        </w:rPr>
        <w:t xml:space="preserve"> </w:t>
      </w:r>
      <w:r>
        <w:rPr>
          <w:rFonts w:ascii="Times New Roman" w:hAnsi="Times New Roman" w:cs="Times New Roman"/>
          <w:sz w:val="24"/>
        </w:rPr>
        <w:t>(</w:t>
      </w:r>
      <w:r>
        <w:rPr>
          <w:rFonts w:hint="eastAsia" w:ascii="Times New Roman" w:hAnsi="Times New Roman" w:cs="Times New Roman"/>
          <w:b/>
          <w:bCs/>
          <w:sz w:val="24"/>
        </w:rPr>
        <w:t>F</w:t>
      </w:r>
      <w:r>
        <w:rPr>
          <w:rFonts w:ascii="Times New Roman" w:hAnsi="Times New Roman" w:cs="Times New Roman"/>
          <w:sz w:val="24"/>
        </w:rPr>
        <w:t>)</w:t>
      </w:r>
      <w:r>
        <w:rPr>
          <w:rFonts w:hint="eastAsia" w:ascii="Times New Roman" w:hAnsi="Times New Roman" w:cs="Times New Roman"/>
          <w:sz w:val="24"/>
        </w:rPr>
        <w:t xml:space="preserve"> Body weight of mice bearing tumors treated with control, AICAR, anti-CTLA4, and anti-PD-1 or the combination. </w:t>
      </w:r>
    </w:p>
    <w:p>
      <w:pPr>
        <w:spacing w:line="360" w:lineRule="auto"/>
        <w:rPr>
          <w:rFonts w:ascii="Times New Roman" w:hAnsi="Times New Roman" w:cs="Times New Roman"/>
          <w:sz w:val="24"/>
        </w:rPr>
      </w:pPr>
      <w:bookmarkStart w:id="4" w:name="OLE_LINK2"/>
    </w:p>
    <w:bookmarkEnd w:id="4"/>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IwZmI0ODMxZGU3MGVkMjM4MGJiNzgwZjFlMmI0NTEifQ=="/>
  </w:docVars>
  <w:rsids>
    <w:rsidRoot w:val="187C4121"/>
    <w:rsid w:val="0004360C"/>
    <w:rsid w:val="00287A08"/>
    <w:rsid w:val="002B38F1"/>
    <w:rsid w:val="002D4D63"/>
    <w:rsid w:val="003C1F9A"/>
    <w:rsid w:val="00403DBB"/>
    <w:rsid w:val="004349D8"/>
    <w:rsid w:val="009235BD"/>
    <w:rsid w:val="00945147"/>
    <w:rsid w:val="009F670F"/>
    <w:rsid w:val="00B55F93"/>
    <w:rsid w:val="00C93A9E"/>
    <w:rsid w:val="00DB2DA7"/>
    <w:rsid w:val="00F26B97"/>
    <w:rsid w:val="00F70ADA"/>
    <w:rsid w:val="020C008E"/>
    <w:rsid w:val="037527E3"/>
    <w:rsid w:val="089E3A0A"/>
    <w:rsid w:val="09D74EF0"/>
    <w:rsid w:val="108D4A90"/>
    <w:rsid w:val="15BE1B9D"/>
    <w:rsid w:val="171F011F"/>
    <w:rsid w:val="187C4121"/>
    <w:rsid w:val="1EF1268E"/>
    <w:rsid w:val="1FAB3B76"/>
    <w:rsid w:val="1FC81641"/>
    <w:rsid w:val="24856F24"/>
    <w:rsid w:val="2908525B"/>
    <w:rsid w:val="2AE8528D"/>
    <w:rsid w:val="34BD6E42"/>
    <w:rsid w:val="39671A73"/>
    <w:rsid w:val="3C683B38"/>
    <w:rsid w:val="3F285800"/>
    <w:rsid w:val="3FFB4CC3"/>
    <w:rsid w:val="41270465"/>
    <w:rsid w:val="41676AB4"/>
    <w:rsid w:val="4B95421D"/>
    <w:rsid w:val="52F67C97"/>
    <w:rsid w:val="59AB1E8B"/>
    <w:rsid w:val="5A1062EB"/>
    <w:rsid w:val="5AA601F5"/>
    <w:rsid w:val="5BEC60DC"/>
    <w:rsid w:val="60DA29A7"/>
    <w:rsid w:val="63AD6150"/>
    <w:rsid w:val="673F7A07"/>
    <w:rsid w:val="67425DF4"/>
    <w:rsid w:val="67C63C85"/>
    <w:rsid w:val="685E210F"/>
    <w:rsid w:val="6A2133F4"/>
    <w:rsid w:val="6B08787D"/>
    <w:rsid w:val="6F545635"/>
    <w:rsid w:val="72FF3793"/>
    <w:rsid w:val="775748F9"/>
    <w:rsid w:val="77B92EBE"/>
    <w:rsid w:val="79B7100E"/>
    <w:rsid w:val="7BF30969"/>
    <w:rsid w:val="7CFB7AD5"/>
    <w:rsid w:val="7D7F24B4"/>
    <w:rsid w:val="7E763E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nhideWhenUsed/>
    <w:uiPriority w:val="1"/>
  </w:style>
  <w:style w:type="table" w:default="1" w:styleId="2">
    <w:name w:val="Normal Table"/>
    <w:semiHidden/>
    <w:unhideWhenUsed/>
    <w:uiPriority w:val="99"/>
    <w:tblPr>
      <w:tblCellMar>
        <w:top w:w="0" w:type="dxa"/>
        <w:left w:w="108" w:type="dxa"/>
        <w:bottom w:w="0" w:type="dxa"/>
        <w:right w:w="108" w:type="dxa"/>
      </w:tblCellMar>
    </w:tblPr>
  </w:style>
  <w:style w:type="paragraph" w:customStyle="1" w:styleId="4">
    <w:name w:val="Revision"/>
    <w:hidden/>
    <w:semiHidden/>
    <w:uiPriority w:val="99"/>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807</Words>
  <Characters>4603</Characters>
  <Lines>38</Lines>
  <Paragraphs>10</Paragraphs>
  <TotalTime>43</TotalTime>
  <ScaleCrop>false</ScaleCrop>
  <LinksUpToDate>false</LinksUpToDate>
  <CharactersWithSpaces>5400</CharactersWithSpaces>
  <Application>WPS Office_12.1.0.16399_F1E327BC-269C-435d-A152-05C5408002CA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2023-02-17T13:52:00Z</dcterms:created>
  <dc:creator>梁龙</dc:creator>
  <cp:lastModifiedBy>放飞天空</cp:lastModifiedBy>
  <dcterms:modified xsi:type="dcterms:W3CDTF">2024-03-13T02:36:24Z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2052-12.1.0.16399</vt:lpwstr>
  </property>
  <property fmtid="{D5CDD505-2E9C-101B-9397-08002B2CF9AE}" pid="3" name="ICV">
    <vt:lpwstr>9FB2F70821284A19871D46DDA5939765_13</vt:lpwstr>
  </property>
</Properties>
</file>