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20A286" w14:textId="77777777" w:rsidR="00613697" w:rsidRDefault="00613697" w:rsidP="00613697">
      <w:pPr>
        <w:spacing w:after="0" w:line="360" w:lineRule="auto"/>
        <w:rPr>
          <w:rFonts w:ascii="Calibri" w:eastAsia="Calibri" w:hAnsi="Calibri" w:cs="Times New Roman"/>
          <w:b/>
        </w:rPr>
      </w:pPr>
      <w:r>
        <w:rPr>
          <w:rFonts w:eastAsia="Calibri" w:cs="Times New Roman"/>
          <w:b/>
        </w:rPr>
        <w:t>Supplementary Information</w:t>
      </w:r>
    </w:p>
    <w:p w14:paraId="7307AEBE" w14:textId="77777777" w:rsidR="00613697" w:rsidRDefault="00613697" w:rsidP="00613697">
      <w:pPr>
        <w:spacing w:after="0" w:line="360" w:lineRule="auto"/>
        <w:rPr>
          <w:rFonts w:ascii="Calibri" w:eastAsia="Calibri" w:hAnsi="Calibri" w:cs="Times New Roman"/>
        </w:rPr>
      </w:pPr>
      <w:r>
        <w:rPr>
          <w:rFonts w:eastAsia="Calibri" w:cs="Times New Roman"/>
        </w:rPr>
        <w:t>The online version contains supplementary material available at …</w:t>
      </w:r>
    </w:p>
    <w:p w14:paraId="08C7947B" w14:textId="77777777" w:rsidR="00613697" w:rsidRDefault="00613697" w:rsidP="00613697">
      <w:pPr>
        <w:spacing w:after="0" w:line="360" w:lineRule="auto"/>
        <w:rPr>
          <w:rFonts w:ascii="Calibri" w:eastAsia="Calibri" w:hAnsi="Calibri" w:cs="Times New Roman"/>
        </w:rPr>
      </w:pPr>
    </w:p>
    <w:p w14:paraId="6B97E40F" w14:textId="77777777" w:rsidR="00613697" w:rsidRDefault="00613697" w:rsidP="00613697">
      <w:pPr>
        <w:spacing w:after="0" w:line="360" w:lineRule="auto"/>
        <w:rPr>
          <w:rFonts w:eastAsia="Calibri" w:cs="Times New Roman"/>
          <w:b/>
        </w:rPr>
      </w:pPr>
      <w:r>
        <w:rPr>
          <w:rFonts w:eastAsia="Calibri" w:cs="Times New Roman"/>
          <w:b/>
        </w:rPr>
        <w:t xml:space="preserve">Additional File 1: </w:t>
      </w:r>
      <w:r>
        <w:rPr>
          <w:b/>
        </w:rPr>
        <w:t>Figure S1.</w:t>
      </w:r>
      <w:r w:rsidRPr="00003B4D">
        <w:t xml:space="preserve"> Identified sequences homologous to </w:t>
      </w:r>
      <w:r w:rsidRPr="00003B4D">
        <w:rPr>
          <w:i/>
          <w:iCs/>
        </w:rPr>
        <w:t>EkMasc</w:t>
      </w:r>
      <w:r w:rsidRPr="00003B4D">
        <w:t xml:space="preserve"> on the W chromosome of </w:t>
      </w:r>
      <w:r w:rsidRPr="00003B4D">
        <w:rPr>
          <w:i/>
          <w:iCs/>
        </w:rPr>
        <w:t>Ephestia kuehniella</w:t>
      </w:r>
      <w:r w:rsidRPr="00003B4D">
        <w:t xml:space="preserve">. </w:t>
      </w:r>
      <w:r>
        <w:t xml:space="preserve">The graph shows the coverage of </w:t>
      </w:r>
      <w:r>
        <w:rPr>
          <w:i/>
          <w:iCs/>
        </w:rPr>
        <w:t>EkMasc</w:t>
      </w:r>
      <w:r>
        <w:t xml:space="preserve"> on the W chromosome. Below is a representation of the full </w:t>
      </w:r>
      <w:r>
        <w:rPr>
          <w:i/>
          <w:iCs/>
        </w:rPr>
        <w:t>EkMasc</w:t>
      </w:r>
      <w:r>
        <w:t xml:space="preserve"> transcript as reported by Visser et al. (2021); shown are the two degenerate zinc finger domains (pink), the bipartite nuclear localization signal (green), the masculinizing domain (blue) and the open reading frame (yellow). The predicted </w:t>
      </w:r>
      <w:r>
        <w:rPr>
          <w:i/>
          <w:iCs/>
        </w:rPr>
        <w:t>EkMom</w:t>
      </w:r>
      <w:r>
        <w:t xml:space="preserve"> piRNA sequence is visible as a distinct peak, indicated by asterisk. Note the absence of reads homologous to exons I and XI of </w:t>
      </w:r>
      <w:r>
        <w:rPr>
          <w:i/>
          <w:iCs/>
        </w:rPr>
        <w:t>EkMasc</w:t>
      </w:r>
      <w:r>
        <w:rPr>
          <w:iCs/>
        </w:rPr>
        <w:t xml:space="preserve">, and the two short regions in exon XII of </w:t>
      </w:r>
      <w:r>
        <w:rPr>
          <w:i/>
          <w:iCs/>
        </w:rPr>
        <w:t>EkMasc</w:t>
      </w:r>
      <w:r>
        <w:rPr>
          <w:iCs/>
        </w:rPr>
        <w:t xml:space="preserve"> that can be found on the W chromosome</w:t>
      </w:r>
      <w:r>
        <w:t xml:space="preserve">. </w:t>
      </w:r>
    </w:p>
    <w:p w14:paraId="3D150830" w14:textId="77777777" w:rsidR="00613697" w:rsidRDefault="00613697" w:rsidP="00613697">
      <w:pPr>
        <w:spacing w:after="0" w:line="360" w:lineRule="auto"/>
        <w:rPr>
          <w:rFonts w:eastAsia="Calibri" w:cs="Times New Roman"/>
          <w:b/>
        </w:rPr>
      </w:pPr>
    </w:p>
    <w:p w14:paraId="6AE7F346" w14:textId="77777777" w:rsidR="00613697" w:rsidRDefault="00613697" w:rsidP="00613697">
      <w:pPr>
        <w:spacing w:after="0" w:line="360" w:lineRule="auto"/>
        <w:rPr>
          <w:rFonts w:eastAsia="Calibri" w:cs="Times New Roman"/>
          <w:b/>
        </w:rPr>
      </w:pPr>
      <w:r>
        <w:rPr>
          <w:rFonts w:eastAsia="Calibri" w:cs="Calibri"/>
          <w:b/>
          <w:bCs/>
        </w:rPr>
        <w:t>Additional File 2: Figure S2.</w:t>
      </w:r>
      <w:r>
        <w:rPr>
          <w:rFonts w:eastAsia="Calibri" w:cs="Calibri"/>
          <w:bCs/>
        </w:rPr>
        <w:t xml:space="preserve"> Relatedness of </w:t>
      </w:r>
      <w:r>
        <w:rPr>
          <w:rFonts w:eastAsia="Calibri" w:cs="Calibri"/>
          <w:bCs/>
          <w:i/>
        </w:rPr>
        <w:t>Masculinizer</w:t>
      </w:r>
      <w:r>
        <w:rPr>
          <w:rFonts w:eastAsia="Calibri" w:cs="Calibri"/>
          <w:bCs/>
        </w:rPr>
        <w:t xml:space="preserve"> sequences in </w:t>
      </w:r>
      <w:r>
        <w:rPr>
          <w:rFonts w:eastAsia="Calibri" w:cs="Calibri"/>
          <w:bCs/>
          <w:i/>
        </w:rPr>
        <w:t>Ephestia kuehniella</w:t>
      </w:r>
      <w:r>
        <w:rPr>
          <w:rFonts w:eastAsia="Calibri" w:cs="Calibri"/>
          <w:bCs/>
        </w:rPr>
        <w:t xml:space="preserve">. The </w:t>
      </w:r>
      <w:r>
        <w:rPr>
          <w:rFonts w:eastAsia="Calibri" w:cs="Calibri"/>
          <w:bCs/>
          <w:i/>
        </w:rPr>
        <w:t>EkMasc</w:t>
      </w:r>
      <w:r>
        <w:rPr>
          <w:rFonts w:eastAsia="Calibri" w:cs="Calibri"/>
          <w:bCs/>
          <w:i/>
          <w:vertAlign w:val="superscript"/>
        </w:rPr>
        <w:t>W</w:t>
      </w:r>
      <w:r>
        <w:rPr>
          <w:rFonts w:eastAsia="Calibri" w:cs="Calibri"/>
          <w:bCs/>
        </w:rPr>
        <w:t xml:space="preserve"> sequences form a distinct cluster and are thus most similar to each other. The </w:t>
      </w:r>
      <w:r>
        <w:rPr>
          <w:rFonts w:eastAsia="Calibri" w:cs="Calibri"/>
          <w:bCs/>
          <w:i/>
        </w:rPr>
        <w:t>EkMasc</w:t>
      </w:r>
      <w:r>
        <w:rPr>
          <w:rFonts w:eastAsia="Calibri" w:cs="Calibri"/>
          <w:bCs/>
          <w:i/>
          <w:vertAlign w:val="superscript"/>
        </w:rPr>
        <w:t>W</w:t>
      </w:r>
      <w:r>
        <w:rPr>
          <w:rFonts w:eastAsia="Calibri" w:cs="Calibri"/>
          <w:bCs/>
        </w:rPr>
        <w:t xml:space="preserve"> sequences are more similar to </w:t>
      </w:r>
      <w:r>
        <w:rPr>
          <w:rFonts w:eastAsia="Calibri" w:cs="Calibri"/>
          <w:bCs/>
          <w:i/>
        </w:rPr>
        <w:t>EkMascB</w:t>
      </w:r>
      <w:r>
        <w:rPr>
          <w:rFonts w:eastAsia="Calibri" w:cs="Calibri"/>
          <w:bCs/>
        </w:rPr>
        <w:t xml:space="preserve"> than </w:t>
      </w:r>
      <w:r>
        <w:rPr>
          <w:rFonts w:eastAsia="Calibri" w:cs="Calibri"/>
          <w:bCs/>
          <w:i/>
        </w:rPr>
        <w:t>EkMasc</w:t>
      </w:r>
      <w:r>
        <w:rPr>
          <w:rFonts w:eastAsia="Calibri" w:cs="Calibri"/>
          <w:bCs/>
          <w:iCs/>
        </w:rPr>
        <w:t xml:space="preserve">, </w:t>
      </w:r>
      <w:r>
        <w:rPr>
          <w:rFonts w:eastAsia="Calibri" w:cs="Calibri"/>
          <w:bCs/>
        </w:rPr>
        <w:t xml:space="preserve">suggesting that </w:t>
      </w:r>
      <w:r>
        <w:rPr>
          <w:rFonts w:eastAsia="Calibri" w:cs="Calibri"/>
          <w:bCs/>
          <w:i/>
        </w:rPr>
        <w:t>EkMasc</w:t>
      </w:r>
      <w:r>
        <w:rPr>
          <w:rFonts w:eastAsia="Calibri" w:cs="Calibri"/>
          <w:bCs/>
          <w:i/>
          <w:vertAlign w:val="superscript"/>
        </w:rPr>
        <w:t>W</w:t>
      </w:r>
      <w:r>
        <w:rPr>
          <w:rFonts w:eastAsia="Calibri" w:cs="Calibri"/>
          <w:bCs/>
        </w:rPr>
        <w:t xml:space="preserve"> arose from a secondary duplication of </w:t>
      </w:r>
      <w:r>
        <w:rPr>
          <w:rFonts w:eastAsia="Calibri" w:cs="Calibri"/>
          <w:bCs/>
          <w:i/>
        </w:rPr>
        <w:t>EkMascB</w:t>
      </w:r>
      <w:r>
        <w:rPr>
          <w:rFonts w:eastAsia="Calibri" w:cs="Calibri"/>
          <w:bCs/>
        </w:rPr>
        <w:t>. Numbers along the branches in the phylogenetic tree indicate Bayesian inference values; the scale represents the number of substitutions per site.</w:t>
      </w:r>
    </w:p>
    <w:p w14:paraId="5F6CBC77" w14:textId="77777777" w:rsidR="00613697" w:rsidRDefault="00613697" w:rsidP="00613697">
      <w:pPr>
        <w:spacing w:after="0" w:line="360" w:lineRule="auto"/>
        <w:rPr>
          <w:rFonts w:eastAsia="Calibri" w:cs="Times New Roman"/>
          <w:b/>
        </w:rPr>
      </w:pPr>
    </w:p>
    <w:p w14:paraId="6986FAC4" w14:textId="77777777" w:rsidR="00613697" w:rsidRDefault="00613697" w:rsidP="00613697">
      <w:pPr>
        <w:spacing w:after="0" w:line="360" w:lineRule="auto"/>
        <w:rPr>
          <w:rFonts w:eastAsia="Calibri" w:cs="Calibri"/>
          <w:bCs/>
        </w:rPr>
      </w:pPr>
      <w:r>
        <w:rPr>
          <w:rFonts w:eastAsia="Calibri" w:cs="Calibri"/>
          <w:b/>
          <w:bCs/>
        </w:rPr>
        <w:t>Additional File 3: Figure S3.</w:t>
      </w:r>
      <w:r>
        <w:rPr>
          <w:rFonts w:eastAsia="Calibri" w:cs="Calibri"/>
          <w:bCs/>
        </w:rPr>
        <w:t xml:space="preserve"> Copy number estimates of </w:t>
      </w:r>
      <w:r>
        <w:rPr>
          <w:rFonts w:eastAsia="Calibri" w:cs="Calibri"/>
          <w:bCs/>
          <w:i/>
        </w:rPr>
        <w:t>EkMom</w:t>
      </w:r>
      <w:r>
        <w:rPr>
          <w:rFonts w:eastAsia="Calibri" w:cs="Calibri"/>
          <w:bCs/>
        </w:rPr>
        <w:t xml:space="preserve"> and </w:t>
      </w:r>
      <w:r>
        <w:rPr>
          <w:rFonts w:eastAsia="Calibri" w:cs="Calibri"/>
          <w:bCs/>
          <w:i/>
        </w:rPr>
        <w:t>EkMasc</w:t>
      </w:r>
      <w:r>
        <w:rPr>
          <w:rFonts w:eastAsia="Calibri" w:cs="Calibri"/>
          <w:bCs/>
          <w:i/>
          <w:vertAlign w:val="superscript"/>
        </w:rPr>
        <w:t>W</w:t>
      </w:r>
      <w:r>
        <w:rPr>
          <w:rFonts w:eastAsia="Calibri" w:cs="Calibri"/>
          <w:bCs/>
          <w:i/>
        </w:rPr>
        <w:t xml:space="preserve"> </w:t>
      </w:r>
      <w:r>
        <w:rPr>
          <w:rFonts w:eastAsia="Calibri" w:cs="Calibri"/>
          <w:bCs/>
        </w:rPr>
        <w:t xml:space="preserve">on the W chromosome of </w:t>
      </w:r>
      <w:r>
        <w:rPr>
          <w:rFonts w:eastAsia="Calibri" w:cs="Calibri"/>
          <w:bCs/>
          <w:i/>
        </w:rPr>
        <w:t>Ephestia kuehniella</w:t>
      </w:r>
      <w:r>
        <w:rPr>
          <w:rFonts w:eastAsia="Calibri" w:cs="Calibri"/>
          <w:bCs/>
        </w:rPr>
        <w:t>. Copy numbers were estimated by qPCR (dark grey, n=3) or by sequencing coverage analysis (light grey). The standard deviation is plotted for the qPCR estimate. Note that the qPCR-based estimates usually underestimate the actual copy number and that the coverage analysis is based on a dataset containing only reads of the W chromosome (and therefore the overall sequencing coverage is difficult to assess).</w:t>
      </w:r>
    </w:p>
    <w:p w14:paraId="7A4F33BA" w14:textId="77777777" w:rsidR="00613697" w:rsidRDefault="00613697" w:rsidP="00613697">
      <w:pPr>
        <w:spacing w:after="0" w:line="360" w:lineRule="auto"/>
        <w:rPr>
          <w:rFonts w:eastAsia="Calibri" w:cs="Calibri"/>
          <w:bCs/>
        </w:rPr>
      </w:pPr>
    </w:p>
    <w:p w14:paraId="4B805072" w14:textId="77777777" w:rsidR="00613697" w:rsidRDefault="00613697" w:rsidP="00613697">
      <w:pPr>
        <w:spacing w:after="0" w:line="360" w:lineRule="auto"/>
        <w:rPr>
          <w:rFonts w:eastAsia="Calibri" w:cs="Calibri"/>
          <w:bCs/>
        </w:rPr>
      </w:pPr>
      <w:r>
        <w:rPr>
          <w:rFonts w:eastAsia="Calibri" w:cs="Calibri"/>
          <w:b/>
          <w:bCs/>
        </w:rPr>
        <w:t>Additional File 4: Figure S4.</w:t>
      </w:r>
      <w:r>
        <w:rPr>
          <w:rFonts w:eastAsia="Calibri" w:cs="Calibri"/>
          <w:bCs/>
        </w:rPr>
        <w:t xml:space="preserve"> Expression of small RNAs capable of targeting </w:t>
      </w:r>
      <w:r>
        <w:rPr>
          <w:rFonts w:eastAsia="Calibri" w:cs="Calibri"/>
          <w:bCs/>
          <w:i/>
        </w:rPr>
        <w:t>EkMasc</w:t>
      </w:r>
      <w:r>
        <w:rPr>
          <w:rFonts w:eastAsia="Calibri" w:cs="Calibri"/>
          <w:bCs/>
        </w:rPr>
        <w:t xml:space="preserve"> during early development of unsexed embryos of </w:t>
      </w:r>
      <w:r>
        <w:rPr>
          <w:rFonts w:eastAsia="Calibri" w:cs="Calibri"/>
          <w:bCs/>
          <w:i/>
        </w:rPr>
        <w:t>Ephestia kuehniella</w:t>
      </w:r>
      <w:r>
        <w:rPr>
          <w:rFonts w:eastAsia="Calibri" w:cs="Calibri"/>
          <w:bCs/>
        </w:rPr>
        <w:t xml:space="preserve">. The red peaks show small RNAs derived from </w:t>
      </w:r>
      <w:r>
        <w:rPr>
          <w:rFonts w:eastAsia="Calibri" w:cs="Calibri"/>
          <w:bCs/>
          <w:i/>
        </w:rPr>
        <w:t>EkMasc</w:t>
      </w:r>
      <w:r>
        <w:rPr>
          <w:rFonts w:eastAsia="Calibri" w:cs="Calibri"/>
          <w:bCs/>
          <w:i/>
          <w:vertAlign w:val="superscript"/>
        </w:rPr>
        <w:t>W</w:t>
      </w:r>
      <w:r>
        <w:rPr>
          <w:rFonts w:eastAsia="Calibri" w:cs="Calibri"/>
          <w:bCs/>
        </w:rPr>
        <w:t xml:space="preserve">, the pink peak shows </w:t>
      </w:r>
      <w:r>
        <w:rPr>
          <w:rFonts w:eastAsia="Calibri" w:cs="Calibri"/>
          <w:bCs/>
          <w:i/>
        </w:rPr>
        <w:t>EkMom</w:t>
      </w:r>
      <w:r>
        <w:rPr>
          <w:rFonts w:eastAsia="Calibri" w:cs="Calibri"/>
          <w:bCs/>
        </w:rPr>
        <w:t xml:space="preserve"> piRNA and the grey peaks are small RNAs of unknown origin. </w:t>
      </w:r>
      <w:r>
        <w:rPr>
          <w:rFonts w:eastAsia="Calibri" w:cs="Calibri"/>
          <w:b/>
          <w:bCs/>
        </w:rPr>
        <w:t>A</w:t>
      </w:r>
      <w:r>
        <w:rPr>
          <w:rFonts w:eastAsia="Calibri" w:cs="Calibri"/>
          <w:bCs/>
        </w:rPr>
        <w:t xml:space="preserve"> Mapping of small RNAs from embryos 7–9 hpo against </w:t>
      </w:r>
      <w:r>
        <w:rPr>
          <w:rFonts w:eastAsia="Calibri" w:cs="Calibri"/>
          <w:bCs/>
          <w:i/>
        </w:rPr>
        <w:t>EkMasc</w:t>
      </w:r>
      <w:r>
        <w:rPr>
          <w:rFonts w:eastAsia="Calibri" w:cs="Calibri"/>
          <w:bCs/>
        </w:rPr>
        <w:t xml:space="preserve">. Note that no </w:t>
      </w:r>
      <w:r>
        <w:rPr>
          <w:rFonts w:eastAsia="Calibri" w:cs="Calibri"/>
          <w:bCs/>
          <w:i/>
        </w:rPr>
        <w:t>EkMom</w:t>
      </w:r>
      <w:r>
        <w:rPr>
          <w:rFonts w:eastAsia="Calibri" w:cs="Calibri"/>
          <w:bCs/>
        </w:rPr>
        <w:t xml:space="preserve"> piRNA was detected at 7–9 hpo. </w:t>
      </w:r>
      <w:r>
        <w:rPr>
          <w:rFonts w:eastAsia="Calibri" w:cs="Calibri"/>
          <w:b/>
          <w:bCs/>
        </w:rPr>
        <w:t>B</w:t>
      </w:r>
      <w:r>
        <w:rPr>
          <w:rFonts w:eastAsia="Calibri" w:cs="Calibri"/>
          <w:bCs/>
        </w:rPr>
        <w:t xml:space="preserve"> Mapping of small RNAs from embryos at 11–13 hpo against </w:t>
      </w:r>
      <w:r>
        <w:rPr>
          <w:rFonts w:eastAsia="Calibri" w:cs="Calibri"/>
          <w:bCs/>
          <w:i/>
        </w:rPr>
        <w:t>EkMasc</w:t>
      </w:r>
      <w:r>
        <w:rPr>
          <w:rFonts w:eastAsia="Calibri" w:cs="Calibri"/>
          <w:bCs/>
        </w:rPr>
        <w:t xml:space="preserve">. The same small RNAs were detected in similar copy number as in </w:t>
      </w:r>
      <w:r>
        <w:rPr>
          <w:rFonts w:eastAsia="Calibri" w:cs="Calibri"/>
          <w:b/>
          <w:bCs/>
        </w:rPr>
        <w:t>A</w:t>
      </w:r>
      <w:r>
        <w:rPr>
          <w:rFonts w:eastAsia="Calibri" w:cs="Calibri"/>
          <w:bCs/>
        </w:rPr>
        <w:t xml:space="preserve">, but in addition </w:t>
      </w:r>
      <w:r>
        <w:rPr>
          <w:rFonts w:eastAsia="Calibri" w:cs="Calibri"/>
          <w:bCs/>
          <w:i/>
        </w:rPr>
        <w:t>EkMom</w:t>
      </w:r>
      <w:r>
        <w:rPr>
          <w:rFonts w:eastAsia="Calibri" w:cs="Calibri"/>
          <w:bCs/>
        </w:rPr>
        <w:t xml:space="preserve"> piRNA was detected at this time point. The exon diagram and the open reading frame (ORF; </w:t>
      </w:r>
      <w:r>
        <w:rPr>
          <w:rFonts w:eastAsia="Calibri" w:cs="Calibri"/>
          <w:bCs/>
        </w:rPr>
        <w:lastRenderedPageBreak/>
        <w:t xml:space="preserve">in yellow) of </w:t>
      </w:r>
      <w:r>
        <w:rPr>
          <w:rFonts w:eastAsia="Calibri" w:cs="Calibri"/>
          <w:bCs/>
          <w:i/>
        </w:rPr>
        <w:t>EkMasc</w:t>
      </w:r>
      <w:r>
        <w:rPr>
          <w:rFonts w:eastAsia="Calibri" w:cs="Calibri"/>
          <w:bCs/>
        </w:rPr>
        <w:t xml:space="preserve"> are given below the graphs. Note that s</w:t>
      </w:r>
      <w:r w:rsidRPr="002375A3">
        <w:rPr>
          <w:rFonts w:eastAsia="Calibri" w:cs="Calibri"/>
          <w:bCs/>
        </w:rPr>
        <w:t xml:space="preserve">everal small RNAs of unknown origin have the potential to target the 3’-UTR of </w:t>
      </w:r>
      <w:r w:rsidRPr="002375A3">
        <w:rPr>
          <w:rFonts w:eastAsia="Calibri" w:cs="Calibri"/>
          <w:bCs/>
          <w:i/>
          <w:iCs/>
        </w:rPr>
        <w:t>EkMasc</w:t>
      </w:r>
      <w:r>
        <w:rPr>
          <w:rFonts w:eastAsia="Calibri" w:cs="Calibri"/>
          <w:bCs/>
        </w:rPr>
        <w:t xml:space="preserve"> (see exon XII </w:t>
      </w:r>
      <w:r w:rsidRPr="00401698">
        <w:rPr>
          <w:rFonts w:eastAsia="Calibri" w:cs="Calibri"/>
          <w:bCs/>
        </w:rPr>
        <w:t>in the part of the graphs marked with a dashed line</w:t>
      </w:r>
      <w:r>
        <w:rPr>
          <w:rFonts w:eastAsia="Calibri" w:cs="Calibri"/>
          <w:bCs/>
        </w:rPr>
        <w:t xml:space="preserve">), in contrast to </w:t>
      </w:r>
      <w:r w:rsidRPr="002375A3">
        <w:rPr>
          <w:rFonts w:eastAsia="Calibri" w:cs="Calibri"/>
          <w:bCs/>
          <w:i/>
          <w:iCs/>
        </w:rPr>
        <w:t>EkMascB</w:t>
      </w:r>
      <w:r>
        <w:rPr>
          <w:rFonts w:eastAsia="Calibri" w:cs="Calibri"/>
          <w:bCs/>
        </w:rPr>
        <w:t xml:space="preserve"> (see Fig. 2B).</w:t>
      </w:r>
    </w:p>
    <w:p w14:paraId="149AF238" w14:textId="77777777" w:rsidR="00613697" w:rsidRDefault="00613697" w:rsidP="00613697">
      <w:pPr>
        <w:spacing w:after="0" w:line="360" w:lineRule="auto"/>
        <w:rPr>
          <w:rFonts w:eastAsia="Calibri" w:cs="Calibri"/>
          <w:bCs/>
        </w:rPr>
      </w:pPr>
    </w:p>
    <w:p w14:paraId="174B08CA" w14:textId="77777777" w:rsidR="00613697" w:rsidRDefault="00613697" w:rsidP="00613697">
      <w:pPr>
        <w:spacing w:after="0" w:line="360" w:lineRule="auto"/>
        <w:rPr>
          <w:rFonts w:eastAsia="Calibri" w:cs="Calibri"/>
          <w:bCs/>
        </w:rPr>
      </w:pPr>
      <w:r>
        <w:rPr>
          <w:rFonts w:eastAsia="Calibri" w:cs="Calibri"/>
          <w:b/>
          <w:bCs/>
        </w:rPr>
        <w:t>Additional File 5: Figure S5.</w:t>
      </w:r>
      <w:r>
        <w:rPr>
          <w:rFonts w:eastAsia="Calibri" w:cs="Calibri"/>
          <w:bCs/>
        </w:rPr>
        <w:t xml:space="preserve"> Alignment of </w:t>
      </w:r>
      <w:r>
        <w:rPr>
          <w:rFonts w:eastAsia="Calibri" w:cs="Calibri"/>
          <w:bCs/>
          <w:i/>
        </w:rPr>
        <w:t>EkMasc</w:t>
      </w:r>
      <w:r>
        <w:rPr>
          <w:rFonts w:eastAsia="Calibri" w:cs="Calibri"/>
          <w:bCs/>
        </w:rPr>
        <w:t xml:space="preserve"> and </w:t>
      </w:r>
      <w:r>
        <w:rPr>
          <w:rFonts w:eastAsia="Calibri" w:cs="Calibri"/>
          <w:bCs/>
          <w:i/>
        </w:rPr>
        <w:t>EkMascB</w:t>
      </w:r>
      <w:r>
        <w:rPr>
          <w:rFonts w:eastAsia="Calibri" w:cs="Calibri"/>
          <w:bCs/>
        </w:rPr>
        <w:t xml:space="preserve"> exon 9 with </w:t>
      </w:r>
      <w:r>
        <w:rPr>
          <w:rFonts w:eastAsia="Calibri" w:cs="Calibri"/>
          <w:bCs/>
          <w:i/>
        </w:rPr>
        <w:t>EkMom</w:t>
      </w:r>
      <w:r>
        <w:rPr>
          <w:rFonts w:eastAsia="Calibri" w:cs="Calibri"/>
          <w:bCs/>
        </w:rPr>
        <w:t xml:space="preserve"> piRNA. Note that the orientation of </w:t>
      </w:r>
      <w:r>
        <w:rPr>
          <w:rFonts w:eastAsia="Calibri" w:cs="Calibri"/>
          <w:bCs/>
          <w:i/>
        </w:rPr>
        <w:t>EkMom</w:t>
      </w:r>
      <w:r>
        <w:rPr>
          <w:rFonts w:eastAsia="Calibri" w:cs="Calibri"/>
          <w:bCs/>
        </w:rPr>
        <w:t xml:space="preserve"> piRNA is reversed. The sequence complementarity between </w:t>
      </w:r>
      <w:r>
        <w:rPr>
          <w:rFonts w:eastAsia="Calibri" w:cs="Calibri"/>
          <w:bCs/>
          <w:i/>
        </w:rPr>
        <w:t>EkMom</w:t>
      </w:r>
      <w:r>
        <w:rPr>
          <w:rFonts w:eastAsia="Calibri" w:cs="Calibri"/>
          <w:bCs/>
        </w:rPr>
        <w:t xml:space="preserve"> piRNA and the two </w:t>
      </w:r>
      <w:r>
        <w:rPr>
          <w:rFonts w:eastAsia="Calibri" w:cs="Calibri"/>
          <w:bCs/>
          <w:i/>
        </w:rPr>
        <w:t>Masc</w:t>
      </w:r>
      <w:r>
        <w:rPr>
          <w:rFonts w:eastAsia="Calibri" w:cs="Calibri"/>
          <w:bCs/>
        </w:rPr>
        <w:t xml:space="preserve"> genes is identical except for a single nucleotide for which </w:t>
      </w:r>
      <w:r>
        <w:rPr>
          <w:rFonts w:eastAsia="Calibri" w:cs="Calibri"/>
          <w:bCs/>
          <w:i/>
        </w:rPr>
        <w:t>EkMascB</w:t>
      </w:r>
      <w:r>
        <w:rPr>
          <w:rFonts w:eastAsia="Calibri" w:cs="Calibri"/>
          <w:bCs/>
        </w:rPr>
        <w:t xml:space="preserve">, but not </w:t>
      </w:r>
      <w:r>
        <w:rPr>
          <w:rFonts w:eastAsia="Calibri" w:cs="Calibri"/>
          <w:bCs/>
          <w:i/>
        </w:rPr>
        <w:t>EkMasc</w:t>
      </w:r>
      <w:r>
        <w:rPr>
          <w:rFonts w:eastAsia="Calibri" w:cs="Calibri"/>
          <w:bCs/>
        </w:rPr>
        <w:t xml:space="preserve">, is complementary to </w:t>
      </w:r>
      <w:r>
        <w:rPr>
          <w:rFonts w:eastAsia="Calibri" w:cs="Calibri"/>
          <w:bCs/>
          <w:i/>
        </w:rPr>
        <w:t>EkMom</w:t>
      </w:r>
      <w:r>
        <w:rPr>
          <w:rFonts w:eastAsia="Calibri" w:cs="Calibri"/>
          <w:bCs/>
        </w:rPr>
        <w:t xml:space="preserve"> piRNA (marked with *). The predicted cleavage site is shown in green.</w:t>
      </w:r>
    </w:p>
    <w:p w14:paraId="349CFAEF" w14:textId="77777777" w:rsidR="00613697" w:rsidRDefault="00613697" w:rsidP="00613697">
      <w:pPr>
        <w:spacing w:after="0" w:line="360" w:lineRule="auto"/>
        <w:rPr>
          <w:rFonts w:eastAsia="Calibri" w:cs="Times New Roman"/>
          <w:b/>
        </w:rPr>
      </w:pPr>
    </w:p>
    <w:p w14:paraId="05537C98" w14:textId="77777777" w:rsidR="00613697" w:rsidRDefault="00613697" w:rsidP="00613697">
      <w:pPr>
        <w:spacing w:after="0" w:line="360" w:lineRule="auto"/>
        <w:rPr>
          <w:rFonts w:eastAsia="Calibri" w:cs="Calibri"/>
          <w:bCs/>
        </w:rPr>
      </w:pPr>
      <w:r>
        <w:rPr>
          <w:rFonts w:eastAsia="Calibri" w:cs="Calibri"/>
          <w:b/>
          <w:bCs/>
        </w:rPr>
        <w:t>Additional File 6: Figure S6.</w:t>
      </w:r>
      <w:r>
        <w:rPr>
          <w:rFonts w:eastAsia="Calibri" w:cs="Calibri"/>
          <w:bCs/>
        </w:rPr>
        <w:t xml:space="preserve"> Copy number estimates of </w:t>
      </w:r>
      <w:r>
        <w:rPr>
          <w:rFonts w:eastAsia="Calibri" w:cs="Calibri"/>
          <w:bCs/>
          <w:i/>
        </w:rPr>
        <w:t>PiMom</w:t>
      </w:r>
      <w:r>
        <w:rPr>
          <w:rFonts w:eastAsia="Calibri" w:cs="Calibri"/>
          <w:bCs/>
        </w:rPr>
        <w:t xml:space="preserve"> on the W chromosome of </w:t>
      </w:r>
      <w:r>
        <w:rPr>
          <w:rFonts w:eastAsia="Calibri" w:cs="Calibri"/>
          <w:bCs/>
          <w:i/>
        </w:rPr>
        <w:t>Plodia</w:t>
      </w:r>
      <w:r>
        <w:rPr>
          <w:rFonts w:eastAsia="Calibri" w:cs="Calibri"/>
          <w:bCs/>
        </w:rPr>
        <w:t xml:space="preserve"> </w:t>
      </w:r>
      <w:r>
        <w:rPr>
          <w:rFonts w:eastAsia="Calibri" w:cs="Calibri"/>
          <w:bCs/>
          <w:i/>
        </w:rPr>
        <w:t>interpunctella</w:t>
      </w:r>
      <w:r>
        <w:rPr>
          <w:rFonts w:eastAsia="Calibri" w:cs="Calibri"/>
          <w:bCs/>
        </w:rPr>
        <w:t>. Copy numbers were estimated by qPCR (dark grey, n=3) or by sequencing coverage analysis (light grey). The standard deviation is plotted for the qPCR estimate. Note that the copy number estimated by qPCR usually underestimates the actual copy number.</w:t>
      </w:r>
    </w:p>
    <w:p w14:paraId="6EDF778E" w14:textId="77777777" w:rsidR="00613697" w:rsidRDefault="00613697" w:rsidP="00613697">
      <w:pPr>
        <w:spacing w:after="0" w:line="360" w:lineRule="auto"/>
        <w:rPr>
          <w:rFonts w:eastAsia="Calibri" w:cs="Calibri"/>
          <w:bCs/>
        </w:rPr>
      </w:pPr>
    </w:p>
    <w:p w14:paraId="0DFA8677" w14:textId="77777777" w:rsidR="00613697" w:rsidRDefault="00613697" w:rsidP="00613697">
      <w:pPr>
        <w:spacing w:after="0" w:line="360" w:lineRule="auto"/>
        <w:rPr>
          <w:rFonts w:eastAsia="Calibri" w:cs="Calibri"/>
          <w:bCs/>
        </w:rPr>
      </w:pPr>
      <w:r>
        <w:rPr>
          <w:rFonts w:eastAsia="Calibri" w:cs="Calibri"/>
          <w:b/>
          <w:bCs/>
        </w:rPr>
        <w:t>Additional File 7: Figure S7.</w:t>
      </w:r>
      <w:r>
        <w:rPr>
          <w:rFonts w:eastAsia="Calibri" w:cs="Calibri"/>
          <w:bCs/>
        </w:rPr>
        <w:t xml:space="preserve"> Comparison of </w:t>
      </w:r>
      <w:r>
        <w:rPr>
          <w:rFonts w:eastAsia="Calibri" w:cs="Calibri"/>
          <w:bCs/>
          <w:i/>
        </w:rPr>
        <w:t>BmFem</w:t>
      </w:r>
      <w:r>
        <w:rPr>
          <w:rFonts w:eastAsia="Calibri" w:cs="Calibri"/>
          <w:bCs/>
        </w:rPr>
        <w:t xml:space="preserve"> piRNA of </w:t>
      </w:r>
      <w:r>
        <w:rPr>
          <w:rFonts w:eastAsia="Calibri" w:cs="Calibri"/>
          <w:bCs/>
          <w:i/>
        </w:rPr>
        <w:t>Bombyx mori</w:t>
      </w:r>
      <w:r>
        <w:rPr>
          <w:rFonts w:eastAsia="Calibri" w:cs="Calibri"/>
          <w:bCs/>
        </w:rPr>
        <w:t xml:space="preserve"> and </w:t>
      </w:r>
      <w:r>
        <w:rPr>
          <w:rFonts w:eastAsia="Calibri" w:cs="Calibri"/>
          <w:bCs/>
          <w:i/>
        </w:rPr>
        <w:t>EkMom</w:t>
      </w:r>
      <w:r>
        <w:rPr>
          <w:rFonts w:eastAsia="Calibri" w:cs="Calibri"/>
          <w:bCs/>
        </w:rPr>
        <w:t xml:space="preserve"> piRNA of </w:t>
      </w:r>
      <w:r>
        <w:rPr>
          <w:rFonts w:eastAsia="Calibri" w:cs="Calibri"/>
          <w:bCs/>
          <w:i/>
        </w:rPr>
        <w:t>Ephestia kuehniella</w:t>
      </w:r>
      <w:r>
        <w:rPr>
          <w:rFonts w:eastAsia="Calibri" w:cs="Calibri"/>
          <w:bCs/>
        </w:rPr>
        <w:t xml:space="preserve">. </w:t>
      </w:r>
      <w:r>
        <w:rPr>
          <w:rFonts w:eastAsia="Calibri" w:cs="Calibri"/>
          <w:b/>
          <w:bCs/>
        </w:rPr>
        <w:t>A</w:t>
      </w:r>
      <w:r>
        <w:rPr>
          <w:rFonts w:eastAsia="Calibri" w:cs="Calibri"/>
          <w:bCs/>
        </w:rPr>
        <w:t xml:space="preserve"> The sequence alignment of </w:t>
      </w:r>
      <w:r>
        <w:rPr>
          <w:rFonts w:eastAsia="Calibri" w:cs="Calibri"/>
          <w:bCs/>
          <w:i/>
        </w:rPr>
        <w:t>BmFem</w:t>
      </w:r>
      <w:r>
        <w:rPr>
          <w:rFonts w:eastAsia="Calibri" w:cs="Calibri"/>
          <w:bCs/>
        </w:rPr>
        <w:t xml:space="preserve"> piRNA and </w:t>
      </w:r>
      <w:r>
        <w:rPr>
          <w:rFonts w:eastAsia="Calibri" w:cs="Calibri"/>
          <w:bCs/>
          <w:i/>
        </w:rPr>
        <w:t>EkMom</w:t>
      </w:r>
      <w:r>
        <w:rPr>
          <w:rFonts w:eastAsia="Calibri" w:cs="Calibri"/>
          <w:bCs/>
        </w:rPr>
        <w:t xml:space="preserve"> piRNA shows a lack of sequence homology between the two sequences. </w:t>
      </w:r>
      <w:r>
        <w:rPr>
          <w:rFonts w:eastAsia="Calibri" w:cs="Calibri"/>
          <w:b/>
          <w:bCs/>
        </w:rPr>
        <w:t>B</w:t>
      </w:r>
      <w:r>
        <w:rPr>
          <w:rFonts w:eastAsia="Calibri" w:cs="Calibri"/>
          <w:bCs/>
        </w:rPr>
        <w:t xml:space="preserve"> Schematic representation of the aligned </w:t>
      </w:r>
      <w:r>
        <w:rPr>
          <w:rFonts w:eastAsia="Calibri" w:cs="Calibri"/>
          <w:bCs/>
          <w:i/>
        </w:rPr>
        <w:t>BmMasc</w:t>
      </w:r>
      <w:r>
        <w:rPr>
          <w:rFonts w:eastAsia="Calibri" w:cs="Calibri"/>
          <w:bCs/>
        </w:rPr>
        <w:t xml:space="preserve"> and </w:t>
      </w:r>
      <w:r>
        <w:rPr>
          <w:rFonts w:eastAsia="Calibri" w:cs="Calibri"/>
          <w:bCs/>
          <w:i/>
        </w:rPr>
        <w:t>EkMasc</w:t>
      </w:r>
      <w:r>
        <w:rPr>
          <w:rFonts w:eastAsia="Calibri" w:cs="Calibri"/>
          <w:bCs/>
        </w:rPr>
        <w:t xml:space="preserve"> protein-coding sequences with the exons (grey/white boxes), zinc finger motifs (pink boxes), bipartite nuclear localization signal (green boxes), masculinizing region (blue boxes) and feminizing piRNA target region (dashed orange boxes) indicated. Note that the feminizing piRNA sequences in the two species target non-homologous regions of the genes.</w:t>
      </w:r>
    </w:p>
    <w:p w14:paraId="5F052AB7" w14:textId="77777777" w:rsidR="00613697" w:rsidRDefault="00613697" w:rsidP="00613697">
      <w:pPr>
        <w:spacing w:after="0" w:line="360" w:lineRule="auto"/>
        <w:rPr>
          <w:rFonts w:eastAsia="Calibri" w:cs="Calibri"/>
          <w:bCs/>
        </w:rPr>
      </w:pPr>
    </w:p>
    <w:p w14:paraId="6444A41E" w14:textId="77777777" w:rsidR="00613697" w:rsidRDefault="00613697" w:rsidP="00613697">
      <w:pPr>
        <w:spacing w:after="0" w:line="360" w:lineRule="auto"/>
        <w:rPr>
          <w:rFonts w:eastAsia="Calibri" w:cs="Calibri"/>
          <w:bCs/>
          <w:lang w:val="en-US"/>
        </w:rPr>
      </w:pPr>
      <w:r>
        <w:rPr>
          <w:b/>
        </w:rPr>
        <w:t xml:space="preserve">Additional File 8: </w:t>
      </w:r>
      <w:r>
        <w:rPr>
          <w:rFonts w:eastAsia="Calibri" w:cs="Calibri"/>
          <w:b/>
          <w:bCs/>
          <w:lang w:val="en-US"/>
        </w:rPr>
        <w:t xml:space="preserve">Table S1. </w:t>
      </w:r>
      <w:r>
        <w:rPr>
          <w:rFonts w:eastAsia="Calibri" w:cs="Calibri"/>
          <w:bCs/>
          <w:lang w:val="en-US"/>
        </w:rPr>
        <w:t>Overview of primers used in this study.</w:t>
      </w:r>
    </w:p>
    <w:p w14:paraId="3858F37B" w14:textId="77777777" w:rsidR="00613697" w:rsidRDefault="00613697" w:rsidP="00613697">
      <w:pPr>
        <w:spacing w:after="0" w:line="360" w:lineRule="auto"/>
        <w:rPr>
          <w:rFonts w:eastAsia="Calibri" w:cs="Calibri"/>
          <w:bCs/>
          <w:lang w:val="en-US"/>
        </w:rPr>
      </w:pPr>
    </w:p>
    <w:p w14:paraId="478194B1" w14:textId="77777777" w:rsidR="00613697" w:rsidRDefault="00613697" w:rsidP="00613697">
      <w:pPr>
        <w:spacing w:after="0" w:line="360" w:lineRule="auto"/>
        <w:rPr>
          <w:rFonts w:eastAsia="Calibri" w:cs="Calibri"/>
          <w:bCs/>
        </w:rPr>
      </w:pPr>
      <w:bookmarkStart w:id="0" w:name="_Hlk170600113"/>
      <w:r w:rsidRPr="00284FDA">
        <w:rPr>
          <w:b/>
          <w:bCs/>
        </w:rPr>
        <w:t xml:space="preserve">Additional File 9: </w:t>
      </w:r>
      <w:bookmarkEnd w:id="0"/>
      <w:r>
        <w:rPr>
          <w:rFonts w:cstheme="minorHAnsi"/>
          <w:b/>
        </w:rPr>
        <w:t xml:space="preserve">Methods S1. </w:t>
      </w:r>
      <w:r>
        <w:rPr>
          <w:rFonts w:eastAsia="Calibri" w:cs="Calibri"/>
          <w:bCs/>
        </w:rPr>
        <w:t>Details of the GISH procedure with modifications.</w:t>
      </w:r>
    </w:p>
    <w:p w14:paraId="5132306D" w14:textId="77777777" w:rsidR="00613697" w:rsidRDefault="00613697" w:rsidP="00613697">
      <w:pPr>
        <w:spacing w:after="0" w:line="360" w:lineRule="auto"/>
        <w:rPr>
          <w:rFonts w:eastAsia="Calibri" w:cs="Calibri"/>
          <w:bCs/>
        </w:rPr>
      </w:pPr>
    </w:p>
    <w:p w14:paraId="0D78B58B" w14:textId="77777777" w:rsidR="00613697" w:rsidRDefault="00613697" w:rsidP="00613697">
      <w:pPr>
        <w:spacing w:after="0" w:line="360" w:lineRule="auto"/>
        <w:rPr>
          <w:rFonts w:ascii="Calibri" w:eastAsia="Calibri" w:hAnsi="Calibri" w:cs="Times New Roman"/>
        </w:rPr>
      </w:pPr>
      <w:r w:rsidRPr="00773BB0">
        <w:rPr>
          <w:b/>
          <w:bCs/>
        </w:rPr>
        <w:t xml:space="preserve">Additional File </w:t>
      </w:r>
      <w:r>
        <w:rPr>
          <w:b/>
          <w:bCs/>
        </w:rPr>
        <w:t>10</w:t>
      </w:r>
      <w:r w:rsidRPr="00773BB0">
        <w:rPr>
          <w:b/>
          <w:bCs/>
        </w:rPr>
        <w:t xml:space="preserve">: </w:t>
      </w:r>
      <w:r>
        <w:rPr>
          <w:rFonts w:eastAsia="Calibri" w:cs="Calibri"/>
          <w:bCs/>
        </w:rPr>
        <w:t xml:space="preserve"> </w:t>
      </w:r>
      <w:r>
        <w:rPr>
          <w:rFonts w:eastAsia="Calibri" w:cs="Calibri"/>
          <w:b/>
          <w:bCs/>
        </w:rPr>
        <w:t>Methods S2.</w:t>
      </w:r>
      <w:r>
        <w:rPr>
          <w:rFonts w:eastAsia="Calibri" w:cs="Calibri"/>
          <w:bCs/>
        </w:rPr>
        <w:t xml:space="preserve"> Preparation of probes for TSA-FISH.</w:t>
      </w:r>
    </w:p>
    <w:p w14:paraId="099E06D4" w14:textId="77777777" w:rsidR="003A2514" w:rsidRDefault="003A2514"/>
    <w:sectPr w:rsidR="003A25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697"/>
    <w:rsid w:val="001B533D"/>
    <w:rsid w:val="003A2514"/>
    <w:rsid w:val="004C11D7"/>
    <w:rsid w:val="00613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EC97E"/>
  <w15:chartTrackingRefBased/>
  <w15:docId w15:val="{655E896E-A966-41A9-B6DB-014C0E862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697"/>
    <w:pPr>
      <w:suppressAutoHyphens/>
    </w:pPr>
    <w:rPr>
      <w:kern w:val="0"/>
      <w:lang w:val="en-GB"/>
      <w14:ligatures w14:val="none"/>
    </w:rPr>
  </w:style>
  <w:style w:type="paragraph" w:styleId="Heading1">
    <w:name w:val="heading 1"/>
    <w:basedOn w:val="Normal"/>
    <w:next w:val="Normal"/>
    <w:link w:val="Heading1Char"/>
    <w:uiPriority w:val="9"/>
    <w:qFormat/>
    <w:rsid w:val="00613697"/>
    <w:pPr>
      <w:keepNext/>
      <w:keepLines/>
      <w:suppressAutoHyphens w:val="0"/>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613697"/>
    <w:pPr>
      <w:keepNext/>
      <w:keepLines/>
      <w:suppressAutoHyphens w:val="0"/>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613697"/>
    <w:pPr>
      <w:keepNext/>
      <w:keepLines/>
      <w:suppressAutoHyphens w:val="0"/>
      <w:spacing w:before="160" w:after="80"/>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613697"/>
    <w:pPr>
      <w:keepNext/>
      <w:keepLines/>
      <w:suppressAutoHyphens w:val="0"/>
      <w:spacing w:before="80" w:after="40"/>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613697"/>
    <w:pPr>
      <w:keepNext/>
      <w:keepLines/>
      <w:suppressAutoHyphens w:val="0"/>
      <w:spacing w:before="80" w:after="40"/>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613697"/>
    <w:pPr>
      <w:keepNext/>
      <w:keepLines/>
      <w:suppressAutoHyphens w:val="0"/>
      <w:spacing w:before="40" w:after="0"/>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613697"/>
    <w:pPr>
      <w:keepNext/>
      <w:keepLines/>
      <w:suppressAutoHyphens w:val="0"/>
      <w:spacing w:before="40" w:after="0"/>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613697"/>
    <w:pPr>
      <w:keepNext/>
      <w:keepLines/>
      <w:suppressAutoHyphens w:val="0"/>
      <w:spacing w:after="0"/>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613697"/>
    <w:pPr>
      <w:keepNext/>
      <w:keepLines/>
      <w:suppressAutoHyphens w:val="0"/>
      <w:spacing w:after="0"/>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6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36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36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36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36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36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36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36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3697"/>
    <w:rPr>
      <w:rFonts w:eastAsiaTheme="majorEastAsia" w:cstheme="majorBidi"/>
      <w:color w:val="272727" w:themeColor="text1" w:themeTint="D8"/>
    </w:rPr>
  </w:style>
  <w:style w:type="paragraph" w:styleId="Title">
    <w:name w:val="Title"/>
    <w:basedOn w:val="Normal"/>
    <w:next w:val="Normal"/>
    <w:link w:val="TitleChar"/>
    <w:uiPriority w:val="10"/>
    <w:qFormat/>
    <w:rsid w:val="00613697"/>
    <w:pPr>
      <w:suppressAutoHyphens w:val="0"/>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6136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3697"/>
    <w:pPr>
      <w:numPr>
        <w:ilvl w:val="1"/>
      </w:numPr>
      <w:suppressAutoHyphens w:val="0"/>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6136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3697"/>
    <w:pPr>
      <w:suppressAutoHyphens w:val="0"/>
      <w:spacing w:before="160"/>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613697"/>
    <w:rPr>
      <w:i/>
      <w:iCs/>
      <w:color w:val="404040" w:themeColor="text1" w:themeTint="BF"/>
    </w:rPr>
  </w:style>
  <w:style w:type="paragraph" w:styleId="ListParagraph">
    <w:name w:val="List Paragraph"/>
    <w:basedOn w:val="Normal"/>
    <w:uiPriority w:val="34"/>
    <w:qFormat/>
    <w:rsid w:val="00613697"/>
    <w:pPr>
      <w:suppressAutoHyphens w:val="0"/>
      <w:ind w:left="720"/>
      <w:contextualSpacing/>
    </w:pPr>
    <w:rPr>
      <w:kern w:val="2"/>
      <w:lang w:val="en-US"/>
      <w14:ligatures w14:val="standardContextual"/>
    </w:rPr>
  </w:style>
  <w:style w:type="character" w:styleId="IntenseEmphasis">
    <w:name w:val="Intense Emphasis"/>
    <w:basedOn w:val="DefaultParagraphFont"/>
    <w:uiPriority w:val="21"/>
    <w:qFormat/>
    <w:rsid w:val="00613697"/>
    <w:rPr>
      <w:i/>
      <w:iCs/>
      <w:color w:val="0F4761" w:themeColor="accent1" w:themeShade="BF"/>
    </w:rPr>
  </w:style>
  <w:style w:type="paragraph" w:styleId="IntenseQuote">
    <w:name w:val="Intense Quote"/>
    <w:basedOn w:val="Normal"/>
    <w:next w:val="Normal"/>
    <w:link w:val="IntenseQuoteChar"/>
    <w:uiPriority w:val="30"/>
    <w:qFormat/>
    <w:rsid w:val="00613697"/>
    <w:pPr>
      <w:pBdr>
        <w:top w:val="single" w:sz="4" w:space="10" w:color="0F4761" w:themeColor="accent1" w:themeShade="BF"/>
        <w:bottom w:val="single" w:sz="4" w:space="10" w:color="0F4761" w:themeColor="accent1" w:themeShade="BF"/>
      </w:pBdr>
      <w:suppressAutoHyphens w:val="0"/>
      <w:spacing w:before="360" w:after="360"/>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613697"/>
    <w:rPr>
      <w:i/>
      <w:iCs/>
      <w:color w:val="0F4761" w:themeColor="accent1" w:themeShade="BF"/>
    </w:rPr>
  </w:style>
  <w:style w:type="character" w:styleId="IntenseReference">
    <w:name w:val="Intense Reference"/>
    <w:basedOn w:val="DefaultParagraphFont"/>
    <w:uiPriority w:val="32"/>
    <w:qFormat/>
    <w:rsid w:val="006136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637</Words>
  <Characters>3636</Characters>
  <Application>Microsoft Office Word</Application>
  <DocSecurity>0</DocSecurity>
  <Lines>30</Lines>
  <Paragraphs>8</Paragraphs>
  <ScaleCrop>false</ScaleCrop>
  <Company>Springer Nature</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2024-07-25T16:24:00Z</dcterms:created>
  <dcterms:modified xsi:type="dcterms:W3CDTF">2024-07-25T16:25:00Z</dcterms:modified>
</cp:coreProperties>
</file>