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Supplemental information</w:t>
      </w:r>
    </w:p>
    <w:p>
      <w:pPr>
        <w:spacing w:line="360" w:lineRule="auto"/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eastAsia="zh-CN"/>
        </w:rPr>
        <w:t>Supplementary Table</w:t>
      </w:r>
      <w:r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1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Textbook outcome parameters of CSP patients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.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  <w:shd w:val="clear" w:color="auto" w:fill="FFFFFF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eastAsia="zh-CN"/>
        </w:rPr>
        <w:t>Supplementary Table</w:t>
      </w:r>
      <w:r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2.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Textbook outcome underwent different risk factors.</w:t>
      </w:r>
    </w:p>
    <w:p/>
    <w:p>
      <w:bookmarkStart w:id="0" w:name="_GoBack"/>
      <w:bookmarkEnd w:id="0"/>
    </w:p>
    <w:p/>
    <w:p/>
    <w:p/>
    <w:p/>
    <w:p/>
    <w:p/>
    <w:p/>
    <w:p/>
    <w:p/>
    <w:p/>
    <w:p/>
    <w:p/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eastAsia="zh-CN"/>
        </w:rPr>
        <w:t>Supplementary Table</w:t>
      </w:r>
      <w:r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1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Textbook outcome parameters of CSP patients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.</w:t>
      </w:r>
    </w:p>
    <w:tbl>
      <w:tblPr>
        <w:tblW w:w="6720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2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Complete resection of the gestational sac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7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No intraoperative complication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No severe postoperative complication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No re-intervention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No unplanned admission to the intensive care unit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Hospitalization period of ≤7 days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No postoperative mortality within 30 days after surgery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No readmission after discharge</w:t>
            </w:r>
          </w:p>
        </w:tc>
      </w:tr>
    </w:tbl>
    <w:p>
      <w:pPr>
        <w:spacing w:line="240" w:lineRule="auto"/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Only when all of the above eight conditions are met, can it be considered that the textbook outcome has been achieved</w:t>
      </w:r>
    </w:p>
    <w:p>
      <w:pPr>
        <w:spacing w:line="360" w:lineRule="auto"/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</w:p>
    <w:p>
      <w:pPr>
        <w:spacing w:line="360" w:lineRule="auto"/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</w:p>
    <w:p>
      <w:pPr>
        <w:spacing w:line="360" w:lineRule="auto"/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</w:p>
    <w:p>
      <w:pPr>
        <w:spacing w:line="360" w:lineRule="auto"/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</w:p>
    <w:p>
      <w:pPr>
        <w:spacing w:line="360" w:lineRule="auto"/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</w:p>
    <w:p>
      <w:pPr>
        <w:spacing w:line="360" w:lineRule="auto"/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</w:p>
    <w:p>
      <w:pPr>
        <w:spacing w:line="360" w:lineRule="auto"/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</w:p>
    <w:p>
      <w:pPr>
        <w:spacing w:line="360" w:lineRule="auto"/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</w:p>
    <w:p>
      <w:pPr>
        <w:spacing w:line="360" w:lineRule="auto"/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eastAsia="zh-CN"/>
        </w:rPr>
        <w:t>Supplementary Table</w:t>
      </w:r>
      <w:r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2.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Textbook outcome underwent different risk factors.</w:t>
      </w:r>
    </w:p>
    <w:tbl>
      <w:tblPr>
        <w:tblW w:w="7900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8"/>
        <w:gridCol w:w="960"/>
        <w:gridCol w:w="827"/>
        <w:gridCol w:w="1026"/>
        <w:gridCol w:w="953"/>
        <w:gridCol w:w="1026"/>
        <w:gridCol w:w="9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48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No. of risk factors</w:t>
            </w:r>
          </w:p>
        </w:tc>
        <w:tc>
          <w:tcPr>
            <w:tcW w:w="96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Total</w:t>
            </w:r>
          </w:p>
        </w:tc>
        <w:tc>
          <w:tcPr>
            <w:tcW w:w="3840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Textbook Outcome </w:t>
            </w:r>
          </w:p>
        </w:tc>
        <w:tc>
          <w:tcPr>
            <w:tcW w:w="960" w:type="dxa"/>
            <w:vMerge w:val="restart"/>
            <w:tcBorders>
              <w:top w:val="single" w:color="000000" w:sz="4" w:space="0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rFonts w:eastAsia="宋体"/>
                <w:bdr w:val="none" w:color="auto" w:sz="0" w:space="0"/>
                <w:lang w:val="en-US" w:eastAsia="zh-CN" w:bidi="ar"/>
              </w:rPr>
              <w:t>P</w:t>
            </w:r>
            <w:r>
              <w:rPr>
                <w:rStyle w:val="5"/>
                <w:rFonts w:eastAsia="宋体"/>
                <w:bdr w:val="none" w:color="auto" w:sz="0" w:space="0"/>
                <w:lang w:val="en-US" w:eastAsia="zh-CN" w:bidi="ar"/>
              </w:rPr>
              <w:t>-value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48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%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%</w:t>
            </w:r>
          </w:p>
        </w:tc>
        <w:tc>
          <w:tcPr>
            <w:tcW w:w="960" w:type="dxa"/>
            <w:vMerge w:val="continue"/>
            <w:tcBorders>
              <w:top w:val="single" w:color="000000" w:sz="4" w:space="0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2.6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97.4 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8.5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91.5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13.3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86.7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90.9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9.1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50.0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50.0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spacing w:line="240" w:lineRule="auto"/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Risk factors includes Type III, History of caesarean sections in primary healthcare hospitals, not receiving HIFU combined with hysteroscopy and blood loss&gt;30 ml. </w:t>
      </w:r>
    </w:p>
    <w:p/>
    <w:sectPr>
      <w:pgSz w:w="11906" w:h="16838"/>
      <w:pgMar w:top="1440" w:right="1800" w:bottom="1440" w:left="1800" w:header="851" w:footer="992" w:gutter="0"/>
      <w:lnNumType w:countBy="0" w:restart="continuous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6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JjYzRhNGFlNjllM2QwMTI5OTRhMTdjNDdmNzc5YjEifQ=="/>
  </w:docVars>
  <w:rsids>
    <w:rsidRoot w:val="00000000"/>
    <w:rsid w:val="14215C1B"/>
    <w:rsid w:val="1D8B0D58"/>
    <w:rsid w:val="206D4D3C"/>
    <w:rsid w:val="4F832251"/>
    <w:rsid w:val="667222CD"/>
    <w:rsid w:val="7B867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uiPriority w:val="0"/>
    <w:rPr>
      <w:rFonts w:hint="default" w:ascii="Times New Roman" w:hAnsi="Times New Roman" w:cs="Times New Roman"/>
      <w:i/>
      <w:iCs/>
      <w:color w:val="000000"/>
      <w:sz w:val="22"/>
      <w:szCs w:val="22"/>
      <w:u w:val="none"/>
    </w:rPr>
  </w:style>
  <w:style w:type="character" w:customStyle="1" w:styleId="5">
    <w:name w:val="font11"/>
    <w:basedOn w:val="3"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2024-06-11T12:53:05Z</dcterms:created>
  <dc:creator>75147</dc:creator>
  <cp:lastModifiedBy>Zhi-Yu Liu</cp:lastModifiedBy>
  <dcterms:modified xsi:type="dcterms:W3CDTF">2024-06-11T12:54:45Z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689660FD2D844AE3AC1F34EC5FE0938E_12</vt:lpwstr>
  </property>
</Properties>
</file>