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9CBFF" w14:textId="339ACB93" w:rsidR="00771FE8" w:rsidRDefault="00771FE8" w:rsidP="00771FE8">
      <w:pPr>
        <w:jc w:val="center"/>
        <w:rPr>
          <w:rFonts w:ascii="Times New Roman" w:hAnsi="Times New Roman" w:cs="Times New Roman"/>
          <w:b/>
        </w:rPr>
      </w:pPr>
      <w:r w:rsidRPr="008A143D"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>6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>.</w:t>
      </w:r>
      <w:r w:rsidRPr="008A143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A143D">
        <w:rPr>
          <w:rFonts w:ascii="Times New Roman" w:hAnsi="Times New Roman" w:cs="Times New Roman"/>
          <w:b/>
        </w:rPr>
        <w:t>Leave-one-out plots</w:t>
      </w:r>
      <w:r>
        <w:rPr>
          <w:rFonts w:ascii="Times New Roman" w:hAnsi="Times New Roman" w:cs="Times New Roman"/>
          <w:b/>
        </w:rPr>
        <w:t xml:space="preserve">, </w:t>
      </w:r>
      <w:r w:rsidRPr="00D37310">
        <w:rPr>
          <w:rFonts w:ascii="Times New Roman" w:hAnsi="Times New Roman" w:cs="Times New Roman"/>
          <w:b/>
        </w:rPr>
        <w:t>forest plot</w:t>
      </w:r>
      <w:r>
        <w:rPr>
          <w:rFonts w:ascii="Times New Roman" w:hAnsi="Times New Roman" w:cs="Times New Roman"/>
          <w:b/>
        </w:rPr>
        <w:t>s</w:t>
      </w:r>
      <w:r w:rsidRPr="00D37310">
        <w:rPr>
          <w:rFonts w:ascii="Times New Roman" w:hAnsi="Times New Roman" w:cs="Times New Roman"/>
          <w:b/>
        </w:rPr>
        <w:t>, and scatter plot</w:t>
      </w:r>
      <w:r>
        <w:rPr>
          <w:rFonts w:ascii="Times New Roman" w:hAnsi="Times New Roman" w:cs="Times New Roman"/>
          <w:b/>
        </w:rPr>
        <w:t>s</w:t>
      </w:r>
    </w:p>
    <w:p w14:paraId="518D9A31" w14:textId="0318BB53" w:rsidR="00C228DD" w:rsidRPr="00430D53" w:rsidRDefault="00C228D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</w:rPr>
        <w:t xml:space="preserve">Supplementary Figure 1. </w:t>
      </w:r>
      <w:r w:rsidRPr="00771FE8">
        <w:rPr>
          <w:rFonts w:ascii="Times New Roman" w:hAnsi="Times New Roman" w:cs="Times New Roman"/>
        </w:rPr>
        <w:t xml:space="preserve">The leave-one-out plot, forest plot, funnel plot, and scatter plot for the association of </w:t>
      </w:r>
      <w:bookmarkStart w:id="0" w:name="_Hlk63888791"/>
      <w:r w:rsidR="0089745D" w:rsidRPr="00771FE8">
        <w:rPr>
          <w:rFonts w:ascii="Times New Roman" w:hAnsi="Times New Roman" w:cs="Times New Roman"/>
        </w:rPr>
        <w:t xml:space="preserve">glycoprotein acetyls </w:t>
      </w:r>
      <w:bookmarkEnd w:id="0"/>
      <w:r w:rsidRPr="00771FE8">
        <w:rPr>
          <w:rFonts w:ascii="Times New Roman" w:hAnsi="Times New Roman" w:cs="Times New Roman"/>
        </w:rPr>
        <w:t>and Alzheimer’s disease in primary analysis.</w:t>
      </w:r>
    </w:p>
    <w:p w14:paraId="5414E740" w14:textId="7E3236D2" w:rsidR="00C228DD" w:rsidRPr="00430D53" w:rsidRDefault="009077CA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CE0FE9B" wp14:editId="0E947CFE">
            <wp:extent cx="3960000" cy="396000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5B837A9" wp14:editId="173C3C04">
            <wp:extent cx="3960000" cy="396000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45D"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83C7486" wp14:editId="745FB1BC">
            <wp:extent cx="3960000" cy="396000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5FAA3" w14:textId="2271E4EC" w:rsidR="00C228DD" w:rsidRPr="00430D53" w:rsidRDefault="0089745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B6BA7DC" wp14:editId="37128E54">
            <wp:extent cx="3960000" cy="396000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C4F6D" w14:textId="676E2480" w:rsidR="00C228DD" w:rsidRPr="00430D53" w:rsidRDefault="00C228DD" w:rsidP="00C228DD">
      <w:pPr>
        <w:rPr>
          <w:rFonts w:ascii="Times New Roman" w:hAnsi="Times New Roman" w:cs="Times New Roman"/>
          <w:b/>
          <w:bCs/>
        </w:rPr>
      </w:pPr>
    </w:p>
    <w:p w14:paraId="077B396A" w14:textId="77777777" w:rsidR="009077CA" w:rsidRPr="00430D53" w:rsidRDefault="009077CA" w:rsidP="00C228DD">
      <w:pPr>
        <w:rPr>
          <w:rFonts w:ascii="Times New Roman" w:hAnsi="Times New Roman" w:cs="Times New Roman"/>
          <w:b/>
          <w:bCs/>
        </w:rPr>
      </w:pPr>
    </w:p>
    <w:p w14:paraId="6D1C3428" w14:textId="560370B2" w:rsidR="00C228DD" w:rsidRPr="00430D53" w:rsidRDefault="00C228D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</w:rPr>
        <w:lastRenderedPageBreak/>
        <w:t xml:space="preserve">Supplementary Figure </w:t>
      </w:r>
      <w:r w:rsidR="00D90DE3" w:rsidRPr="00430D53">
        <w:rPr>
          <w:rFonts w:ascii="Times New Roman" w:hAnsi="Times New Roman" w:cs="Times New Roman"/>
          <w:b/>
          <w:bCs/>
        </w:rPr>
        <w:t>2</w:t>
      </w:r>
      <w:r w:rsidR="00771FE8">
        <w:rPr>
          <w:rFonts w:ascii="Times New Roman" w:hAnsi="Times New Roman" w:cs="Times New Roman"/>
          <w:b/>
          <w:bCs/>
        </w:rPr>
        <w:t>.</w:t>
      </w:r>
      <w:r w:rsidRPr="00430D53">
        <w:rPr>
          <w:rFonts w:ascii="Times New Roman" w:hAnsi="Times New Roman" w:cs="Times New Roman"/>
          <w:b/>
          <w:bCs/>
        </w:rPr>
        <w:t xml:space="preserve"> </w:t>
      </w:r>
      <w:r w:rsidRPr="00771FE8">
        <w:rPr>
          <w:rFonts w:ascii="Times New Roman" w:hAnsi="Times New Roman" w:cs="Times New Roman"/>
        </w:rPr>
        <w:t>The leave-one-out plot, forest plot, funnel plot, and scatter plot for the association of glutamine and Alzheimer’s disease in primary analysis.</w:t>
      </w:r>
    </w:p>
    <w:p w14:paraId="42EC53F5" w14:textId="10C4CB0F" w:rsidR="00C228DD" w:rsidRPr="00430D53" w:rsidRDefault="009077CA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AEC8B3" wp14:editId="14567B75">
            <wp:extent cx="3960000" cy="3960000"/>
            <wp:effectExtent l="0" t="0" r="254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45D"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543C28C" wp14:editId="0CE1645D">
            <wp:extent cx="3960000" cy="396000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D9F5A" w14:textId="2E694376" w:rsidR="0089745D" w:rsidRPr="00430D53" w:rsidRDefault="0089745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F633672" wp14:editId="0332DCFD">
            <wp:extent cx="3960000" cy="3960000"/>
            <wp:effectExtent l="0" t="0" r="254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51F30" w14:textId="6E112B70" w:rsidR="00C228DD" w:rsidRPr="00430D53" w:rsidRDefault="0089745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CEE2462" wp14:editId="539F287A">
            <wp:extent cx="3960000" cy="396000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C5DDA" w14:textId="77777777" w:rsidR="009077CA" w:rsidRPr="00430D53" w:rsidRDefault="009077CA" w:rsidP="00C228DD">
      <w:pPr>
        <w:rPr>
          <w:rFonts w:ascii="Times New Roman" w:hAnsi="Times New Roman" w:cs="Times New Roman"/>
          <w:b/>
          <w:bCs/>
        </w:rPr>
      </w:pPr>
    </w:p>
    <w:p w14:paraId="3278E343" w14:textId="77777777" w:rsidR="00C228DD" w:rsidRPr="00430D53" w:rsidRDefault="00C228DD" w:rsidP="00C228DD">
      <w:pPr>
        <w:rPr>
          <w:rFonts w:ascii="Times New Roman" w:hAnsi="Times New Roman" w:cs="Times New Roman"/>
          <w:b/>
          <w:bCs/>
        </w:rPr>
      </w:pPr>
    </w:p>
    <w:p w14:paraId="4424E881" w14:textId="5D07499C" w:rsidR="00FA5643" w:rsidRPr="00771FE8" w:rsidRDefault="00FA5643" w:rsidP="00FA5643">
      <w:pPr>
        <w:rPr>
          <w:rFonts w:ascii="Times New Roman" w:hAnsi="Times New Roman" w:cs="Times New Roman"/>
        </w:rPr>
      </w:pPr>
      <w:r w:rsidRPr="00430D53">
        <w:rPr>
          <w:rFonts w:ascii="Times New Roman" w:hAnsi="Times New Roman" w:cs="Times New Roman"/>
          <w:b/>
          <w:bCs/>
        </w:rPr>
        <w:lastRenderedPageBreak/>
        <w:t>Supplementary Figure 3</w:t>
      </w:r>
      <w:r w:rsidR="00771FE8">
        <w:rPr>
          <w:rFonts w:ascii="Times New Roman" w:hAnsi="Times New Roman" w:cs="Times New Roman"/>
          <w:b/>
          <w:bCs/>
        </w:rPr>
        <w:t>.</w:t>
      </w:r>
      <w:r w:rsidRPr="00430D53">
        <w:rPr>
          <w:rFonts w:ascii="Times New Roman" w:hAnsi="Times New Roman" w:cs="Times New Roman"/>
          <w:b/>
          <w:bCs/>
        </w:rPr>
        <w:t xml:space="preserve"> </w:t>
      </w:r>
      <w:r w:rsidRPr="00771FE8">
        <w:rPr>
          <w:rFonts w:ascii="Times New Roman" w:hAnsi="Times New Roman" w:cs="Times New Roman"/>
        </w:rPr>
        <w:t>The leave-one-out plot, forest plot, funnel plot, and scatter plot for the association of ApoB and Alzheimer’s disease in primary analysis.</w:t>
      </w:r>
    </w:p>
    <w:p w14:paraId="773D0A7B" w14:textId="2BB25CC9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20D709D" wp14:editId="688315BA">
            <wp:extent cx="3960000" cy="3960000"/>
            <wp:effectExtent l="0" t="0" r="2540" b="254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9E586B" wp14:editId="70995180">
            <wp:extent cx="3960000" cy="396000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44FD245" wp14:editId="566B2453">
            <wp:extent cx="3960000" cy="396000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5DF2D" w14:textId="5E8F6947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E8B8737" wp14:editId="657021D2">
            <wp:extent cx="3960000" cy="3960000"/>
            <wp:effectExtent l="0" t="0" r="254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EB28E" w14:textId="0464C2E3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28953504" w14:textId="7F1F96EB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56F886F6" w14:textId="0B3CF7D4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</w:rPr>
        <w:lastRenderedPageBreak/>
        <w:t>Supplementary Figure 4</w:t>
      </w:r>
      <w:r w:rsidR="00771FE8">
        <w:rPr>
          <w:rFonts w:ascii="Times New Roman" w:hAnsi="Times New Roman" w:cs="Times New Roman"/>
          <w:b/>
          <w:bCs/>
        </w:rPr>
        <w:t xml:space="preserve">. </w:t>
      </w:r>
      <w:r w:rsidRPr="00771FE8">
        <w:rPr>
          <w:rFonts w:ascii="Times New Roman" w:hAnsi="Times New Roman" w:cs="Times New Roman"/>
        </w:rPr>
        <w:t>The leave-one-out plot, forest plot, funnel plot, and scatter plot for the association of LDL-C and Alzheimer’s disease in primary analysis.</w:t>
      </w:r>
    </w:p>
    <w:p w14:paraId="3C246D7C" w14:textId="44FC6CC5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31BBD80" wp14:editId="0B087721">
            <wp:extent cx="3960000" cy="3960000"/>
            <wp:effectExtent l="0" t="0" r="254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8FA4A2F" wp14:editId="1CA2743A">
            <wp:extent cx="3960000" cy="3960000"/>
            <wp:effectExtent l="0" t="0" r="2540" b="254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770A9" w14:textId="66AF753D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62914F8" wp14:editId="24073B2D">
            <wp:extent cx="3960000" cy="3960000"/>
            <wp:effectExtent l="0" t="0" r="2540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318CB5" wp14:editId="17CB55CF">
            <wp:extent cx="3960000" cy="3960000"/>
            <wp:effectExtent l="0" t="0" r="2540" b="254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722B4" w14:textId="07E56ECB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07D81CA5" w14:textId="77777777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175E6D00" w14:textId="3CFC3C1C" w:rsidR="00FA5643" w:rsidRPr="00771FE8" w:rsidRDefault="00FA5643" w:rsidP="00FA5643">
      <w:pPr>
        <w:rPr>
          <w:rFonts w:ascii="Times New Roman" w:hAnsi="Times New Roman" w:cs="Times New Roman"/>
        </w:rPr>
      </w:pPr>
      <w:r w:rsidRPr="00430D53">
        <w:rPr>
          <w:rFonts w:ascii="Times New Roman" w:hAnsi="Times New Roman" w:cs="Times New Roman"/>
          <w:b/>
          <w:bCs/>
        </w:rPr>
        <w:lastRenderedPageBreak/>
        <w:t>Supplementary Figure 5</w:t>
      </w:r>
      <w:r w:rsidR="00771FE8">
        <w:rPr>
          <w:rFonts w:ascii="Times New Roman" w:hAnsi="Times New Roman" w:cs="Times New Roman"/>
          <w:b/>
          <w:bCs/>
        </w:rPr>
        <w:t>.</w:t>
      </w:r>
      <w:r w:rsidRPr="00771FE8">
        <w:rPr>
          <w:rFonts w:ascii="Times New Roman" w:hAnsi="Times New Roman" w:cs="Times New Roman"/>
        </w:rPr>
        <w:t xml:space="preserve"> The leave-one-out plot, forest plot, funnel plot, and scatter plot for the association of Serum-C and Alzheimer’s disease in primary analysis.</w:t>
      </w:r>
    </w:p>
    <w:p w14:paraId="728E1249" w14:textId="0D46F6AA" w:rsidR="00A014C2" w:rsidRPr="00430D53" w:rsidRDefault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718756" wp14:editId="235F4FF9">
            <wp:extent cx="3960000" cy="3960000"/>
            <wp:effectExtent l="0" t="0" r="2540" b="25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0D39B74" wp14:editId="2D765A82">
            <wp:extent cx="3960000" cy="3960000"/>
            <wp:effectExtent l="0" t="0" r="2540" b="254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01A25" w14:textId="08CF9094" w:rsidR="00FA5643" w:rsidRPr="00430D53" w:rsidRDefault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AA810A3" wp14:editId="2B701326">
            <wp:extent cx="3960000" cy="3960000"/>
            <wp:effectExtent l="0" t="0" r="2540" b="254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89E34" w14:textId="0F7081A4" w:rsidR="00FA5643" w:rsidRPr="00430D53" w:rsidRDefault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8220A24" wp14:editId="4D5ABEA5">
            <wp:extent cx="3960000" cy="3960000"/>
            <wp:effectExtent l="0" t="0" r="254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70CCE" w14:textId="6EB2FBF2" w:rsidR="00FA5643" w:rsidRPr="00430D53" w:rsidRDefault="00FA5643">
      <w:pPr>
        <w:rPr>
          <w:rFonts w:ascii="Times New Roman" w:hAnsi="Times New Roman" w:cs="Times New Roman"/>
          <w:b/>
          <w:bCs/>
        </w:rPr>
      </w:pPr>
    </w:p>
    <w:p w14:paraId="63786D32" w14:textId="77777777" w:rsidR="00FA5643" w:rsidRPr="00430D53" w:rsidRDefault="00FA5643">
      <w:pPr>
        <w:rPr>
          <w:rFonts w:ascii="Times New Roman" w:hAnsi="Times New Roman" w:cs="Times New Roman"/>
          <w:b/>
          <w:bCs/>
        </w:rPr>
      </w:pPr>
    </w:p>
    <w:sectPr w:rsidR="00FA5643" w:rsidRPr="00430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EB17C" w14:textId="77777777" w:rsidR="0011538E" w:rsidRDefault="0011538E" w:rsidP="00D90DE3">
      <w:r>
        <w:separator/>
      </w:r>
    </w:p>
  </w:endnote>
  <w:endnote w:type="continuationSeparator" w:id="0">
    <w:p w14:paraId="79F648F8" w14:textId="77777777" w:rsidR="0011538E" w:rsidRDefault="0011538E" w:rsidP="00D9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2B17E" w14:textId="77777777" w:rsidR="0011538E" w:rsidRDefault="0011538E" w:rsidP="00D90DE3">
      <w:r>
        <w:separator/>
      </w:r>
    </w:p>
  </w:footnote>
  <w:footnote w:type="continuationSeparator" w:id="0">
    <w:p w14:paraId="741C691C" w14:textId="77777777" w:rsidR="0011538E" w:rsidRDefault="0011538E" w:rsidP="00D90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228DD"/>
    <w:rsid w:val="0011538E"/>
    <w:rsid w:val="00167201"/>
    <w:rsid w:val="001A4E21"/>
    <w:rsid w:val="00430D53"/>
    <w:rsid w:val="004677A4"/>
    <w:rsid w:val="007033C0"/>
    <w:rsid w:val="00771FE8"/>
    <w:rsid w:val="00802F85"/>
    <w:rsid w:val="0089745D"/>
    <w:rsid w:val="009077CA"/>
    <w:rsid w:val="009D3094"/>
    <w:rsid w:val="00C228DD"/>
    <w:rsid w:val="00CE71C5"/>
    <w:rsid w:val="00D90DE3"/>
    <w:rsid w:val="00F21ED6"/>
    <w:rsid w:val="00FA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8A4FE"/>
  <w15:chartTrackingRefBased/>
  <w15:docId w15:val="{15877E1F-8961-4395-93BA-149C7EAC4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8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0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0D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0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0D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2</cp:revision>
  <dcterms:created xsi:type="dcterms:W3CDTF">2021-04-18T08:05:00Z</dcterms:created>
  <dcterms:modified xsi:type="dcterms:W3CDTF">2021-04-18T08:05:00Z</dcterms:modified>
</cp:coreProperties>
</file>