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E47A6" w14:textId="46FE6DC2" w:rsidR="00B63FBC" w:rsidRDefault="00B63FBC" w:rsidP="00B63FBC">
      <w:pPr>
        <w:pStyle w:val="NormalWeb"/>
        <w:spacing w:line="300" w:lineRule="auto"/>
        <w:jc w:val="left"/>
        <w:rPr>
          <w:rFonts w:ascii="Times New Roman" w:eastAsia="SimSun" w:hAnsi="Times New Roman" w:cs="Times New Roman"/>
          <w:szCs w:val="21"/>
          <w:lang w:bidi="ar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59264" behindDoc="0" locked="0" layoutInCell="1" allowOverlap="1" wp14:anchorId="2CF1A58B" wp14:editId="4D689A8A">
            <wp:simplePos x="0" y="0"/>
            <wp:positionH relativeFrom="column">
              <wp:posOffset>477520</wp:posOffset>
            </wp:positionH>
            <wp:positionV relativeFrom="paragraph">
              <wp:posOffset>8890</wp:posOffset>
            </wp:positionV>
            <wp:extent cx="4319905" cy="4935220"/>
            <wp:effectExtent l="0" t="0" r="0" b="0"/>
            <wp:wrapTopAndBottom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493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SimSun" w:hAnsi="Times New Roman" w:cs="Times New Roman" w:hint="eastAsia"/>
          <w:b/>
          <w:bCs/>
          <w:sz w:val="21"/>
          <w:szCs w:val="21"/>
        </w:rPr>
        <w:t xml:space="preserve">Extended Data Fig. 1. </w:t>
      </w:r>
      <w:r>
        <w:rPr>
          <w:rFonts w:ascii="Times New Roman" w:eastAsia="HardingText-Bold" w:hAnsi="Times New Roman" w:cs="Times New Roman"/>
          <w:b/>
          <w:bCs/>
          <w:color w:val="000000"/>
          <w:kern w:val="0"/>
          <w:sz w:val="21"/>
          <w:szCs w:val="21"/>
          <w:lang w:bidi="ar"/>
        </w:rPr>
        <w:t xml:space="preserve">Kinetics of enzymatic production of phosphomelanin. </w:t>
      </w:r>
      <w:r>
        <w:rPr>
          <w:rFonts w:ascii="Times New Roman" w:hAnsi="Times New Roman" w:cs="Times New Roman"/>
          <w:b/>
          <w:bCs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 xml:space="preserve">, EPR spectra of </w:t>
      </w:r>
      <w:r>
        <w:rPr>
          <w:rFonts w:ascii="Times New Roman" w:hAnsi="Times New Roman" w:cs="Times New Roman"/>
          <w:sz w:val="21"/>
          <w:szCs w:val="21"/>
          <w:vertAlign w:val="subscript"/>
        </w:rPr>
        <w:t>p</w:t>
      </w:r>
      <w:r>
        <w:rPr>
          <w:rFonts w:ascii="Times New Roman" w:hAnsi="Times New Roman" w:cs="Times New Roman"/>
          <w:sz w:val="21"/>
          <w:szCs w:val="21"/>
        </w:rPr>
        <w:t>SYG</w:t>
      </w:r>
      <w:r>
        <w:rPr>
          <w:rFonts w:ascii="Times New Roman" w:hAnsi="Times New Roman" w:cs="Times New Roman"/>
          <w:sz w:val="21"/>
          <w:szCs w:val="21"/>
          <w:vertAlign w:val="subscript"/>
        </w:rPr>
        <w:t>ox</w:t>
      </w:r>
      <w:r>
        <w:rPr>
          <w:rFonts w:ascii="Times New Roman" w:hAnsi="Times New Roman" w:cs="Times New Roman"/>
          <w:sz w:val="21"/>
          <w:szCs w:val="21"/>
        </w:rPr>
        <w:t xml:space="preserve"> and SYG</w:t>
      </w:r>
      <w:r>
        <w:rPr>
          <w:rFonts w:ascii="Times New Roman" w:hAnsi="Times New Roman" w:cs="Times New Roman"/>
          <w:sz w:val="21"/>
          <w:szCs w:val="21"/>
          <w:vertAlign w:val="subscript"/>
        </w:rPr>
        <w:t>ox</w:t>
      </w:r>
      <w:r>
        <w:rPr>
          <w:rFonts w:ascii="Times New Roman" w:hAnsi="Times New Roman" w:cs="Times New Roman"/>
          <w:sz w:val="21"/>
          <w:szCs w:val="21"/>
        </w:rPr>
        <w:t xml:space="preserve">. No significant signals corresponding to the g factor were observed within the range of 2.05 to 2.5, suggesting that the melanin-producing pathway dominated the whole reaction. </w:t>
      </w:r>
      <w:r>
        <w:rPr>
          <w:rFonts w:ascii="Times New Roman" w:hAnsi="Times New Roman" w:cs="Times New Roman"/>
          <w:b/>
          <w:bCs/>
          <w:sz w:val="21"/>
          <w:szCs w:val="21"/>
        </w:rPr>
        <w:t>b</w:t>
      </w:r>
      <w:r>
        <w:rPr>
          <w:rFonts w:ascii="Times New Roman" w:hAnsi="Times New Roman" w:cs="Times New Roman"/>
          <w:sz w:val="21"/>
          <w:szCs w:val="21"/>
        </w:rPr>
        <w:t xml:space="preserve">, The dynamic curve of </w:t>
      </w:r>
      <w:r>
        <w:rPr>
          <w:rFonts w:ascii="Times New Roman" w:hAnsi="Times New Roman" w:cs="Times New Roman"/>
          <w:sz w:val="21"/>
          <w:szCs w:val="21"/>
          <w:vertAlign w:val="subscript"/>
        </w:rPr>
        <w:t>p</w:t>
      </w:r>
      <w:r>
        <w:rPr>
          <w:rFonts w:ascii="Times New Roman" w:hAnsi="Times New Roman" w:cs="Times New Roman"/>
          <w:sz w:val="21"/>
          <w:szCs w:val="21"/>
        </w:rPr>
        <w:t>SYG</w:t>
      </w:r>
      <w:r>
        <w:rPr>
          <w:rFonts w:ascii="Times New Roman" w:hAnsi="Times New Roman" w:cs="Times New Roman"/>
          <w:sz w:val="21"/>
          <w:szCs w:val="21"/>
          <w:vertAlign w:val="subscript"/>
        </w:rPr>
        <w:t>ox</w:t>
      </w:r>
      <w:r>
        <w:rPr>
          <w:rFonts w:ascii="Times New Roman" w:hAnsi="Times New Roman" w:cs="Times New Roman"/>
          <w:sz w:val="21"/>
          <w:szCs w:val="21"/>
        </w:rPr>
        <w:t xml:space="preserve"> and SYG</w:t>
      </w:r>
      <w:r>
        <w:rPr>
          <w:rFonts w:ascii="Times New Roman" w:hAnsi="Times New Roman" w:cs="Times New Roman"/>
          <w:sz w:val="21"/>
          <w:szCs w:val="21"/>
          <w:vertAlign w:val="subscript"/>
        </w:rPr>
        <w:t>ox</w:t>
      </w:r>
      <w:r>
        <w:rPr>
          <w:rFonts w:ascii="Times New Roman" w:hAnsi="Times New Roman" w:cs="Times New Roman"/>
          <w:sz w:val="21"/>
          <w:szCs w:val="21"/>
        </w:rPr>
        <w:t xml:space="preserve"> that was catalyzed by </w:t>
      </w:r>
      <w:r>
        <w:rPr>
          <w:rFonts w:ascii="Times New Roman" w:hAnsi="Times New Roman" w:cs="Times New Roman"/>
          <w:i/>
          <w:iCs/>
          <w:sz w:val="21"/>
          <w:szCs w:val="21"/>
        </w:rPr>
        <w:t>ab</w:t>
      </w:r>
      <w:r>
        <w:rPr>
          <w:rFonts w:ascii="Times New Roman" w:hAnsi="Times New Roman" w:cs="Times New Roman"/>
          <w:sz w:val="21"/>
          <w:szCs w:val="21"/>
        </w:rPr>
        <w:t>TYR (absorbance at 482 nm). Results show that phosphorus-bearing substrates (</w:t>
      </w:r>
      <w:r>
        <w:rPr>
          <w:rFonts w:ascii="Times New Roman" w:hAnsi="Times New Roman" w:cs="Times New Roman"/>
          <w:sz w:val="21"/>
          <w:szCs w:val="21"/>
          <w:vertAlign w:val="subscript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SYG) exhibit higher enzymatic reaction efficiency compared to substrates without phosphorus (SYG). Molecular docking and energy analysis between </w:t>
      </w:r>
      <w:r>
        <w:rPr>
          <w:rFonts w:ascii="Times New Roman" w:hAnsi="Times New Roman" w:cs="Times New Roman"/>
          <w:i/>
          <w:iCs/>
          <w:sz w:val="21"/>
          <w:szCs w:val="21"/>
        </w:rPr>
        <w:t>ab</w:t>
      </w:r>
      <w:r>
        <w:rPr>
          <w:rFonts w:ascii="Times New Roman" w:hAnsi="Times New Roman" w:cs="Times New Roman"/>
          <w:sz w:val="21"/>
          <w:szCs w:val="21"/>
        </w:rPr>
        <w:t>TYR (PDB ID: 5m6b) and (</w:t>
      </w:r>
      <w:r>
        <w:rPr>
          <w:rFonts w:ascii="Times New Roman" w:hAnsi="Times New Roman" w:cs="Times New Roman"/>
          <w:b/>
          <w:bCs/>
          <w:sz w:val="21"/>
          <w:szCs w:val="21"/>
        </w:rPr>
        <w:t>c</w:t>
      </w:r>
      <w:r>
        <w:rPr>
          <w:rFonts w:ascii="Times New Roman" w:hAnsi="Times New Roman" w:cs="Times New Roman"/>
          <w:sz w:val="21"/>
          <w:szCs w:val="21"/>
        </w:rPr>
        <w:t xml:space="preserve">) </w:t>
      </w:r>
      <w:r>
        <w:rPr>
          <w:rFonts w:ascii="Times New Roman" w:hAnsi="Times New Roman" w:cs="Times New Roman"/>
          <w:sz w:val="21"/>
          <w:szCs w:val="21"/>
          <w:vertAlign w:val="subscript"/>
        </w:rPr>
        <w:t>p</w:t>
      </w:r>
      <w:r>
        <w:rPr>
          <w:rFonts w:ascii="Times New Roman" w:hAnsi="Times New Roman" w:cs="Times New Roman"/>
          <w:sz w:val="21"/>
          <w:szCs w:val="21"/>
        </w:rPr>
        <w:t>SYG or (</w:t>
      </w:r>
      <w:r>
        <w:rPr>
          <w:rFonts w:ascii="Times New Roman" w:hAnsi="Times New Roman" w:cs="Times New Roman"/>
          <w:b/>
          <w:bCs/>
          <w:sz w:val="21"/>
          <w:szCs w:val="21"/>
        </w:rPr>
        <w:t>d</w:t>
      </w:r>
      <w:r>
        <w:rPr>
          <w:rFonts w:ascii="Times New Roman" w:hAnsi="Times New Roman" w:cs="Times New Roman"/>
          <w:sz w:val="21"/>
          <w:szCs w:val="21"/>
        </w:rPr>
        <w:t xml:space="preserve">) SYG. More hydrogen bonds were formed between </w:t>
      </w:r>
      <w:r>
        <w:rPr>
          <w:rFonts w:ascii="Times New Roman" w:hAnsi="Times New Roman" w:cs="Times New Roman"/>
          <w:i/>
          <w:iCs/>
          <w:sz w:val="21"/>
          <w:szCs w:val="21"/>
        </w:rPr>
        <w:t>ab</w:t>
      </w:r>
      <w:r>
        <w:rPr>
          <w:rFonts w:ascii="Times New Roman" w:hAnsi="Times New Roman" w:cs="Times New Roman"/>
          <w:sz w:val="21"/>
          <w:szCs w:val="21"/>
        </w:rPr>
        <w:t xml:space="preserve">TYR and </w:t>
      </w:r>
      <w:r>
        <w:rPr>
          <w:rFonts w:ascii="Times New Roman" w:hAnsi="Times New Roman" w:cs="Times New Roman"/>
          <w:sz w:val="21"/>
          <w:szCs w:val="21"/>
          <w:vertAlign w:val="subscript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SYG. That led to stronger affinity of </w:t>
      </w:r>
      <w:r>
        <w:rPr>
          <w:rFonts w:ascii="Times New Roman" w:hAnsi="Times New Roman" w:cs="Times New Roman"/>
          <w:sz w:val="21"/>
          <w:szCs w:val="21"/>
          <w:vertAlign w:val="subscript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SYG and </w:t>
      </w:r>
      <w:r>
        <w:rPr>
          <w:rFonts w:ascii="Times New Roman" w:hAnsi="Times New Roman" w:cs="Times New Roman"/>
          <w:i/>
          <w:iCs/>
          <w:sz w:val="21"/>
          <w:szCs w:val="21"/>
        </w:rPr>
        <w:t>ab</w:t>
      </w:r>
      <w:r>
        <w:rPr>
          <w:rFonts w:ascii="Times New Roman" w:hAnsi="Times New Roman" w:cs="Times New Roman"/>
          <w:sz w:val="21"/>
          <w:szCs w:val="21"/>
        </w:rPr>
        <w:t>TYR. The protein main chains are displayed as ribbons, and the key amino acid residues are highlighted as sticks.</w:t>
      </w:r>
      <w:r>
        <w:rPr>
          <w:rFonts w:ascii="Times New Roman" w:eastAsia="SimSun" w:hAnsi="Times New Roman" w:cs="Times New Roman"/>
          <w:szCs w:val="21"/>
          <w:lang w:bidi="ar"/>
        </w:rPr>
        <w:br w:type="page"/>
      </w:r>
    </w:p>
    <w:p w14:paraId="193F95DB" w14:textId="77777777" w:rsidR="00B63FBC" w:rsidRDefault="00B63FBC" w:rsidP="00B63FBC">
      <w:pPr>
        <w:spacing w:beforeLines="50" w:before="156" w:line="300" w:lineRule="auto"/>
        <w:rPr>
          <w:rFonts w:ascii="Times New Roman" w:hAnsi="Times New Roman" w:cs="Times New Roman"/>
          <w:szCs w:val="21"/>
        </w:rPr>
      </w:pPr>
      <w:r>
        <w:rPr>
          <w:rFonts w:hint="eastAsia"/>
          <w:b/>
          <w:bCs/>
          <w:noProof/>
          <w:szCs w:val="21"/>
        </w:rPr>
        <w:lastRenderedPageBreak/>
        <w:drawing>
          <wp:anchor distT="0" distB="0" distL="0" distR="0" simplePos="0" relativeHeight="251660288" behindDoc="0" locked="0" layoutInCell="1" allowOverlap="1" wp14:anchorId="40FD8031" wp14:editId="582BAC65">
            <wp:simplePos x="0" y="0"/>
            <wp:positionH relativeFrom="column">
              <wp:posOffset>297180</wp:posOffset>
            </wp:positionH>
            <wp:positionV relativeFrom="paragraph">
              <wp:posOffset>72390</wp:posOffset>
            </wp:positionV>
            <wp:extent cx="4679950" cy="5600065"/>
            <wp:effectExtent l="0" t="0" r="13970" b="0"/>
            <wp:wrapTopAndBottom/>
            <wp:docPr id="121245792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457923" name="图片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560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SimSun" w:hAnsi="Times New Roman" w:cs="Times New Roman"/>
          <w:b/>
          <w:bCs/>
          <w:szCs w:val="21"/>
        </w:rPr>
        <w:t xml:space="preserve">Extended Data Fig. 2. </w:t>
      </w:r>
      <w:r>
        <w:rPr>
          <w:rFonts w:ascii="Times New Roman" w:hAnsi="Times New Roman" w:cs="Times New Roman"/>
          <w:b/>
          <w:bCs/>
          <w:szCs w:val="21"/>
        </w:rPr>
        <w:t>XRD measurements confirmed changes in the crystallographic orientation of the PET film as the degeneration progressed. a-b</w:t>
      </w:r>
      <w:r>
        <w:rPr>
          <w:rFonts w:ascii="Times New Roman" w:hAnsi="Times New Roman" w:cs="Times New Roman"/>
          <w:szCs w:val="21"/>
        </w:rPr>
        <w:t>, The PET film exhibited three distinct intensity peaks, where the in-plane crystallographic orientations were represented by peaks with d-spacings of 6.8 Å and 3.9 Å, and the out-of-plane orientation was indicated by a peak with a d-spacing of 3.4 Å. The results showed a decrease in all three crystallographic orientations during the engineered bacteria-induced degeneration, with the out-of-plane orientation (d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3.4 Å) demonstrating a more pronounced reduction compared to the in-plane orientations (d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6.8 Å and d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3.9 Å). This suggests that the PET polymer films, which are packed perpendicularly to the film plane, are more readily catalyzed by PETase secreted by engineered bacteria. </w:t>
      </w:r>
      <w:r>
        <w:rPr>
          <w:rFonts w:ascii="Times New Roman" w:hAnsi="Times New Roman" w:cs="Times New Roman"/>
          <w:b/>
          <w:bCs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, Total intensity of crystallographic orientations decreased as degeneration happened, which indicated the PET film turned to disordered as the degeneration went on. </w:t>
      </w:r>
      <w:r>
        <w:rPr>
          <w:rFonts w:ascii="Times New Roman" w:hAnsi="Times New Roman" w:cs="Times New Roman"/>
          <w:b/>
          <w:bCs/>
          <w:szCs w:val="21"/>
        </w:rPr>
        <w:t>d</w:t>
      </w:r>
      <w:r>
        <w:rPr>
          <w:rFonts w:ascii="Times New Roman" w:hAnsi="Times New Roman" w:cs="Times New Roman"/>
          <w:szCs w:val="21"/>
        </w:rPr>
        <w:t>, The statistical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analysis of the changes of these three kinds of crystallographic orientations within PET films.</w:t>
      </w:r>
      <w:r>
        <w:rPr>
          <w:rFonts w:ascii="Times New Roman" w:hAnsi="Times New Roman" w:cs="Times New Roman"/>
          <w:szCs w:val="21"/>
        </w:rPr>
        <w:br w:type="page"/>
      </w:r>
    </w:p>
    <w:p w14:paraId="3764B146" w14:textId="77777777" w:rsidR="00B63FBC" w:rsidRDefault="00B63FBC" w:rsidP="00B63FBC">
      <w:pPr>
        <w:spacing w:beforeLines="50" w:before="156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anchor distT="0" distB="0" distL="0" distR="0" simplePos="0" relativeHeight="251661312" behindDoc="0" locked="0" layoutInCell="1" allowOverlap="1" wp14:anchorId="1E817B4E" wp14:editId="6864264A">
            <wp:simplePos x="0" y="0"/>
            <wp:positionH relativeFrom="column">
              <wp:posOffset>2540</wp:posOffset>
            </wp:positionH>
            <wp:positionV relativeFrom="paragraph">
              <wp:posOffset>68580</wp:posOffset>
            </wp:positionV>
            <wp:extent cx="5269230" cy="6195060"/>
            <wp:effectExtent l="0" t="0" r="3810" b="7620"/>
            <wp:wrapTopAndBottom/>
            <wp:docPr id="92728149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281496" name="图片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195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SimSun" w:hAnsi="Times New Roman" w:cs="Times New Roman"/>
          <w:b/>
          <w:bCs/>
          <w:szCs w:val="21"/>
        </w:rPr>
        <w:t xml:space="preserve">Extended Data Fig. </w:t>
      </w:r>
      <w:r>
        <w:rPr>
          <w:rFonts w:ascii="Times New Roman" w:eastAsia="SimSun" w:hAnsi="Times New Roman" w:cs="Times New Roman" w:hint="eastAsia"/>
          <w:b/>
          <w:bCs/>
          <w:szCs w:val="21"/>
        </w:rPr>
        <w:t>3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. </w:t>
      </w:r>
      <w:r>
        <w:rPr>
          <w:rFonts w:ascii="Times New Roman" w:eastAsia="SimSun" w:hAnsi="Times New Roman" w:cs="Times New Roman" w:hint="eastAsia"/>
          <w:b/>
          <w:bCs/>
          <w:szCs w:val="21"/>
        </w:rPr>
        <w:t>T</w:t>
      </w:r>
      <w:r>
        <w:rPr>
          <w:rFonts w:ascii="Times New Roman" w:eastAsia="SimSun" w:hAnsi="Times New Roman" w:cs="Times New Roman"/>
          <w:b/>
          <w:bCs/>
          <w:szCs w:val="21"/>
        </w:rPr>
        <w:t>hermophilic engineered bacteria for metallized plastic waste degradation</w:t>
      </w:r>
      <w:r>
        <w:rPr>
          <w:rFonts w:ascii="Times New Roman" w:eastAsia="SimSun" w:hAnsi="Times New Roman" w:cs="Times New Roman" w:hint="eastAsia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The cryo-TEM image of the (</w:t>
      </w:r>
      <w:r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cs="Times New Roman"/>
          <w:i/>
          <w:iCs/>
          <w:szCs w:val="21"/>
        </w:rPr>
        <w:t>B. subtilis</w:t>
      </w:r>
      <w:r>
        <w:rPr>
          <w:rFonts w:ascii="Times New Roman" w:hAnsi="Times New Roman" w:cs="Times New Roman"/>
          <w:szCs w:val="21"/>
        </w:rPr>
        <w:t xml:space="preserve"> HT 50 and (</w:t>
      </w:r>
      <w:r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cs="Times New Roman"/>
          <w:i/>
          <w:iCs/>
          <w:szCs w:val="21"/>
        </w:rPr>
        <w:t xml:space="preserve">B. subtilis </w:t>
      </w:r>
      <w:r>
        <w:rPr>
          <w:rFonts w:ascii="Times New Roman" w:hAnsi="Times New Roman" w:cs="Times New Roman"/>
          <w:szCs w:val="21"/>
        </w:rPr>
        <w:t xml:space="preserve">168. </w:t>
      </w:r>
      <w:r>
        <w:rPr>
          <w:rFonts w:ascii="Times New Roman" w:hAnsi="Times New Roman" w:cs="Times New Roman"/>
          <w:b/>
          <w:bCs/>
          <w:szCs w:val="21"/>
        </w:rPr>
        <w:t>c</w:t>
      </w:r>
      <w:r>
        <w:rPr>
          <w:rFonts w:ascii="Times New Roman" w:hAnsi="Times New Roman" w:cs="Times New Roman" w:hint="eastAsia"/>
          <w:b/>
          <w:bCs/>
          <w:szCs w:val="21"/>
        </w:rPr>
        <w:t>-d</w:t>
      </w:r>
      <w:r>
        <w:rPr>
          <w:rFonts w:ascii="Times New Roman" w:hAnsi="Times New Roman" w:cs="Times New Roman"/>
          <w:szCs w:val="21"/>
        </w:rPr>
        <w:t xml:space="preserve">, The cyro-TEM, EDS, and SAED images of engineered </w:t>
      </w:r>
      <w:r>
        <w:rPr>
          <w:rFonts w:ascii="Times New Roman" w:hAnsi="Times New Roman" w:cs="Times New Roman"/>
          <w:i/>
          <w:iCs/>
          <w:szCs w:val="21"/>
        </w:rPr>
        <w:t>B. subtilis</w:t>
      </w:r>
      <w:r>
        <w:rPr>
          <w:rFonts w:ascii="Times New Roman" w:hAnsi="Times New Roman" w:cs="Times New Roman"/>
          <w:szCs w:val="21"/>
        </w:rPr>
        <w:t xml:space="preserve"> HT 50 bacteria cultured within LB media containing Co</w:t>
      </w:r>
      <w:r>
        <w:rPr>
          <w:rFonts w:ascii="Times New Roman" w:hAnsi="Times New Roman" w:cs="Times New Roman"/>
          <w:szCs w:val="21"/>
          <w:vertAlign w:val="superscript"/>
        </w:rPr>
        <w:t>II</w:t>
      </w:r>
      <w:r>
        <w:rPr>
          <w:rFonts w:ascii="Times New Roman" w:hAnsi="Times New Roman" w:cs="Times New Roman"/>
          <w:szCs w:val="21"/>
        </w:rPr>
        <w:t xml:space="preserve"> and Mn</w:t>
      </w:r>
      <w:r>
        <w:rPr>
          <w:rFonts w:ascii="Times New Roman" w:hAnsi="Times New Roman" w:cs="Times New Roman"/>
          <w:szCs w:val="21"/>
          <w:vertAlign w:val="superscript"/>
        </w:rPr>
        <w:t>II</w:t>
      </w:r>
      <w:r>
        <w:rPr>
          <w:rFonts w:ascii="Times New Roman" w:hAnsi="Times New Roman" w:cs="Times New Roman"/>
          <w:szCs w:val="21"/>
        </w:rPr>
        <w:t>. The EDS analysis indicates that these HMs are bonded to phosphorus-containing groups within the bacteria. Furthermore, the SAED images suggest that these HMs did not form inorganic phosphate salts. Collectively, these results confirm that Co</w:t>
      </w:r>
      <w:r>
        <w:rPr>
          <w:rFonts w:ascii="Times New Roman" w:hAnsi="Times New Roman" w:cs="Times New Roman"/>
          <w:szCs w:val="21"/>
          <w:vertAlign w:val="superscript"/>
        </w:rPr>
        <w:t>II</w:t>
      </w:r>
      <w:r>
        <w:rPr>
          <w:rFonts w:ascii="Times New Roman" w:hAnsi="Times New Roman" w:cs="Times New Roman"/>
          <w:szCs w:val="21"/>
        </w:rPr>
        <w:t xml:space="preserve"> and Mn</w:t>
      </w:r>
      <w:r>
        <w:rPr>
          <w:rFonts w:ascii="Times New Roman" w:hAnsi="Times New Roman" w:cs="Times New Roman"/>
          <w:szCs w:val="21"/>
          <w:vertAlign w:val="superscript"/>
        </w:rPr>
        <w:t xml:space="preserve">II </w:t>
      </w:r>
      <w:r>
        <w:rPr>
          <w:rFonts w:ascii="Times New Roman" w:hAnsi="Times New Roman" w:cs="Times New Roman"/>
          <w:szCs w:val="21"/>
        </w:rPr>
        <w:t xml:space="preserve">were sequestered by organic phosphorus-containing groups derived from phosphomelanin. </w:t>
      </w:r>
      <w:r>
        <w:rPr>
          <w:rFonts w:ascii="Times New Roman" w:hAnsi="Times New Roman" w:cs="Times New Roman" w:hint="eastAsia"/>
          <w:b/>
          <w:bCs/>
          <w:szCs w:val="21"/>
        </w:rPr>
        <w:t>e</w:t>
      </w:r>
      <w:r>
        <w:rPr>
          <w:rFonts w:ascii="Times New Roman" w:hAnsi="Times New Roman" w:cs="Times New Roman"/>
          <w:szCs w:val="21"/>
        </w:rPr>
        <w:t>, SEM images of PET films treated with engineered thermophilic bacteria over a period of 6 days at a temperature of 50 °C.</w:t>
      </w:r>
    </w:p>
    <w:p w14:paraId="622EE0EE" w14:textId="77777777" w:rsidR="00755780" w:rsidRDefault="00755780"/>
    <w:sectPr w:rsidR="00755780" w:rsidSect="00B63F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ardingText-Bold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FBC"/>
    <w:rsid w:val="00331A6B"/>
    <w:rsid w:val="005E7FCD"/>
    <w:rsid w:val="00755780"/>
    <w:rsid w:val="00857596"/>
    <w:rsid w:val="00B6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C5853"/>
  <w15:chartTrackingRefBased/>
  <w15:docId w15:val="{786C212A-42E5-426D-914F-329CFDD47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B63FBC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3FBC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3FBC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3FBC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3FBC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3FBC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3FBC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3FBC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3FBC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3FBC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3F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3F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3F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3F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3F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3F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3F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3F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3F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3FB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3F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3FBC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3F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3FBC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3F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3FBC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3F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3FB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3F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3FB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autoRedefine/>
    <w:uiPriority w:val="99"/>
    <w:unhideWhenUsed/>
    <w:qFormat/>
    <w:rsid w:val="00B63FB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406</Words>
  <Characters>2320</Characters>
  <Application>Microsoft Office Word</Application>
  <DocSecurity>0</DocSecurity>
  <Lines>19</Lines>
  <Paragraphs>5</Paragraphs>
  <ScaleCrop>false</ScaleCrop>
  <Company>Springer Nature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2024-08-21T07:09:00Z</dcterms:created>
  <dcterms:modified xsi:type="dcterms:W3CDTF">2024-08-21T07:10:00Z</dcterms:modified>
</cp:coreProperties>
</file>