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C17EFB" w14:textId="77777777" w:rsidR="004F4475" w:rsidRDefault="004F4475" w:rsidP="004F4475"/>
    <w:p w14:paraId="24310B80" w14:textId="77777777" w:rsidR="004F4475" w:rsidRPr="00334251" w:rsidRDefault="004F4475" w:rsidP="004F4475">
      <w:pPr>
        <w:pStyle w:val="ListParagraph"/>
        <w:numPr>
          <w:ilvl w:val="0"/>
          <w:numId w:val="1"/>
        </w:numPr>
        <w:rPr>
          <w:b/>
          <w:bCs/>
          <w:i/>
          <w:iCs/>
        </w:rPr>
      </w:pPr>
      <w:bookmarkStart w:id="0" w:name="_Toc144460562"/>
      <w:bookmarkStart w:id="1" w:name="_Toc144457516"/>
      <w:r w:rsidRPr="00334251">
        <w:rPr>
          <w:b/>
          <w:bCs/>
          <w:i/>
          <w:iCs/>
        </w:rPr>
        <w:t>Quality Appraisal Tool by Croucher et al.</w:t>
      </w:r>
      <w:r w:rsidRPr="00334251">
        <w:rPr>
          <w:b/>
          <w:bCs/>
          <w:i/>
          <w:iCs/>
        </w:rPr>
        <w:fldChar w:fldCharType="begin"/>
      </w:r>
      <w:r>
        <w:rPr>
          <w:b/>
          <w:bCs/>
          <w:i/>
          <w:iCs/>
        </w:rPr>
        <w:instrText xml:space="preserve"> ADDIN ZOTERO_ITEM CSL_CITATION {"citationID":"SFxgnZD5","properties":{"formattedCitation":"\\super 56\\nosupersub{}","plainCitation":"56","noteIndex":0},"citationItems":[{"id":9981,"uris":["http://zotero.org/users/6854968/items/JEVDJLE6"],"itemData":{"id":9981,"type":"manuscript","event-place":"Department of Social Policy and Social Work","language":"en","publisher-place":"Department of Social Policy and Social Work","source":"Zotero","title":"Paying the Mortgage? A Systematic Literature Review of Safety Nets for Homeowners","author":[{"family":"Croucher","given":"Karen"},{"family":"Quilgars","given":"Deborah"},{"family":"Wallace","given":"Alison"},{"family":"Baldwin","given":"Sally"},{"family":"Mather","given":"Lisa"}],"issued":{"date-parts":[["2003"]]}}}],"schema":"https://github.com/citation-style-language/schema/raw/master/csl-citation.json"} </w:instrText>
      </w:r>
      <w:r w:rsidRPr="00334251">
        <w:rPr>
          <w:b/>
          <w:bCs/>
          <w:i/>
          <w:iCs/>
        </w:rPr>
        <w:fldChar w:fldCharType="separate"/>
      </w:r>
      <w:bookmarkEnd w:id="0"/>
      <w:r w:rsidRPr="005C0A24">
        <w:rPr>
          <w:rFonts w:cs="Arial"/>
          <w:vertAlign w:val="superscript"/>
        </w:rPr>
        <w:t>56</w:t>
      </w:r>
      <w:r w:rsidRPr="00334251">
        <w:rPr>
          <w:b/>
          <w:bCs/>
          <w:i/>
          <w:iCs/>
        </w:rPr>
        <w:fldChar w:fldCharType="end"/>
      </w:r>
    </w:p>
    <w:tbl>
      <w:tblPr>
        <w:tblStyle w:val="TableGrid"/>
        <w:tblW w:w="0" w:type="auto"/>
        <w:tblLook w:val="04A0" w:firstRow="1" w:lastRow="0" w:firstColumn="1" w:lastColumn="0" w:noHBand="0" w:noVBand="1"/>
      </w:tblPr>
      <w:tblGrid>
        <w:gridCol w:w="2448"/>
        <w:gridCol w:w="6840"/>
        <w:gridCol w:w="3240"/>
      </w:tblGrid>
      <w:tr w:rsidR="004F4475" w:rsidRPr="00FD4595" w14:paraId="4CCA8AD0" w14:textId="77777777" w:rsidTr="00AA4F61">
        <w:tc>
          <w:tcPr>
            <w:tcW w:w="2448" w:type="dxa"/>
            <w:shd w:val="clear" w:color="auto" w:fill="4C94D8" w:themeFill="text2" w:themeFillTint="80"/>
          </w:tcPr>
          <w:p w14:paraId="0892E1D7" w14:textId="77777777" w:rsidR="004F4475" w:rsidRPr="00FD4595" w:rsidRDefault="004F4475" w:rsidP="00AA4F61">
            <w:pPr>
              <w:spacing w:after="0" w:line="276" w:lineRule="auto"/>
              <w:rPr>
                <w:rFonts w:cs="Arial"/>
                <w:b/>
                <w:bCs/>
              </w:rPr>
            </w:pPr>
            <w:r w:rsidRPr="00FD4595">
              <w:rPr>
                <w:rFonts w:cs="Arial"/>
                <w:b/>
                <w:bCs/>
              </w:rPr>
              <w:t xml:space="preserve">Criteria </w:t>
            </w:r>
          </w:p>
        </w:tc>
        <w:tc>
          <w:tcPr>
            <w:tcW w:w="6840" w:type="dxa"/>
            <w:shd w:val="clear" w:color="auto" w:fill="4C94D8" w:themeFill="text2" w:themeFillTint="80"/>
          </w:tcPr>
          <w:p w14:paraId="05EEB702" w14:textId="77777777" w:rsidR="004F4475" w:rsidRPr="00FD4595" w:rsidRDefault="004F4475" w:rsidP="00AA4F61">
            <w:pPr>
              <w:spacing w:after="0" w:line="276" w:lineRule="auto"/>
              <w:rPr>
                <w:rFonts w:cs="Arial"/>
                <w:b/>
                <w:bCs/>
              </w:rPr>
            </w:pPr>
            <w:r w:rsidRPr="00FD4595">
              <w:rPr>
                <w:rFonts w:cs="Arial"/>
                <w:b/>
                <w:bCs/>
              </w:rPr>
              <w:t>Prompt</w:t>
            </w:r>
          </w:p>
        </w:tc>
        <w:tc>
          <w:tcPr>
            <w:tcW w:w="3240" w:type="dxa"/>
            <w:shd w:val="clear" w:color="auto" w:fill="4C94D8" w:themeFill="text2" w:themeFillTint="80"/>
          </w:tcPr>
          <w:p w14:paraId="31EF84E8" w14:textId="77777777" w:rsidR="004F4475" w:rsidRPr="00FD4595" w:rsidRDefault="004F4475" w:rsidP="00AA4F61">
            <w:pPr>
              <w:spacing w:after="0" w:line="276" w:lineRule="auto"/>
              <w:rPr>
                <w:rFonts w:cs="Arial"/>
                <w:b/>
                <w:bCs/>
              </w:rPr>
            </w:pPr>
            <w:r>
              <w:rPr>
                <w:rFonts w:cs="Arial"/>
                <w:b/>
                <w:bCs/>
              </w:rPr>
              <w:t>Essential/desirable</w:t>
            </w:r>
          </w:p>
        </w:tc>
      </w:tr>
      <w:tr w:rsidR="004F4475" w:rsidRPr="00FD4595" w14:paraId="3EC1417A" w14:textId="77777777" w:rsidTr="00AA4F61">
        <w:tc>
          <w:tcPr>
            <w:tcW w:w="2448" w:type="dxa"/>
          </w:tcPr>
          <w:p w14:paraId="113C3D8C" w14:textId="77777777" w:rsidR="004F4475" w:rsidRPr="00FD4595" w:rsidRDefault="004F4475" w:rsidP="00AA4F61">
            <w:pPr>
              <w:spacing w:after="0" w:line="276" w:lineRule="auto"/>
              <w:rPr>
                <w:rFonts w:cs="Arial"/>
              </w:rPr>
            </w:pPr>
            <w:r w:rsidRPr="00FD4595">
              <w:rPr>
                <w:rFonts w:cs="Arial"/>
              </w:rPr>
              <w:t>Research question</w:t>
            </w:r>
          </w:p>
        </w:tc>
        <w:tc>
          <w:tcPr>
            <w:tcW w:w="6840" w:type="dxa"/>
          </w:tcPr>
          <w:p w14:paraId="4F11D5E9" w14:textId="77777777" w:rsidR="004F4475" w:rsidRPr="00FD4595" w:rsidRDefault="004F4475" w:rsidP="00AA4F61">
            <w:pPr>
              <w:spacing w:after="0" w:line="276" w:lineRule="auto"/>
              <w:rPr>
                <w:rFonts w:cs="Arial"/>
              </w:rPr>
            </w:pPr>
            <w:r w:rsidRPr="00FD4595">
              <w:rPr>
                <w:rFonts w:cs="Arial"/>
              </w:rPr>
              <w:t>Is the research question clear?</w:t>
            </w:r>
          </w:p>
        </w:tc>
        <w:tc>
          <w:tcPr>
            <w:tcW w:w="3240" w:type="dxa"/>
          </w:tcPr>
          <w:p w14:paraId="7A48325E" w14:textId="77777777" w:rsidR="004F4475" w:rsidRPr="00FD4595" w:rsidRDefault="004F4475" w:rsidP="00AA4F61">
            <w:pPr>
              <w:spacing w:after="0" w:line="276" w:lineRule="auto"/>
              <w:rPr>
                <w:rFonts w:cs="Arial"/>
              </w:rPr>
            </w:pPr>
            <w:r w:rsidRPr="00FD4595">
              <w:rPr>
                <w:rFonts w:cs="Arial"/>
              </w:rPr>
              <w:t>Essential</w:t>
            </w:r>
          </w:p>
        </w:tc>
      </w:tr>
      <w:tr w:rsidR="004F4475" w:rsidRPr="00FD4595" w14:paraId="2F434D1E" w14:textId="77777777" w:rsidTr="00AA4F61">
        <w:tc>
          <w:tcPr>
            <w:tcW w:w="2448" w:type="dxa"/>
          </w:tcPr>
          <w:p w14:paraId="16F9AC94" w14:textId="77777777" w:rsidR="004F4475" w:rsidRPr="00FD4595" w:rsidRDefault="004F4475" w:rsidP="00AA4F61">
            <w:pPr>
              <w:spacing w:after="0" w:line="276" w:lineRule="auto"/>
              <w:rPr>
                <w:rFonts w:cs="Arial"/>
              </w:rPr>
            </w:pPr>
            <w:r w:rsidRPr="00FD4595">
              <w:rPr>
                <w:rFonts w:cs="Arial"/>
              </w:rPr>
              <w:t>Theoretical perspective</w:t>
            </w:r>
          </w:p>
        </w:tc>
        <w:tc>
          <w:tcPr>
            <w:tcW w:w="6840" w:type="dxa"/>
          </w:tcPr>
          <w:p w14:paraId="035E79A5" w14:textId="77777777" w:rsidR="004F4475" w:rsidRPr="00FD4595" w:rsidRDefault="004F4475" w:rsidP="00AA4F61">
            <w:pPr>
              <w:spacing w:after="0" w:line="276" w:lineRule="auto"/>
              <w:rPr>
                <w:rFonts w:cs="Arial"/>
              </w:rPr>
            </w:pPr>
            <w:r w:rsidRPr="00FD4595">
              <w:rPr>
                <w:rFonts w:cs="Arial"/>
              </w:rPr>
              <w:t>Is the theoretical or ideological perspective of the author clear and did this influence the methods or findings?</w:t>
            </w:r>
          </w:p>
        </w:tc>
        <w:tc>
          <w:tcPr>
            <w:tcW w:w="3240" w:type="dxa"/>
          </w:tcPr>
          <w:p w14:paraId="5A6D542E" w14:textId="77777777" w:rsidR="004F4475" w:rsidRPr="00FD4595" w:rsidRDefault="004F4475" w:rsidP="00AA4F61">
            <w:pPr>
              <w:spacing w:after="0" w:line="276" w:lineRule="auto"/>
              <w:rPr>
                <w:rFonts w:cs="Arial"/>
              </w:rPr>
            </w:pPr>
            <w:r w:rsidRPr="00FD4595">
              <w:rPr>
                <w:rFonts w:cs="Arial"/>
              </w:rPr>
              <w:t>Desirable</w:t>
            </w:r>
          </w:p>
        </w:tc>
      </w:tr>
      <w:tr w:rsidR="004F4475" w:rsidRPr="00FD4595" w14:paraId="3CBAFDD7" w14:textId="77777777" w:rsidTr="00AA4F61">
        <w:tc>
          <w:tcPr>
            <w:tcW w:w="2448" w:type="dxa"/>
          </w:tcPr>
          <w:p w14:paraId="43F23AA9" w14:textId="77777777" w:rsidR="004F4475" w:rsidRPr="00FD4595" w:rsidRDefault="004F4475" w:rsidP="00AA4F61">
            <w:pPr>
              <w:spacing w:after="0" w:line="276" w:lineRule="auto"/>
              <w:rPr>
                <w:rFonts w:cs="Arial"/>
              </w:rPr>
            </w:pPr>
            <w:r w:rsidRPr="00FD4595">
              <w:rPr>
                <w:rFonts w:cs="Arial"/>
              </w:rPr>
              <w:t>Study design</w:t>
            </w:r>
          </w:p>
        </w:tc>
        <w:tc>
          <w:tcPr>
            <w:tcW w:w="6840" w:type="dxa"/>
          </w:tcPr>
          <w:p w14:paraId="3EC1392A" w14:textId="77777777" w:rsidR="004F4475" w:rsidRPr="00FD4595" w:rsidRDefault="004F4475" w:rsidP="00AA4F61">
            <w:pPr>
              <w:spacing w:after="0" w:line="276" w:lineRule="auto"/>
              <w:rPr>
                <w:rFonts w:cs="Arial"/>
              </w:rPr>
            </w:pPr>
            <w:r w:rsidRPr="00FD4595">
              <w:rPr>
                <w:rFonts w:cs="Arial"/>
              </w:rPr>
              <w:t>Is it appropriate to answer the research question(s)?</w:t>
            </w:r>
          </w:p>
        </w:tc>
        <w:tc>
          <w:tcPr>
            <w:tcW w:w="3240" w:type="dxa"/>
          </w:tcPr>
          <w:p w14:paraId="15BADCF2" w14:textId="77777777" w:rsidR="004F4475" w:rsidRPr="00FD4595" w:rsidRDefault="004F4475" w:rsidP="00AA4F61">
            <w:pPr>
              <w:spacing w:after="0" w:line="276" w:lineRule="auto"/>
              <w:rPr>
                <w:rFonts w:cs="Arial"/>
              </w:rPr>
            </w:pPr>
            <w:r w:rsidRPr="00FD4595">
              <w:rPr>
                <w:rFonts w:cs="Arial"/>
              </w:rPr>
              <w:t>Essential</w:t>
            </w:r>
          </w:p>
        </w:tc>
      </w:tr>
      <w:tr w:rsidR="004F4475" w:rsidRPr="00FD4595" w14:paraId="08B3E857" w14:textId="77777777" w:rsidTr="00AA4F61">
        <w:tc>
          <w:tcPr>
            <w:tcW w:w="2448" w:type="dxa"/>
          </w:tcPr>
          <w:p w14:paraId="6CA8F758" w14:textId="77777777" w:rsidR="004F4475" w:rsidRPr="00FD4595" w:rsidRDefault="004F4475" w:rsidP="00AA4F61">
            <w:pPr>
              <w:spacing w:after="0" w:line="276" w:lineRule="auto"/>
              <w:rPr>
                <w:rFonts w:cs="Arial"/>
              </w:rPr>
            </w:pPr>
            <w:r w:rsidRPr="00FD4595">
              <w:rPr>
                <w:rFonts w:cs="Arial"/>
              </w:rPr>
              <w:t xml:space="preserve">Context </w:t>
            </w:r>
          </w:p>
        </w:tc>
        <w:tc>
          <w:tcPr>
            <w:tcW w:w="6840" w:type="dxa"/>
          </w:tcPr>
          <w:p w14:paraId="2925EDCC" w14:textId="77777777" w:rsidR="004F4475" w:rsidRPr="00FD4595" w:rsidRDefault="004F4475" w:rsidP="00AA4F61">
            <w:pPr>
              <w:spacing w:after="0" w:line="276" w:lineRule="auto"/>
              <w:rPr>
                <w:rFonts w:cs="Arial"/>
              </w:rPr>
            </w:pPr>
            <w:r w:rsidRPr="00FD4595">
              <w:rPr>
                <w:rFonts w:cs="Arial"/>
              </w:rPr>
              <w:t>Is the context properly described?</w:t>
            </w:r>
          </w:p>
        </w:tc>
        <w:tc>
          <w:tcPr>
            <w:tcW w:w="3240" w:type="dxa"/>
          </w:tcPr>
          <w:p w14:paraId="2F206448" w14:textId="77777777" w:rsidR="004F4475" w:rsidRPr="00FD4595" w:rsidRDefault="004F4475" w:rsidP="00AA4F61">
            <w:pPr>
              <w:spacing w:after="0" w:line="276" w:lineRule="auto"/>
              <w:rPr>
                <w:rFonts w:cs="Arial"/>
              </w:rPr>
            </w:pPr>
            <w:r w:rsidRPr="00FD4595">
              <w:rPr>
                <w:rFonts w:cs="Arial"/>
              </w:rPr>
              <w:t>Essential</w:t>
            </w:r>
          </w:p>
        </w:tc>
      </w:tr>
      <w:tr w:rsidR="004F4475" w:rsidRPr="00FD4595" w14:paraId="22198AC3" w14:textId="77777777" w:rsidTr="00AA4F61">
        <w:tc>
          <w:tcPr>
            <w:tcW w:w="2448" w:type="dxa"/>
          </w:tcPr>
          <w:p w14:paraId="78E4FE56" w14:textId="77777777" w:rsidR="004F4475" w:rsidRPr="00FD4595" w:rsidRDefault="004F4475" w:rsidP="00AA4F61">
            <w:pPr>
              <w:spacing w:after="0" w:line="276" w:lineRule="auto"/>
              <w:rPr>
                <w:rFonts w:cs="Arial"/>
              </w:rPr>
            </w:pPr>
            <w:r w:rsidRPr="00FD4595">
              <w:rPr>
                <w:rFonts w:cs="Arial"/>
              </w:rPr>
              <w:t>Sampling</w:t>
            </w:r>
          </w:p>
        </w:tc>
        <w:tc>
          <w:tcPr>
            <w:tcW w:w="6840" w:type="dxa"/>
          </w:tcPr>
          <w:p w14:paraId="03FE13F2" w14:textId="77777777" w:rsidR="004F4475" w:rsidRPr="00FD4595" w:rsidRDefault="004F4475" w:rsidP="00AA4F61">
            <w:pPr>
              <w:spacing w:after="0" w:line="276" w:lineRule="auto"/>
              <w:rPr>
                <w:rFonts w:cs="Arial"/>
              </w:rPr>
            </w:pPr>
            <w:r w:rsidRPr="00FD4595">
              <w:rPr>
                <w:rFonts w:cs="Arial"/>
              </w:rPr>
              <w:t>(Qualitative) Is the sample adequate to explore the range of subjects and settings, and has it been drawn from an appropriate population? (Quantitative) Is the sample size adequate for the analysis used and has it been drawn from an appropriate population?</w:t>
            </w:r>
          </w:p>
        </w:tc>
        <w:tc>
          <w:tcPr>
            <w:tcW w:w="3240" w:type="dxa"/>
          </w:tcPr>
          <w:p w14:paraId="454FD134" w14:textId="77777777" w:rsidR="004F4475" w:rsidRPr="00FD4595" w:rsidRDefault="004F4475" w:rsidP="00AA4F61">
            <w:pPr>
              <w:spacing w:after="0" w:line="276" w:lineRule="auto"/>
              <w:rPr>
                <w:rFonts w:cs="Arial"/>
              </w:rPr>
            </w:pPr>
            <w:r w:rsidRPr="00FD4595">
              <w:rPr>
                <w:rFonts w:cs="Arial"/>
              </w:rPr>
              <w:t>Essential</w:t>
            </w:r>
          </w:p>
        </w:tc>
      </w:tr>
      <w:tr w:rsidR="004F4475" w:rsidRPr="00FD4595" w14:paraId="7548480C" w14:textId="77777777" w:rsidTr="00AA4F61">
        <w:tc>
          <w:tcPr>
            <w:tcW w:w="2448" w:type="dxa"/>
          </w:tcPr>
          <w:p w14:paraId="48ED30A2" w14:textId="77777777" w:rsidR="004F4475" w:rsidRPr="00FD4595" w:rsidRDefault="004F4475" w:rsidP="00AA4F61">
            <w:pPr>
              <w:spacing w:after="0" w:line="276" w:lineRule="auto"/>
              <w:rPr>
                <w:rFonts w:cs="Arial"/>
              </w:rPr>
            </w:pPr>
            <w:r w:rsidRPr="00FD4595">
              <w:rPr>
                <w:rFonts w:cs="Arial"/>
              </w:rPr>
              <w:t>Data collection</w:t>
            </w:r>
          </w:p>
        </w:tc>
        <w:tc>
          <w:tcPr>
            <w:tcW w:w="6840" w:type="dxa"/>
          </w:tcPr>
          <w:p w14:paraId="4E6F8FDE" w14:textId="77777777" w:rsidR="004F4475" w:rsidRPr="00FD4595" w:rsidRDefault="004F4475" w:rsidP="00AA4F61">
            <w:pPr>
              <w:spacing w:after="0" w:line="276" w:lineRule="auto"/>
              <w:rPr>
                <w:rFonts w:cs="Arial"/>
              </w:rPr>
            </w:pPr>
            <w:r w:rsidRPr="00FD4595">
              <w:rPr>
                <w:rFonts w:cs="Arial"/>
              </w:rPr>
              <w:t>Was the data collection adequately described and rigorously conducted to ensure confidence in the findings?</w:t>
            </w:r>
          </w:p>
        </w:tc>
        <w:tc>
          <w:tcPr>
            <w:tcW w:w="3240" w:type="dxa"/>
          </w:tcPr>
          <w:p w14:paraId="28EF0966" w14:textId="77777777" w:rsidR="004F4475" w:rsidRPr="00FD4595" w:rsidRDefault="004F4475" w:rsidP="00AA4F61">
            <w:pPr>
              <w:spacing w:after="0" w:line="276" w:lineRule="auto"/>
              <w:rPr>
                <w:rFonts w:cs="Arial"/>
              </w:rPr>
            </w:pPr>
            <w:r w:rsidRPr="00FD4595">
              <w:rPr>
                <w:rFonts w:cs="Arial"/>
              </w:rPr>
              <w:t>Essential</w:t>
            </w:r>
          </w:p>
        </w:tc>
      </w:tr>
      <w:tr w:rsidR="004F4475" w:rsidRPr="00FD4595" w14:paraId="56A20198" w14:textId="77777777" w:rsidTr="00AA4F61">
        <w:tc>
          <w:tcPr>
            <w:tcW w:w="2448" w:type="dxa"/>
          </w:tcPr>
          <w:p w14:paraId="7100E4D3" w14:textId="77777777" w:rsidR="004F4475" w:rsidRPr="00FD4595" w:rsidRDefault="004F4475" w:rsidP="00AA4F61">
            <w:pPr>
              <w:spacing w:after="0" w:line="276" w:lineRule="auto"/>
              <w:rPr>
                <w:rFonts w:cs="Arial"/>
              </w:rPr>
            </w:pPr>
            <w:r w:rsidRPr="00FD4595">
              <w:rPr>
                <w:rFonts w:cs="Arial"/>
              </w:rPr>
              <w:t>Data analysis</w:t>
            </w:r>
          </w:p>
        </w:tc>
        <w:tc>
          <w:tcPr>
            <w:tcW w:w="6840" w:type="dxa"/>
          </w:tcPr>
          <w:p w14:paraId="4A576538" w14:textId="77777777" w:rsidR="004F4475" w:rsidRPr="00FD4595" w:rsidRDefault="004F4475" w:rsidP="00AA4F61">
            <w:pPr>
              <w:spacing w:after="0" w:line="276" w:lineRule="auto"/>
              <w:rPr>
                <w:rFonts w:cs="Arial"/>
              </w:rPr>
            </w:pPr>
            <w:r w:rsidRPr="00FD4595">
              <w:rPr>
                <w:rFonts w:cs="Arial"/>
              </w:rPr>
              <w:t>Was there evidence that the data analysis was rigorously conducted to ensure confidence in the findings?</w:t>
            </w:r>
          </w:p>
        </w:tc>
        <w:tc>
          <w:tcPr>
            <w:tcW w:w="3240" w:type="dxa"/>
          </w:tcPr>
          <w:p w14:paraId="15D2E4D8" w14:textId="77777777" w:rsidR="004F4475" w:rsidRPr="00FD4595" w:rsidRDefault="004F4475" w:rsidP="00AA4F61">
            <w:pPr>
              <w:spacing w:after="0" w:line="276" w:lineRule="auto"/>
              <w:rPr>
                <w:rFonts w:cs="Arial"/>
              </w:rPr>
            </w:pPr>
            <w:r w:rsidRPr="00FD4595">
              <w:rPr>
                <w:rFonts w:cs="Arial"/>
              </w:rPr>
              <w:t>Essential</w:t>
            </w:r>
          </w:p>
        </w:tc>
      </w:tr>
      <w:tr w:rsidR="004F4475" w:rsidRPr="00FD4595" w14:paraId="731BD66D" w14:textId="77777777" w:rsidTr="00AA4F61">
        <w:tc>
          <w:tcPr>
            <w:tcW w:w="2448" w:type="dxa"/>
          </w:tcPr>
          <w:p w14:paraId="2023F6DE" w14:textId="77777777" w:rsidR="004F4475" w:rsidRPr="00FD4595" w:rsidRDefault="004F4475" w:rsidP="00AA4F61">
            <w:pPr>
              <w:spacing w:after="0" w:line="276" w:lineRule="auto"/>
              <w:rPr>
                <w:rFonts w:cs="Arial"/>
              </w:rPr>
            </w:pPr>
            <w:r w:rsidRPr="00FD4595">
              <w:rPr>
                <w:rFonts w:cs="Arial"/>
              </w:rPr>
              <w:t>Reflexivity</w:t>
            </w:r>
          </w:p>
        </w:tc>
        <w:tc>
          <w:tcPr>
            <w:tcW w:w="6840" w:type="dxa"/>
          </w:tcPr>
          <w:p w14:paraId="1EC2638A" w14:textId="77777777" w:rsidR="004F4475" w:rsidRPr="00FD4595" w:rsidRDefault="004F4475" w:rsidP="00AA4F61">
            <w:pPr>
              <w:spacing w:after="0" w:line="276" w:lineRule="auto"/>
              <w:rPr>
                <w:rFonts w:cs="Arial"/>
              </w:rPr>
            </w:pPr>
            <w:r w:rsidRPr="00FD4595">
              <w:rPr>
                <w:rFonts w:cs="Arial"/>
              </w:rPr>
              <w:t>Are the findings substantiated by the data and has consideration been given to any limitations of the methods or data that may have affected the result?</w:t>
            </w:r>
          </w:p>
        </w:tc>
        <w:tc>
          <w:tcPr>
            <w:tcW w:w="3240" w:type="dxa"/>
          </w:tcPr>
          <w:p w14:paraId="22716426" w14:textId="77777777" w:rsidR="004F4475" w:rsidRPr="00FD4595" w:rsidRDefault="004F4475" w:rsidP="00AA4F61">
            <w:pPr>
              <w:spacing w:after="0" w:line="276" w:lineRule="auto"/>
              <w:rPr>
                <w:rFonts w:cs="Arial"/>
              </w:rPr>
            </w:pPr>
            <w:r w:rsidRPr="00FD4595">
              <w:rPr>
                <w:rFonts w:cs="Arial"/>
              </w:rPr>
              <w:t>Desirable</w:t>
            </w:r>
          </w:p>
        </w:tc>
      </w:tr>
      <w:tr w:rsidR="004F4475" w:rsidRPr="00FD4595" w14:paraId="4F3036E9" w14:textId="77777777" w:rsidTr="00AA4F61">
        <w:tc>
          <w:tcPr>
            <w:tcW w:w="2448" w:type="dxa"/>
          </w:tcPr>
          <w:p w14:paraId="0DFDFE86" w14:textId="77777777" w:rsidR="004F4475" w:rsidRPr="00FD4595" w:rsidRDefault="004F4475" w:rsidP="00AA4F61">
            <w:pPr>
              <w:spacing w:after="0" w:line="276" w:lineRule="auto"/>
              <w:rPr>
                <w:rFonts w:cs="Arial"/>
              </w:rPr>
            </w:pPr>
            <w:r w:rsidRPr="00FD4595">
              <w:rPr>
                <w:rFonts w:cs="Arial"/>
              </w:rPr>
              <w:t>Generalizability</w:t>
            </w:r>
          </w:p>
        </w:tc>
        <w:tc>
          <w:tcPr>
            <w:tcW w:w="6840" w:type="dxa"/>
          </w:tcPr>
          <w:p w14:paraId="641A15F2" w14:textId="77777777" w:rsidR="004F4475" w:rsidRPr="00FD4595" w:rsidRDefault="004F4475" w:rsidP="00AA4F61">
            <w:pPr>
              <w:spacing w:after="0" w:line="276" w:lineRule="auto"/>
              <w:rPr>
                <w:rFonts w:cs="Arial"/>
              </w:rPr>
            </w:pPr>
            <w:r w:rsidRPr="00FD4595">
              <w:rPr>
                <w:rFonts w:cs="Arial"/>
              </w:rPr>
              <w:t>Do any claims to generalizability follow logically, theoretically, and statistically from the data?</w:t>
            </w:r>
          </w:p>
        </w:tc>
        <w:tc>
          <w:tcPr>
            <w:tcW w:w="3240" w:type="dxa"/>
          </w:tcPr>
          <w:p w14:paraId="57C8D8C1" w14:textId="77777777" w:rsidR="004F4475" w:rsidRPr="00FD4595" w:rsidRDefault="004F4475" w:rsidP="00AA4F61">
            <w:pPr>
              <w:spacing w:after="0" w:line="276" w:lineRule="auto"/>
              <w:rPr>
                <w:rFonts w:cs="Arial"/>
              </w:rPr>
            </w:pPr>
            <w:r w:rsidRPr="00FD4595">
              <w:rPr>
                <w:rFonts w:cs="Arial"/>
              </w:rPr>
              <w:t>Desirable</w:t>
            </w:r>
          </w:p>
        </w:tc>
      </w:tr>
      <w:tr w:rsidR="004F4475" w:rsidRPr="00FD4595" w14:paraId="5914FA37" w14:textId="77777777" w:rsidTr="00AA4F61">
        <w:tc>
          <w:tcPr>
            <w:tcW w:w="2448" w:type="dxa"/>
          </w:tcPr>
          <w:p w14:paraId="07B75779" w14:textId="77777777" w:rsidR="004F4475" w:rsidRPr="00FD4595" w:rsidRDefault="004F4475" w:rsidP="00AA4F61">
            <w:pPr>
              <w:spacing w:after="0" w:line="276" w:lineRule="auto"/>
              <w:rPr>
                <w:rFonts w:cs="Arial"/>
              </w:rPr>
            </w:pPr>
            <w:r w:rsidRPr="00FD4595">
              <w:rPr>
                <w:rFonts w:cs="Arial"/>
              </w:rPr>
              <w:t>Ethics</w:t>
            </w:r>
          </w:p>
        </w:tc>
        <w:tc>
          <w:tcPr>
            <w:tcW w:w="6840" w:type="dxa"/>
          </w:tcPr>
          <w:p w14:paraId="1FA373BB" w14:textId="77777777" w:rsidR="004F4475" w:rsidRPr="00FD4595" w:rsidRDefault="004F4475" w:rsidP="00AA4F61">
            <w:pPr>
              <w:spacing w:after="0" w:line="276" w:lineRule="auto"/>
              <w:rPr>
                <w:rFonts w:cs="Arial"/>
              </w:rPr>
            </w:pPr>
            <w:r w:rsidRPr="00FD4595">
              <w:rPr>
                <w:rFonts w:cs="Arial"/>
              </w:rPr>
              <w:t>Have ethical issues been addressed and confidentiality respected?</w:t>
            </w:r>
          </w:p>
        </w:tc>
        <w:tc>
          <w:tcPr>
            <w:tcW w:w="3240" w:type="dxa"/>
          </w:tcPr>
          <w:p w14:paraId="5C9B9E4E" w14:textId="77777777" w:rsidR="004F4475" w:rsidRPr="00FD4595" w:rsidRDefault="004F4475" w:rsidP="00AA4F61">
            <w:pPr>
              <w:spacing w:after="0" w:line="276" w:lineRule="auto"/>
              <w:rPr>
                <w:rFonts w:cs="Arial"/>
              </w:rPr>
            </w:pPr>
            <w:r w:rsidRPr="00FD4595">
              <w:rPr>
                <w:rFonts w:cs="Arial"/>
              </w:rPr>
              <w:t>Desirable</w:t>
            </w:r>
          </w:p>
        </w:tc>
      </w:tr>
    </w:tbl>
    <w:p w14:paraId="14CFEEB1" w14:textId="77777777" w:rsidR="004F4475" w:rsidRPr="00334251" w:rsidRDefault="004F4475" w:rsidP="004F4475">
      <w:pPr>
        <w:rPr>
          <w:rFonts w:cs="Arial"/>
          <w:szCs w:val="22"/>
        </w:rPr>
      </w:pPr>
      <w:r w:rsidRPr="00FD4595">
        <w:rPr>
          <w:rFonts w:cs="Arial"/>
          <w:szCs w:val="22"/>
        </w:rPr>
        <w:br w:type="page"/>
      </w:r>
    </w:p>
    <w:p w14:paraId="0804C68F" w14:textId="77777777" w:rsidR="004F4475" w:rsidRPr="00E27162" w:rsidRDefault="004F4475" w:rsidP="004F4475">
      <w:pPr>
        <w:pStyle w:val="Caption"/>
        <w:keepNext/>
        <w:numPr>
          <w:ilvl w:val="0"/>
          <w:numId w:val="1"/>
        </w:numPr>
        <w:rPr>
          <w:b/>
          <w:bCs/>
          <w:sz w:val="22"/>
          <w:szCs w:val="22"/>
        </w:rPr>
      </w:pPr>
      <w:r w:rsidRPr="00E27162">
        <w:rPr>
          <w:b/>
          <w:bCs/>
          <w:sz w:val="22"/>
          <w:szCs w:val="22"/>
        </w:rPr>
        <w:lastRenderedPageBreak/>
        <w:t>Quality assessment of included studies</w:t>
      </w:r>
      <w:bookmarkEnd w:id="1"/>
    </w:p>
    <w:tbl>
      <w:tblPr>
        <w:tblStyle w:val="TableGrid"/>
        <w:tblW w:w="14780" w:type="dxa"/>
        <w:jc w:val="center"/>
        <w:tblLayout w:type="fixed"/>
        <w:tblLook w:val="04A0" w:firstRow="1" w:lastRow="0" w:firstColumn="1" w:lastColumn="0" w:noHBand="0" w:noVBand="1"/>
      </w:tblPr>
      <w:tblGrid>
        <w:gridCol w:w="2880"/>
        <w:gridCol w:w="1640"/>
        <w:gridCol w:w="1350"/>
        <w:gridCol w:w="900"/>
        <w:gridCol w:w="900"/>
        <w:gridCol w:w="810"/>
        <w:gridCol w:w="1170"/>
        <w:gridCol w:w="1080"/>
        <w:gridCol w:w="900"/>
        <w:gridCol w:w="990"/>
        <w:gridCol w:w="841"/>
        <w:gridCol w:w="1319"/>
      </w:tblGrid>
      <w:tr w:rsidR="004F4475" w:rsidRPr="00FD7F47" w14:paraId="4CBFA27B" w14:textId="77777777" w:rsidTr="00AA4F61">
        <w:trPr>
          <w:jc w:val="center"/>
        </w:trPr>
        <w:tc>
          <w:tcPr>
            <w:tcW w:w="2880" w:type="dxa"/>
            <w:shd w:val="clear" w:color="auto" w:fill="4C94D8" w:themeFill="text2" w:themeFillTint="80"/>
          </w:tcPr>
          <w:p w14:paraId="3A420FA7" w14:textId="77777777" w:rsidR="004F4475" w:rsidRPr="00FD7F47" w:rsidRDefault="004F4475" w:rsidP="00AA4F61">
            <w:pPr>
              <w:spacing w:after="0" w:line="240" w:lineRule="auto"/>
              <w:jc w:val="both"/>
              <w:rPr>
                <w:rFonts w:cs="Arial"/>
                <w:b/>
                <w:bCs/>
                <w:sz w:val="20"/>
                <w:szCs w:val="20"/>
              </w:rPr>
            </w:pPr>
            <w:r w:rsidRPr="00FD7F47">
              <w:rPr>
                <w:rFonts w:cs="Arial"/>
                <w:b/>
                <w:bCs/>
                <w:sz w:val="20"/>
                <w:szCs w:val="20"/>
              </w:rPr>
              <w:t>Author and year</w:t>
            </w:r>
          </w:p>
        </w:tc>
        <w:tc>
          <w:tcPr>
            <w:tcW w:w="1640" w:type="dxa"/>
            <w:shd w:val="clear" w:color="auto" w:fill="4C94D8" w:themeFill="text2" w:themeFillTint="80"/>
          </w:tcPr>
          <w:p w14:paraId="135F39E2" w14:textId="77777777" w:rsidR="004F4475" w:rsidRPr="00FD7F47" w:rsidRDefault="004F4475" w:rsidP="00AA4F61">
            <w:pPr>
              <w:spacing w:after="0" w:line="240" w:lineRule="auto"/>
              <w:rPr>
                <w:rFonts w:cs="Arial"/>
                <w:b/>
                <w:bCs/>
                <w:sz w:val="20"/>
                <w:szCs w:val="20"/>
              </w:rPr>
            </w:pPr>
            <w:r w:rsidRPr="00FD7F47">
              <w:rPr>
                <w:rFonts w:cs="Arial"/>
                <w:b/>
                <w:bCs/>
                <w:sz w:val="20"/>
                <w:szCs w:val="20"/>
              </w:rPr>
              <w:t xml:space="preserve">Research Question </w:t>
            </w:r>
          </w:p>
        </w:tc>
        <w:tc>
          <w:tcPr>
            <w:tcW w:w="1350" w:type="dxa"/>
            <w:shd w:val="clear" w:color="auto" w:fill="4C94D8" w:themeFill="text2" w:themeFillTint="80"/>
          </w:tcPr>
          <w:p w14:paraId="473C6021" w14:textId="77777777" w:rsidR="004F4475" w:rsidRPr="00FD7F47" w:rsidRDefault="004F4475" w:rsidP="00AA4F61">
            <w:pPr>
              <w:spacing w:after="0" w:line="240" w:lineRule="auto"/>
              <w:rPr>
                <w:rFonts w:cs="Arial"/>
                <w:b/>
                <w:bCs/>
                <w:sz w:val="20"/>
                <w:szCs w:val="20"/>
              </w:rPr>
            </w:pPr>
            <w:r w:rsidRPr="00FD7F47">
              <w:rPr>
                <w:rFonts w:cs="Arial"/>
                <w:b/>
                <w:bCs/>
                <w:sz w:val="20"/>
                <w:szCs w:val="20"/>
              </w:rPr>
              <w:t xml:space="preserve">Theoretical perspective </w:t>
            </w:r>
          </w:p>
        </w:tc>
        <w:tc>
          <w:tcPr>
            <w:tcW w:w="900" w:type="dxa"/>
            <w:shd w:val="clear" w:color="auto" w:fill="4C94D8" w:themeFill="text2" w:themeFillTint="80"/>
          </w:tcPr>
          <w:p w14:paraId="7240A156" w14:textId="77777777" w:rsidR="004F4475" w:rsidRPr="00FD7F47" w:rsidRDefault="004F4475" w:rsidP="00AA4F61">
            <w:pPr>
              <w:spacing w:after="0" w:line="240" w:lineRule="auto"/>
              <w:rPr>
                <w:rFonts w:cs="Arial"/>
                <w:b/>
                <w:bCs/>
                <w:sz w:val="20"/>
                <w:szCs w:val="20"/>
              </w:rPr>
            </w:pPr>
            <w:r w:rsidRPr="00FD7F47">
              <w:rPr>
                <w:rFonts w:cs="Arial"/>
                <w:b/>
                <w:bCs/>
                <w:sz w:val="20"/>
                <w:szCs w:val="20"/>
              </w:rPr>
              <w:t xml:space="preserve">Study design </w:t>
            </w:r>
          </w:p>
        </w:tc>
        <w:tc>
          <w:tcPr>
            <w:tcW w:w="900" w:type="dxa"/>
            <w:shd w:val="clear" w:color="auto" w:fill="4C94D8" w:themeFill="text2" w:themeFillTint="80"/>
          </w:tcPr>
          <w:p w14:paraId="347A47CB" w14:textId="77777777" w:rsidR="004F4475" w:rsidRPr="00FD7F47" w:rsidRDefault="004F4475" w:rsidP="00AA4F61">
            <w:pPr>
              <w:spacing w:after="0" w:line="240" w:lineRule="auto"/>
              <w:rPr>
                <w:rFonts w:cs="Arial"/>
                <w:b/>
                <w:bCs/>
                <w:sz w:val="20"/>
                <w:szCs w:val="20"/>
              </w:rPr>
            </w:pPr>
            <w:r w:rsidRPr="00FD7F47">
              <w:rPr>
                <w:rFonts w:cs="Arial"/>
                <w:b/>
                <w:bCs/>
                <w:sz w:val="20"/>
                <w:szCs w:val="20"/>
              </w:rPr>
              <w:t>Context</w:t>
            </w:r>
          </w:p>
        </w:tc>
        <w:tc>
          <w:tcPr>
            <w:tcW w:w="810" w:type="dxa"/>
            <w:shd w:val="clear" w:color="auto" w:fill="4C94D8" w:themeFill="text2" w:themeFillTint="80"/>
          </w:tcPr>
          <w:p w14:paraId="522111C8" w14:textId="77777777" w:rsidR="004F4475" w:rsidRPr="00FD7F47" w:rsidRDefault="004F4475" w:rsidP="00AA4F61">
            <w:pPr>
              <w:spacing w:after="0" w:line="240" w:lineRule="auto"/>
              <w:rPr>
                <w:rFonts w:cs="Arial"/>
                <w:b/>
                <w:bCs/>
                <w:sz w:val="20"/>
                <w:szCs w:val="20"/>
              </w:rPr>
            </w:pPr>
            <w:r w:rsidRPr="00FD7F47">
              <w:rPr>
                <w:rFonts w:cs="Arial"/>
                <w:b/>
                <w:bCs/>
                <w:sz w:val="20"/>
                <w:szCs w:val="20"/>
              </w:rPr>
              <w:t>Sampling</w:t>
            </w:r>
          </w:p>
        </w:tc>
        <w:tc>
          <w:tcPr>
            <w:tcW w:w="1170" w:type="dxa"/>
            <w:shd w:val="clear" w:color="auto" w:fill="4C94D8" w:themeFill="text2" w:themeFillTint="80"/>
          </w:tcPr>
          <w:p w14:paraId="59B41A18" w14:textId="77777777" w:rsidR="004F4475" w:rsidRPr="00FD7F47" w:rsidRDefault="004F4475" w:rsidP="00AA4F61">
            <w:pPr>
              <w:spacing w:after="0" w:line="240" w:lineRule="auto"/>
              <w:rPr>
                <w:rFonts w:cs="Arial"/>
                <w:b/>
                <w:bCs/>
                <w:sz w:val="20"/>
                <w:szCs w:val="20"/>
              </w:rPr>
            </w:pPr>
            <w:r w:rsidRPr="00FD7F47">
              <w:rPr>
                <w:rFonts w:cs="Arial"/>
                <w:b/>
                <w:bCs/>
                <w:sz w:val="20"/>
                <w:szCs w:val="20"/>
              </w:rPr>
              <w:t>Data collection</w:t>
            </w:r>
          </w:p>
        </w:tc>
        <w:tc>
          <w:tcPr>
            <w:tcW w:w="1080" w:type="dxa"/>
            <w:shd w:val="clear" w:color="auto" w:fill="4C94D8" w:themeFill="text2" w:themeFillTint="80"/>
          </w:tcPr>
          <w:p w14:paraId="6D59EEE5" w14:textId="77777777" w:rsidR="004F4475" w:rsidRPr="00FD7F47" w:rsidRDefault="004F4475" w:rsidP="00AA4F61">
            <w:pPr>
              <w:spacing w:after="0" w:line="240" w:lineRule="auto"/>
              <w:rPr>
                <w:rFonts w:cs="Arial"/>
                <w:b/>
                <w:bCs/>
                <w:sz w:val="20"/>
                <w:szCs w:val="20"/>
              </w:rPr>
            </w:pPr>
            <w:r w:rsidRPr="00FD7F47">
              <w:rPr>
                <w:rFonts w:cs="Arial"/>
                <w:b/>
                <w:bCs/>
                <w:sz w:val="20"/>
                <w:szCs w:val="20"/>
              </w:rPr>
              <w:t>Data analysis</w:t>
            </w:r>
          </w:p>
        </w:tc>
        <w:tc>
          <w:tcPr>
            <w:tcW w:w="900" w:type="dxa"/>
            <w:shd w:val="clear" w:color="auto" w:fill="4C94D8" w:themeFill="text2" w:themeFillTint="80"/>
          </w:tcPr>
          <w:p w14:paraId="2E2EC1C7" w14:textId="77777777" w:rsidR="004F4475" w:rsidRPr="00FD7F47" w:rsidRDefault="004F4475" w:rsidP="00AA4F61">
            <w:pPr>
              <w:spacing w:after="0" w:line="240" w:lineRule="auto"/>
              <w:rPr>
                <w:rFonts w:cs="Arial"/>
                <w:b/>
                <w:bCs/>
                <w:sz w:val="20"/>
                <w:szCs w:val="20"/>
              </w:rPr>
            </w:pPr>
            <w:r w:rsidRPr="00FD7F47">
              <w:rPr>
                <w:rFonts w:cs="Arial"/>
                <w:b/>
                <w:bCs/>
                <w:sz w:val="20"/>
                <w:szCs w:val="20"/>
              </w:rPr>
              <w:t>Reflexivity</w:t>
            </w:r>
          </w:p>
        </w:tc>
        <w:tc>
          <w:tcPr>
            <w:tcW w:w="990" w:type="dxa"/>
            <w:shd w:val="clear" w:color="auto" w:fill="4C94D8" w:themeFill="text2" w:themeFillTint="80"/>
          </w:tcPr>
          <w:p w14:paraId="52CCA910" w14:textId="77777777" w:rsidR="004F4475" w:rsidRPr="00FD7F47" w:rsidRDefault="004F4475" w:rsidP="00AA4F61">
            <w:pPr>
              <w:spacing w:after="0" w:line="240" w:lineRule="auto"/>
              <w:rPr>
                <w:rFonts w:cs="Arial"/>
                <w:b/>
                <w:bCs/>
                <w:sz w:val="20"/>
                <w:szCs w:val="20"/>
              </w:rPr>
            </w:pPr>
            <w:r w:rsidRPr="00FD7F47">
              <w:rPr>
                <w:rFonts w:cs="Arial"/>
                <w:b/>
                <w:bCs/>
                <w:sz w:val="20"/>
                <w:szCs w:val="20"/>
              </w:rPr>
              <w:t>Generalizability</w:t>
            </w:r>
          </w:p>
        </w:tc>
        <w:tc>
          <w:tcPr>
            <w:tcW w:w="841" w:type="dxa"/>
            <w:shd w:val="clear" w:color="auto" w:fill="4C94D8" w:themeFill="text2" w:themeFillTint="80"/>
          </w:tcPr>
          <w:p w14:paraId="107EA661" w14:textId="77777777" w:rsidR="004F4475" w:rsidRPr="00FD7F47" w:rsidRDefault="004F4475" w:rsidP="00AA4F61">
            <w:pPr>
              <w:spacing w:after="0" w:line="240" w:lineRule="auto"/>
              <w:rPr>
                <w:rFonts w:cs="Arial"/>
                <w:b/>
                <w:bCs/>
                <w:sz w:val="20"/>
                <w:szCs w:val="20"/>
              </w:rPr>
            </w:pPr>
            <w:r w:rsidRPr="00FD7F47">
              <w:rPr>
                <w:rFonts w:cs="Arial"/>
                <w:b/>
                <w:bCs/>
                <w:sz w:val="20"/>
                <w:szCs w:val="20"/>
              </w:rPr>
              <w:t>Ethics</w:t>
            </w:r>
          </w:p>
        </w:tc>
        <w:tc>
          <w:tcPr>
            <w:tcW w:w="1319" w:type="dxa"/>
            <w:shd w:val="clear" w:color="auto" w:fill="4C94D8" w:themeFill="text2" w:themeFillTint="80"/>
          </w:tcPr>
          <w:p w14:paraId="65C1895D" w14:textId="77777777" w:rsidR="004F4475" w:rsidRPr="00FD7F47" w:rsidRDefault="004F4475" w:rsidP="00AA4F61">
            <w:pPr>
              <w:spacing w:after="0" w:line="240" w:lineRule="auto"/>
              <w:rPr>
                <w:rFonts w:cs="Arial"/>
                <w:b/>
                <w:bCs/>
                <w:sz w:val="20"/>
                <w:szCs w:val="20"/>
              </w:rPr>
            </w:pPr>
            <w:r w:rsidRPr="00FD7F47">
              <w:rPr>
                <w:rFonts w:cs="Arial"/>
                <w:b/>
                <w:bCs/>
                <w:sz w:val="20"/>
                <w:szCs w:val="20"/>
              </w:rPr>
              <w:t>Overall judgement</w:t>
            </w:r>
          </w:p>
        </w:tc>
      </w:tr>
      <w:tr w:rsidR="004F4475" w:rsidRPr="00FD7F47" w14:paraId="3F4AF812" w14:textId="77777777" w:rsidTr="00AA4F61">
        <w:trPr>
          <w:jc w:val="center"/>
        </w:trPr>
        <w:tc>
          <w:tcPr>
            <w:tcW w:w="2880" w:type="dxa"/>
          </w:tcPr>
          <w:p w14:paraId="6EC91F86" w14:textId="77777777" w:rsidR="004F4475" w:rsidRPr="00D32FBA" w:rsidRDefault="004F4475" w:rsidP="004F4475">
            <w:pPr>
              <w:pStyle w:val="ListParagraph"/>
              <w:numPr>
                <w:ilvl w:val="0"/>
                <w:numId w:val="2"/>
              </w:numPr>
              <w:spacing w:after="0" w:line="240" w:lineRule="auto"/>
              <w:rPr>
                <w:rFonts w:cs="Arial"/>
                <w:sz w:val="20"/>
                <w:szCs w:val="20"/>
              </w:rPr>
            </w:pPr>
            <w:proofErr w:type="spellStart"/>
            <w:r w:rsidRPr="00D32FBA">
              <w:rPr>
                <w:rFonts w:cs="Arial"/>
                <w:sz w:val="20"/>
                <w:szCs w:val="20"/>
              </w:rPr>
              <w:t>Sakeah</w:t>
            </w:r>
            <w:proofErr w:type="spellEnd"/>
            <w:r w:rsidRPr="00D32FBA">
              <w:rPr>
                <w:rFonts w:cs="Arial"/>
                <w:sz w:val="20"/>
                <w:szCs w:val="20"/>
              </w:rPr>
              <w:t xml:space="preserve"> et al; 2023</w:t>
            </w:r>
          </w:p>
        </w:tc>
        <w:tc>
          <w:tcPr>
            <w:tcW w:w="1640" w:type="dxa"/>
            <w:shd w:val="clear" w:color="auto" w:fill="FFFFFF" w:themeFill="background1"/>
          </w:tcPr>
          <w:p w14:paraId="34CB458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75370A9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5B9ECFD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7698954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56A33EF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4FB2C3D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180F3D7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1BB4A59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7C424D2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1696B83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2F2526B7"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3D0DD134" w14:textId="77777777" w:rsidTr="00AA4F61">
        <w:trPr>
          <w:jc w:val="center"/>
        </w:trPr>
        <w:tc>
          <w:tcPr>
            <w:tcW w:w="2880" w:type="dxa"/>
          </w:tcPr>
          <w:p w14:paraId="3A1BB038"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t>Rotheram</w:t>
            </w:r>
            <w:proofErr w:type="spellEnd"/>
            <w:r w:rsidRPr="00FD7F47">
              <w:rPr>
                <w:rFonts w:cs="Arial"/>
                <w:sz w:val="20"/>
                <w:szCs w:val="20"/>
              </w:rPr>
              <w:t>-Borus et al; 2023</w:t>
            </w:r>
          </w:p>
        </w:tc>
        <w:tc>
          <w:tcPr>
            <w:tcW w:w="1640" w:type="dxa"/>
          </w:tcPr>
          <w:p w14:paraId="53441A7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76B894C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222FB98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1BED755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7FBB69C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53D551E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39B3F2B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772601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09DD52D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0AC0891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175899B7"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7D00AB91" w14:textId="77777777" w:rsidTr="00AA4F61">
        <w:trPr>
          <w:jc w:val="center"/>
        </w:trPr>
        <w:tc>
          <w:tcPr>
            <w:tcW w:w="2880" w:type="dxa"/>
          </w:tcPr>
          <w:p w14:paraId="561F9BEB" w14:textId="77777777" w:rsidR="004F4475" w:rsidRPr="00FD7F47" w:rsidRDefault="004F4475" w:rsidP="00AA4F61">
            <w:pPr>
              <w:spacing w:after="0" w:line="240" w:lineRule="auto"/>
              <w:rPr>
                <w:rFonts w:cs="Arial"/>
                <w:sz w:val="20"/>
                <w:szCs w:val="20"/>
              </w:rPr>
            </w:pPr>
            <w:r w:rsidRPr="00FD7F47">
              <w:rPr>
                <w:rFonts w:cs="Arial"/>
                <w:sz w:val="20"/>
                <w:szCs w:val="20"/>
              </w:rPr>
              <w:t>Rogers et al 2023</w:t>
            </w:r>
          </w:p>
        </w:tc>
        <w:tc>
          <w:tcPr>
            <w:tcW w:w="1640" w:type="dxa"/>
          </w:tcPr>
          <w:p w14:paraId="15AD730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3A2248D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5050C7D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60EEF8D"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4608BE6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587D488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5953B44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7B38478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391D25A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2E39DA8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7C810744"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3242B307" w14:textId="77777777" w:rsidTr="00AA4F61">
        <w:trPr>
          <w:jc w:val="center"/>
        </w:trPr>
        <w:tc>
          <w:tcPr>
            <w:tcW w:w="2880" w:type="dxa"/>
          </w:tcPr>
          <w:p w14:paraId="1DC2E139" w14:textId="77777777" w:rsidR="004F4475" w:rsidRPr="00FD7F47" w:rsidRDefault="004F4475" w:rsidP="00AA4F61">
            <w:pPr>
              <w:spacing w:after="0" w:line="240" w:lineRule="auto"/>
              <w:rPr>
                <w:rFonts w:cs="Arial"/>
                <w:sz w:val="20"/>
                <w:szCs w:val="20"/>
              </w:rPr>
            </w:pPr>
            <w:r w:rsidRPr="00FD7F47">
              <w:rPr>
                <w:rFonts w:cs="Arial"/>
                <w:sz w:val="20"/>
                <w:szCs w:val="20"/>
              </w:rPr>
              <w:t>Goudge et al; 2023</w:t>
            </w:r>
          </w:p>
        </w:tc>
        <w:tc>
          <w:tcPr>
            <w:tcW w:w="1640" w:type="dxa"/>
          </w:tcPr>
          <w:p w14:paraId="584711CF"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398324B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772362C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239078C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78755AA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4923B10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794A426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0E2A83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025AFE9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77E6002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4DA0F0CC" w14:textId="77777777" w:rsidR="004F4475" w:rsidRPr="00FD7F47" w:rsidRDefault="004F4475" w:rsidP="00AA4F61">
            <w:pPr>
              <w:spacing w:after="0" w:line="240" w:lineRule="auto"/>
              <w:rPr>
                <w:rFonts w:cs="Arial"/>
                <w:sz w:val="20"/>
                <w:szCs w:val="20"/>
              </w:rPr>
            </w:pPr>
            <w:r w:rsidRPr="00FD7F47">
              <w:rPr>
                <w:rFonts w:cs="Arial"/>
                <w:sz w:val="20"/>
                <w:szCs w:val="20"/>
              </w:rPr>
              <w:t>Low</w:t>
            </w:r>
          </w:p>
        </w:tc>
      </w:tr>
      <w:tr w:rsidR="004F4475" w:rsidRPr="00FD7F47" w14:paraId="186EAECE" w14:textId="77777777" w:rsidTr="00AA4F61">
        <w:trPr>
          <w:jc w:val="center"/>
        </w:trPr>
        <w:tc>
          <w:tcPr>
            <w:tcW w:w="2880" w:type="dxa"/>
          </w:tcPr>
          <w:p w14:paraId="43DAE31E" w14:textId="77777777" w:rsidR="004F4475" w:rsidRPr="00FD7F47" w:rsidRDefault="004F4475" w:rsidP="00AA4F61">
            <w:pPr>
              <w:spacing w:after="0" w:line="240" w:lineRule="auto"/>
              <w:rPr>
                <w:rFonts w:cs="Arial"/>
                <w:sz w:val="20"/>
                <w:szCs w:val="20"/>
              </w:rPr>
            </w:pPr>
            <w:r w:rsidRPr="00FD7F47">
              <w:rPr>
                <w:rFonts w:cs="Arial"/>
                <w:sz w:val="20"/>
                <w:szCs w:val="20"/>
              </w:rPr>
              <w:t>Ferla et al; 2023</w:t>
            </w:r>
          </w:p>
        </w:tc>
        <w:tc>
          <w:tcPr>
            <w:tcW w:w="1640" w:type="dxa"/>
          </w:tcPr>
          <w:p w14:paraId="3F47CBF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40699DC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2ED782BD"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1CBF482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713FE28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3AE301A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31C359F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2E5FC4C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2B0C006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06780C3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4678840D"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5F232175" w14:textId="77777777" w:rsidTr="00AA4F61">
        <w:trPr>
          <w:jc w:val="center"/>
        </w:trPr>
        <w:tc>
          <w:tcPr>
            <w:tcW w:w="2880" w:type="dxa"/>
          </w:tcPr>
          <w:p w14:paraId="6934E4A2"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t>Nakibaala</w:t>
            </w:r>
            <w:proofErr w:type="spellEnd"/>
            <w:r w:rsidRPr="00FD7F47">
              <w:rPr>
                <w:rFonts w:cs="Arial"/>
                <w:sz w:val="20"/>
                <w:szCs w:val="20"/>
              </w:rPr>
              <w:t xml:space="preserve"> et al; 2023</w:t>
            </w:r>
          </w:p>
        </w:tc>
        <w:tc>
          <w:tcPr>
            <w:tcW w:w="1640" w:type="dxa"/>
          </w:tcPr>
          <w:p w14:paraId="2D3405D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3FD13E5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595211CF"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C82097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63B2F1B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62EF527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123AA0E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6E3B8E5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7DCF8F7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1EBECFF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193D48EB"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7A07CC4A" w14:textId="77777777" w:rsidTr="00AA4F61">
        <w:trPr>
          <w:jc w:val="center"/>
        </w:trPr>
        <w:tc>
          <w:tcPr>
            <w:tcW w:w="2880" w:type="dxa"/>
          </w:tcPr>
          <w:p w14:paraId="61C76749"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t>Kawakastu</w:t>
            </w:r>
            <w:proofErr w:type="spellEnd"/>
            <w:r w:rsidRPr="00FD7F47">
              <w:rPr>
                <w:rFonts w:cs="Arial"/>
                <w:sz w:val="20"/>
                <w:szCs w:val="20"/>
              </w:rPr>
              <w:t xml:space="preserve"> et al; 2023</w:t>
            </w:r>
          </w:p>
        </w:tc>
        <w:tc>
          <w:tcPr>
            <w:tcW w:w="1640" w:type="dxa"/>
          </w:tcPr>
          <w:p w14:paraId="39D236EF"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5092396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14B00DD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10EBAA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6D1B8D8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5512683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3E34C18D"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08F2013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472536E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79B918C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4CF8A612" w14:textId="77777777" w:rsidR="004F4475" w:rsidRPr="00FD7F47" w:rsidRDefault="004F4475" w:rsidP="00AA4F61">
            <w:pPr>
              <w:spacing w:after="0" w:line="240" w:lineRule="auto"/>
              <w:rPr>
                <w:rFonts w:cs="Arial"/>
                <w:sz w:val="20"/>
                <w:szCs w:val="20"/>
              </w:rPr>
            </w:pPr>
            <w:r w:rsidRPr="00FD7F47">
              <w:rPr>
                <w:rFonts w:cs="Arial"/>
                <w:sz w:val="20"/>
                <w:szCs w:val="20"/>
              </w:rPr>
              <w:t>Low</w:t>
            </w:r>
          </w:p>
        </w:tc>
      </w:tr>
      <w:tr w:rsidR="004F4475" w:rsidRPr="00FD7F47" w14:paraId="4159700F" w14:textId="77777777" w:rsidTr="00AA4F61">
        <w:trPr>
          <w:jc w:val="center"/>
        </w:trPr>
        <w:tc>
          <w:tcPr>
            <w:tcW w:w="2880" w:type="dxa"/>
          </w:tcPr>
          <w:p w14:paraId="1835253A" w14:textId="77777777" w:rsidR="004F4475" w:rsidRPr="00FD7F47" w:rsidRDefault="004F4475" w:rsidP="00AA4F61">
            <w:pPr>
              <w:spacing w:after="0" w:line="240" w:lineRule="auto"/>
              <w:rPr>
                <w:rFonts w:cs="Arial"/>
                <w:sz w:val="20"/>
                <w:szCs w:val="20"/>
              </w:rPr>
            </w:pPr>
            <w:r w:rsidRPr="00FD7F47">
              <w:rPr>
                <w:rFonts w:cs="Arial"/>
                <w:sz w:val="20"/>
                <w:szCs w:val="20"/>
              </w:rPr>
              <w:t>Oko et al; 2023</w:t>
            </w:r>
          </w:p>
        </w:tc>
        <w:tc>
          <w:tcPr>
            <w:tcW w:w="1640" w:type="dxa"/>
            <w:vAlign w:val="bottom"/>
          </w:tcPr>
          <w:p w14:paraId="49E1DCBD"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vAlign w:val="bottom"/>
          </w:tcPr>
          <w:p w14:paraId="78DE211D"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7CA9494C"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056DDAE1"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vAlign w:val="bottom"/>
          </w:tcPr>
          <w:p w14:paraId="62729D5D"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vAlign w:val="bottom"/>
          </w:tcPr>
          <w:p w14:paraId="620BD864"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vAlign w:val="bottom"/>
          </w:tcPr>
          <w:p w14:paraId="7B796BD6"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7C2AE614"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vAlign w:val="bottom"/>
          </w:tcPr>
          <w:p w14:paraId="14C9787E"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vAlign w:val="bottom"/>
          </w:tcPr>
          <w:p w14:paraId="10202A8E"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3D0D4694"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300E58AB" w14:textId="77777777" w:rsidTr="00AA4F61">
        <w:trPr>
          <w:jc w:val="center"/>
        </w:trPr>
        <w:tc>
          <w:tcPr>
            <w:tcW w:w="2880" w:type="dxa"/>
          </w:tcPr>
          <w:p w14:paraId="1F2CD68E" w14:textId="77777777" w:rsidR="004F4475" w:rsidRPr="00FD7F47" w:rsidRDefault="004F4475" w:rsidP="00AA4F61">
            <w:pPr>
              <w:spacing w:after="0" w:line="240" w:lineRule="auto"/>
              <w:rPr>
                <w:rFonts w:cs="Arial"/>
                <w:sz w:val="20"/>
                <w:szCs w:val="20"/>
              </w:rPr>
            </w:pPr>
            <w:r w:rsidRPr="00FD7F47">
              <w:rPr>
                <w:rFonts w:cs="Arial"/>
                <w:sz w:val="20"/>
                <w:szCs w:val="20"/>
              </w:rPr>
              <w:t>Burke et al; 2023</w:t>
            </w:r>
          </w:p>
        </w:tc>
        <w:tc>
          <w:tcPr>
            <w:tcW w:w="1640" w:type="dxa"/>
            <w:vAlign w:val="bottom"/>
          </w:tcPr>
          <w:p w14:paraId="162FB6AB"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vAlign w:val="bottom"/>
          </w:tcPr>
          <w:p w14:paraId="3F7F70A0"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17106DF0"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6C56526C"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vAlign w:val="bottom"/>
          </w:tcPr>
          <w:p w14:paraId="46A4E8F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vAlign w:val="bottom"/>
          </w:tcPr>
          <w:p w14:paraId="3F89ABE3"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vAlign w:val="bottom"/>
          </w:tcPr>
          <w:p w14:paraId="1F93F5BD"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0A471813"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vAlign w:val="bottom"/>
          </w:tcPr>
          <w:p w14:paraId="64733E2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vAlign w:val="bottom"/>
          </w:tcPr>
          <w:p w14:paraId="342479A5"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765B851B" w14:textId="77777777" w:rsidR="004F4475" w:rsidRPr="00FD7F47" w:rsidRDefault="004F4475" w:rsidP="00AA4F61">
            <w:pPr>
              <w:spacing w:after="0" w:line="240" w:lineRule="auto"/>
              <w:rPr>
                <w:rFonts w:cs="Arial"/>
                <w:sz w:val="20"/>
                <w:szCs w:val="20"/>
              </w:rPr>
            </w:pPr>
            <w:r>
              <w:rPr>
                <w:rFonts w:cs="Arial"/>
                <w:sz w:val="20"/>
                <w:szCs w:val="20"/>
              </w:rPr>
              <w:t>Low</w:t>
            </w:r>
          </w:p>
        </w:tc>
      </w:tr>
      <w:tr w:rsidR="004F4475" w:rsidRPr="00FD7F47" w14:paraId="6FBE5B42" w14:textId="77777777" w:rsidTr="00AA4F61">
        <w:trPr>
          <w:jc w:val="center"/>
        </w:trPr>
        <w:tc>
          <w:tcPr>
            <w:tcW w:w="2880" w:type="dxa"/>
          </w:tcPr>
          <w:p w14:paraId="316C5557" w14:textId="77777777" w:rsidR="004F4475" w:rsidRPr="00FD7F47" w:rsidRDefault="004F4475" w:rsidP="00AA4F61">
            <w:pPr>
              <w:spacing w:after="0" w:line="240" w:lineRule="auto"/>
              <w:rPr>
                <w:rFonts w:cs="Arial"/>
                <w:sz w:val="20"/>
                <w:szCs w:val="20"/>
              </w:rPr>
            </w:pPr>
            <w:r w:rsidRPr="00FD7F47">
              <w:rPr>
                <w:rFonts w:cs="Arial"/>
                <w:sz w:val="20"/>
                <w:szCs w:val="20"/>
              </w:rPr>
              <w:t>Rockers et al; 2023</w:t>
            </w:r>
          </w:p>
        </w:tc>
        <w:tc>
          <w:tcPr>
            <w:tcW w:w="1640" w:type="dxa"/>
            <w:vAlign w:val="bottom"/>
          </w:tcPr>
          <w:p w14:paraId="2412AD72"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vAlign w:val="bottom"/>
          </w:tcPr>
          <w:p w14:paraId="7B94A2C9"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1035F7F4"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0175F3BB"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vAlign w:val="bottom"/>
          </w:tcPr>
          <w:p w14:paraId="2514073B"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vAlign w:val="bottom"/>
          </w:tcPr>
          <w:p w14:paraId="0C66220D"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vAlign w:val="bottom"/>
          </w:tcPr>
          <w:p w14:paraId="453513DE"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20480441"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vAlign w:val="bottom"/>
          </w:tcPr>
          <w:p w14:paraId="05D7F042"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vAlign w:val="bottom"/>
          </w:tcPr>
          <w:p w14:paraId="4828C1C2"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5E9E08A4"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09F2D88F" w14:textId="77777777" w:rsidTr="00AA4F61">
        <w:trPr>
          <w:jc w:val="center"/>
        </w:trPr>
        <w:tc>
          <w:tcPr>
            <w:tcW w:w="2880" w:type="dxa"/>
          </w:tcPr>
          <w:p w14:paraId="74BFF174" w14:textId="77777777" w:rsidR="004F4475" w:rsidRPr="00FD7F47" w:rsidRDefault="004F4475" w:rsidP="00AA4F61">
            <w:pPr>
              <w:spacing w:after="0" w:line="240" w:lineRule="auto"/>
              <w:rPr>
                <w:rFonts w:cs="Arial"/>
                <w:sz w:val="20"/>
                <w:szCs w:val="20"/>
              </w:rPr>
            </w:pPr>
            <w:r w:rsidRPr="00FD7F47">
              <w:rPr>
                <w:rFonts w:cs="Arial"/>
                <w:sz w:val="20"/>
                <w:szCs w:val="20"/>
              </w:rPr>
              <w:t>Christiansen et al; 2023</w:t>
            </w:r>
          </w:p>
        </w:tc>
        <w:tc>
          <w:tcPr>
            <w:tcW w:w="1640" w:type="dxa"/>
            <w:vAlign w:val="bottom"/>
          </w:tcPr>
          <w:p w14:paraId="029EE05D"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vAlign w:val="bottom"/>
          </w:tcPr>
          <w:p w14:paraId="2411EE95"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5EFA96B5"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4E7480A9"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vAlign w:val="bottom"/>
          </w:tcPr>
          <w:p w14:paraId="6678A43D"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vAlign w:val="bottom"/>
          </w:tcPr>
          <w:p w14:paraId="3D41B7FD"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vAlign w:val="bottom"/>
          </w:tcPr>
          <w:p w14:paraId="1D3C3A1B"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2A8DE571"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vAlign w:val="bottom"/>
          </w:tcPr>
          <w:p w14:paraId="20A7EC68"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vAlign w:val="bottom"/>
          </w:tcPr>
          <w:p w14:paraId="652508C7"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58CEA092"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55E9BF92" w14:textId="77777777" w:rsidTr="00AA4F61">
        <w:trPr>
          <w:jc w:val="center"/>
        </w:trPr>
        <w:tc>
          <w:tcPr>
            <w:tcW w:w="2880" w:type="dxa"/>
          </w:tcPr>
          <w:p w14:paraId="446A9F6B" w14:textId="77777777" w:rsidR="004F4475" w:rsidRPr="00FD7F47" w:rsidRDefault="004F4475" w:rsidP="00AA4F61">
            <w:pPr>
              <w:spacing w:after="0" w:line="240" w:lineRule="auto"/>
              <w:rPr>
                <w:rFonts w:cs="Arial"/>
                <w:sz w:val="20"/>
                <w:szCs w:val="20"/>
              </w:rPr>
            </w:pPr>
            <w:r w:rsidRPr="00FD7F47">
              <w:rPr>
                <w:rFonts w:cs="Arial"/>
                <w:sz w:val="20"/>
                <w:szCs w:val="20"/>
              </w:rPr>
              <w:t>Triplett et al; 2023</w:t>
            </w:r>
          </w:p>
        </w:tc>
        <w:tc>
          <w:tcPr>
            <w:tcW w:w="1640" w:type="dxa"/>
            <w:vAlign w:val="bottom"/>
          </w:tcPr>
          <w:p w14:paraId="4972B1EC"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vAlign w:val="bottom"/>
          </w:tcPr>
          <w:p w14:paraId="502093B5"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0CCF72F4"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0D79B936"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vAlign w:val="bottom"/>
          </w:tcPr>
          <w:p w14:paraId="11C2F36F"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vAlign w:val="bottom"/>
          </w:tcPr>
          <w:p w14:paraId="7F01A03E"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vAlign w:val="bottom"/>
          </w:tcPr>
          <w:p w14:paraId="7C6D7031"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0D7609CE"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vAlign w:val="bottom"/>
          </w:tcPr>
          <w:p w14:paraId="0462DD03"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vAlign w:val="bottom"/>
          </w:tcPr>
          <w:p w14:paraId="5FC55FE7"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31FD1A61"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1A3B9FD7" w14:textId="77777777" w:rsidTr="00AA4F61">
        <w:trPr>
          <w:jc w:val="center"/>
        </w:trPr>
        <w:tc>
          <w:tcPr>
            <w:tcW w:w="2880" w:type="dxa"/>
          </w:tcPr>
          <w:p w14:paraId="0367370F" w14:textId="77777777" w:rsidR="004F4475" w:rsidRPr="00FD7F47" w:rsidRDefault="004F4475" w:rsidP="00AA4F61">
            <w:pPr>
              <w:spacing w:after="0" w:line="240" w:lineRule="auto"/>
              <w:rPr>
                <w:rFonts w:cs="Arial"/>
                <w:sz w:val="20"/>
                <w:szCs w:val="20"/>
              </w:rPr>
            </w:pPr>
            <w:r w:rsidRPr="00FD7F47">
              <w:rPr>
                <w:rFonts w:cs="Arial"/>
                <w:sz w:val="20"/>
                <w:szCs w:val="20"/>
              </w:rPr>
              <w:t>Katzen et al; 2023</w:t>
            </w:r>
          </w:p>
        </w:tc>
        <w:tc>
          <w:tcPr>
            <w:tcW w:w="1640" w:type="dxa"/>
          </w:tcPr>
          <w:p w14:paraId="29B7E6F5"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0F241ACD"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7724DD1F"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5C43E65F"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33E9AAF2"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264FD6FD"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5FF76FEA"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328D5334"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72BDBAA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73AE3417"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7D1142C6"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2ADDFFE6" w14:textId="77777777" w:rsidTr="00AA4F61">
        <w:trPr>
          <w:jc w:val="center"/>
        </w:trPr>
        <w:tc>
          <w:tcPr>
            <w:tcW w:w="2880" w:type="dxa"/>
          </w:tcPr>
          <w:p w14:paraId="7C6FC2F5" w14:textId="77777777" w:rsidR="004F4475" w:rsidRPr="00FD7F47" w:rsidRDefault="004F4475" w:rsidP="00AA4F61">
            <w:pPr>
              <w:spacing w:after="0" w:line="240" w:lineRule="auto"/>
              <w:rPr>
                <w:rFonts w:cs="Arial"/>
                <w:sz w:val="20"/>
                <w:szCs w:val="20"/>
              </w:rPr>
            </w:pPr>
            <w:r w:rsidRPr="00FD7F47">
              <w:rPr>
                <w:rFonts w:cs="Arial"/>
                <w:sz w:val="20"/>
                <w:szCs w:val="20"/>
              </w:rPr>
              <w:t>Ouedraogo et al; 2023</w:t>
            </w:r>
          </w:p>
        </w:tc>
        <w:tc>
          <w:tcPr>
            <w:tcW w:w="1640" w:type="dxa"/>
          </w:tcPr>
          <w:p w14:paraId="6697389F"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52642346"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66AA0367"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2351717E"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067BB7E8"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534AFD8C"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7EEDBB86"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013FF174"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0D1EA6AA"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6BEC9216"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6DAD4286"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6640E90B" w14:textId="77777777" w:rsidTr="00AA4F61">
        <w:trPr>
          <w:jc w:val="center"/>
        </w:trPr>
        <w:tc>
          <w:tcPr>
            <w:tcW w:w="2880" w:type="dxa"/>
          </w:tcPr>
          <w:p w14:paraId="21AEDFB7" w14:textId="77777777" w:rsidR="004F4475" w:rsidRPr="00FD7F47" w:rsidRDefault="004F4475" w:rsidP="00AA4F61">
            <w:pPr>
              <w:spacing w:after="0" w:line="240" w:lineRule="auto"/>
              <w:rPr>
                <w:rFonts w:cs="Arial"/>
                <w:sz w:val="20"/>
                <w:szCs w:val="20"/>
              </w:rPr>
            </w:pPr>
            <w:r w:rsidRPr="00FD7F47">
              <w:rPr>
                <w:rFonts w:cs="Arial"/>
                <w:sz w:val="20"/>
                <w:szCs w:val="20"/>
              </w:rPr>
              <w:t>Fracchia et al; 2023</w:t>
            </w:r>
          </w:p>
        </w:tc>
        <w:tc>
          <w:tcPr>
            <w:tcW w:w="1640" w:type="dxa"/>
          </w:tcPr>
          <w:p w14:paraId="4CC93C0F"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5F11D75A"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4A7F719C"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16364651"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3B344055"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5E94CB7A"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0D4EF5EB"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293CEFBF"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21C62EC8"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4AFD7191"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77FAA961"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288FB565" w14:textId="77777777" w:rsidTr="00AA4F61">
        <w:trPr>
          <w:jc w:val="center"/>
        </w:trPr>
        <w:tc>
          <w:tcPr>
            <w:tcW w:w="2880" w:type="dxa"/>
          </w:tcPr>
          <w:p w14:paraId="6339401B" w14:textId="77777777" w:rsidR="004F4475" w:rsidRPr="00FD7F47" w:rsidRDefault="004F4475" w:rsidP="00AA4F61">
            <w:pPr>
              <w:spacing w:after="0" w:line="240" w:lineRule="auto"/>
              <w:rPr>
                <w:rFonts w:cs="Arial"/>
                <w:sz w:val="20"/>
                <w:szCs w:val="20"/>
              </w:rPr>
            </w:pPr>
            <w:r w:rsidRPr="00FD7F47">
              <w:rPr>
                <w:rFonts w:cs="Arial"/>
                <w:sz w:val="20"/>
                <w:szCs w:val="20"/>
              </w:rPr>
              <w:t>Fuchs et al; 2023</w:t>
            </w:r>
          </w:p>
        </w:tc>
        <w:tc>
          <w:tcPr>
            <w:tcW w:w="1640" w:type="dxa"/>
          </w:tcPr>
          <w:p w14:paraId="265D4857"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63AD0719"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7FF62D95"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223FB5BA"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012B5925"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7707993C"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798E86DC"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6BD8993C"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6F7B819D"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702856BF"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5694E12F" w14:textId="77777777" w:rsidR="004F4475" w:rsidRPr="00FD7F47" w:rsidRDefault="004F4475" w:rsidP="00AA4F61">
            <w:pPr>
              <w:spacing w:after="0" w:line="240" w:lineRule="auto"/>
              <w:rPr>
                <w:rFonts w:cs="Arial"/>
                <w:sz w:val="20"/>
                <w:szCs w:val="20"/>
              </w:rPr>
            </w:pPr>
            <w:r>
              <w:rPr>
                <w:rFonts w:cs="Arial"/>
                <w:sz w:val="20"/>
                <w:szCs w:val="20"/>
              </w:rPr>
              <w:t>Low</w:t>
            </w:r>
          </w:p>
        </w:tc>
      </w:tr>
      <w:tr w:rsidR="004F4475" w:rsidRPr="00FD7F47" w14:paraId="25B43C88" w14:textId="77777777" w:rsidTr="00AA4F61">
        <w:trPr>
          <w:jc w:val="center"/>
        </w:trPr>
        <w:tc>
          <w:tcPr>
            <w:tcW w:w="2880" w:type="dxa"/>
          </w:tcPr>
          <w:p w14:paraId="2C2EBE0E" w14:textId="77777777" w:rsidR="004F4475" w:rsidRPr="00FD7F47" w:rsidRDefault="004F4475" w:rsidP="00AA4F61">
            <w:pPr>
              <w:spacing w:after="0" w:line="240" w:lineRule="auto"/>
              <w:rPr>
                <w:rFonts w:cs="Arial"/>
                <w:sz w:val="20"/>
                <w:szCs w:val="20"/>
              </w:rPr>
            </w:pPr>
            <w:r w:rsidRPr="00FD7F47">
              <w:rPr>
                <w:rFonts w:cs="Arial"/>
                <w:sz w:val="20"/>
                <w:szCs w:val="20"/>
              </w:rPr>
              <w:t>Asiedu et al; 2023</w:t>
            </w:r>
          </w:p>
        </w:tc>
        <w:tc>
          <w:tcPr>
            <w:tcW w:w="1640" w:type="dxa"/>
          </w:tcPr>
          <w:p w14:paraId="183DFB2D"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1CD9A9E4"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655760AC"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6424A64F"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6D0D2041"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2B9B4B9C"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7FB06C05"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2E2CFF8B"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0F54379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2CE44E67"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4DA09D02"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5AD2BD02" w14:textId="77777777" w:rsidTr="00AA4F61">
        <w:trPr>
          <w:jc w:val="center"/>
        </w:trPr>
        <w:tc>
          <w:tcPr>
            <w:tcW w:w="2880" w:type="dxa"/>
          </w:tcPr>
          <w:p w14:paraId="0E82E8FA" w14:textId="77777777" w:rsidR="004F4475" w:rsidRPr="00FD7F47" w:rsidRDefault="004F4475" w:rsidP="00AA4F61">
            <w:pPr>
              <w:spacing w:after="0" w:line="240" w:lineRule="auto"/>
              <w:rPr>
                <w:rFonts w:cs="Arial"/>
                <w:sz w:val="20"/>
                <w:szCs w:val="20"/>
              </w:rPr>
            </w:pPr>
            <w:r w:rsidRPr="00FD7F47">
              <w:rPr>
                <w:rFonts w:cs="Arial"/>
                <w:sz w:val="20"/>
                <w:szCs w:val="20"/>
              </w:rPr>
              <w:t>Kok et al; 2023</w:t>
            </w:r>
          </w:p>
        </w:tc>
        <w:tc>
          <w:tcPr>
            <w:tcW w:w="1640" w:type="dxa"/>
          </w:tcPr>
          <w:p w14:paraId="4F3081CE"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12F0A484"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34E405EA"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2AC3B10F"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306C5821"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477DAEFF"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3BAF51A4"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4FDBD4B9"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3F7C965F"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29A19A32"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37A54848"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22276FB4" w14:textId="77777777" w:rsidTr="00AA4F61">
        <w:trPr>
          <w:jc w:val="center"/>
        </w:trPr>
        <w:tc>
          <w:tcPr>
            <w:tcW w:w="2880" w:type="dxa"/>
          </w:tcPr>
          <w:p w14:paraId="61A9E12C"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t>Bakkabulindi</w:t>
            </w:r>
            <w:proofErr w:type="spellEnd"/>
            <w:r w:rsidRPr="00FD7F47">
              <w:rPr>
                <w:rFonts w:cs="Arial"/>
                <w:sz w:val="20"/>
                <w:szCs w:val="20"/>
              </w:rPr>
              <w:t xml:space="preserve"> et al; 2023</w:t>
            </w:r>
          </w:p>
        </w:tc>
        <w:tc>
          <w:tcPr>
            <w:tcW w:w="1640" w:type="dxa"/>
          </w:tcPr>
          <w:p w14:paraId="4D3040F5"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4F38C707"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50383115"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16BFCECB"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576D0541"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0C6F81B5"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2CCFB03B"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36A8991B"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7D067A32"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7C8AC4C0"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72AAEBDD"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0D9E103D" w14:textId="77777777" w:rsidTr="00AA4F61">
        <w:trPr>
          <w:jc w:val="center"/>
        </w:trPr>
        <w:tc>
          <w:tcPr>
            <w:tcW w:w="2880" w:type="dxa"/>
          </w:tcPr>
          <w:p w14:paraId="5DF50DF4" w14:textId="77777777" w:rsidR="004F4475" w:rsidRPr="00FD7F47" w:rsidRDefault="004F4475" w:rsidP="00AA4F61">
            <w:pPr>
              <w:spacing w:after="0" w:line="240" w:lineRule="auto"/>
              <w:rPr>
                <w:rFonts w:cs="Arial"/>
                <w:sz w:val="20"/>
                <w:szCs w:val="20"/>
              </w:rPr>
            </w:pPr>
            <w:r w:rsidRPr="00FD7F47">
              <w:rPr>
                <w:rFonts w:cs="Arial"/>
                <w:sz w:val="20"/>
                <w:szCs w:val="20"/>
              </w:rPr>
              <w:t>Scott et al; 2022</w:t>
            </w:r>
          </w:p>
        </w:tc>
        <w:tc>
          <w:tcPr>
            <w:tcW w:w="1640" w:type="dxa"/>
          </w:tcPr>
          <w:p w14:paraId="1D25210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34701BA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BE0910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0129AE5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3710FFF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223781F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4681B5A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79218D3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173486B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5521432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7819B768"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73EAD13A" w14:textId="77777777" w:rsidTr="00AA4F61">
        <w:trPr>
          <w:jc w:val="center"/>
        </w:trPr>
        <w:tc>
          <w:tcPr>
            <w:tcW w:w="2880" w:type="dxa"/>
          </w:tcPr>
          <w:p w14:paraId="03E1A697" w14:textId="77777777" w:rsidR="004F4475" w:rsidRPr="00FD7F47" w:rsidRDefault="004F4475" w:rsidP="00AA4F61">
            <w:pPr>
              <w:spacing w:after="0" w:line="240" w:lineRule="auto"/>
              <w:rPr>
                <w:rFonts w:cs="Arial"/>
                <w:sz w:val="20"/>
                <w:szCs w:val="20"/>
              </w:rPr>
            </w:pPr>
            <w:r w:rsidRPr="00FD7F47">
              <w:rPr>
                <w:rFonts w:cs="Arial"/>
                <w:sz w:val="20"/>
                <w:szCs w:val="20"/>
              </w:rPr>
              <w:t>Rabie et al; 2022</w:t>
            </w:r>
          </w:p>
        </w:tc>
        <w:tc>
          <w:tcPr>
            <w:tcW w:w="1640" w:type="dxa"/>
          </w:tcPr>
          <w:p w14:paraId="02C0ABB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3487B86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55B976F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7150F9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0E04AA8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640E516F"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1456F41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66DF6F0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24B404E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292C570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251363DD"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412F77AE" w14:textId="77777777" w:rsidTr="00AA4F61">
        <w:trPr>
          <w:jc w:val="center"/>
        </w:trPr>
        <w:tc>
          <w:tcPr>
            <w:tcW w:w="2880" w:type="dxa"/>
          </w:tcPr>
          <w:p w14:paraId="126983E7" w14:textId="77777777" w:rsidR="004F4475" w:rsidRPr="00FD7F47" w:rsidRDefault="004F4475" w:rsidP="00AA4F61">
            <w:pPr>
              <w:spacing w:after="0" w:line="240" w:lineRule="auto"/>
              <w:rPr>
                <w:rFonts w:cs="Arial"/>
                <w:sz w:val="20"/>
                <w:szCs w:val="20"/>
              </w:rPr>
            </w:pPr>
            <w:r w:rsidRPr="00FD7F47">
              <w:rPr>
                <w:rFonts w:cs="Arial"/>
                <w:sz w:val="20"/>
                <w:szCs w:val="20"/>
              </w:rPr>
              <w:t>Malatji et al, 2022</w:t>
            </w:r>
          </w:p>
        </w:tc>
        <w:tc>
          <w:tcPr>
            <w:tcW w:w="1640" w:type="dxa"/>
          </w:tcPr>
          <w:p w14:paraId="74F5E2B2"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1806C632"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56EE25A2"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09269DE8"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29848FE5"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5D910A06"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203A6D1C"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7C789858"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39796B9E"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02226BC9"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7D8DBA42"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5A6C5582" w14:textId="77777777" w:rsidTr="00AA4F61">
        <w:trPr>
          <w:jc w:val="center"/>
        </w:trPr>
        <w:tc>
          <w:tcPr>
            <w:tcW w:w="2880" w:type="dxa"/>
          </w:tcPr>
          <w:p w14:paraId="550F28CC" w14:textId="77777777" w:rsidR="004F4475" w:rsidRPr="00FD7F47" w:rsidRDefault="004F4475" w:rsidP="00AA4F61">
            <w:pPr>
              <w:spacing w:after="0" w:line="240" w:lineRule="auto"/>
              <w:rPr>
                <w:rFonts w:cs="Arial"/>
                <w:sz w:val="20"/>
                <w:szCs w:val="20"/>
              </w:rPr>
            </w:pPr>
            <w:r w:rsidRPr="00FD7F47">
              <w:rPr>
                <w:rFonts w:cs="Arial"/>
                <w:sz w:val="20"/>
                <w:szCs w:val="20"/>
              </w:rPr>
              <w:t>Nkurunziza et al; 2022</w:t>
            </w:r>
          </w:p>
        </w:tc>
        <w:tc>
          <w:tcPr>
            <w:tcW w:w="1640" w:type="dxa"/>
          </w:tcPr>
          <w:p w14:paraId="419D0B1A"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40BFBAFD"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16754DE2"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2D39A601"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17A2321B"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4469030F"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0BA73AB5"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2983E694"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443197C7"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3D98893B"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1FD57168"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5D57B653" w14:textId="77777777" w:rsidTr="00AA4F61">
        <w:trPr>
          <w:jc w:val="center"/>
        </w:trPr>
        <w:tc>
          <w:tcPr>
            <w:tcW w:w="2880" w:type="dxa"/>
          </w:tcPr>
          <w:p w14:paraId="091934F2" w14:textId="77777777" w:rsidR="004F4475" w:rsidRPr="00FD7F47" w:rsidRDefault="004F4475" w:rsidP="00AA4F61">
            <w:pPr>
              <w:spacing w:after="0" w:line="240" w:lineRule="auto"/>
              <w:rPr>
                <w:rFonts w:cs="Arial"/>
                <w:sz w:val="20"/>
                <w:szCs w:val="20"/>
              </w:rPr>
            </w:pPr>
            <w:r w:rsidRPr="00FD7F47">
              <w:rPr>
                <w:rFonts w:cs="Arial"/>
                <w:sz w:val="20"/>
                <w:szCs w:val="20"/>
              </w:rPr>
              <w:t>Adam et al; 2022</w:t>
            </w:r>
          </w:p>
        </w:tc>
        <w:tc>
          <w:tcPr>
            <w:tcW w:w="1640" w:type="dxa"/>
          </w:tcPr>
          <w:p w14:paraId="2710DDC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4D1958D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6072DEE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1DDAB0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1FF7932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77D4DD9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3C45B9F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59FBA63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2624B7B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69A8CD9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0BE4A341"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0A2E1659" w14:textId="77777777" w:rsidTr="00AA4F61">
        <w:trPr>
          <w:jc w:val="center"/>
        </w:trPr>
        <w:tc>
          <w:tcPr>
            <w:tcW w:w="2880" w:type="dxa"/>
          </w:tcPr>
          <w:p w14:paraId="08FA7376" w14:textId="77777777" w:rsidR="004F4475" w:rsidRPr="00FD7F47" w:rsidRDefault="004F4475" w:rsidP="00AA4F61">
            <w:pPr>
              <w:spacing w:after="0" w:line="240" w:lineRule="auto"/>
              <w:rPr>
                <w:rFonts w:cs="Arial"/>
                <w:sz w:val="20"/>
                <w:szCs w:val="20"/>
              </w:rPr>
            </w:pPr>
            <w:r w:rsidRPr="00FD7F47">
              <w:rPr>
                <w:rFonts w:cs="Arial"/>
                <w:sz w:val="20"/>
                <w:szCs w:val="20"/>
              </w:rPr>
              <w:t>Yang et al;2021</w:t>
            </w:r>
          </w:p>
        </w:tc>
        <w:tc>
          <w:tcPr>
            <w:tcW w:w="1640" w:type="dxa"/>
          </w:tcPr>
          <w:p w14:paraId="0B2C192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35CE029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B45A29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797B1E8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034EBFD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7F2267C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65F3505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25E533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37AAC8CF"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2DE67BA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7E226FF5"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7A626300" w14:textId="77777777" w:rsidTr="00AA4F61">
        <w:trPr>
          <w:jc w:val="center"/>
        </w:trPr>
        <w:tc>
          <w:tcPr>
            <w:tcW w:w="2880" w:type="dxa"/>
          </w:tcPr>
          <w:p w14:paraId="251C100D" w14:textId="77777777" w:rsidR="004F4475" w:rsidRPr="00FD7F47" w:rsidRDefault="004F4475" w:rsidP="00AA4F61">
            <w:pPr>
              <w:spacing w:after="0" w:line="240" w:lineRule="auto"/>
              <w:rPr>
                <w:rFonts w:cs="Arial"/>
                <w:sz w:val="20"/>
                <w:szCs w:val="20"/>
              </w:rPr>
            </w:pPr>
            <w:r w:rsidRPr="00FD7F47">
              <w:rPr>
                <w:rFonts w:cs="Arial"/>
                <w:sz w:val="20"/>
                <w:szCs w:val="20"/>
              </w:rPr>
              <w:t xml:space="preserve">Chang et al; 2021 </w:t>
            </w:r>
          </w:p>
        </w:tc>
        <w:tc>
          <w:tcPr>
            <w:tcW w:w="1640" w:type="dxa"/>
          </w:tcPr>
          <w:p w14:paraId="40A093A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6B4D015F"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043A90F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55D7826F"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47B3B31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53EA603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617AA05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865C21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32D46ED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1AADBAB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15E12C04"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258EB4DC" w14:textId="77777777" w:rsidTr="00AA4F61">
        <w:trPr>
          <w:jc w:val="center"/>
        </w:trPr>
        <w:tc>
          <w:tcPr>
            <w:tcW w:w="2880" w:type="dxa"/>
          </w:tcPr>
          <w:p w14:paraId="2B7CF721"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t>Boene</w:t>
            </w:r>
            <w:proofErr w:type="spellEnd"/>
            <w:r w:rsidRPr="00FD7F47">
              <w:rPr>
                <w:rFonts w:cs="Arial"/>
                <w:sz w:val="20"/>
                <w:szCs w:val="20"/>
              </w:rPr>
              <w:t xml:space="preserve"> et al; 2021</w:t>
            </w:r>
          </w:p>
        </w:tc>
        <w:tc>
          <w:tcPr>
            <w:tcW w:w="1640" w:type="dxa"/>
          </w:tcPr>
          <w:p w14:paraId="742177D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42FF5E8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59DB335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94D94E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40573FC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6E35D26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21D502C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03D9161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3A30485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69550ED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7F27665B"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264781AB" w14:textId="77777777" w:rsidTr="00AA4F61">
        <w:trPr>
          <w:jc w:val="center"/>
        </w:trPr>
        <w:tc>
          <w:tcPr>
            <w:tcW w:w="2880" w:type="dxa"/>
            <w:vAlign w:val="bottom"/>
          </w:tcPr>
          <w:p w14:paraId="6EBD22E0" w14:textId="77777777" w:rsidR="004F4475" w:rsidRPr="00FD7F47" w:rsidRDefault="004F4475" w:rsidP="00AA4F61">
            <w:pPr>
              <w:spacing w:after="0" w:line="240" w:lineRule="auto"/>
              <w:rPr>
                <w:rFonts w:cs="Arial"/>
                <w:sz w:val="20"/>
                <w:szCs w:val="20"/>
              </w:rPr>
            </w:pPr>
            <w:r w:rsidRPr="00FD7F47">
              <w:rPr>
                <w:rFonts w:cs="Arial"/>
                <w:sz w:val="20"/>
                <w:szCs w:val="20"/>
              </w:rPr>
              <w:t>O'Donovan et al, 2021</w:t>
            </w:r>
          </w:p>
        </w:tc>
        <w:tc>
          <w:tcPr>
            <w:tcW w:w="1640" w:type="dxa"/>
            <w:vAlign w:val="bottom"/>
          </w:tcPr>
          <w:p w14:paraId="68EFEC1A"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vAlign w:val="bottom"/>
          </w:tcPr>
          <w:p w14:paraId="57417DAE"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067F6D0F"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61877AB1"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vAlign w:val="bottom"/>
          </w:tcPr>
          <w:p w14:paraId="257AB28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vAlign w:val="bottom"/>
          </w:tcPr>
          <w:p w14:paraId="6F1F401A"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vAlign w:val="bottom"/>
          </w:tcPr>
          <w:p w14:paraId="1CEB1098"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00E86779"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vAlign w:val="bottom"/>
          </w:tcPr>
          <w:p w14:paraId="6ED62EAC"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vAlign w:val="bottom"/>
          </w:tcPr>
          <w:p w14:paraId="29C972A6"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30401A8E" w14:textId="77777777" w:rsidR="004F4475" w:rsidRPr="00FD7F47" w:rsidRDefault="004F4475" w:rsidP="00AA4F61">
            <w:pPr>
              <w:spacing w:after="0" w:line="240" w:lineRule="auto"/>
              <w:rPr>
                <w:rFonts w:cs="Arial"/>
                <w:sz w:val="20"/>
                <w:szCs w:val="20"/>
              </w:rPr>
            </w:pPr>
            <w:r>
              <w:rPr>
                <w:rFonts w:cs="Arial"/>
                <w:sz w:val="20"/>
                <w:szCs w:val="20"/>
              </w:rPr>
              <w:t>Low</w:t>
            </w:r>
          </w:p>
        </w:tc>
      </w:tr>
      <w:tr w:rsidR="004F4475" w:rsidRPr="00FD7F47" w14:paraId="5E7F7BCF" w14:textId="77777777" w:rsidTr="00AA4F61">
        <w:trPr>
          <w:jc w:val="center"/>
        </w:trPr>
        <w:tc>
          <w:tcPr>
            <w:tcW w:w="2880" w:type="dxa"/>
          </w:tcPr>
          <w:p w14:paraId="20464CEC" w14:textId="77777777" w:rsidR="004F4475" w:rsidRPr="00FD7F47" w:rsidRDefault="004F4475" w:rsidP="00AA4F61">
            <w:pPr>
              <w:spacing w:after="0" w:line="240" w:lineRule="auto"/>
              <w:rPr>
                <w:rFonts w:cs="Arial"/>
                <w:sz w:val="20"/>
                <w:szCs w:val="20"/>
              </w:rPr>
            </w:pPr>
            <w:r w:rsidRPr="00FD7F47">
              <w:rPr>
                <w:rFonts w:cs="Arial"/>
                <w:sz w:val="20"/>
                <w:szCs w:val="20"/>
              </w:rPr>
              <w:t>Wagner et al; 2020</w:t>
            </w:r>
          </w:p>
        </w:tc>
        <w:tc>
          <w:tcPr>
            <w:tcW w:w="1640" w:type="dxa"/>
          </w:tcPr>
          <w:p w14:paraId="4401BE5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11F104AD"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664D233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84D8C1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1204194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424AD19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4B56B5E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588CBC3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2A1DD31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5537E0E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5BBC3664"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5C2DACBD" w14:textId="77777777" w:rsidTr="00AA4F61">
        <w:trPr>
          <w:jc w:val="center"/>
        </w:trPr>
        <w:tc>
          <w:tcPr>
            <w:tcW w:w="2880" w:type="dxa"/>
          </w:tcPr>
          <w:p w14:paraId="5BBD9A1A" w14:textId="77777777" w:rsidR="004F4475" w:rsidRPr="00FD7F47" w:rsidRDefault="004F4475" w:rsidP="00AA4F61">
            <w:pPr>
              <w:spacing w:after="0" w:line="240" w:lineRule="auto"/>
              <w:rPr>
                <w:rFonts w:cs="Arial"/>
                <w:sz w:val="20"/>
                <w:szCs w:val="20"/>
              </w:rPr>
            </w:pPr>
            <w:r w:rsidRPr="00FD7F47">
              <w:rPr>
                <w:rFonts w:cs="Arial"/>
                <w:sz w:val="20"/>
                <w:szCs w:val="20"/>
              </w:rPr>
              <w:t>Karuga et al; 2019</w:t>
            </w:r>
          </w:p>
        </w:tc>
        <w:tc>
          <w:tcPr>
            <w:tcW w:w="1640" w:type="dxa"/>
          </w:tcPr>
          <w:p w14:paraId="13CDB27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55450D1F"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5515427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2BA2BD4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1D43E03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4FFCE01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332DAAD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7A000E2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6F2C381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0E71050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20D9BCD3"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1F823DB7" w14:textId="77777777" w:rsidTr="00AA4F61">
        <w:trPr>
          <w:jc w:val="center"/>
        </w:trPr>
        <w:tc>
          <w:tcPr>
            <w:tcW w:w="2880" w:type="dxa"/>
          </w:tcPr>
          <w:p w14:paraId="5F48B071" w14:textId="77777777" w:rsidR="004F4475" w:rsidRPr="00FD7F47" w:rsidRDefault="004F4475" w:rsidP="00AA4F61">
            <w:pPr>
              <w:spacing w:after="0" w:line="240" w:lineRule="auto"/>
              <w:rPr>
                <w:rFonts w:cs="Arial"/>
                <w:sz w:val="20"/>
                <w:szCs w:val="20"/>
              </w:rPr>
            </w:pPr>
            <w:r w:rsidRPr="00FD7F47">
              <w:rPr>
                <w:rFonts w:cs="Arial"/>
                <w:sz w:val="20"/>
                <w:szCs w:val="20"/>
              </w:rPr>
              <w:t>Boyce et al; 2019</w:t>
            </w:r>
          </w:p>
        </w:tc>
        <w:tc>
          <w:tcPr>
            <w:tcW w:w="1640" w:type="dxa"/>
          </w:tcPr>
          <w:p w14:paraId="02A5BA7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2AEF31C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555BB9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50AA35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74281FE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425C098D"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5FE7482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6C7E98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7E5655A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511FD1D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4CC0E79D"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138273E0" w14:textId="77777777" w:rsidTr="00AA4F61">
        <w:trPr>
          <w:jc w:val="center"/>
        </w:trPr>
        <w:tc>
          <w:tcPr>
            <w:tcW w:w="2880" w:type="dxa"/>
            <w:vAlign w:val="bottom"/>
          </w:tcPr>
          <w:p w14:paraId="62865A7D" w14:textId="77777777" w:rsidR="004F4475" w:rsidRPr="00FD7F47" w:rsidRDefault="004F4475" w:rsidP="00AA4F61">
            <w:pPr>
              <w:spacing w:after="0" w:line="240" w:lineRule="auto"/>
              <w:rPr>
                <w:rFonts w:cs="Arial"/>
                <w:sz w:val="20"/>
                <w:szCs w:val="20"/>
              </w:rPr>
            </w:pPr>
            <w:r w:rsidRPr="00FD7F47">
              <w:rPr>
                <w:rFonts w:cs="Arial"/>
                <w:sz w:val="20"/>
                <w:szCs w:val="20"/>
              </w:rPr>
              <w:t>Wilcox et al, 2019</w:t>
            </w:r>
          </w:p>
        </w:tc>
        <w:tc>
          <w:tcPr>
            <w:tcW w:w="1640" w:type="dxa"/>
            <w:vAlign w:val="bottom"/>
          </w:tcPr>
          <w:p w14:paraId="574A526A"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vAlign w:val="bottom"/>
          </w:tcPr>
          <w:p w14:paraId="594880A7"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4D7C5FD5"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37754E10"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vAlign w:val="bottom"/>
          </w:tcPr>
          <w:p w14:paraId="2A4093EE" w14:textId="77777777" w:rsidR="004F4475" w:rsidRPr="00FD7F47" w:rsidRDefault="004F4475" w:rsidP="00AA4F61">
            <w:pPr>
              <w:spacing w:after="0" w:line="240" w:lineRule="auto"/>
              <w:rPr>
                <w:rFonts w:cs="Arial"/>
                <w:sz w:val="20"/>
                <w:szCs w:val="20"/>
              </w:rPr>
            </w:pPr>
            <w:r w:rsidRPr="00FD7F47">
              <w:rPr>
                <w:rFonts w:cs="Arial"/>
                <w:sz w:val="20"/>
                <w:szCs w:val="20"/>
              </w:rPr>
              <w:t>N/A</w:t>
            </w:r>
          </w:p>
        </w:tc>
        <w:tc>
          <w:tcPr>
            <w:tcW w:w="1170" w:type="dxa"/>
            <w:vAlign w:val="bottom"/>
          </w:tcPr>
          <w:p w14:paraId="0A77DC51"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vAlign w:val="bottom"/>
          </w:tcPr>
          <w:p w14:paraId="334BD483"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7F246B32"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vAlign w:val="bottom"/>
          </w:tcPr>
          <w:p w14:paraId="3331538D"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vAlign w:val="bottom"/>
          </w:tcPr>
          <w:p w14:paraId="065F21C4"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0A9F1201"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71C4A8E6" w14:textId="77777777" w:rsidTr="00AA4F61">
        <w:trPr>
          <w:jc w:val="center"/>
        </w:trPr>
        <w:tc>
          <w:tcPr>
            <w:tcW w:w="2880" w:type="dxa"/>
            <w:vAlign w:val="bottom"/>
          </w:tcPr>
          <w:p w14:paraId="0EA4251B" w14:textId="77777777" w:rsidR="004F4475" w:rsidRPr="00FD7F47" w:rsidRDefault="004F4475" w:rsidP="00AA4F61">
            <w:pPr>
              <w:spacing w:after="0" w:line="240" w:lineRule="auto"/>
              <w:rPr>
                <w:rFonts w:cs="Arial"/>
                <w:sz w:val="20"/>
                <w:szCs w:val="20"/>
              </w:rPr>
            </w:pPr>
            <w:r w:rsidRPr="00FD7F47">
              <w:rPr>
                <w:rFonts w:cs="Arial"/>
                <w:sz w:val="20"/>
                <w:szCs w:val="20"/>
              </w:rPr>
              <w:t>Lazzerini et al; 2019</w:t>
            </w:r>
          </w:p>
        </w:tc>
        <w:tc>
          <w:tcPr>
            <w:tcW w:w="1640" w:type="dxa"/>
            <w:vAlign w:val="bottom"/>
          </w:tcPr>
          <w:p w14:paraId="4A303049"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vAlign w:val="bottom"/>
          </w:tcPr>
          <w:p w14:paraId="35B93231"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1CC75B31"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27023507"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vAlign w:val="bottom"/>
          </w:tcPr>
          <w:p w14:paraId="1AB9194C"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vAlign w:val="bottom"/>
          </w:tcPr>
          <w:p w14:paraId="4A0C4496"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vAlign w:val="bottom"/>
          </w:tcPr>
          <w:p w14:paraId="53B00F60"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vAlign w:val="bottom"/>
          </w:tcPr>
          <w:p w14:paraId="244AAA65"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vAlign w:val="bottom"/>
          </w:tcPr>
          <w:p w14:paraId="5F77BA55"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vAlign w:val="bottom"/>
          </w:tcPr>
          <w:p w14:paraId="0F344053"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629463C7"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793256F1" w14:textId="77777777" w:rsidTr="00AA4F61">
        <w:trPr>
          <w:jc w:val="center"/>
        </w:trPr>
        <w:tc>
          <w:tcPr>
            <w:tcW w:w="2880" w:type="dxa"/>
          </w:tcPr>
          <w:p w14:paraId="20907711" w14:textId="77777777" w:rsidR="004F4475" w:rsidRPr="00FD7F47" w:rsidRDefault="004F4475" w:rsidP="00AA4F61">
            <w:pPr>
              <w:spacing w:after="0" w:line="240" w:lineRule="auto"/>
              <w:rPr>
                <w:rFonts w:cs="Arial"/>
                <w:sz w:val="20"/>
                <w:szCs w:val="20"/>
              </w:rPr>
            </w:pPr>
            <w:r w:rsidRPr="00FD7F47">
              <w:rPr>
                <w:rFonts w:cs="Arial"/>
                <w:sz w:val="20"/>
                <w:szCs w:val="20"/>
              </w:rPr>
              <w:t>Ludwick et al; 2018</w:t>
            </w:r>
          </w:p>
        </w:tc>
        <w:tc>
          <w:tcPr>
            <w:tcW w:w="1640" w:type="dxa"/>
          </w:tcPr>
          <w:p w14:paraId="6134963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3973FAC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1675CC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655E637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711B39D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3C86532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0831EB8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7E26198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16AEF8D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518CEFA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26D29F34"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0FC583BC" w14:textId="77777777" w:rsidTr="00AA4F61">
        <w:trPr>
          <w:jc w:val="center"/>
        </w:trPr>
        <w:tc>
          <w:tcPr>
            <w:tcW w:w="2880" w:type="dxa"/>
          </w:tcPr>
          <w:p w14:paraId="1B3E5F94" w14:textId="77777777" w:rsidR="004F4475" w:rsidRPr="00FD7F47" w:rsidRDefault="004F4475" w:rsidP="00AA4F61">
            <w:pPr>
              <w:spacing w:after="0" w:line="240" w:lineRule="auto"/>
              <w:rPr>
                <w:rFonts w:cs="Arial"/>
                <w:sz w:val="20"/>
                <w:szCs w:val="20"/>
              </w:rPr>
            </w:pPr>
            <w:r w:rsidRPr="00FD7F47">
              <w:rPr>
                <w:rFonts w:cs="Arial"/>
                <w:sz w:val="20"/>
                <w:szCs w:val="20"/>
              </w:rPr>
              <w:t>Kok et al; 2018</w:t>
            </w:r>
          </w:p>
        </w:tc>
        <w:tc>
          <w:tcPr>
            <w:tcW w:w="1640" w:type="dxa"/>
          </w:tcPr>
          <w:p w14:paraId="42E5665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7593EC9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6E79C7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E6B669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394A858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7AF105A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0B7386D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6A0849D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5B06446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1A7B083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7CF64BC3" w14:textId="77777777" w:rsidR="004F4475" w:rsidRPr="00FD7F47" w:rsidRDefault="004F4475" w:rsidP="00AA4F61">
            <w:pPr>
              <w:spacing w:after="0" w:line="240" w:lineRule="auto"/>
              <w:rPr>
                <w:rFonts w:cs="Arial"/>
                <w:sz w:val="20"/>
                <w:szCs w:val="20"/>
              </w:rPr>
            </w:pPr>
            <w:r w:rsidRPr="00FD7F47">
              <w:rPr>
                <w:rFonts w:cs="Arial"/>
                <w:sz w:val="20"/>
                <w:szCs w:val="20"/>
              </w:rPr>
              <w:t>Low</w:t>
            </w:r>
          </w:p>
        </w:tc>
      </w:tr>
      <w:tr w:rsidR="004F4475" w:rsidRPr="00FD7F47" w14:paraId="500C02AF" w14:textId="77777777" w:rsidTr="00AA4F61">
        <w:trPr>
          <w:jc w:val="center"/>
        </w:trPr>
        <w:tc>
          <w:tcPr>
            <w:tcW w:w="2880" w:type="dxa"/>
          </w:tcPr>
          <w:p w14:paraId="275B7B92"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lastRenderedPageBreak/>
              <w:t>Coeztee</w:t>
            </w:r>
            <w:proofErr w:type="spellEnd"/>
            <w:r w:rsidRPr="00FD7F47">
              <w:rPr>
                <w:rFonts w:cs="Arial"/>
                <w:sz w:val="20"/>
                <w:szCs w:val="20"/>
              </w:rPr>
              <w:t xml:space="preserve"> et al; 2018</w:t>
            </w:r>
          </w:p>
        </w:tc>
        <w:tc>
          <w:tcPr>
            <w:tcW w:w="1640" w:type="dxa"/>
          </w:tcPr>
          <w:p w14:paraId="7BA0535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50A9755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10074A8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02C2A7D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00AD763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199CDBAD"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31A42F1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02AF7BB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212A499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6E56EAF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17812242" w14:textId="77777777" w:rsidR="004F4475" w:rsidRPr="00FD7F47" w:rsidRDefault="004F4475" w:rsidP="00AA4F61">
            <w:pPr>
              <w:spacing w:after="0" w:line="240" w:lineRule="auto"/>
              <w:rPr>
                <w:rFonts w:cs="Arial"/>
                <w:sz w:val="20"/>
                <w:szCs w:val="20"/>
              </w:rPr>
            </w:pPr>
            <w:r w:rsidRPr="00FD7F47">
              <w:rPr>
                <w:rFonts w:cs="Arial"/>
                <w:sz w:val="20"/>
                <w:szCs w:val="20"/>
              </w:rPr>
              <w:t xml:space="preserve">High </w:t>
            </w:r>
          </w:p>
        </w:tc>
      </w:tr>
      <w:tr w:rsidR="004F4475" w:rsidRPr="00FD7F47" w14:paraId="3BC8B419" w14:textId="77777777" w:rsidTr="00AA4F61">
        <w:trPr>
          <w:jc w:val="center"/>
        </w:trPr>
        <w:tc>
          <w:tcPr>
            <w:tcW w:w="2880" w:type="dxa"/>
          </w:tcPr>
          <w:p w14:paraId="77CFE310"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t>Asiki</w:t>
            </w:r>
            <w:proofErr w:type="spellEnd"/>
            <w:r w:rsidRPr="00FD7F47">
              <w:rPr>
                <w:rFonts w:cs="Arial"/>
                <w:sz w:val="20"/>
                <w:szCs w:val="20"/>
              </w:rPr>
              <w:t xml:space="preserve"> et al; 2018</w:t>
            </w:r>
          </w:p>
        </w:tc>
        <w:tc>
          <w:tcPr>
            <w:tcW w:w="1640" w:type="dxa"/>
          </w:tcPr>
          <w:p w14:paraId="7D46E7CD"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2437A19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053E793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8BD13A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18A73A3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62704BC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09190E2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2140D2B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4EE0D3E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222E36D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61F980A2"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19B0F41E" w14:textId="77777777" w:rsidTr="00AA4F61">
        <w:trPr>
          <w:jc w:val="center"/>
        </w:trPr>
        <w:tc>
          <w:tcPr>
            <w:tcW w:w="2880" w:type="dxa"/>
          </w:tcPr>
          <w:p w14:paraId="1DB1F67B" w14:textId="77777777" w:rsidR="004F4475" w:rsidRPr="00FD7F47" w:rsidRDefault="004F4475" w:rsidP="00AA4F61">
            <w:pPr>
              <w:spacing w:after="0" w:line="240" w:lineRule="auto"/>
              <w:rPr>
                <w:rFonts w:cs="Arial"/>
                <w:sz w:val="20"/>
                <w:szCs w:val="20"/>
              </w:rPr>
            </w:pPr>
            <w:r w:rsidRPr="00FD7F47">
              <w:rPr>
                <w:rFonts w:cs="Arial"/>
                <w:sz w:val="20"/>
                <w:szCs w:val="20"/>
              </w:rPr>
              <w:t>Mengesha et al; 2018</w:t>
            </w:r>
          </w:p>
        </w:tc>
        <w:tc>
          <w:tcPr>
            <w:tcW w:w="1640" w:type="dxa"/>
          </w:tcPr>
          <w:p w14:paraId="4F498687"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52BACB93"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63209AC5"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74DE65A2"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12EDF18A"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4D57EE02"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4152A961"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1B38C23C"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6B804306"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3298251B"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11D45441"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6D51386C" w14:textId="77777777" w:rsidTr="00AA4F61">
        <w:trPr>
          <w:jc w:val="center"/>
        </w:trPr>
        <w:tc>
          <w:tcPr>
            <w:tcW w:w="2880" w:type="dxa"/>
          </w:tcPr>
          <w:p w14:paraId="3491E6B6" w14:textId="77777777" w:rsidR="004F4475" w:rsidRPr="00FD7F47" w:rsidRDefault="004F4475" w:rsidP="00AA4F61">
            <w:pPr>
              <w:spacing w:after="0" w:line="240" w:lineRule="auto"/>
              <w:rPr>
                <w:rFonts w:cs="Arial"/>
                <w:sz w:val="20"/>
                <w:szCs w:val="20"/>
              </w:rPr>
            </w:pPr>
            <w:r w:rsidRPr="00FD7F47">
              <w:rPr>
                <w:rFonts w:cs="Arial"/>
                <w:sz w:val="20"/>
                <w:szCs w:val="20"/>
              </w:rPr>
              <w:t>Gouse et al; 2018</w:t>
            </w:r>
          </w:p>
        </w:tc>
        <w:tc>
          <w:tcPr>
            <w:tcW w:w="1640" w:type="dxa"/>
          </w:tcPr>
          <w:p w14:paraId="5C4C965A"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0130EA6B"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4C9DB7AE"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599C5984"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5E22F0F2"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7D826580"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0E7CEDCB" w14:textId="77777777" w:rsidR="004F4475" w:rsidRPr="00FD7F47" w:rsidRDefault="004F4475" w:rsidP="00AA4F61">
            <w:pPr>
              <w:spacing w:after="0" w:line="240" w:lineRule="auto"/>
              <w:rPr>
                <w:rFonts w:cs="Arial"/>
                <w:sz w:val="20"/>
                <w:szCs w:val="20"/>
              </w:rPr>
            </w:pPr>
            <w:r>
              <w:rPr>
                <w:rFonts w:cs="Arial"/>
                <w:sz w:val="20"/>
                <w:szCs w:val="20"/>
              </w:rPr>
              <w:t>N/A</w:t>
            </w:r>
          </w:p>
        </w:tc>
        <w:tc>
          <w:tcPr>
            <w:tcW w:w="900" w:type="dxa"/>
          </w:tcPr>
          <w:p w14:paraId="69BB35D2"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4E0CB884"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590F8A20"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4432D63A"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51225877" w14:textId="77777777" w:rsidTr="00AA4F61">
        <w:trPr>
          <w:jc w:val="center"/>
        </w:trPr>
        <w:tc>
          <w:tcPr>
            <w:tcW w:w="2880" w:type="dxa"/>
          </w:tcPr>
          <w:p w14:paraId="5FEE80C4" w14:textId="77777777" w:rsidR="004F4475" w:rsidRPr="00FD7F47" w:rsidRDefault="004F4475" w:rsidP="00AA4F61">
            <w:pPr>
              <w:spacing w:after="0" w:line="240" w:lineRule="auto"/>
              <w:rPr>
                <w:rFonts w:cs="Arial"/>
                <w:sz w:val="20"/>
                <w:szCs w:val="20"/>
              </w:rPr>
            </w:pPr>
            <w:r w:rsidRPr="00FD7F47">
              <w:rPr>
                <w:rFonts w:cs="Arial"/>
                <w:sz w:val="20"/>
                <w:szCs w:val="20"/>
              </w:rPr>
              <w:t>Biemba et al; 2017</w:t>
            </w:r>
          </w:p>
        </w:tc>
        <w:tc>
          <w:tcPr>
            <w:tcW w:w="1640" w:type="dxa"/>
          </w:tcPr>
          <w:p w14:paraId="5BCED10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2835834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27FA528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93CB1B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387A03C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3BEEFA4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5A033BBF"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917E7B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3520ABA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4165CF2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79C9E34F"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6A3AEDE4" w14:textId="77777777" w:rsidTr="00AA4F61">
        <w:trPr>
          <w:jc w:val="center"/>
        </w:trPr>
        <w:tc>
          <w:tcPr>
            <w:tcW w:w="2880" w:type="dxa"/>
          </w:tcPr>
          <w:p w14:paraId="2DA8B65B" w14:textId="77777777" w:rsidR="004F4475" w:rsidRPr="00FD7F47" w:rsidRDefault="004F4475" w:rsidP="00AA4F61">
            <w:pPr>
              <w:spacing w:after="0" w:line="240" w:lineRule="auto"/>
              <w:rPr>
                <w:rFonts w:cs="Arial"/>
                <w:sz w:val="20"/>
                <w:szCs w:val="20"/>
              </w:rPr>
            </w:pPr>
            <w:r w:rsidRPr="00FD7F47">
              <w:rPr>
                <w:rFonts w:cs="Arial"/>
                <w:sz w:val="20"/>
                <w:szCs w:val="20"/>
              </w:rPr>
              <w:t>Avery et al; 2017</w:t>
            </w:r>
          </w:p>
        </w:tc>
        <w:tc>
          <w:tcPr>
            <w:tcW w:w="1640" w:type="dxa"/>
          </w:tcPr>
          <w:p w14:paraId="3C6894D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132265B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29A4785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25A891A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4EE9299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61ED188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5FD23C3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1F5C258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2D17897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7B00D47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69E3FBAC" w14:textId="77777777" w:rsidR="004F4475" w:rsidRPr="00FD7F47" w:rsidRDefault="004F4475" w:rsidP="00AA4F61">
            <w:pPr>
              <w:spacing w:after="0" w:line="240" w:lineRule="auto"/>
              <w:rPr>
                <w:rFonts w:cs="Arial"/>
                <w:sz w:val="20"/>
                <w:szCs w:val="20"/>
              </w:rPr>
            </w:pPr>
            <w:r w:rsidRPr="00FD7F47">
              <w:rPr>
                <w:rFonts w:cs="Arial"/>
                <w:sz w:val="20"/>
                <w:szCs w:val="20"/>
              </w:rPr>
              <w:t>Low</w:t>
            </w:r>
          </w:p>
        </w:tc>
      </w:tr>
      <w:tr w:rsidR="004F4475" w:rsidRPr="00FD7F47" w14:paraId="517F74C0" w14:textId="77777777" w:rsidTr="00AA4F61">
        <w:trPr>
          <w:jc w:val="center"/>
        </w:trPr>
        <w:tc>
          <w:tcPr>
            <w:tcW w:w="2880" w:type="dxa"/>
          </w:tcPr>
          <w:p w14:paraId="71C5400E" w14:textId="77777777" w:rsidR="004F4475" w:rsidRPr="00FD7F47" w:rsidRDefault="004F4475" w:rsidP="00AA4F61">
            <w:pPr>
              <w:spacing w:after="0" w:line="240" w:lineRule="auto"/>
              <w:rPr>
                <w:rFonts w:cs="Arial"/>
                <w:sz w:val="20"/>
                <w:szCs w:val="20"/>
              </w:rPr>
            </w:pPr>
            <w:r w:rsidRPr="00FD7F47">
              <w:rPr>
                <w:rFonts w:cs="Arial"/>
                <w:sz w:val="20"/>
                <w:szCs w:val="20"/>
              </w:rPr>
              <w:t>Horwood et al; 2017</w:t>
            </w:r>
          </w:p>
        </w:tc>
        <w:tc>
          <w:tcPr>
            <w:tcW w:w="1640" w:type="dxa"/>
          </w:tcPr>
          <w:p w14:paraId="37375F6F"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6254F306"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6FFC14E1"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34B9E490"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5A8246A5"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52DD1C14"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078B19F0"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7E6ECA86"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7B5C7BAD"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26018593"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236E1745"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37F21617" w14:textId="77777777" w:rsidTr="00AA4F61">
        <w:trPr>
          <w:jc w:val="center"/>
        </w:trPr>
        <w:tc>
          <w:tcPr>
            <w:tcW w:w="2880" w:type="dxa"/>
          </w:tcPr>
          <w:p w14:paraId="21AEDCEB"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t>Vallières</w:t>
            </w:r>
            <w:proofErr w:type="spellEnd"/>
            <w:r w:rsidRPr="00FD7F47">
              <w:rPr>
                <w:rFonts w:cs="Arial"/>
                <w:sz w:val="20"/>
                <w:szCs w:val="20"/>
              </w:rPr>
              <w:t xml:space="preserve"> et al; 2016</w:t>
            </w:r>
          </w:p>
        </w:tc>
        <w:tc>
          <w:tcPr>
            <w:tcW w:w="1640" w:type="dxa"/>
          </w:tcPr>
          <w:p w14:paraId="4C5DDDD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4813687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2B9BEA1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177018B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4270422D"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67A7863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20D421C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0521960F"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7486761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656D5CD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2F8FBA7D"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28A43B01" w14:textId="77777777" w:rsidTr="00AA4F61">
        <w:trPr>
          <w:jc w:val="center"/>
        </w:trPr>
        <w:tc>
          <w:tcPr>
            <w:tcW w:w="2880" w:type="dxa"/>
          </w:tcPr>
          <w:p w14:paraId="5D465189" w14:textId="77777777" w:rsidR="004F4475" w:rsidRPr="00FD7F47" w:rsidRDefault="004F4475" w:rsidP="00AA4F61">
            <w:pPr>
              <w:spacing w:after="0" w:line="240" w:lineRule="auto"/>
              <w:rPr>
                <w:rFonts w:cs="Arial"/>
                <w:sz w:val="20"/>
                <w:szCs w:val="20"/>
              </w:rPr>
            </w:pPr>
            <w:r w:rsidRPr="00FD7F47">
              <w:rPr>
                <w:rFonts w:cs="Arial"/>
                <w:sz w:val="20"/>
                <w:szCs w:val="20"/>
              </w:rPr>
              <w:t>Singh et al; 2016</w:t>
            </w:r>
          </w:p>
        </w:tc>
        <w:tc>
          <w:tcPr>
            <w:tcW w:w="1640" w:type="dxa"/>
          </w:tcPr>
          <w:p w14:paraId="6DB2E52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030E416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54F0728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2766518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1B537B0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6CA33EC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4DABB7C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FB6075D"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15454BD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1E7BFEE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15EFB94B" w14:textId="77777777" w:rsidR="004F4475" w:rsidRPr="00FD7F47" w:rsidRDefault="004F4475" w:rsidP="00AA4F61">
            <w:pPr>
              <w:spacing w:after="0" w:line="240" w:lineRule="auto"/>
              <w:rPr>
                <w:rFonts w:cs="Arial"/>
                <w:sz w:val="20"/>
                <w:szCs w:val="20"/>
              </w:rPr>
            </w:pPr>
            <w:r w:rsidRPr="00FD7F47">
              <w:rPr>
                <w:rFonts w:cs="Arial"/>
                <w:sz w:val="20"/>
                <w:szCs w:val="20"/>
              </w:rPr>
              <w:t xml:space="preserve">Low  </w:t>
            </w:r>
          </w:p>
        </w:tc>
      </w:tr>
      <w:tr w:rsidR="004F4475" w:rsidRPr="00FD7F47" w14:paraId="68B39C45" w14:textId="77777777" w:rsidTr="00AA4F61">
        <w:trPr>
          <w:jc w:val="center"/>
        </w:trPr>
        <w:tc>
          <w:tcPr>
            <w:tcW w:w="2880" w:type="dxa"/>
          </w:tcPr>
          <w:p w14:paraId="3F785727" w14:textId="77777777" w:rsidR="004F4475" w:rsidRPr="00FD7F47" w:rsidRDefault="004F4475" w:rsidP="00AA4F61">
            <w:pPr>
              <w:spacing w:after="0" w:line="240" w:lineRule="auto"/>
              <w:rPr>
                <w:rFonts w:cs="Arial"/>
                <w:sz w:val="20"/>
                <w:szCs w:val="20"/>
              </w:rPr>
            </w:pPr>
            <w:r w:rsidRPr="00FD7F47">
              <w:rPr>
                <w:rFonts w:cs="Arial"/>
                <w:sz w:val="20"/>
                <w:szCs w:val="20"/>
              </w:rPr>
              <w:t>Henry et al, 2016</w:t>
            </w:r>
          </w:p>
        </w:tc>
        <w:tc>
          <w:tcPr>
            <w:tcW w:w="1640" w:type="dxa"/>
          </w:tcPr>
          <w:p w14:paraId="06B4391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4AFE79C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1F93768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7736F6B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12A3332E"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19EF32D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087D643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D7AD8E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7CE06CA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48B57F9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75EB8E00"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5E0AFF8E" w14:textId="77777777" w:rsidTr="00AA4F61">
        <w:trPr>
          <w:jc w:val="center"/>
        </w:trPr>
        <w:tc>
          <w:tcPr>
            <w:tcW w:w="2880" w:type="dxa"/>
          </w:tcPr>
          <w:p w14:paraId="4D7EF016" w14:textId="77777777" w:rsidR="004F4475" w:rsidRPr="00FD7F47" w:rsidRDefault="004F4475" w:rsidP="00AA4F61">
            <w:pPr>
              <w:spacing w:after="0" w:line="240" w:lineRule="auto"/>
              <w:rPr>
                <w:rFonts w:cs="Arial"/>
                <w:sz w:val="20"/>
                <w:szCs w:val="20"/>
              </w:rPr>
            </w:pPr>
            <w:r w:rsidRPr="00FD7F47">
              <w:rPr>
                <w:rFonts w:cs="Arial"/>
                <w:sz w:val="20"/>
                <w:szCs w:val="20"/>
              </w:rPr>
              <w:t>Braun et al; 2016</w:t>
            </w:r>
          </w:p>
        </w:tc>
        <w:tc>
          <w:tcPr>
            <w:tcW w:w="1640" w:type="dxa"/>
          </w:tcPr>
          <w:p w14:paraId="19CD60D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77092B0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5C5000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619F5E9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39FBBFD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09FB427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0730D0C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76C53E9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07FE6BA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46751FB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164E89D9" w14:textId="77777777" w:rsidR="004F4475" w:rsidRPr="00FD7F47" w:rsidRDefault="004F4475" w:rsidP="00AA4F61">
            <w:pPr>
              <w:spacing w:after="0" w:line="240" w:lineRule="auto"/>
              <w:rPr>
                <w:rFonts w:cs="Arial"/>
                <w:sz w:val="20"/>
                <w:szCs w:val="20"/>
              </w:rPr>
            </w:pPr>
            <w:r w:rsidRPr="00FD7F47">
              <w:rPr>
                <w:rFonts w:cs="Arial"/>
                <w:sz w:val="20"/>
                <w:szCs w:val="20"/>
              </w:rPr>
              <w:t xml:space="preserve">Low </w:t>
            </w:r>
          </w:p>
        </w:tc>
      </w:tr>
      <w:tr w:rsidR="004F4475" w:rsidRPr="00FD7F47" w14:paraId="280026F9" w14:textId="77777777" w:rsidTr="00AA4F61">
        <w:trPr>
          <w:jc w:val="center"/>
        </w:trPr>
        <w:tc>
          <w:tcPr>
            <w:tcW w:w="2880" w:type="dxa"/>
          </w:tcPr>
          <w:p w14:paraId="66FACD7D"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t>Ayiasi</w:t>
            </w:r>
            <w:proofErr w:type="spellEnd"/>
            <w:r w:rsidRPr="00FD7F47">
              <w:rPr>
                <w:rFonts w:cs="Arial"/>
                <w:sz w:val="20"/>
                <w:szCs w:val="20"/>
              </w:rPr>
              <w:t xml:space="preserve"> et al, 2015</w:t>
            </w:r>
          </w:p>
        </w:tc>
        <w:tc>
          <w:tcPr>
            <w:tcW w:w="1640" w:type="dxa"/>
          </w:tcPr>
          <w:p w14:paraId="3EAA2B9F"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21584C3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5371224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63C525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432F799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0F58999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5508A90B"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849E28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55839B6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34EE644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388A2D7F"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5D5B4174" w14:textId="77777777" w:rsidTr="00AA4F61">
        <w:trPr>
          <w:jc w:val="center"/>
        </w:trPr>
        <w:tc>
          <w:tcPr>
            <w:tcW w:w="2880" w:type="dxa"/>
          </w:tcPr>
          <w:p w14:paraId="28E3DD06" w14:textId="77777777" w:rsidR="004F4475" w:rsidRPr="00FD7F47" w:rsidRDefault="004F4475" w:rsidP="00AA4F61">
            <w:pPr>
              <w:spacing w:after="0" w:line="240" w:lineRule="auto"/>
              <w:rPr>
                <w:rFonts w:cs="Arial"/>
                <w:sz w:val="20"/>
                <w:szCs w:val="20"/>
              </w:rPr>
            </w:pPr>
            <w:r w:rsidRPr="00FD7F47">
              <w:rPr>
                <w:rFonts w:cs="Arial"/>
                <w:sz w:val="20"/>
                <w:szCs w:val="20"/>
              </w:rPr>
              <w:t>Roberton et al; 2015</w:t>
            </w:r>
          </w:p>
        </w:tc>
        <w:tc>
          <w:tcPr>
            <w:tcW w:w="1640" w:type="dxa"/>
          </w:tcPr>
          <w:p w14:paraId="48A2FC5B"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2FB80C58"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42BE6B47"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1E265E6F"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4101816B"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71CECF71"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25F91FA2"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613F4DCF"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5498F4BC"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0AF1B7C7"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7623FAD9"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77C0A71D" w14:textId="77777777" w:rsidTr="00AA4F61">
        <w:trPr>
          <w:jc w:val="center"/>
        </w:trPr>
        <w:tc>
          <w:tcPr>
            <w:tcW w:w="2880" w:type="dxa"/>
          </w:tcPr>
          <w:p w14:paraId="10EAEB44" w14:textId="77777777" w:rsidR="004F4475" w:rsidRPr="00FD7F47" w:rsidRDefault="004F4475" w:rsidP="00AA4F61">
            <w:pPr>
              <w:spacing w:after="0" w:line="240" w:lineRule="auto"/>
              <w:rPr>
                <w:rFonts w:cs="Arial"/>
                <w:sz w:val="20"/>
                <w:szCs w:val="20"/>
              </w:rPr>
            </w:pPr>
            <w:r w:rsidRPr="00FD7F47">
              <w:rPr>
                <w:rFonts w:cs="Arial"/>
                <w:sz w:val="20"/>
                <w:szCs w:val="20"/>
              </w:rPr>
              <w:t>McNabb et al; 2015</w:t>
            </w:r>
          </w:p>
        </w:tc>
        <w:tc>
          <w:tcPr>
            <w:tcW w:w="1640" w:type="dxa"/>
          </w:tcPr>
          <w:p w14:paraId="1F50474D"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65CC2645"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63E501FA"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6389B6A6"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3530EE8C"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313C4E72"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719A403B"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459F08F3"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01273350"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57E84027"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03F20BF0"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43F9DED3" w14:textId="77777777" w:rsidTr="00AA4F61">
        <w:trPr>
          <w:jc w:val="center"/>
        </w:trPr>
        <w:tc>
          <w:tcPr>
            <w:tcW w:w="2880" w:type="dxa"/>
          </w:tcPr>
          <w:p w14:paraId="34D7F4D4"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t>Mkumbo</w:t>
            </w:r>
            <w:proofErr w:type="spellEnd"/>
            <w:r w:rsidRPr="00FD7F47">
              <w:rPr>
                <w:rFonts w:cs="Arial"/>
                <w:sz w:val="20"/>
                <w:szCs w:val="20"/>
              </w:rPr>
              <w:t xml:space="preserve"> et al, 2014</w:t>
            </w:r>
          </w:p>
        </w:tc>
        <w:tc>
          <w:tcPr>
            <w:tcW w:w="1640" w:type="dxa"/>
          </w:tcPr>
          <w:p w14:paraId="5BD83511"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1078B50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01C59DF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1548FC9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2C0E3499"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3804ADF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2692DB8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6AFBF0F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5E579B9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61F95090"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34949A8D"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r w:rsidR="004F4475" w:rsidRPr="00FD7F47" w14:paraId="34D0D975" w14:textId="77777777" w:rsidTr="00AA4F61">
        <w:trPr>
          <w:jc w:val="center"/>
        </w:trPr>
        <w:tc>
          <w:tcPr>
            <w:tcW w:w="2880" w:type="dxa"/>
          </w:tcPr>
          <w:p w14:paraId="63E6290E"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t>Ameha</w:t>
            </w:r>
            <w:proofErr w:type="spellEnd"/>
            <w:r w:rsidRPr="00FD7F47">
              <w:rPr>
                <w:rFonts w:cs="Arial"/>
                <w:sz w:val="20"/>
                <w:szCs w:val="20"/>
              </w:rPr>
              <w:t xml:space="preserve"> et al, 2014</w:t>
            </w:r>
          </w:p>
        </w:tc>
        <w:tc>
          <w:tcPr>
            <w:tcW w:w="1640" w:type="dxa"/>
          </w:tcPr>
          <w:p w14:paraId="0FC1E737"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50" w:type="dxa"/>
          </w:tcPr>
          <w:p w14:paraId="1CCFD664"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6C6070A6"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4ACE8498"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10" w:type="dxa"/>
          </w:tcPr>
          <w:p w14:paraId="6FC19175"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170" w:type="dxa"/>
          </w:tcPr>
          <w:p w14:paraId="6FF63853"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080" w:type="dxa"/>
          </w:tcPr>
          <w:p w14:paraId="53DBCE0C"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00" w:type="dxa"/>
          </w:tcPr>
          <w:p w14:paraId="327C92FA"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990" w:type="dxa"/>
          </w:tcPr>
          <w:p w14:paraId="701F5AE2"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841" w:type="dxa"/>
          </w:tcPr>
          <w:p w14:paraId="7DEE76AD" w14:textId="77777777" w:rsidR="004F4475" w:rsidRPr="00FD7F47" w:rsidRDefault="004F4475" w:rsidP="00AA4F61">
            <w:pPr>
              <w:spacing w:after="0" w:line="240" w:lineRule="auto"/>
              <w:rPr>
                <w:rFonts w:cs="Arial"/>
                <w:sz w:val="20"/>
                <w:szCs w:val="20"/>
              </w:rPr>
            </w:pPr>
            <w:r w:rsidRPr="00FD7F47">
              <w:rPr>
                <w:rFonts w:cs="Arial"/>
                <w:sz w:val="20"/>
                <w:szCs w:val="20"/>
              </w:rPr>
              <w:t>+</w:t>
            </w:r>
          </w:p>
        </w:tc>
        <w:tc>
          <w:tcPr>
            <w:tcW w:w="1319" w:type="dxa"/>
          </w:tcPr>
          <w:p w14:paraId="404BBE50" w14:textId="77777777" w:rsidR="004F4475" w:rsidRPr="00FD7F47" w:rsidRDefault="004F4475" w:rsidP="00AA4F61">
            <w:pPr>
              <w:spacing w:after="0" w:line="240" w:lineRule="auto"/>
              <w:rPr>
                <w:rFonts w:cs="Arial"/>
                <w:sz w:val="20"/>
                <w:szCs w:val="20"/>
              </w:rPr>
            </w:pPr>
            <w:r w:rsidRPr="00FD7F47">
              <w:rPr>
                <w:rFonts w:cs="Arial"/>
                <w:sz w:val="20"/>
                <w:szCs w:val="20"/>
              </w:rPr>
              <w:t xml:space="preserve">High </w:t>
            </w:r>
          </w:p>
        </w:tc>
      </w:tr>
      <w:tr w:rsidR="004F4475" w:rsidRPr="00FD7F47" w14:paraId="6B6D4712" w14:textId="77777777" w:rsidTr="00AA4F61">
        <w:trPr>
          <w:jc w:val="center"/>
        </w:trPr>
        <w:tc>
          <w:tcPr>
            <w:tcW w:w="2880" w:type="dxa"/>
          </w:tcPr>
          <w:p w14:paraId="4B33218A" w14:textId="77777777" w:rsidR="004F4475" w:rsidRPr="00FD7F47" w:rsidRDefault="004F4475" w:rsidP="00AA4F61">
            <w:pPr>
              <w:spacing w:after="0" w:line="240" w:lineRule="auto"/>
              <w:rPr>
                <w:rFonts w:cs="Arial"/>
                <w:sz w:val="20"/>
                <w:szCs w:val="20"/>
              </w:rPr>
            </w:pPr>
            <w:r w:rsidRPr="00FD7F47">
              <w:rPr>
                <w:rFonts w:cs="Arial"/>
                <w:sz w:val="20"/>
                <w:szCs w:val="20"/>
              </w:rPr>
              <w:t>Surka et al; 2014</w:t>
            </w:r>
          </w:p>
        </w:tc>
        <w:tc>
          <w:tcPr>
            <w:tcW w:w="1640" w:type="dxa"/>
          </w:tcPr>
          <w:p w14:paraId="039A8247"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59849AC9"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4F32E550"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6E941529"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41FCC3B3"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18EC82F8"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44692EDF"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1238057E"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0A377C82"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0DB03084"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3B41EEA7"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0A032F99" w14:textId="77777777" w:rsidTr="00AA4F61">
        <w:trPr>
          <w:jc w:val="center"/>
        </w:trPr>
        <w:tc>
          <w:tcPr>
            <w:tcW w:w="2880" w:type="dxa"/>
          </w:tcPr>
          <w:p w14:paraId="5A4C658A" w14:textId="77777777" w:rsidR="004F4475" w:rsidRPr="00FD7F47" w:rsidRDefault="004F4475" w:rsidP="00AA4F61">
            <w:pPr>
              <w:spacing w:after="0" w:line="240" w:lineRule="auto"/>
              <w:rPr>
                <w:rFonts w:cs="Arial"/>
                <w:sz w:val="20"/>
                <w:szCs w:val="20"/>
              </w:rPr>
            </w:pPr>
            <w:proofErr w:type="spellStart"/>
            <w:r w:rsidRPr="00FD7F47">
              <w:rPr>
                <w:rFonts w:cs="Arial"/>
                <w:sz w:val="20"/>
                <w:szCs w:val="20"/>
              </w:rPr>
              <w:t>Schuttner</w:t>
            </w:r>
            <w:proofErr w:type="spellEnd"/>
            <w:r w:rsidRPr="00FD7F47">
              <w:rPr>
                <w:rFonts w:cs="Arial"/>
                <w:sz w:val="20"/>
                <w:szCs w:val="20"/>
              </w:rPr>
              <w:t xml:space="preserve"> et al; 2014</w:t>
            </w:r>
          </w:p>
        </w:tc>
        <w:tc>
          <w:tcPr>
            <w:tcW w:w="1640" w:type="dxa"/>
          </w:tcPr>
          <w:p w14:paraId="3FE03D78"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18A2F25F"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3E38EED1"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292EACA2"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7EA17B1F"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13FD3DEA"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753CF1FA"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3E1BF7F6"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520460D2"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0D034AEF"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525E62DA"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6111411B" w14:textId="77777777" w:rsidTr="00AA4F61">
        <w:trPr>
          <w:jc w:val="center"/>
        </w:trPr>
        <w:tc>
          <w:tcPr>
            <w:tcW w:w="2880" w:type="dxa"/>
          </w:tcPr>
          <w:p w14:paraId="3745B15C" w14:textId="77777777" w:rsidR="004F4475" w:rsidRPr="00FD7F47" w:rsidRDefault="004F4475" w:rsidP="00AA4F61">
            <w:pPr>
              <w:spacing w:after="0" w:line="240" w:lineRule="auto"/>
              <w:rPr>
                <w:rFonts w:cs="Arial"/>
                <w:sz w:val="20"/>
                <w:szCs w:val="20"/>
              </w:rPr>
            </w:pPr>
            <w:r w:rsidRPr="00FD7F47">
              <w:rPr>
                <w:rFonts w:cs="Arial"/>
                <w:sz w:val="20"/>
                <w:szCs w:val="20"/>
              </w:rPr>
              <w:t>Langston et al; 2014</w:t>
            </w:r>
          </w:p>
        </w:tc>
        <w:tc>
          <w:tcPr>
            <w:tcW w:w="1640" w:type="dxa"/>
          </w:tcPr>
          <w:p w14:paraId="07B1F9C8"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51C81B96"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04D73099"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4E700EA9"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3BEF4243"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64CDC826"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45844268"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7DF45922"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220C66E3"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50D3DDEB"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6AF556D6" w14:textId="77777777" w:rsidR="004F4475" w:rsidRPr="00FD7F47" w:rsidRDefault="004F4475" w:rsidP="00AA4F61">
            <w:pPr>
              <w:spacing w:after="0" w:line="240" w:lineRule="auto"/>
              <w:rPr>
                <w:rFonts w:cs="Arial"/>
                <w:sz w:val="20"/>
                <w:szCs w:val="20"/>
              </w:rPr>
            </w:pPr>
            <w:r>
              <w:rPr>
                <w:rFonts w:cs="Arial"/>
                <w:sz w:val="20"/>
                <w:szCs w:val="20"/>
              </w:rPr>
              <w:t>High</w:t>
            </w:r>
          </w:p>
        </w:tc>
      </w:tr>
      <w:tr w:rsidR="004F4475" w:rsidRPr="00FD7F47" w14:paraId="50E834D3" w14:textId="77777777" w:rsidTr="00AA4F61">
        <w:trPr>
          <w:jc w:val="center"/>
        </w:trPr>
        <w:tc>
          <w:tcPr>
            <w:tcW w:w="2880" w:type="dxa"/>
          </w:tcPr>
          <w:p w14:paraId="6DFBA244" w14:textId="77777777" w:rsidR="004F4475" w:rsidRPr="00FD7F47" w:rsidRDefault="004F4475" w:rsidP="00AA4F61">
            <w:pPr>
              <w:spacing w:after="0" w:line="240" w:lineRule="auto"/>
              <w:rPr>
                <w:rFonts w:cs="Arial"/>
                <w:sz w:val="20"/>
                <w:szCs w:val="20"/>
              </w:rPr>
            </w:pPr>
            <w:r w:rsidRPr="00FD7F47">
              <w:rPr>
                <w:rFonts w:cs="Arial"/>
                <w:sz w:val="20"/>
                <w:szCs w:val="20"/>
              </w:rPr>
              <w:t>Little et al; 2013</w:t>
            </w:r>
          </w:p>
        </w:tc>
        <w:tc>
          <w:tcPr>
            <w:tcW w:w="1640" w:type="dxa"/>
          </w:tcPr>
          <w:p w14:paraId="698CF566" w14:textId="77777777" w:rsidR="004F4475" w:rsidRPr="00FD7F47" w:rsidRDefault="004F4475" w:rsidP="00AA4F61">
            <w:pPr>
              <w:spacing w:after="0" w:line="240" w:lineRule="auto"/>
              <w:rPr>
                <w:rFonts w:cs="Arial"/>
                <w:sz w:val="20"/>
                <w:szCs w:val="20"/>
              </w:rPr>
            </w:pPr>
            <w:r>
              <w:rPr>
                <w:rFonts w:cs="Arial"/>
                <w:sz w:val="20"/>
                <w:szCs w:val="20"/>
              </w:rPr>
              <w:t>+</w:t>
            </w:r>
          </w:p>
        </w:tc>
        <w:tc>
          <w:tcPr>
            <w:tcW w:w="1350" w:type="dxa"/>
          </w:tcPr>
          <w:p w14:paraId="5FAF3D11"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60C6AE68"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411DC7F0" w14:textId="77777777" w:rsidR="004F4475" w:rsidRPr="00FD7F47" w:rsidRDefault="004F4475" w:rsidP="00AA4F61">
            <w:pPr>
              <w:spacing w:after="0" w:line="240" w:lineRule="auto"/>
              <w:rPr>
                <w:rFonts w:cs="Arial"/>
                <w:sz w:val="20"/>
                <w:szCs w:val="20"/>
              </w:rPr>
            </w:pPr>
            <w:r>
              <w:rPr>
                <w:rFonts w:cs="Arial"/>
                <w:sz w:val="20"/>
                <w:szCs w:val="20"/>
              </w:rPr>
              <w:t>+</w:t>
            </w:r>
          </w:p>
        </w:tc>
        <w:tc>
          <w:tcPr>
            <w:tcW w:w="810" w:type="dxa"/>
          </w:tcPr>
          <w:p w14:paraId="2E8C1B34" w14:textId="77777777" w:rsidR="004F4475" w:rsidRPr="00FD7F47" w:rsidRDefault="004F4475" w:rsidP="00AA4F61">
            <w:pPr>
              <w:spacing w:after="0" w:line="240" w:lineRule="auto"/>
              <w:rPr>
                <w:rFonts w:cs="Arial"/>
                <w:sz w:val="20"/>
                <w:szCs w:val="20"/>
              </w:rPr>
            </w:pPr>
            <w:r>
              <w:rPr>
                <w:rFonts w:cs="Arial"/>
                <w:sz w:val="20"/>
                <w:szCs w:val="20"/>
              </w:rPr>
              <w:t>+</w:t>
            </w:r>
          </w:p>
        </w:tc>
        <w:tc>
          <w:tcPr>
            <w:tcW w:w="1170" w:type="dxa"/>
          </w:tcPr>
          <w:p w14:paraId="4FFC6BA3" w14:textId="77777777" w:rsidR="004F4475" w:rsidRPr="00FD7F47" w:rsidRDefault="004F4475" w:rsidP="00AA4F61">
            <w:pPr>
              <w:spacing w:after="0" w:line="240" w:lineRule="auto"/>
              <w:rPr>
                <w:rFonts w:cs="Arial"/>
                <w:sz w:val="20"/>
                <w:szCs w:val="20"/>
              </w:rPr>
            </w:pPr>
            <w:r>
              <w:rPr>
                <w:rFonts w:cs="Arial"/>
                <w:sz w:val="20"/>
                <w:szCs w:val="20"/>
              </w:rPr>
              <w:t>+</w:t>
            </w:r>
          </w:p>
        </w:tc>
        <w:tc>
          <w:tcPr>
            <w:tcW w:w="1080" w:type="dxa"/>
          </w:tcPr>
          <w:p w14:paraId="21BA2C93" w14:textId="77777777" w:rsidR="004F4475" w:rsidRPr="00FD7F47" w:rsidRDefault="004F4475" w:rsidP="00AA4F61">
            <w:pPr>
              <w:spacing w:after="0" w:line="240" w:lineRule="auto"/>
              <w:rPr>
                <w:rFonts w:cs="Arial"/>
                <w:sz w:val="20"/>
                <w:szCs w:val="20"/>
              </w:rPr>
            </w:pPr>
            <w:r>
              <w:rPr>
                <w:rFonts w:cs="Arial"/>
                <w:sz w:val="20"/>
                <w:szCs w:val="20"/>
              </w:rPr>
              <w:t>+</w:t>
            </w:r>
          </w:p>
        </w:tc>
        <w:tc>
          <w:tcPr>
            <w:tcW w:w="900" w:type="dxa"/>
          </w:tcPr>
          <w:p w14:paraId="7E4CCD81" w14:textId="77777777" w:rsidR="004F4475" w:rsidRPr="00FD7F47" w:rsidRDefault="004F4475" w:rsidP="00AA4F61">
            <w:pPr>
              <w:spacing w:after="0" w:line="240" w:lineRule="auto"/>
              <w:rPr>
                <w:rFonts w:cs="Arial"/>
                <w:sz w:val="20"/>
                <w:szCs w:val="20"/>
              </w:rPr>
            </w:pPr>
            <w:r>
              <w:rPr>
                <w:rFonts w:cs="Arial"/>
                <w:sz w:val="20"/>
                <w:szCs w:val="20"/>
              </w:rPr>
              <w:t>+</w:t>
            </w:r>
          </w:p>
        </w:tc>
        <w:tc>
          <w:tcPr>
            <w:tcW w:w="990" w:type="dxa"/>
          </w:tcPr>
          <w:p w14:paraId="6374C05A" w14:textId="77777777" w:rsidR="004F4475" w:rsidRPr="00FD7F47" w:rsidRDefault="004F4475" w:rsidP="00AA4F61">
            <w:pPr>
              <w:spacing w:after="0" w:line="240" w:lineRule="auto"/>
              <w:rPr>
                <w:rFonts w:cs="Arial"/>
                <w:sz w:val="20"/>
                <w:szCs w:val="20"/>
              </w:rPr>
            </w:pPr>
            <w:r>
              <w:rPr>
                <w:rFonts w:cs="Arial"/>
                <w:sz w:val="20"/>
                <w:szCs w:val="20"/>
              </w:rPr>
              <w:t>?</w:t>
            </w:r>
          </w:p>
        </w:tc>
        <w:tc>
          <w:tcPr>
            <w:tcW w:w="841" w:type="dxa"/>
          </w:tcPr>
          <w:p w14:paraId="11042B84" w14:textId="77777777" w:rsidR="004F4475" w:rsidRPr="00FD7F47" w:rsidRDefault="004F4475" w:rsidP="00AA4F61">
            <w:pPr>
              <w:spacing w:after="0" w:line="240" w:lineRule="auto"/>
              <w:rPr>
                <w:rFonts w:cs="Arial"/>
                <w:sz w:val="20"/>
                <w:szCs w:val="20"/>
              </w:rPr>
            </w:pPr>
            <w:r>
              <w:rPr>
                <w:rFonts w:cs="Arial"/>
                <w:sz w:val="20"/>
                <w:szCs w:val="20"/>
              </w:rPr>
              <w:t>+</w:t>
            </w:r>
          </w:p>
        </w:tc>
        <w:tc>
          <w:tcPr>
            <w:tcW w:w="1319" w:type="dxa"/>
          </w:tcPr>
          <w:p w14:paraId="6806333A" w14:textId="77777777" w:rsidR="004F4475" w:rsidRPr="00FD7F47" w:rsidRDefault="004F4475" w:rsidP="00AA4F61">
            <w:pPr>
              <w:spacing w:after="0" w:line="240" w:lineRule="auto"/>
              <w:rPr>
                <w:rFonts w:cs="Arial"/>
                <w:sz w:val="20"/>
                <w:szCs w:val="20"/>
              </w:rPr>
            </w:pPr>
            <w:r w:rsidRPr="00FD7F47">
              <w:rPr>
                <w:rFonts w:cs="Arial"/>
                <w:sz w:val="20"/>
                <w:szCs w:val="20"/>
              </w:rPr>
              <w:t>High</w:t>
            </w:r>
          </w:p>
        </w:tc>
      </w:tr>
    </w:tbl>
    <w:p w14:paraId="773F6D0C" w14:textId="77777777" w:rsidR="004F4475" w:rsidRDefault="004F4475" w:rsidP="004F4475">
      <w:pPr>
        <w:pStyle w:val="ListParagraph"/>
      </w:pPr>
      <w:r w:rsidRPr="00FD4595">
        <w:rPr>
          <w:rFonts w:cs="Arial"/>
          <w:b/>
          <w:bCs/>
          <w:szCs w:val="22"/>
        </w:rPr>
        <w:t xml:space="preserve">Key: </w:t>
      </w:r>
      <w:r w:rsidRPr="00FD4595">
        <w:rPr>
          <w:rFonts w:cs="Arial"/>
          <w:szCs w:val="22"/>
        </w:rPr>
        <w:t>Criteria met (+), criteria not met (-), criteria not described (?)</w:t>
      </w:r>
      <w:r>
        <w:rPr>
          <w:rFonts w:cs="Arial"/>
          <w:szCs w:val="22"/>
        </w:rPr>
        <w:t>. N/A – Not applicable</w:t>
      </w:r>
    </w:p>
    <w:p w14:paraId="574762DD" w14:textId="77777777" w:rsidR="004F4475" w:rsidRDefault="004F4475" w:rsidP="004F4475"/>
    <w:p w14:paraId="36C5FC97" w14:textId="77777777" w:rsidR="00193DE0" w:rsidRPr="00D43B65" w:rsidRDefault="00193DE0" w:rsidP="00193DE0">
      <w:pPr>
        <w:jc w:val="both"/>
        <w:rPr>
          <w:rFonts w:ascii="Times New Roman" w:hAnsi="Times New Roman" w:cs="Times New Roman"/>
        </w:rPr>
      </w:pPr>
      <w:r w:rsidRPr="00D43B65">
        <w:rPr>
          <w:rFonts w:ascii="Times New Roman" w:hAnsi="Times New Roman" w:cs="Times New Roman"/>
        </w:rPr>
        <w:t xml:space="preserve">Overall, the majority of the studies were considered to have high quality (46), while nine studies were of low quality </w:t>
      </w:r>
      <w:r w:rsidRPr="00D43B65">
        <w:rPr>
          <w:rFonts w:ascii="Times New Roman" w:hAnsi="Times New Roman" w:cs="Times New Roman"/>
        </w:rPr>
        <w:fldChar w:fldCharType="begin"/>
      </w:r>
      <w:r w:rsidRPr="00D43B65">
        <w:rPr>
          <w:rFonts w:ascii="Times New Roman" w:hAnsi="Times New Roman" w:cs="Times New Roman"/>
        </w:rPr>
        <w:instrText xml:space="preserve"> ADDIN ZOTERO_ITEM CSL_CITATION {"citationID":"a25j9qiodjv","properties":{"formattedCitation":"\\super 31,51,54,63,64,67,69,72,73\\nosupersub{}","plainCitation":"31,51,54,63,64,67,69,72,73","noteIndex":0},"citationItems":[{"id":8987,"uris":["http://zotero.org/users/6854968/items/F7PDBRE7"],"itemData":{"id":8987,"type":"article-journal","abstract":"Supportive supervision is an important element of community health worker (CHW) programmes and is believed to improve CHW motivation and performance. A group supervision intervention, which included training and mentorship of supervisors, was implemented in Ethiopia, Kenya, Malawi and Mozambique. In three of the countries, this was combined with individual and/or peer supervision. A mixed-methods implementation study was conducted to assess the effect of the supervision intervention on CHWs' perceptions of supervision and CHW motivation-related outcomes. In total, 153 in-depth interviews were conducted with CHWs, their supervisors and managers. In addition, questionnaires assessing perceived supervision and motivation-related outcomes (organizational and community commitment, job satisfaction and conscientiousness) were administered to a total of 278 CHWs pre- and post-intervention, and again after 1 year. Interview transcripts were thematically analysed using a coding framework. Changes in perceived supervision and motivation-related outcomes were assessed using Friedman's ANOVA and post hoc Wilcoxon signed-rank tests. Interview participants reported that the supervision intervention improved CHW motivation. In contrast, the quantitative survey found no significant changes for measures of perceived supervision and inconsistent changes in motivation-related outcomes. With regard to the process of supervision, the problem-solving focus, the sense of joint responsibilities and team work, cross-learning and skill sharing, as well as the facilitating and coaching role of the supervisor, were valued. The empowerment and participation of supervisees in decision making also emerged in the analysis, albeit to a lesser extent. Although qualitative and quantitative findings differed, which could be related to the slightly different focus of methods used and a 'ceiling effect' limiting the detection of observable differences from the survey, the study suggests that there is potential for integrating supportive group supervision models in CHW programmes. A combination of group with individual or peer supervision, preferably accompanied with methods that assess CHW performance and corresponding feedback systems, could yield improved motivation and performance.","archive":"Ovid MEDLINE(R) &lt;2018&gt;","container-title":"Health policy and planning","DOI":"10.1093/heapol/czy082","ISSN":"1460-2237","issue":"9","journalAbbreviation":"Health Policy Plan","note":"publisher-place: England\nKok, Maryse C. KIT Health, Royal Tropical Institute, HA Amsterdam, The Netherlands.\nVallieres, Frederique. Centre for Global Health, School of Psychology, Trinity College, 709 Leinster Street South, Dublin 2, Ireland.\nTulloch, Olivia. Options Consultancy Services, 3 Lower Thames Street, London, UK.\nKumar, Meghan B. Department of International Public Health, Liverpool School of Tropical Medicine, Pembroke Place, Liverpool, UK.\nKea, Aschenaki Z. Reach Ethiopia, Hawassa, Ethiopia.\nKaruga, Robinson. Research and Strategic Information Department, LVCT Health, Nairobi, Kenya.\nNdima, Sozinho D. Department of Community Health, University Eduardo Mondlane, Maputo, Mozambique.\nChikaphupha, Kingsley. Reach Trust, Lilongwe, Malawi.\nTheobald, Sally. Options Consultancy Services, 3 Lower Thames Street, London, UK.\nTaegtmeyer, Miriam. Options Consultancy Services, 3 Lower Thames Street, London, UK.","page":"988-998","title":"Does supportive supervision enhance community health worker motivation? A mixed-methods study in four African countries.","volume":"33","author":[{"family":"Kok","given":"Maryse C"},{"family":"Vallieres","given":"Frederique"},{"family":"Tulloch","given":"Olivia"},{"family":"Kumar","given":"Meghan B"},{"family":"Kea","given":"Aschenaki Z"},{"family":"Karuga","given":"Robinson"},{"family":"Ndima","given":"Sozinho D"},{"family":"Chikaphupha","given":"Kingsley"},{"family":"Theobald","given":"Sally"},{"family":"Taegtmeyer","given":"Miriam"}],"issued":{"date-parts":[["2018"]]}}},{"id":9477,"uris":["http://zotero.org/users/6854968/items/2MJWQGWC"],"itemData":{"id":9477,"type":"article-journal","abstract":"BACKGROUND: Community Health Volunteers (CHVs) can be effective in improving pregnancy and newborn outcomes through community education. Inadequate supervision of CHVs, whether due to poor planning, irregular visits, or ineffective supervisory methods, is, however, recognized as a weakness in many programs. There has been little research on best practice supervisory or accompaniment models., METHODS: From March 2014 to February 2015 a proof of concept study was conducted to compare training alone versus training and supportive supervision by paid CHWs (n = 4) on the effectiveness of CHVs (n = 82) to deliver education about pregnancy, newborn care, family planning and hygiene. The pair-matched cluster randomized trial was conducted in eight villages (four intervention and four control) in Budondo sub-county in Jinja, Uganda., RESULTS: Increases in desired behaviors were seen in both the intervention and control arms over the study period. Both arms showed high retention rates of CHVs (95 %). At 1 year follow-up there was a significantly higher prevalence of installed and functioning tippy taps for hand washing (p &lt; 0.002) in the intervention villages (47 %) than control villages (35 %). All outcome and process measures related to home-visits to homes with pregnant women and newborn babies favored the intervention villages. The CHVs in both groups implemented what they learnt and were role models in the community., CONCLUSIONS: A team of CHVs and CHWs can facilitate families accessing reproductive health care by addressing cultural norms and scientific misconceptions. Having a team of 2 CHWs to 40 CHVs enables close to community access to information, conversation and services. Supportive supervision involves creating a non-threatening, empowering environment in which both the CHV and the supervising CHW learn together and overcome obstacles that might otherwise demotivate the CHV. While the results seem promising for added value with supportive supervision for CHVs undertaking reproductive health activities, further research on a larger scale will be needed to substantiate the effect.","archive":"Ovid MEDLINE(R) &lt;2016&gt;","container-title":"Reproductive health","ISSN":"1742-4755","issue":"1","journalAbbreviation":"Reprod Health","note":"publisher-place: England\nSingh, Debra. Kimanya-Ngeyo Foundation for Science and Education, PO Box 1600, Jinja, Uganda. ahderom@gmail.com.\nNegin, Joel. University of Sydney, School of Public Health, Sydney, Australia.\nOrach, Christopher Garimoi. Makerere College of Health Sciences, School of Public Health, Kampala, Uganda.\nCumming, Robert. University of Sydney, School of Public Health, Sydney, Australia.","page":"126","title":"Supportive supervision for volunteers to deliver reproductive health education: a cluster randomized trial.","volume":"13","author":[{"family":"Singh","given":"Debra"},{"family":"Negin","given":"Joel"},{"family":"Orach","given":"Christopher Garimoi"},{"family":"Cumming","given":"Robert"}],"issued":{"date-parts":[["2016"]]}}},{"id":9974,"uris":["http://zotero.org/users/6854968/items/W28DDHXC"],"itemData":{"id":9974,"type":"article-journal","abstract":"OBJECTIVE: To determine whether a simple monitoring and tracking tool, Mwanzo Mwema Monitoring and Tracking Tool (MMATT), would enable community health volunteers (CHVs) in Kenya to 1) plan their workloads and activities, 2) identify the women, newborns and children most in need of accessing critical maternal, newborn and child health (MNCH) interventions and 3) improve key MNCH indicators., METHODS: A mixed methods approach was used. Household surveys at baseline (n = 912) and endline (n = 1143) collected data on key MNCH indicators in the four subcounties of Taita Taveta County, Kenya. Eight focus group discussions were held with 40 CHVs to ascertain their perspectives on using the tool., RESULTS: Qualitative findings revealed that the CHVs found the MMATT to be useful in planning their activities and prioritizing beneficiaries requiring more support to access MNCH services. They also identified potential barriers to care at both the community and health system levels. At endline, previously pregnant women were more likely to have received four or more antenatal care visits, facility delivery, postnatal care within two weeks of delivery and a complete package of care than baseline respondents. Among women with children under 24 months, those at endline were more likely to report early breastfeeding and exclusive breastfeeding for the first six months. These results remained after adjustment for age, subcounty, gravida, mother's education and asset index., CONCLUSION: Our results demonstrate that simple tools enable CHVs to identify disparities in service delivery and health outcomes, and to identify barriers to MNCH care. Tools that enhance CHVs' ability to plan and prioritize the women and children most in need increase CHVs' potential impact.","archive":"Ovid MEDLINE(R) &lt;2017&gt;","container-title":"Canadian journal of public health = Revue canadienne de sante publique","DOI":"10.17269/cjph.108.5578","ISSN":"1920-7476","issue":"4","journalAbbreviation":"Can J Public Health","note":"publisher-place: Switzerland\nAvery, Lisa S. Centre for Global Public Health, Department of Community Health Sciences, University of Manitoba, Winnipeg, MB; Department of Obstetrics, Gynecology and Reproductive Sciences, University of Manitoba, Winnipeg, MB; Department of Medical Microbiology and Infectious Diseases, University of Manitoba, Winnipeg, MB. lisa.avery@umanitoba.ca.","page":"e427-e434","title":"Enhancing the capacity and effectiveness of community health volunteers to improve maternal, newborn and child health: Experience from Kenya.","volume":"108","author":[{"family":"Avery","given":"Lisa S"},{"family":"Du Plessis","given":"Elsabe"},{"family":"Shaw","given":"Souradet Y"},{"family":"Sankaran","given":"Deepa"},{"family":"Njoroge","given":"Peter"},{"family":"Kayima","given":"Ruth"},{"family":"Makau","given":"Naomi"},{"family":"Munga","given":"James"},{"family":"Kadzo","given":"Maureen"},{"family":"Blanchard","given":"James"},{"family":"Crockett","given":"Maryanne"}],"issued":{"date-parts":[["2017"]]}}},{"id":10784,"uris":["http://zotero.org/users/6854968/items/K4YP7RKK"],"itemData":{"id":10784,"type":"article-journal","abstract":"OBJECTIVE: Community health workers (CHW) are undertaking more complex tasks as part of the move towards universal health coverage in many low- and middle-income settings. They are expected to provide promotive and preventative care, make referrals to the local clinic, and follow up on non-attendees for a range of health conditions. CHW programmes can improve access to care for vulnerable communities, but many such programmes struggle due to inadequate supervision, low levels of CHW literacy, and the marginalized status of CHW in the health system. In this paper, we assess the effect of a roving nurse mentor on the coverage and quality of care of the CHW service in two vulnerable communities in South Africa., PARTICIPANTS: CHW, their supervisors, household members., INTERVENTION: Roving professional nurse mentor to build skills of supervisors and CHW teams., METHODS: Three household surveys to assess household coverage of the CHW service (baseline, end of the intervention, and 6 months after end of intervention); structured observations of CHW working in households to assess quality of care., RESULTS: The intervention led to a sustained 50% increase in the number of households visited by a CHW in the last year. While the proportion of appropriate health messages given to household members by CHW remained constant at approximately 50%, CHW performed a greater range of more complex tasks. They were more likely to visit new households to assess health needs and register the household in the programme, to provide care to pregnant women, children and people who had withdrawn from care. CHW were more likely to discuss with clients the barriers they were facing in accessing care and take notes during a visit., CONCLUSION: A nurse mentor can have a significant effect both on the quantity and quality of CHW work, allowing them to achieve their potential despite their marginalised status in the health system and their limited prior educational achievement. Supportive supervision is important in enabling the benefit of having a health cadre embedded in marginalised communities to be realised. Copyright © 2023. The Author(s).","archive":"Ovid MEDLINE(R)","container-title":"BMC health services research","DOI":"10.1186/s12913-023-09093-4","ISSN":"1472-6963","issue":"1","journalAbbreviation":"BMC Health Serv Res","note":"publisher-place: England\nGoudge, Jane. Centre for Health Policy, School of Public Health, Faculty of Health Sciences, University of the Witwatersrand, Johannesburg, South Africa. jane.goudge@gmail.com.\nBabalola, Olukemi. Centre for Health Policy, School of Public Health, Faculty of Health Sciences, University of the Witwatersrand, Johannesburg, South Africa.\nMalatji, Hlologelo. Centre for Health Policy, School of Public Health, Faculty of Health Sciences, University of the Witwatersrand, Johannesburg, South Africa.\nLevin, Jonathan. School of Public Health, Faculty of Health Sciences, University of the Witwatersrand, Johannesburg, South Africa.\nThorogood, Margaret. Centre for Health Policy, School of Public Health, Faculty of Health Sciences, University of the Witwatersrand, Johannesburg, South Africa.\nThorogood, Margaret. Warwick Medical School, Warwick University, Coventry, UK.\nGriffiths, Frances. Centre for Health Policy, School of Public Health, Faculty of Health Sciences, University of the Witwatersrand, Johannesburg, South Africa.\nGriffiths, Frances. Warwick Medical School, Warwick University, Coventry, UK.","page":"186","title":"The effect of a roving nurse mentor on household coverage and quality of care provided by community health worker teams in South Africa: a longitudinal study with a before, after and 6 months post design.","volume":"23","author":[{"family":"Goudge","given":"Jane"},{"family":"Babalola","given":"Olukemi"},{"family":"Malatji","given":"Hlologelo"},{"family":"Levin","given":"Jonathan"},{"family":"Thorogood","given":"Margaret"},{"family":"Griffiths","given":"Frances"}],"issued":{"date-parts":[["2023"]]}}},{"id":8365,"uris":["http://zotero.org/users/6854968/items/N9B8YPZX"],"itemData":{"id":8365,"type":"article-journal","abstract":"BACKGROUND: Community health workers (CHWs) are up-front health workers delivering the most effective life-saving health services to communities. They are the key driver to achieve Universal Health Coverage. However, maintaining CHWs' performance is one of the challenges in sustaining their effectiveness. This article assessed the effectiveness of the four interventions and their combinations on the CHWs' performance in terms of health knowledge, job satisfaction, and household coverage., METHODS: We used the longitudinal survey data collected in western Kenya. Our study participants were the representative of all CHWs working in the four districts, Kenya. The four types of interventions were composed of a basic core intervention (i.e., refresher training with/without defaulter tracing) and three supplementary interventions (i.e., provision of a bicycle, frequent supportive supervision, and financial incentives). We performed the three fixed-effect models to assess the effectiveness of the four interventions and their combinations on the three performance indicators., RESULTS: Three single and combination interventions significantly increased CHWs' health knowledge: refresher training only [Coef.: 48.43, 95% CI: 42.09-54.76, P &lt; 0.001]; refresher training plus defaulter-tracing [Coef.: 38.80, 95% CI: 32.71-44.90, P &lt; 0.001]; combination of refresher training plus defaulter-tracing and frequent supervision [Coef.: 17.02, 95% CI: 7.90-26.15, P &lt; 0.001]. Financial support was the only intervention that significantly increased job satisfaction among CHWs [Coef.: 4.97, 95% CI: 0.20-9.75, P = 0.041]. There was no single intervention that significantly increased household coverage. Yet, the combinations of the interventions significantly increased household coverage., CONCLUSIONS: There was no single intervention to improve all the aspects of CHWs' performance. The refresher training significantly improved their health knowledge, while financial incentive enhanced the level of their job satisfaction. The combinations of regular refresher training and other intervention(s) are the recommended as the effective interventions in improving and further sustaining CHWs' performance.","archive":"Ovid MEDLINE(R) &lt;2022&gt;","container-title":"Primary health care research &amp; development","DOI":"10.1017/S1463423622000135","ISSN":"1477-1128","issue":"100897390","journalAbbreviation":"Prim Health Care Res Dev","note":"publisher-place: England\nKawakatsu, Yoshito. Department of Global Health, University of Washington, USA.\nKawakatsu, Yoshito. Graduate School of Biomedical Sciences, Nagasaki University, Nagasaki, Japan.\nSugishita, Tomohiko. School of Medicine, Tokyo Women's Medical University, Japan.\nAiga, Hirotsugu. Department of Global Health, School of Medicine and Health Sciences, The George Washington University, Washington, DC, USA.\nAiga, Hirotsugu. School of Tropical Medicine and Global Health, Nagasaki University, Nagasaki, Japan.\nOruenjo, Kennedy. Ministry of Health, Siaya, Kenya.\nWakhule, Steve. Ministry of Health, Siaya, Kenya.\nHonda, Sumihisa. Graduate School of Biomedical Sciences, Nagasaki University, Nagasaki, Japan.","page":"e20","title":"Effectiveness of four interventions in improving community health workers' performance in western Kenya: a quasi-experimental difference-in-differences study using a longitudinal data.","volume":"23","author":[{"family":"Kawakatsu","given":"Yoshito"},{"family":"Sugishita","given":"Tomohiko"},{"family":"Aiga","given":"Hirotsugu"},{"family":"Oruenjo","given":"Kennedy"},{"family":"Wakhule","given":"Steve"},{"family":"Honda","given":"Sumihisa"}],"issued":{"date-parts":[["2022"]]}}},{"id":7581,"uris":["http://zotero.org/users/6854968/items/V64EKQVX"],"itemData":{"id":7581,"type":"article-journal","abstract":"OBJECTIVES: The global rapid growth in mobile technology provides unique opportunities to support community health workers (CHWs) in providing family planning (FP) services. FHI 360, Pathfinder International and D-tree International developed an evidence-based mobile job aid to support CHW counseling, screening, service provision and referrals, with mobile forms for client and service data, and text-message reporting and reminders. The purpose of this study is to evaluate the acceptability and potential benefits to service quality from the perspective of CHWs and their clients., STUDY DESIGN: The mobile job aid was piloted in Dar es Salaam, Tanzania. Data collection tools included a demographic survey of all 25 CHWs trained to use the mobile job aid, in-depth interviews with 20 of the CHWs after 3 months and a survey of 176 clients who received FP services from a CHW using the mobile job aid after 6 months., RESULTS: Both CHWs and their clients reported that the mobile job aid was a highly acceptable FP support tool. CHWs perceived benefits to service quality, including timelier and more convenient care; better quality of information; increased method choice; and improved privacy, confidentiality and trust with clients. Most clients discussed multiple FP methods with CHWs; only 1 in 10 clients reported discussion of all 9 methods., CONCLUSIONS: This research suggests that mobile phones can be effective tools to support CHWs with FP counseling, screening and referrals, data collection and reporting, and communication. Challenges remain to support informed contraceptive choice. Future research should focus on implementation, including scale-up and sustainability., IMPLICATIONS: Mobile job aids can uniquely enhance FP service provision at the community level through adherence to standard protocols, real-time feedback and technical assistance, and provision of confidential care. This study can inform future efforts to support and expand the role of CHWs in increasing FP access and informed contraceptive choice. Copyright © 2016 Elsevier Inc. All rights reserved.","archive":"Ovid MEDLINE(R) &lt;2016&gt;","container-title":"Contraception","DOI":"10.1016/j.contraception.2016.03.016","ISSN":"1879-0518","issue":"1","journalAbbreviation":"Contraception","note":"publisher-place: United States\nBraun, Rebecca. FHI 360, 359 Blackwell Street, Suite 200, Durham, NC 27701, USA. Electronic address: braunr@ipas.org.\nLasway, Christine. FHI 360, 359 Blackwell Street, Suite 200, Durham, NC 27701, USA.\nAgarwal, Smisha. FHI 360, 359 Blackwell Street, Suite 200, Durham, NC 27701, USA.\nL'Engle, Kelly. University of San Francisco, School of Nursing and Health Professions, 2130 Fulton Street, San Francisco, CA 94117, USA.\nLayer, Erica. D-tree International, PO, Box 31269, Dar es Salaam, Tanzania.\nSilas, Lucy. D-tree International, PO, Box 31269, Dar es Salaam, Tanzania.\nMwakibete, Anna. Pathfinder International, Chato Street, Plot No. 260, Dar es Salaam, Tanzania.\nKudrati, Mustafa. Pathfinder International, Chato Street, Plot No. 260, Dar es Salaam, Tanzania.","page":"27-33","title":"An evaluation of a family planning mobile job aid for community health workers in Tanzania.","volume":"94","author":[{"family":"Braun","given":"Rebecca"},{"family":"Lasway","given":"Christine"},{"family":"Agarwal","given":"Smisha"},{"family":"L'Engle","given":"Kelly"},{"family":"Layer","given":"Erica"},{"family":"Silas","given":"Lucy"},{"family":"Mwakibete","given":"Anna"},{"family":"Kudrati","given":"Mustafa"}],"issued":{"date-parts":[["2016"]]}}},{"id":10280,"uris":["http://zotero.org/users/6854968/items/H6R7YNGX"],"itemData":{"id":10280,"type":"article-journal","abstract":"INTRODUCTION: Concerns about contraceptive-induced menstrual changes (CIMCs) contribute to nonuse and discontinuation of family planning (FP). Current counseling materials inadequately address these concerns. After obtaining initial feedback, we field-tested an adapted version of the NORMAL job aid that guides community health workers on how to counsel women about CIMCs. The field test aimed to help understand how the job aid was used, the challenges faced in using it, and recommendations to improve the job aid., METHODS: Sixteen community health volunteers (CHVs) from 2 subcounties in Kenya were trained on the 2-page job aid and given copies of the job aid to use with clients. Six to 8 weeks after the training, we interviewed the CHVs about their experiences using the job aid. The interviews were audio-recorded, transcribed, and analyzed to identify qualitative themes., RESULTS: All 16 CHVs reported using the job aid each time they counseled. All liked it and said they used it because it gave them new information and made counseling easier. All reported offering the job aid to most clients and that most clients accepted a copy. CHVs noted clients referred their friends and family to them after counseling using the job aid. CHVs said the job aid reduced clients' and their male partners' concerns about CIMCs and helped clients select or switch FP methods. Most CHVs did not have suggestions for improving the job aid., CONCLUSION: The job aid was highly acceptable to the CHVs who participated in this small assessment. According to the CHVs, it increased counseling effectiveness and may help increase uptake and continued use of FP methods directly through counseling or indirectly through diffusion in the community. Though further research is needed in other settings and to quantify its impact, we recommend this promising job aid be adapted for wider use. Copyright © Burke et al.","archive":"Ovid MEDLINE(R)","container-title":"Global health, science and practice","DOI":"10.9745/GHSP-D-22-00364","ISSN":"2169-575X","issue":"1","journalAbbreviation":"Glob. health sci. pract.","note":"publisher-place: United States\nBurke, Holly M. FHI 360, Durham, NC, USA. hburke@fhi360.org.\nWamburi, Alfayo. FHI 360, Nairobi, Kenya.\nRademacher, Kate H. FHI 360, Durham, NC, USA.\nWong, Christina Misa. FHI 360, Durham, NC, USA.\nWere, Eunice. Consultant, Nairobi, Kenya.\nHoppes, Emily. FHI 360, Durham, NC, USA.\nSolomon, Marsden. FHI 360, Nairobi, Kenya.","title":"A Field Test of the NORMAL Job Aid With Community Health Workers in Kenya to Address Contraceptive-Induced Menstrual Changes.","volume":"11","author":[{"family":"Burke","given":"Holly M"},{"family":"Wamburi","given":"Alfayo"},{"family":"Rademacher","given":"Kate H"},{"family":"Wong","given":"Christina Misa"},{"family":"Were","given":"Eunice"},{"family":"Hoppes","given":"Emily"},{"family":"Solomon","given":"Marsden"}],"issued":{"date-parts":[["2023"]]}}},{"id":10525,"uris":["http://zotero.org/users/6854968/items/M2Y4EPI5"],"itemData":{"id":10525,"type":"article-journal","archive_location":"WOS:000435176700237","container-title":"BMJ OPEN","DOI":"10.1136/bmjopen-2017-021467","ISSN":"2044-6055","issue":"4","title":"Ongoing training of community health workers in low-income and middle-income countries: a systematic scoping review of the literature","volume":"8","author":[{"family":"O'Donovan","given":"J"},{"family":"O'Donovan","given":"C"},{"family":"Kuhn","given":"I"},{"family":"Sachs","given":"SE"},{"family":"Winters","given":"N"}],"issued":{"date-parts":[["2018",4]]}}},{"id":10772,"uris":["http://zotero.org/users/6854968/items/7JCJQ8F8"],"itemData":{"id":10772,"type":"article-journal","archive_location":"WOS:000995272700001","container-title":"EARLY CHILD DEVELOPMENT AND CARE","DOI":"10.1080/03004430.2023.2216893","ISSN":"0300-4430","title":"Combined screening of early childhood development, hearing and vision by community health workers using mHealth tools in a low-income community","author":[{"family":"Fuchs","given":"K"},{"family":"Linde","given":"J","non-dropping-particle":"van der"},{"family":"Eccles","given":"R"},{"family":"Swanepoel","given":"D"},{"family":"Graham","given":"MA"},{"family":"Toit","given":"M","non-dropping-particle":"du"}],"issued":{"date-parts":[["2023",5,27]]}}}],"schema":"https://github.com/citation-style-language/schema/raw/master/csl-citation.json"} </w:instrText>
      </w:r>
      <w:r w:rsidRPr="00D43B65">
        <w:rPr>
          <w:rFonts w:ascii="Times New Roman" w:hAnsi="Times New Roman" w:cs="Times New Roman"/>
        </w:rPr>
        <w:fldChar w:fldCharType="separate"/>
      </w:r>
      <w:r w:rsidRPr="00D43B65">
        <w:rPr>
          <w:rFonts w:ascii="Times New Roman" w:hAnsi="Times New Roman" w:cs="Times New Roman"/>
          <w:vertAlign w:val="superscript"/>
        </w:rPr>
        <w:t>31,51,54,63,64,67,69,72,73</w:t>
      </w:r>
      <w:r w:rsidRPr="00D43B65">
        <w:rPr>
          <w:rFonts w:ascii="Times New Roman" w:hAnsi="Times New Roman" w:cs="Times New Roman"/>
        </w:rPr>
        <w:fldChar w:fldCharType="end"/>
      </w:r>
      <w:r w:rsidRPr="00D43B65">
        <w:rPr>
          <w:rFonts w:ascii="Times New Roman" w:hAnsi="Times New Roman" w:cs="Times New Roman"/>
        </w:rPr>
        <w:t xml:space="preserve"> (Additional file 3). Considering the essential criteria, all included studies clearly defined their research questions or aims and the setting within which the study was being conducted. With regards to the study design, two studies were judged to have an inappropriate study design to answer their research questions. They utilised cross-sectional surveys at only one-time points to evaluate their intervention. This led to lack of pre-intervention data or a comparison group which limited the ability of the study to measure the effect of the intervention.</w:t>
      </w:r>
      <w:r w:rsidRPr="00D43B65">
        <w:rPr>
          <w:rFonts w:ascii="Times New Roman" w:hAnsi="Times New Roman" w:cs="Times New Roman"/>
        </w:rPr>
        <w:fldChar w:fldCharType="begin"/>
      </w:r>
      <w:r w:rsidRPr="00D43B65">
        <w:rPr>
          <w:rFonts w:ascii="Times New Roman" w:hAnsi="Times New Roman" w:cs="Times New Roman"/>
        </w:rPr>
        <w:instrText xml:space="preserve"> ADDIN ZOTERO_ITEM CSL_CITATION {"citationID":"a3ucu92f8k","properties":{"formattedCitation":"\\super 69,73\\nosupersub{}","plainCitation":"69,73","noteIndex":0},"citationItems":[{"id":7581,"uris":["http://zotero.org/users/6854968/items/V64EKQVX"],"itemData":{"id":7581,"type":"article-journal","abstract":"OBJECTIVES: The global rapid growth in mobile technology provides unique opportunities to support community health workers (CHWs) in providing family planning (FP) services. FHI 360, Pathfinder International and D-tree International developed an evidence-based mobile job aid to support CHW counseling, screening, service provision and referrals, with mobile forms for client and service data, and text-message reporting and reminders. The purpose of this study is to evaluate the acceptability and potential benefits to service quality from the perspective of CHWs and their clients., STUDY DESIGN: The mobile job aid was piloted in Dar es Salaam, Tanzania. Data collection tools included a demographic survey of all 25 CHWs trained to use the mobile job aid, in-depth interviews with 20 of the CHWs after 3 months and a survey of 176 clients who received FP services from a CHW using the mobile job aid after 6 months., RESULTS: Both CHWs and their clients reported that the mobile job aid was a highly acceptable FP support tool. CHWs perceived benefits to service quality, including timelier and more convenient care; better quality of information; increased method choice; and improved privacy, confidentiality and trust with clients. Most clients discussed multiple FP methods with CHWs; only 1 in 10 clients reported discussion of all 9 methods., CONCLUSIONS: This research suggests that mobile phones can be effective tools to support CHWs with FP counseling, screening and referrals, data collection and reporting, and communication. Challenges remain to support informed contraceptive choice. Future research should focus on implementation, including scale-up and sustainability., IMPLICATIONS: Mobile job aids can uniquely enhance FP service provision at the community level through adherence to standard protocols, real-time feedback and technical assistance, and provision of confidential care. This study can inform future efforts to support and expand the role of CHWs in increasing FP access and informed contraceptive choice. Copyright © 2016 Elsevier Inc. All rights reserved.","archive":"Ovid MEDLINE(R) &lt;2016&gt;","container-title":"Contraception","DOI":"10.1016/j.contraception.2016.03.016","ISSN":"1879-0518","issue":"1","journalAbbreviation":"Contraception","note":"publisher-place: United States\nBraun, Rebecca. FHI 360, 359 Blackwell Street, Suite 200, Durham, NC 27701, USA. Electronic address: braunr@ipas.org.\nLasway, Christine. FHI 360, 359 Blackwell Street, Suite 200, Durham, NC 27701, USA.\nAgarwal, Smisha. FHI 360, 359 Blackwell Street, Suite 200, Durham, NC 27701, USA.\nL'Engle, Kelly. University of San Francisco, School of Nursing and Health Professions, 2130 Fulton Street, San Francisco, CA 94117, USA.\nLayer, Erica. D-tree International, PO, Box 31269, Dar es Salaam, Tanzania.\nSilas, Lucy. D-tree International, PO, Box 31269, Dar es Salaam, Tanzania.\nMwakibete, Anna. Pathfinder International, Chato Street, Plot No. 260, Dar es Salaam, Tanzania.\nKudrati, Mustafa. Pathfinder International, Chato Street, Plot No. 260, Dar es Salaam, Tanzania.","page":"27-33","title":"An evaluation of a family planning mobile job aid for community health workers in Tanzania.","volume":"94","author":[{"family":"Braun","given":"Rebecca"},{"family":"Lasway","given":"Christine"},{"family":"Agarwal","given":"Smisha"},{"family":"L'Engle","given":"Kelly"},{"family":"Layer","given":"Erica"},{"family":"Silas","given":"Lucy"},{"family":"Mwakibete","given":"Anna"},{"family":"Kudrati","given":"Mustafa"}],"issued":{"date-parts":[["2016"]]}}},{"id":10772,"uris":["http://zotero.org/users/6854968/items/7JCJQ8F8"],"itemData":{"id":10772,"type":"article-journal","archive_location":"WOS:000995272700001","container-title":"EARLY CHILD DEVELOPMENT AND CARE","DOI":"10.1080/03004430.2023.2216893","ISSN":"0300-4430","title":"Combined screening of early childhood development, hearing and vision by community health workers using mHealth tools in a low-income community","author":[{"family":"Fuchs","given":"K"},{"family":"Linde","given":"J","non-dropping-particle":"van der"},{"family":"Eccles","given":"R"},{"family":"Swanepoel","given":"D"},{"family":"Graham","given":"MA"},{"family":"Toit","given":"M","non-dropping-particle":"du"}],"issued":{"date-parts":[["2023",5,27]]}}}],"schema":"https://github.com/citation-style-language/schema/raw/master/csl-citation.json"} </w:instrText>
      </w:r>
      <w:r w:rsidRPr="00D43B65">
        <w:rPr>
          <w:rFonts w:ascii="Times New Roman" w:hAnsi="Times New Roman" w:cs="Times New Roman"/>
        </w:rPr>
        <w:fldChar w:fldCharType="separate"/>
      </w:r>
      <w:r w:rsidRPr="00D43B65">
        <w:rPr>
          <w:rFonts w:ascii="Times New Roman" w:hAnsi="Times New Roman" w:cs="Times New Roman"/>
          <w:vertAlign w:val="superscript"/>
        </w:rPr>
        <w:t>69,73</w:t>
      </w:r>
      <w:r w:rsidRPr="00D43B65">
        <w:rPr>
          <w:rFonts w:ascii="Times New Roman" w:hAnsi="Times New Roman" w:cs="Times New Roman"/>
        </w:rPr>
        <w:fldChar w:fldCharType="end"/>
      </w:r>
      <w:r w:rsidRPr="00D43B65">
        <w:rPr>
          <w:rFonts w:ascii="Times New Roman" w:hAnsi="Times New Roman" w:cs="Times New Roman"/>
        </w:rPr>
        <w:t xml:space="preserve"> Data collection processes were adequately described in all studies and included the use of structured questionnaires, interview guides and program data. </w:t>
      </w:r>
    </w:p>
    <w:p w14:paraId="6477F310" w14:textId="77777777" w:rsidR="00193DE0" w:rsidRPr="00D43B65" w:rsidRDefault="00193DE0" w:rsidP="00193DE0">
      <w:pPr>
        <w:jc w:val="both"/>
        <w:rPr>
          <w:rFonts w:ascii="Times New Roman" w:hAnsi="Times New Roman" w:cs="Times New Roman"/>
        </w:rPr>
      </w:pPr>
      <w:r w:rsidRPr="00D43B65">
        <w:rPr>
          <w:rFonts w:ascii="Times New Roman" w:hAnsi="Times New Roman" w:cs="Times New Roman"/>
        </w:rPr>
        <w:t>While most studies employed appropriate sampling methods, two studies lacked adequate justification for their sample size,</w:t>
      </w:r>
      <w:r w:rsidRPr="00D43B65">
        <w:rPr>
          <w:rFonts w:ascii="Times New Roman" w:hAnsi="Times New Roman" w:cs="Times New Roman"/>
        </w:rPr>
        <w:fldChar w:fldCharType="begin"/>
      </w:r>
      <w:r w:rsidRPr="00D43B65">
        <w:rPr>
          <w:rFonts w:ascii="Times New Roman" w:hAnsi="Times New Roman" w:cs="Times New Roman"/>
        </w:rPr>
        <w:instrText xml:space="preserve"> ADDIN ZOTERO_ITEM CSL_CITATION {"citationID":"a129bansg9l","properties":{"formattedCitation":"\\super 54,72\\nosupersub{}","plainCitation":"54,72","noteIndex":0},"citationItems":[{"id":8987,"uris":["http://zotero.org/users/6854968/items/F7PDBRE7"],"itemData":{"id":8987,"type":"article-journal","abstract":"Supportive supervision is an important element of community health worker (CHW) programmes and is believed to improve CHW motivation and performance. A group supervision intervention, which included training and mentorship of supervisors, was implemented in Ethiopia, Kenya, Malawi and Mozambique. In three of the countries, this was combined with individual and/or peer supervision. A mixed-methods implementation study was conducted to assess the effect of the supervision intervention on CHWs' perceptions of supervision and CHW motivation-related outcomes. In total, 153 in-depth interviews were conducted with CHWs, their supervisors and managers. In addition, questionnaires assessing perceived supervision and motivation-related outcomes (organizational and community commitment, job satisfaction and conscientiousness) were administered to a total of 278 CHWs pre- and post-intervention, and again after 1 year. Interview transcripts were thematically analysed using a coding framework. Changes in perceived supervision and motivation-related outcomes were assessed using Friedman's ANOVA and post hoc Wilcoxon signed-rank tests. Interview participants reported that the supervision intervention improved CHW motivation. In contrast, the quantitative survey found no significant changes for measures of perceived supervision and inconsistent changes in motivation-related outcomes. With regard to the process of supervision, the problem-solving focus, the sense of joint responsibilities and team work, cross-learning and skill sharing, as well as the facilitating and coaching role of the supervisor, were valued. The empowerment and participation of supervisees in decision making also emerged in the analysis, albeit to a lesser extent. Although qualitative and quantitative findings differed, which could be related to the slightly different focus of methods used and a 'ceiling effect' limiting the detection of observable differences from the survey, the study suggests that there is potential for integrating supportive group supervision models in CHW programmes. A combination of group with individual or peer supervision, preferably accompanied with methods that assess CHW performance and corresponding feedback systems, could yield improved motivation and performance.","archive":"Ovid MEDLINE(R) &lt;2018&gt;","container-title":"Health policy and planning","DOI":"10.1093/heapol/czy082","ISSN":"1460-2237","issue":"9","journalAbbreviation":"Health Policy Plan","note":"publisher-place: England\nKok, Maryse C. KIT Health, Royal Tropical Institute, HA Amsterdam, The Netherlands.\nVallieres, Frederique. Centre for Global Health, School of Psychology, Trinity College, 709 Leinster Street South, Dublin 2, Ireland.\nTulloch, Olivia. Options Consultancy Services, 3 Lower Thames Street, London, UK.\nKumar, Meghan B. Department of International Public Health, Liverpool School of Tropical Medicine, Pembroke Place, Liverpool, UK.\nKea, Aschenaki Z. Reach Ethiopia, Hawassa, Ethiopia.\nKaruga, Robinson. Research and Strategic Information Department, LVCT Health, Nairobi, Kenya.\nNdima, Sozinho D. Department of Community Health, University Eduardo Mondlane, Maputo, Mozambique.\nChikaphupha, Kingsley. Reach Trust, Lilongwe, Malawi.\nTheobald, Sally. Options Consultancy Services, 3 Lower Thames Street, London, UK.\nTaegtmeyer, Miriam. Options Consultancy Services, 3 Lower Thames Street, London, UK.","page":"988-998","title":"Does supportive supervision enhance community health worker motivation? A mixed-methods study in four African countries.","volume":"33","author":[{"family":"Kok","given":"Maryse C"},{"family":"Vallieres","given":"Frederique"},{"family":"Tulloch","given":"Olivia"},{"family":"Kumar","given":"Meghan B"},{"family":"Kea","given":"Aschenaki Z"},{"family":"Karuga","given":"Robinson"},{"family":"Ndima","given":"Sozinho D"},{"family":"Chikaphupha","given":"Kingsley"},{"family":"Theobald","given":"Sally"},{"family":"Taegtmeyer","given":"Miriam"}],"issued":{"date-parts":[["2018"]]}}},{"id":10525,"uris":["http://zotero.org/users/6854968/items/M2Y4EPI5"],"itemData":{"id":10525,"type":"article-journal","archive_location":"WOS:000435176700237","container-title":"BMJ OPEN","DOI":"10.1136/bmjopen-2017-021467","ISSN":"2044-6055","issue":"4","title":"Ongoing training of community health workers in low-income and middle-income countries: a systematic scoping review of the literature","volume":"8","author":[{"family":"O'Donovan","given":"J"},{"family":"O'Donovan","given":"C"},{"family":"Kuhn","given":"I"},{"family":"Sachs","given":"SE"},{"family":"Winters","given":"N"}],"issued":{"date-parts":[["2018",4]]}}}],"schema":"https://github.com/citation-style-language/schema/raw/master/csl-citation.json"} </w:instrText>
      </w:r>
      <w:r w:rsidRPr="00D43B65">
        <w:rPr>
          <w:rFonts w:ascii="Times New Roman" w:hAnsi="Times New Roman" w:cs="Times New Roman"/>
        </w:rPr>
        <w:fldChar w:fldCharType="separate"/>
      </w:r>
      <w:r w:rsidRPr="00D43B65">
        <w:rPr>
          <w:rFonts w:ascii="Times New Roman" w:hAnsi="Times New Roman" w:cs="Times New Roman"/>
          <w:vertAlign w:val="superscript"/>
        </w:rPr>
        <w:t>54,72</w:t>
      </w:r>
      <w:r w:rsidRPr="00D43B65">
        <w:rPr>
          <w:rFonts w:ascii="Times New Roman" w:hAnsi="Times New Roman" w:cs="Times New Roman"/>
        </w:rPr>
        <w:fldChar w:fldCharType="end"/>
      </w:r>
      <w:r w:rsidRPr="00D43B65">
        <w:rPr>
          <w:rFonts w:ascii="Times New Roman" w:hAnsi="Times New Roman" w:cs="Times New Roman"/>
        </w:rPr>
        <w:t xml:space="preserve"> and five others might have introduced bias through their final samples or sampling techniques.</w:t>
      </w:r>
      <w:r w:rsidRPr="00D43B65">
        <w:rPr>
          <w:rFonts w:ascii="Times New Roman" w:hAnsi="Times New Roman" w:cs="Times New Roman"/>
        </w:rPr>
        <w:fldChar w:fldCharType="begin"/>
      </w:r>
      <w:r w:rsidRPr="00D43B65">
        <w:rPr>
          <w:rFonts w:ascii="Times New Roman" w:hAnsi="Times New Roman" w:cs="Times New Roman"/>
        </w:rPr>
        <w:instrText xml:space="preserve"> ADDIN ZOTERO_ITEM CSL_CITATION {"citationID":"a26ji83iqbd","properties":{"formattedCitation":"\\super 31,63,64,67,73\\nosupersub{}","plainCitation":"31,63,64,67,73","noteIndex":0},"citationItems":[{"id":9477,"uris":["http://zotero.org/users/6854968/items/2MJWQGWC"],"itemData":{"id":9477,"type":"article-journal","abstract":"BACKGROUND: Community Health Volunteers (CHVs) can be effective in improving pregnancy and newborn outcomes through community education. Inadequate supervision of CHVs, whether due to poor planning, irregular visits, or ineffective supervisory methods, is, however, recognized as a weakness in many programs. There has been little research on best practice supervisory or accompaniment models., METHODS: From March 2014 to February 2015 a proof of concept study was conducted to compare training alone versus training and supportive supervision by paid CHWs (n = 4) on the effectiveness of CHVs (n = 82) to deliver education about pregnancy, newborn care, family planning and hygiene. The pair-matched cluster randomized trial was conducted in eight villages (four intervention and four control) in Budondo sub-county in Jinja, Uganda., RESULTS: Increases in desired behaviors were seen in both the intervention and control arms over the study period. Both arms showed high retention rates of CHVs (95 %). At 1 year follow-up there was a significantly higher prevalence of installed and functioning tippy taps for hand washing (p &lt; 0.002) in the intervention villages (47 %) than control villages (35 %). All outcome and process measures related to home-visits to homes with pregnant women and newborn babies favored the intervention villages. The CHVs in both groups implemented what they learnt and were role models in the community., CONCLUSIONS: A team of CHVs and CHWs can facilitate families accessing reproductive health care by addressing cultural norms and scientific misconceptions. Having a team of 2 CHWs to 40 CHVs enables close to community access to information, conversation and services. Supportive supervision involves creating a non-threatening, empowering environment in which both the CHV and the supervising CHW learn together and overcome obstacles that might otherwise demotivate the CHV. While the results seem promising for added value with supportive supervision for CHVs undertaking reproductive health activities, further research on a larger scale will be needed to substantiate the effect.","archive":"Ovid MEDLINE(R) &lt;2016&gt;","container-title":"Reproductive health","ISSN":"1742-4755","issue":"1","journalAbbreviation":"Reprod Health","note":"publisher-place: England\nSingh, Debra. Kimanya-Ngeyo Foundation for Science and Education, PO Box 1600, Jinja, Uganda. ahderom@gmail.com.\nNegin, Joel. University of Sydney, School of Public Health, Sydney, Australia.\nOrach, Christopher Garimoi. Makerere College of Health Sciences, School of Public Health, Kampala, Uganda.\nCumming, Robert. University of Sydney, School of Public Health, Sydney, Australia.","page":"126","title":"Supportive supervision for volunteers to deliver reproductive health education: a cluster randomized trial.","volume":"13","author":[{"family":"Singh","given":"Debra"},{"family":"Negin","given":"Joel"},{"family":"Orach","given":"Christopher Garimoi"},{"family":"Cumming","given":"Robert"}],"issued":{"date-parts":[["2016"]]}}},{"id":9974,"uris":["http://zotero.org/users/6854968/items/W28DDHXC"],"itemData":{"id":9974,"type":"article-journal","abstract":"OBJECTIVE: To determine whether a simple monitoring and tracking tool, Mwanzo Mwema Monitoring and Tracking Tool (MMATT), would enable community health volunteers (CHVs) in Kenya to 1) plan their workloads and activities, 2) identify the women, newborns and children most in need of accessing critical maternal, newborn and child health (MNCH) interventions and 3) improve key MNCH indicators., METHODS: A mixed methods approach was used. Household surveys at baseline (n = 912) and endline (n = 1143) collected data on key MNCH indicators in the four subcounties of Taita Taveta County, Kenya. Eight focus group discussions were held with 40 CHVs to ascertain their perspectives on using the tool., RESULTS: Qualitative findings revealed that the CHVs found the MMATT to be useful in planning their activities and prioritizing beneficiaries requiring more support to access MNCH services. They also identified potential barriers to care at both the community and health system levels. At endline, previously pregnant women were more likely to have received four or more antenatal care visits, facility delivery, postnatal care within two weeks of delivery and a complete package of care than baseline respondents. Among women with children under 24 months, those at endline were more likely to report early breastfeeding and exclusive breastfeeding for the first six months. These results remained after adjustment for age, subcounty, gravida, mother's education and asset index., CONCLUSION: Our results demonstrate that simple tools enable CHVs to identify disparities in service delivery and health outcomes, and to identify barriers to MNCH care. Tools that enhance CHVs' ability to plan and prioritize the women and children most in need increase CHVs' potential impact.","archive":"Ovid MEDLINE(R) &lt;2017&gt;","container-title":"Canadian journal of public health = Revue canadienne de sante publique","DOI":"10.17269/cjph.108.5578","ISSN":"1920-7476","issue":"4","journalAbbreviation":"Can J Public Health","note":"publisher-place: Switzerland\nAvery, Lisa S. Centre for Global Public Health, Department of Community Health Sciences, University of Manitoba, Winnipeg, MB; Department of Obstetrics, Gynecology and Reproductive Sciences, University of Manitoba, Winnipeg, MB; Department of Medical Microbiology and Infectious Diseases, University of Manitoba, Winnipeg, MB. lisa.avery@umanitoba.ca.","page":"e427-e434","title":"Enhancing the capacity and effectiveness of community health volunteers to improve maternal, newborn and child health: Experience from Kenya.","volume":"108","author":[{"family":"Avery","given":"Lisa S"},{"family":"Du Plessis","given":"Elsabe"},{"family":"Shaw","given":"Souradet Y"},{"family":"Sankaran","given":"Deepa"},{"family":"Njoroge","given":"Peter"},{"family":"Kayima","given":"Ruth"},{"family":"Makau","given":"Naomi"},{"family":"Munga","given":"James"},{"family":"Kadzo","given":"Maureen"},{"family":"Blanchard","given":"James"},{"family":"Crockett","given":"Maryanne"}],"issued":{"date-parts":[["2017"]]}}},{"id":10280,"uris":["http://zotero.org/users/6854968/items/H6R7YNGX"],"itemData":{"id":10280,"type":"article-journal","abstract":"INTRODUCTION: Concerns about contraceptive-induced menstrual changes (CIMCs) contribute to nonuse and discontinuation of family planning (FP). Current counseling materials inadequately address these concerns. After obtaining initial feedback, we field-tested an adapted version of the NORMAL job aid that guides community health workers on how to counsel women about CIMCs. The field test aimed to help understand how the job aid was used, the challenges faced in using it, and recommendations to improve the job aid., METHODS: Sixteen community health volunteers (CHVs) from 2 subcounties in Kenya were trained on the 2-page job aid and given copies of the job aid to use with clients. Six to 8 weeks after the training, we interviewed the CHVs about their experiences using the job aid. The interviews were audio-recorded, transcribed, and analyzed to identify qualitative themes., RESULTS: All 16 CHVs reported using the job aid each time they counseled. All liked it and said they used it because it gave them new information and made counseling easier. All reported offering the job aid to most clients and that most clients accepted a copy. CHVs noted clients referred their friends and family to them after counseling using the job aid. CHVs said the job aid reduced clients' and their male partners' concerns about CIMCs and helped clients select or switch FP methods. Most CHVs did not have suggestions for improving the job aid., CONCLUSION: The job aid was highly acceptable to the CHVs who participated in this small assessment. According to the CHVs, it increased counseling effectiveness and may help increase uptake and continued use of FP methods directly through counseling or indirectly through diffusion in the community. Though further research is needed in other settings and to quantify its impact, we recommend this promising job aid be adapted for wider use. Copyright © Burke et al.","archive":"Ovid MEDLINE(R)","container-title":"Global health, science and practice","DOI":"10.9745/GHSP-D-22-00364","ISSN":"2169-575X","issue":"1","journalAbbreviation":"Glob. health sci. pract.","note":"publisher-place: United States\nBurke, Holly M. FHI 360, Durham, NC, USA. hburke@fhi360.org.\nWamburi, Alfayo. FHI 360, Nairobi, Kenya.\nRademacher, Kate H. FHI 360, Durham, NC, USA.\nWong, Christina Misa. FHI 360, Durham, NC, USA.\nWere, Eunice. Consultant, Nairobi, Kenya.\nHoppes, Emily. FHI 360, Durham, NC, USA.\nSolomon, Marsden. FHI 360, Nairobi, Kenya.","title":"A Field Test of the NORMAL Job Aid With Community Health Workers in Kenya to Address Contraceptive-Induced Menstrual Changes.","volume":"11","author":[{"family":"Burke","given":"Holly M"},{"family":"Wamburi","given":"Alfayo"},{"family":"Rademacher","given":"Kate H"},{"family":"Wong","given":"Christina Misa"},{"family":"Were","given":"Eunice"},{"family":"Hoppes","given":"Emily"},{"family":"Solomon","given":"Marsden"}],"issued":{"date-parts":[["2023"]]}}},{"id":8365,"uris":["http://zotero.org/users/6854968/items/N9B8YPZX"],"itemData":{"id":8365,"type":"article-journal","abstract":"BACKGROUND: Community health workers (CHWs) are up-front health workers delivering the most effective life-saving health services to communities. They are the key driver to achieve Universal Health Coverage. However, maintaining CHWs' performance is one of the challenges in sustaining their effectiveness. This article assessed the effectiveness of the four interventions and their combinations on the CHWs' performance in terms of health knowledge, job satisfaction, and household coverage., METHODS: We used the longitudinal survey data collected in western Kenya. Our study participants were the representative of all CHWs working in the four districts, Kenya. The four types of interventions were composed of a basic core intervention (i.e., refresher training with/without defaulter tracing) and three supplementary interventions (i.e., provision of a bicycle, frequent supportive supervision, and financial incentives). We performed the three fixed-effect models to assess the effectiveness of the four interventions and their combinations on the three performance indicators., RESULTS: Three single and combination interventions significantly increased CHWs' health knowledge: refresher training only [Coef.: 48.43, 95% CI: 42.09-54.76, P &lt; 0.001]; refresher training plus defaulter-tracing [Coef.: 38.80, 95% CI: 32.71-44.90, P &lt; 0.001]; combination of refresher training plus defaulter-tracing and frequent supervision [Coef.: 17.02, 95% CI: 7.90-26.15, P &lt; 0.001]. Financial support was the only intervention that significantly increased job satisfaction among CHWs [Coef.: 4.97, 95% CI: 0.20-9.75, P = 0.041]. There was no single intervention that significantly increased household coverage. Yet, the combinations of the interventions significantly increased household coverage., CONCLUSIONS: There was no single intervention to improve all the aspects of CHWs' performance. The refresher training significantly improved their health knowledge, while financial incentive enhanced the level of their job satisfaction. The combinations of regular refresher training and other intervention(s) are the recommended as the effective interventions in improving and further sustaining CHWs' performance.","archive":"Ovid MEDLINE(R) &lt;2022&gt;","container-title":"Primary health care research &amp; development","DOI":"10.1017/S1463423622000135","ISSN":"1477-1128","issue":"100897390","journalAbbreviation":"Prim Health Care Res Dev","note":"publisher-place: England\nKawakatsu, Yoshito. Department of Global Health, University of Washington, USA.\nKawakatsu, Yoshito. Graduate School of Biomedical Sciences, Nagasaki University, Nagasaki, Japan.\nSugishita, Tomohiko. School of Medicine, Tokyo Women's Medical University, Japan.\nAiga, Hirotsugu. Department of Global Health, School of Medicine and Health Sciences, The George Washington University, Washington, DC, USA.\nAiga, Hirotsugu. School of Tropical Medicine and Global Health, Nagasaki University, Nagasaki, Japan.\nOruenjo, Kennedy. Ministry of Health, Siaya, Kenya.\nWakhule, Steve. Ministry of Health, Siaya, Kenya.\nHonda, Sumihisa. Graduate School of Biomedical Sciences, Nagasaki University, Nagasaki, Japan.","page":"e20","title":"Effectiveness of four interventions in improving community health workers' performance in western Kenya: a quasi-experimental difference-in-differences study using a longitudinal data.","volume":"23","author":[{"family":"Kawakatsu","given":"Yoshito"},{"family":"Sugishita","given":"Tomohiko"},{"family":"Aiga","given":"Hirotsugu"},{"family":"Oruenjo","given":"Kennedy"},{"family":"Wakhule","given":"Steve"},{"family":"Honda","given":"Sumihisa"}],"issued":{"date-parts":[["2022"]]}}},{"id":10772,"uris":["http://zotero.org/users/6854968/items/7JCJQ8F8"],"itemData":{"id":10772,"type":"article-journal","archive_location":"WOS:000995272700001","container-title":"EARLY CHILD DEVELOPMENT AND CARE","DOI":"10.1080/03004430.2023.2216893","ISSN":"0300-4430","title":"Combined screening of early childhood development, hearing and vision by community health workers using mHealth tools in a low-income community","author":[{"family":"Fuchs","given":"K"},{"family":"Linde","given":"J","non-dropping-particle":"van der"},{"family":"Eccles","given":"R"},{"family":"Swanepoel","given":"D"},{"family":"Graham","given":"MA"},{"family":"Toit","given":"M","non-dropping-particle":"du"}],"issued":{"date-parts":[["2023",5,27]]}}}],"schema":"https://github.com/citation-style-language/schema/raw/master/csl-citation.json"} </w:instrText>
      </w:r>
      <w:r w:rsidRPr="00D43B65">
        <w:rPr>
          <w:rFonts w:ascii="Times New Roman" w:hAnsi="Times New Roman" w:cs="Times New Roman"/>
        </w:rPr>
        <w:fldChar w:fldCharType="separate"/>
      </w:r>
      <w:r w:rsidRPr="00D43B65">
        <w:rPr>
          <w:rFonts w:ascii="Times New Roman" w:hAnsi="Times New Roman" w:cs="Times New Roman"/>
          <w:vertAlign w:val="superscript"/>
        </w:rPr>
        <w:t>31,63,64,67,73</w:t>
      </w:r>
      <w:r w:rsidRPr="00D43B65">
        <w:rPr>
          <w:rFonts w:ascii="Times New Roman" w:hAnsi="Times New Roman" w:cs="Times New Roman"/>
        </w:rPr>
        <w:fldChar w:fldCharType="end"/>
      </w:r>
      <w:r w:rsidRPr="00D43B65">
        <w:rPr>
          <w:rFonts w:ascii="Times New Roman" w:hAnsi="Times New Roman" w:cs="Times New Roman"/>
        </w:rPr>
        <w:t xml:space="preserve"> In one study, high attrition between baseline and end-line surveys </w:t>
      </w:r>
      <w:r w:rsidRPr="00D43B65">
        <w:rPr>
          <w:rFonts w:ascii="Times New Roman" w:hAnsi="Times New Roman" w:cs="Times New Roman"/>
        </w:rPr>
        <w:lastRenderedPageBreak/>
        <w:t>(1,290 CHWs reduced to 463 CHWs) may have introduced bias.</w:t>
      </w:r>
      <w:r w:rsidRPr="00D43B65">
        <w:rPr>
          <w:rFonts w:ascii="Times New Roman" w:hAnsi="Times New Roman" w:cs="Times New Roman"/>
        </w:rPr>
        <w:fldChar w:fldCharType="begin"/>
      </w:r>
      <w:r w:rsidRPr="00D43B65">
        <w:rPr>
          <w:rFonts w:ascii="Times New Roman" w:hAnsi="Times New Roman" w:cs="Times New Roman"/>
        </w:rPr>
        <w:instrText xml:space="preserve"> ADDIN ZOTERO_ITEM CSL_CITATION {"citationID":"owD3PAWr","properties":{"formattedCitation":"\\super 67\\nosupersub{}","plainCitation":"67","noteIndex":0},"citationItems":[{"id":8365,"uris":["http://zotero.org/users/6854968/items/N9B8YPZX"],"itemData":{"id":8365,"type":"article-journal","abstract":"BACKGROUND: Community health workers (CHWs) are up-front health workers delivering the most effective life-saving health services to communities. They are the key driver to achieve Universal Health Coverage. However, maintaining CHWs' performance is one of the challenges in sustaining their effectiveness. This article assessed the effectiveness of the four interventions and their combinations on the CHWs' performance in terms of health knowledge, job satisfaction, and household coverage., METHODS: We used the longitudinal survey data collected in western Kenya. Our study participants were the representative of all CHWs working in the four districts, Kenya. The four types of interventions were composed of a basic core intervention (i.e., refresher training with/without defaulter tracing) and three supplementary interventions (i.e., provision of a bicycle, frequent supportive supervision, and financial incentives). We performed the three fixed-effect models to assess the effectiveness of the four interventions and their combinations on the three performance indicators., RESULTS: Three single and combination interventions significantly increased CHWs' health knowledge: refresher training only [Coef.: 48.43, 95% CI: 42.09-54.76, P &lt; 0.001]; refresher training plus defaulter-tracing [Coef.: 38.80, 95% CI: 32.71-44.90, P &lt; 0.001]; combination of refresher training plus defaulter-tracing and frequent supervision [Coef.: 17.02, 95% CI: 7.90-26.15, P &lt; 0.001]. Financial support was the only intervention that significantly increased job satisfaction among CHWs [Coef.: 4.97, 95% CI: 0.20-9.75, P = 0.041]. There was no single intervention that significantly increased household coverage. Yet, the combinations of the interventions significantly increased household coverage., CONCLUSIONS: There was no single intervention to improve all the aspects of CHWs' performance. The refresher training significantly improved their health knowledge, while financial incentive enhanced the level of their job satisfaction. The combinations of regular refresher training and other intervention(s) are the recommended as the effective interventions in improving and further sustaining CHWs' performance.","archive":"Ovid MEDLINE(R) &lt;2022&gt;","container-title":"Primary health care research &amp; development","DOI":"10.1017/S1463423622000135","ISSN":"1477-1128","issue":"100897390","journalAbbreviation":"Prim Health Care Res Dev","note":"publisher-place: England\nKawakatsu, Yoshito. Department of Global Health, University of Washington, USA.\nKawakatsu, Yoshito. Graduate School of Biomedical Sciences, Nagasaki University, Nagasaki, Japan.\nSugishita, Tomohiko. School of Medicine, Tokyo Women's Medical University, Japan.\nAiga, Hirotsugu. Department of Global Health, School of Medicine and Health Sciences, The George Washington University, Washington, DC, USA.\nAiga, Hirotsugu. School of Tropical Medicine and Global Health, Nagasaki University, Nagasaki, Japan.\nOruenjo, Kennedy. Ministry of Health, Siaya, Kenya.\nWakhule, Steve. Ministry of Health, Siaya, Kenya.\nHonda, Sumihisa. Graduate School of Biomedical Sciences, Nagasaki University, Nagasaki, Japan.","page":"e20","title":"Effectiveness of four interventions in improving community health workers' performance in western Kenya: a quasi-experimental difference-in-differences study using a longitudinal data.","volume":"23","author":[{"family":"Kawakatsu","given":"Yoshito"},{"family":"Sugishita","given":"Tomohiko"},{"family":"Aiga","given":"Hirotsugu"},{"family":"Oruenjo","given":"Kennedy"},{"family":"Wakhule","given":"Steve"},{"family":"Honda","given":"Sumihisa"}],"issued":{"date-parts":[["2022"]]}}}],"schema":"https://github.com/citation-style-language/schema/raw/master/csl-citation.json"} </w:instrText>
      </w:r>
      <w:r w:rsidRPr="00D43B65">
        <w:rPr>
          <w:rFonts w:ascii="Times New Roman" w:hAnsi="Times New Roman" w:cs="Times New Roman"/>
        </w:rPr>
        <w:fldChar w:fldCharType="separate"/>
      </w:r>
      <w:r w:rsidRPr="00D43B65">
        <w:rPr>
          <w:rFonts w:ascii="Times New Roman" w:hAnsi="Times New Roman" w:cs="Times New Roman"/>
          <w:vertAlign w:val="superscript"/>
        </w:rPr>
        <w:t>67</w:t>
      </w:r>
      <w:r w:rsidRPr="00D43B65">
        <w:rPr>
          <w:rFonts w:ascii="Times New Roman" w:hAnsi="Times New Roman" w:cs="Times New Roman"/>
        </w:rPr>
        <w:fldChar w:fldCharType="end"/>
      </w:r>
      <w:r w:rsidRPr="00D43B65">
        <w:rPr>
          <w:rFonts w:ascii="Times New Roman" w:hAnsi="Times New Roman" w:cs="Times New Roman"/>
        </w:rPr>
        <w:t xml:space="preserve"> In Avery et al, the project staff purposively selected study participants which leaves room for the possibility of selecting individuals who would provide favourable feedback to the project.</w:t>
      </w:r>
      <w:r w:rsidRPr="00D43B65">
        <w:rPr>
          <w:rFonts w:ascii="Times New Roman" w:hAnsi="Times New Roman" w:cs="Times New Roman"/>
        </w:rPr>
        <w:fldChar w:fldCharType="begin"/>
      </w:r>
      <w:r w:rsidRPr="00D43B65">
        <w:rPr>
          <w:rFonts w:ascii="Times New Roman" w:hAnsi="Times New Roman" w:cs="Times New Roman"/>
        </w:rPr>
        <w:instrText xml:space="preserve"> ADDIN ZOTERO_ITEM CSL_CITATION {"citationID":"TjMbDns4","properties":{"formattedCitation":"\\super 63\\nosupersub{}","plainCitation":"63","noteIndex":0},"citationItems":[{"id":9974,"uris":["http://zotero.org/users/6854968/items/W28DDHXC"],"itemData":{"id":9974,"type":"article-journal","abstract":"OBJECTIVE: To determine whether a simple monitoring and tracking tool, Mwanzo Mwema Monitoring and Tracking Tool (MMATT), would enable community health volunteers (CHVs) in Kenya to 1) plan their workloads and activities, 2) identify the women, newborns and children most in need of accessing critical maternal, newborn and child health (MNCH) interventions and 3) improve key MNCH indicators., METHODS: A mixed methods approach was used. Household surveys at baseline (n = 912) and endline (n = 1143) collected data on key MNCH indicators in the four subcounties of Taita Taveta County, Kenya. Eight focus group discussions were held with 40 CHVs to ascertain their perspectives on using the tool., RESULTS: Qualitative findings revealed that the CHVs found the MMATT to be useful in planning their activities and prioritizing beneficiaries requiring more support to access MNCH services. They also identified potential barriers to care at both the community and health system levels. At endline, previously pregnant women were more likely to have received four or more antenatal care visits, facility delivery, postnatal care within two weeks of delivery and a complete package of care than baseline respondents. Among women with children under 24 months, those at endline were more likely to report early breastfeeding and exclusive breastfeeding for the first six months. These results remained after adjustment for age, subcounty, gravida, mother's education and asset index., CONCLUSION: Our results demonstrate that simple tools enable CHVs to identify disparities in service delivery and health outcomes, and to identify barriers to MNCH care. Tools that enhance CHVs' ability to plan and prioritize the women and children most in need increase CHVs' potential impact.","archive":"Ovid MEDLINE(R) &lt;2017&gt;","container-title":"Canadian journal of public health = Revue canadienne de sante publique","DOI":"10.17269/cjph.108.5578","ISSN":"1920-7476","issue":"4","journalAbbreviation":"Can J Public Health","note":"publisher-place: Switzerland\nAvery, Lisa S. Centre for Global Public Health, Department of Community Health Sciences, University of Manitoba, Winnipeg, MB; Department of Obstetrics, Gynecology and Reproductive Sciences, University of Manitoba, Winnipeg, MB; Department of Medical Microbiology and Infectious Diseases, University of Manitoba, Winnipeg, MB. lisa.avery@umanitoba.ca.","page":"e427-e434","title":"Enhancing the capacity and effectiveness of community health volunteers to improve maternal, newborn and child health: Experience from Kenya.","volume":"108","author":[{"family":"Avery","given":"Lisa S"},{"family":"Du Plessis","given":"Elsabe"},{"family":"Shaw","given":"Souradet Y"},{"family":"Sankaran","given":"Deepa"},{"family":"Njoroge","given":"Peter"},{"family":"Kayima","given":"Ruth"},{"family":"Makau","given":"Naomi"},{"family":"Munga","given":"James"},{"family":"Kadzo","given":"Maureen"},{"family":"Blanchard","given":"James"},{"family":"Crockett","given":"Maryanne"}],"issued":{"date-parts":[["2017"]]}}}],"schema":"https://github.com/citation-style-language/schema/raw/master/csl-citation.json"} </w:instrText>
      </w:r>
      <w:r w:rsidRPr="00D43B65">
        <w:rPr>
          <w:rFonts w:ascii="Times New Roman" w:hAnsi="Times New Roman" w:cs="Times New Roman"/>
        </w:rPr>
        <w:fldChar w:fldCharType="separate"/>
      </w:r>
      <w:r w:rsidRPr="00D43B65">
        <w:rPr>
          <w:rFonts w:ascii="Times New Roman" w:hAnsi="Times New Roman" w:cs="Times New Roman"/>
          <w:vertAlign w:val="superscript"/>
        </w:rPr>
        <w:t>63</w:t>
      </w:r>
      <w:r w:rsidRPr="00D43B65">
        <w:rPr>
          <w:rFonts w:ascii="Times New Roman" w:hAnsi="Times New Roman" w:cs="Times New Roman"/>
        </w:rPr>
        <w:fldChar w:fldCharType="end"/>
      </w:r>
      <w:r w:rsidRPr="00D43B65">
        <w:rPr>
          <w:rFonts w:ascii="Times New Roman" w:hAnsi="Times New Roman" w:cs="Times New Roman"/>
        </w:rPr>
        <w:t xml:space="preserve"> In another study, their small sample size resulted in a low statistical power.</w:t>
      </w:r>
      <w:r w:rsidRPr="00D43B65">
        <w:rPr>
          <w:rFonts w:ascii="Times New Roman" w:hAnsi="Times New Roman" w:cs="Times New Roman"/>
        </w:rPr>
        <w:fldChar w:fldCharType="begin"/>
      </w:r>
      <w:r w:rsidRPr="00D43B65">
        <w:rPr>
          <w:rFonts w:ascii="Times New Roman" w:hAnsi="Times New Roman" w:cs="Times New Roman"/>
        </w:rPr>
        <w:instrText xml:space="preserve"> ADDIN ZOTERO_ITEM CSL_CITATION {"citationID":"0vBehsIo","properties":{"formattedCitation":"\\super 31\\nosupersub{}","plainCitation":"31","noteIndex":0},"citationItems":[{"id":9477,"uris":["http://zotero.org/users/6854968/items/2MJWQGWC"],"itemData":{"id":9477,"type":"article-journal","abstract":"BACKGROUND: Community Health Volunteers (CHVs) can be effective in improving pregnancy and newborn outcomes through community education. Inadequate supervision of CHVs, whether due to poor planning, irregular visits, or ineffective supervisory methods, is, however, recognized as a weakness in many programs. There has been little research on best practice supervisory or accompaniment models., METHODS: From March 2014 to February 2015 a proof of concept study was conducted to compare training alone versus training and supportive supervision by paid CHWs (n = 4) on the effectiveness of CHVs (n = 82) to deliver education about pregnancy, newborn care, family planning and hygiene. The pair-matched cluster randomized trial was conducted in eight villages (four intervention and four control) in Budondo sub-county in Jinja, Uganda., RESULTS: Increases in desired behaviors were seen in both the intervention and control arms over the study period. Both arms showed high retention rates of CHVs (95 %). At 1 year follow-up there was a significantly higher prevalence of installed and functioning tippy taps for hand washing (p &lt; 0.002) in the intervention villages (47 %) than control villages (35 %). All outcome and process measures related to home-visits to homes with pregnant women and newborn babies favored the intervention villages. The CHVs in both groups implemented what they learnt and were role models in the community., CONCLUSIONS: A team of CHVs and CHWs can facilitate families accessing reproductive health care by addressing cultural norms and scientific misconceptions. Having a team of 2 CHWs to 40 CHVs enables close to community access to information, conversation and services. Supportive supervision involves creating a non-threatening, empowering environment in which both the CHV and the supervising CHW learn together and overcome obstacles that might otherwise demotivate the CHV. While the results seem promising for added value with supportive supervision for CHVs undertaking reproductive health activities, further research on a larger scale will be needed to substantiate the effect.","archive":"Ovid MEDLINE(R) &lt;2016&gt;","container-title":"Reproductive health","ISSN":"1742-4755","issue":"1","journalAbbreviation":"Reprod Health","note":"publisher-place: England\nSingh, Debra. Kimanya-Ngeyo Foundation for Science and Education, PO Box 1600, Jinja, Uganda. ahderom@gmail.com.\nNegin, Joel. University of Sydney, School of Public Health, Sydney, Australia.\nOrach, Christopher Garimoi. Makerere College of Health Sciences, School of Public Health, Kampala, Uganda.\nCumming, Robert. University of Sydney, School of Public Health, Sydney, Australia.","page":"126","title":"Supportive supervision for volunteers to deliver reproductive health education: a cluster randomized trial.","volume":"13","author":[{"family":"Singh","given":"Debra"},{"family":"Negin","given":"Joel"},{"family":"Orach","given":"Christopher Garimoi"},{"family":"Cumming","given":"Robert"}],"issued":{"date-parts":[["2016"]]}}}],"schema":"https://github.com/citation-style-language/schema/raw/master/csl-citation.json"} </w:instrText>
      </w:r>
      <w:r w:rsidRPr="00D43B65">
        <w:rPr>
          <w:rFonts w:ascii="Times New Roman" w:hAnsi="Times New Roman" w:cs="Times New Roman"/>
        </w:rPr>
        <w:fldChar w:fldCharType="separate"/>
      </w:r>
      <w:r w:rsidRPr="00D43B65">
        <w:rPr>
          <w:rFonts w:ascii="Times New Roman" w:hAnsi="Times New Roman" w:cs="Times New Roman"/>
          <w:vertAlign w:val="superscript"/>
        </w:rPr>
        <w:t>31</w:t>
      </w:r>
      <w:r w:rsidRPr="00D43B65">
        <w:rPr>
          <w:rFonts w:ascii="Times New Roman" w:hAnsi="Times New Roman" w:cs="Times New Roman"/>
        </w:rPr>
        <w:fldChar w:fldCharType="end"/>
      </w:r>
      <w:r w:rsidRPr="00D43B65">
        <w:rPr>
          <w:rFonts w:ascii="Times New Roman" w:hAnsi="Times New Roman" w:cs="Times New Roman"/>
        </w:rPr>
        <w:t xml:space="preserve"> No study was judged not to have a rigorously conducted data analysis. </w:t>
      </w:r>
    </w:p>
    <w:p w14:paraId="68B48E38" w14:textId="77777777" w:rsidR="00193DE0" w:rsidRPr="00D43B65" w:rsidRDefault="00193DE0" w:rsidP="00193DE0">
      <w:pPr>
        <w:jc w:val="both"/>
        <w:rPr>
          <w:rFonts w:ascii="Times New Roman" w:hAnsi="Times New Roman" w:cs="Times New Roman"/>
        </w:rPr>
      </w:pPr>
      <w:r w:rsidRPr="00D43B65">
        <w:rPr>
          <w:rFonts w:ascii="Times New Roman" w:hAnsi="Times New Roman" w:cs="Times New Roman"/>
        </w:rPr>
        <w:t>In all but one study,</w:t>
      </w:r>
      <w:r w:rsidRPr="00D43B65">
        <w:rPr>
          <w:rFonts w:ascii="Times New Roman" w:hAnsi="Times New Roman" w:cs="Times New Roman"/>
        </w:rPr>
        <w:fldChar w:fldCharType="begin"/>
      </w:r>
      <w:r w:rsidRPr="00D43B65">
        <w:rPr>
          <w:rFonts w:ascii="Times New Roman" w:hAnsi="Times New Roman" w:cs="Times New Roman"/>
        </w:rPr>
        <w:instrText xml:space="preserve"> ADDIN ZOTERO_ITEM CSL_CITATION {"citationID":"a91bh86cqk","properties":{"formattedCitation":"\\super 32\\nosupersub{}","plainCitation":"32","noteIndex":0},"citationItems":[{"id":9976,"uris":["http://zotero.org/users/6854968/items/2J4CUJ4B"],"itemData":{"id":9976,"type":"article-journal","abstract":"BACKGROUND: Effective implementation strategies are needed to increase engagement in HIV services in hyperendemic settings. We conducted a pragmatic cluster-randomized trial in a high-risk, highly mobile fishing community (HIV prevalence: approximately 38%) in Rakai, Uganda, to assess the impact of a community health worker-delivered, theory-based (situated Information, Motivation, and Behavior Skills), motivational interviewing-informed, and mobile phone application-supported counseling strategy called \"Health Scouts\" to promote engagement in HIV treatment and prevention services., METHODS AND FINDINGS: The study community was divided into 40 contiguous, randomly allocated clusters (20 intervention clusters, n = 1,054 participants at baseline; 20 control clusters, n = 1,094 participants at baseline). From September 2015 to December 2018, the Health Scouts were deployed in intervention clusters. Community-wide, cross-sectional surveys of consenting 15 to 49-year-old residents were conducted at approximately 15 months (mid-study) and at approximately 39 months (end-study) assessing the primary programmatic outcomes of self-reported linkage to HIV care, antiretroviral therapy (ART) use, and male circumcision, and the primary biologic outcome of HIV viral suppression (&lt;400 copies/mL). Secondary outcomes included HIV testing coverage, HIV incidence, and consistent condom use. The primary intent-to-treat analysis used log-linear binomial regression with generalized estimating equation to estimate prevalence risk ratios (PRR) in the intervention versus control arm. A total of 2,533 (45% female, mean age: 31 years) and 1,903 (46% female; mean age 32 years) residents completed the mid-study and end-study surveys, respectively. At mid-study, there were no differences in outcomes between arms. At end-study, self-reported receipt of the Health Scouts intervention was 38% in the intervention arm and 23% in the control arm, suggesting moderate intervention uptake in the intervention arm and substantial contamination in the control arm. At end-study, intention-to-treat analysis found higher HIV care coverage (PRR: 1.06, 95% CI: 1.01 to 1.10, p = 0.011) and ART coverage (PRR: 1.05, 95% CI: 1.01 to 1.10, p = 0.028) among HIV-positive participants in the intervention compared with the control arm. Male circumcision coverage among all men (PRR: 1.05, 95% CI: 0.96 to 1.14, p = 0.31) and HIV viral suppression among HIV-positive participants (PRR: 1.04, 95% CI: 0.98 to 1.12, p = 0.20) were higher in the intervention arm, but differences were not statistically significant. No differences were seen in secondary outcomes. Study limitations include reliance on self-report for programmatic outcomes and substantial contamination which may have diluted estimates of effect., CONCLUSIONS: A novel community health worker intervention improved HIV care and ART coverage in an HIV hyperendemic setting but did not clearly improve male circumcision coverage or HIV viral suppression. This community-based, implementation strategy may be a useful component in some settings for HIV epidemic control., TRIAL REGISTRATION: ClinicalTrials.gov NCT02556957.","archive":"Ovid MEDLINE(R) &lt;2021&gt;","container-title":"PLoS medicine","DOI":"10.1371/journal.pmed.1003475","ISSN":"1549-1676","issue":"1","journalAbbreviation":"PLoS Med","note":"publisher-place: United States\nChang, Larry W. Division of Infectious Diseases, Department of Medicine, Johns Hopkins School of Medicine, Baltimore, Maryland, United States of America.\nChang, Larry W. Department of Epidemiology, Johns Hopkins Bloomberg School of Public Health, Baltimore, Maryland, United States of America.\nChang, Larry W. Department of International Health, Johns Hopkins Bloomberg School of Public Health, Baltimore, Maryland, United States of America.\nChang, Larry W. Rakai Health Sciences Program, Rakai, Uganda.\nMbabali, Ismail. Rakai Health Sciences Program, Rakai, Uganda.\nHutton, Heidi. Department of Psychiatry and Behavioral Sciences, Johns Hopkins School of Medicine, Baltimore, Maryland, United States of America.\nAmico, K Rivet. Department of Health Behavior Health Education, University of Michigan, Ann Arbor, Michigan, United States of America.\nKong, Xiangrong. Department of Epidemiology, Johns Hopkins Bloomberg School of Public Health, Baltimore, Maryland, United States of America.\nKong, Xiangrong. Wilmer Eye Institute, Johns Hopkins School of Medicine, Baltimore, Maryland, United States of America.\nMulamba, Jeremiah. Rakai Health Sciences Program, Rakai, Uganda.\nAnok, Aggrey. Rakai Health Sciences Program, Rakai, Uganda.\nSsekasanvu, Joseph. Rakai Health Sciences Program, Rakai, Uganda.\nLong, Amanda. Department of International Health, Johns Hopkins Bloomberg School of Public Health, Baltimore, Maryland, United States of America.\nThomas, Alvin G. Department of International Health, Johns Hopkins Bloomberg School of Public Health, Baltimore, Maryland, United States of America.\nThomas, Kristin. Department of International Health, Johns Hopkins Bloomberg School of Public Health, Baltimore, Maryland, United States of America.\nBugos, Eva. Department of International Health, Johns Hopkins Bloomberg School of Public Health, Baltimore, Maryland, United States of America.\nPollard, Rose. Department of International Health, Johns Hopkins Bloomberg School of Public Health, Baltimore, Maryland, United States of America.\nvan Wickle, Kimiko. Department of International Health, Johns Hopkins Bloomberg School of Public Health, Baltimore, Maryland, United States of America.\nKennedy, Caitlin E. Department of International Health, Johns Hopkins Bloomberg School of Public Health, Baltimore, Maryland, United States of America.\nKennedy, Caitlin E. Rakai Health Sciences Program, Rakai, Uganda.\nNalugoda, Fred. Rakai Health Sciences Program, Rakai, Uganda.\nSerwadda, David. Rakai Health Sciences Program, Rakai, Uganda.\nBollinger, Robert C. Division of Infectious Diseases, Department of Medicine, Johns Hopkins School of Medicine, Baltimore, Maryland, United States of America.\nQuinn, Thomas C. Division of Infectious Diseases, Department of Medicine, Johns Hopkins School of Medicine, Baltimore, Maryland, United States of America.\nQuinn, Thomas C. Laboratory of Immunoregulation, Division of Intramural Research, National Institute for Allergy and Infectious Diseases, National Institutes of Health, Bethesda, Maryland, United States of America.\nReynolds, Steven J. Division of Infectious Diseases, Department of Medicine, Johns Hopkins School of Medicine, Baltimore, Maryland, United States of America.\nReynolds, Steven J. Rakai Health Sciences Program, Rakai, Uganda.\nReynolds, Steven J. Laboratory of Immunoregulation, Division of Intramural Research, National Institute for Allergy and Infectious Diseases, National Institutes of Health, Bethesda, Maryland, United States of America.\nGray, Ronald H. Department of Epidemiology, Johns Hopkins Bloomberg School of Public Health, Baltimore, Maryland, United States of America.\nGray, Ronald H. Rakai Health Sciences Program, Rakai, Uganda.\nWawer, Maria J. Division of Infectious Diseases, Department of Medicine, Johns Hopkins School of Medicine, Baltimore, Maryland, United States of America.\nWawer, Maria J. Department of Epidemiology, Johns Hopkins Bloomberg School of Public Health, Baltimore, Maryland, United States of America.\nWawer, Maria J. Rakai Health Sciences Program, Rakai, Uganda.\nNakigozi, Gertrude. Rakai Health Sciences Program, Rakai, Uganda.","page":"e1003475","title":"Novel community health worker strategy for HIV service engagement in a hyperendemic community in Rakai, Uganda: A pragmatic, cluster-randomized trial.","volume":"18","author":[{"family":"Chang","given":"Larry W"},{"family":"Mbabali","given":"Ismail"},{"family":"Hutton","given":"Heidi"},{"family":"Amico","given":"K Rivet"},{"family":"Kong","given":"Xiangrong"},{"family":"Mulamba","given":"Jeremiah"},{"family":"Anok","given":"Aggrey"},{"family":"Ssekasanvu","given":"Joseph"},{"family":"Long","given":"Amanda"},{"family":"Thomas","given":"Alvin G"},{"family":"Thomas","given":"Kristin"},{"family":"Bugos","given":"Eva"},{"family":"Pollard","given":"Rose"},{"family":"Wickle","given":"Kimiko","non-dropping-particle":"van"},{"family":"Kennedy","given":"Caitlin E"},{"family":"Nalugoda","given":"Fred"},{"family":"Serwadda","given":"David"},{"family":"Bollinger","given":"Robert C"},{"family":"Quinn","given":"Thomas C"},{"family":"Reynolds","given":"Steven J"},{"family":"Gray","given":"Ronald H"},{"family":"Wawer","given":"Maria J"},{"family":"Nakigozi","given":"Gertrude"}],"issued":{"date-parts":[["2021"]]}}}],"schema":"https://github.com/citation-style-language/schema/raw/master/csl-citation.json"} </w:instrText>
      </w:r>
      <w:r w:rsidRPr="00D43B65">
        <w:rPr>
          <w:rFonts w:ascii="Times New Roman" w:hAnsi="Times New Roman" w:cs="Times New Roman"/>
        </w:rPr>
        <w:fldChar w:fldCharType="separate"/>
      </w:r>
      <w:r w:rsidRPr="00D43B65">
        <w:rPr>
          <w:rFonts w:ascii="Times New Roman" w:hAnsi="Times New Roman" w:cs="Times New Roman"/>
          <w:vertAlign w:val="superscript"/>
        </w:rPr>
        <w:t>32</w:t>
      </w:r>
      <w:r w:rsidRPr="00D43B65">
        <w:rPr>
          <w:rFonts w:ascii="Times New Roman" w:hAnsi="Times New Roman" w:cs="Times New Roman"/>
        </w:rPr>
        <w:fldChar w:fldCharType="end"/>
      </w:r>
      <w:r w:rsidRPr="00D43B65">
        <w:rPr>
          <w:rFonts w:ascii="Times New Roman" w:hAnsi="Times New Roman" w:cs="Times New Roman"/>
        </w:rPr>
        <w:t xml:space="preserve"> no explicit information was provided about the theoretical or ideological perspective of the author or funder and how this may have influenced the study. However, most studies declared that the authors had no competing interests. Chang et al. explicitly stated the role of the funders, and this had no influence on the study methods or findings. Some authors were also reported to be affiliated with the parent company that developed the health technology used, but the publishers did not consider this to influence the study.</w:t>
      </w:r>
      <w:r w:rsidRPr="00D43B65">
        <w:rPr>
          <w:rFonts w:ascii="Times New Roman" w:hAnsi="Times New Roman" w:cs="Times New Roman"/>
        </w:rPr>
        <w:fldChar w:fldCharType="begin"/>
      </w:r>
      <w:r w:rsidRPr="00D43B65">
        <w:rPr>
          <w:rFonts w:ascii="Times New Roman" w:hAnsi="Times New Roman" w:cs="Times New Roman"/>
        </w:rPr>
        <w:instrText xml:space="preserve"> ADDIN ZOTERO_ITEM CSL_CITATION {"citationID":"Pf5br6RW","properties":{"formattedCitation":"\\super 32\\nosupersub{}","plainCitation":"32","noteIndex":0},"citationItems":[{"id":9976,"uris":["http://zotero.org/users/6854968/items/2J4CUJ4B"],"itemData":{"id":9976,"type":"article-journal","abstract":"BACKGROUND: Effective implementation strategies are needed to increase engagement in HIV services in hyperendemic settings. We conducted a pragmatic cluster-randomized trial in a high-risk, highly mobile fishing community (HIV prevalence: approximately 38%) in Rakai, Uganda, to assess the impact of a community health worker-delivered, theory-based (situated Information, Motivation, and Behavior Skills), motivational interviewing-informed, and mobile phone application-supported counseling strategy called \"Health Scouts\" to promote engagement in HIV treatment and prevention services., METHODS AND FINDINGS: The study community was divided into 40 contiguous, randomly allocated clusters (20 intervention clusters, n = 1,054 participants at baseline; 20 control clusters, n = 1,094 participants at baseline). From September 2015 to December 2018, the Health Scouts were deployed in intervention clusters. Community-wide, cross-sectional surveys of consenting 15 to 49-year-old residents were conducted at approximately 15 months (mid-study) and at approximately 39 months (end-study) assessing the primary programmatic outcomes of self-reported linkage to HIV care, antiretroviral therapy (ART) use, and male circumcision, and the primary biologic outcome of HIV viral suppression (&lt;400 copies/mL). Secondary outcomes included HIV testing coverage, HIV incidence, and consistent condom use. The primary intent-to-treat analysis used log-linear binomial regression with generalized estimating equation to estimate prevalence risk ratios (PRR) in the intervention versus control arm. A total of 2,533 (45% female, mean age: 31 years) and 1,903 (46% female; mean age 32 years) residents completed the mid-study and end-study surveys, respectively. At mid-study, there were no differences in outcomes between arms. At end-study, self-reported receipt of the Health Scouts intervention was 38% in the intervention arm and 23% in the control arm, suggesting moderate intervention uptake in the intervention arm and substantial contamination in the control arm. At end-study, intention-to-treat analysis found higher HIV care coverage (PRR: 1.06, 95% CI: 1.01 to 1.10, p = 0.011) and ART coverage (PRR: 1.05, 95% CI: 1.01 to 1.10, p = 0.028) among HIV-positive participants in the intervention compared with the control arm. Male circumcision coverage among all men (PRR: 1.05, 95% CI: 0.96 to 1.14, p = 0.31) and HIV viral suppression among HIV-positive participants (PRR: 1.04, 95% CI: 0.98 to 1.12, p = 0.20) were higher in the intervention arm, but differences were not statistically significant. No differences were seen in secondary outcomes. Study limitations include reliance on self-report for programmatic outcomes and substantial contamination which may have diluted estimates of effect., CONCLUSIONS: A novel community health worker intervention improved HIV care and ART coverage in an HIV hyperendemic setting but did not clearly improve male circumcision coverage or HIV viral suppression. This community-based, implementation strategy may be a useful component in some settings for HIV epidemic control., TRIAL REGISTRATION: ClinicalTrials.gov NCT02556957.","archive":"Ovid MEDLINE(R) &lt;2021&gt;","container-title":"PLoS medicine","DOI":"10.1371/journal.pmed.1003475","ISSN":"1549-1676","issue":"1","journalAbbreviation":"PLoS Med","note":"publisher-place: United States\nChang, Larry W. Division of Infectious Diseases, Department of Medicine, Johns Hopkins School of Medicine, Baltimore, Maryland, United States of America.\nChang, Larry W. Department of Epidemiology, Johns Hopkins Bloomberg School of Public Health, Baltimore, Maryland, United States of America.\nChang, Larry W. Department of International Health, Johns Hopkins Bloomberg School of Public Health, Baltimore, Maryland, United States of America.\nChang, Larry W. Rakai Health Sciences Program, Rakai, Uganda.\nMbabali, Ismail. Rakai Health Sciences Program, Rakai, Uganda.\nHutton, Heidi. Department of Psychiatry and Behavioral Sciences, Johns Hopkins School of Medicine, Baltimore, Maryland, United States of America.\nAmico, K Rivet. Department of Health Behavior Health Education, University of Michigan, Ann Arbor, Michigan, United States of America.\nKong, Xiangrong. Department of Epidemiology, Johns Hopkins Bloomberg School of Public Health, Baltimore, Maryland, United States of America.\nKong, Xiangrong. Wilmer Eye Institute, Johns Hopkins School of Medicine, Baltimore, Maryland, United States of America.\nMulamba, Jeremiah. Rakai Health Sciences Program, Rakai, Uganda.\nAnok, Aggrey. Rakai Health Sciences Program, Rakai, Uganda.\nSsekasanvu, Joseph. Rakai Health Sciences Program, Rakai, Uganda.\nLong, Amanda. Department of International Health, Johns Hopkins Bloomberg School of Public Health, Baltimore, Maryland, United States of America.\nThomas, Alvin G. Department of International Health, Johns Hopkins Bloomberg School of Public Health, Baltimore, Maryland, United States of America.\nThomas, Kristin. Department of International Health, Johns Hopkins Bloomberg School of Public Health, Baltimore, Maryland, United States of America.\nBugos, Eva. Department of International Health, Johns Hopkins Bloomberg School of Public Health, Baltimore, Maryland, United States of America.\nPollard, Rose. Department of International Health, Johns Hopkins Bloomberg School of Public Health, Baltimore, Maryland, United States of America.\nvan Wickle, Kimiko. Department of International Health, Johns Hopkins Bloomberg School of Public Health, Baltimore, Maryland, United States of America.\nKennedy, Caitlin E. Department of International Health, Johns Hopkins Bloomberg School of Public Health, Baltimore, Maryland, United States of America.\nKennedy, Caitlin E. Rakai Health Sciences Program, Rakai, Uganda.\nNalugoda, Fred. Rakai Health Sciences Program, Rakai, Uganda.\nSerwadda, David. Rakai Health Sciences Program, Rakai, Uganda.\nBollinger, Robert C. Division of Infectious Diseases, Department of Medicine, Johns Hopkins School of Medicine, Baltimore, Maryland, United States of America.\nQuinn, Thomas C. Division of Infectious Diseases, Department of Medicine, Johns Hopkins School of Medicine, Baltimore, Maryland, United States of America.\nQuinn, Thomas C. Laboratory of Immunoregulation, Division of Intramural Research, National Institute for Allergy and Infectious Diseases, National Institutes of Health, Bethesda, Maryland, United States of America.\nReynolds, Steven J. Division of Infectious Diseases, Department of Medicine, Johns Hopkins School of Medicine, Baltimore, Maryland, United States of America.\nReynolds, Steven J. Rakai Health Sciences Program, Rakai, Uganda.\nReynolds, Steven J. Laboratory of Immunoregulation, Division of Intramural Research, National Institute for Allergy and Infectious Diseases, National Institutes of Health, Bethesda, Maryland, United States of America.\nGray, Ronald H. Department of Epidemiology, Johns Hopkins Bloomberg School of Public Health, Baltimore, Maryland, United States of America.\nGray, Ronald H. Rakai Health Sciences Program, Rakai, Uganda.\nWawer, Maria J. Division of Infectious Diseases, Department of Medicine, Johns Hopkins School of Medicine, Baltimore, Maryland, United States of America.\nWawer, Maria J. Department of Epidemiology, Johns Hopkins Bloomberg School of Public Health, Baltimore, Maryland, United States of America.\nWawer, Maria J. Rakai Health Sciences Program, Rakai, Uganda.\nNakigozi, Gertrude. Rakai Health Sciences Program, Rakai, Uganda.","page":"e1003475","title":"Novel community health worker strategy for HIV service engagement in a hyperendemic community in Rakai, Uganda: A pragmatic, cluster-randomized trial.","volume":"18","author":[{"family":"Chang","given":"Larry W"},{"family":"Mbabali","given":"Ismail"},{"family":"Hutton","given":"Heidi"},{"family":"Amico","given":"K Rivet"},{"family":"Kong","given":"Xiangrong"},{"family":"Mulamba","given":"Jeremiah"},{"family":"Anok","given":"Aggrey"},{"family":"Ssekasanvu","given":"Joseph"},{"family":"Long","given":"Amanda"},{"family":"Thomas","given":"Alvin G"},{"family":"Thomas","given":"Kristin"},{"family":"Bugos","given":"Eva"},{"family":"Pollard","given":"Rose"},{"family":"Wickle","given":"Kimiko","non-dropping-particle":"van"},{"family":"Kennedy","given":"Caitlin E"},{"family":"Nalugoda","given":"Fred"},{"family":"Serwadda","given":"David"},{"family":"Bollinger","given":"Robert C"},{"family":"Quinn","given":"Thomas C"},{"family":"Reynolds","given":"Steven J"},{"family":"Gray","given":"Ronald H"},{"family":"Wawer","given":"Maria J"},{"family":"Nakigozi","given":"Gertrude"}],"issued":{"date-parts":[["2021"]]}}}],"schema":"https://github.com/citation-style-language/schema/raw/master/csl-citation.json"} </w:instrText>
      </w:r>
      <w:r w:rsidRPr="00D43B65">
        <w:rPr>
          <w:rFonts w:ascii="Times New Roman" w:hAnsi="Times New Roman" w:cs="Times New Roman"/>
        </w:rPr>
        <w:fldChar w:fldCharType="separate"/>
      </w:r>
      <w:r w:rsidRPr="00D43B65">
        <w:rPr>
          <w:rFonts w:ascii="Times New Roman" w:hAnsi="Times New Roman" w:cs="Times New Roman"/>
          <w:vertAlign w:val="superscript"/>
        </w:rPr>
        <w:t>32</w:t>
      </w:r>
      <w:r w:rsidRPr="00D43B65">
        <w:rPr>
          <w:rFonts w:ascii="Times New Roman" w:hAnsi="Times New Roman" w:cs="Times New Roman"/>
        </w:rPr>
        <w:fldChar w:fldCharType="end"/>
      </w:r>
      <w:r w:rsidRPr="00D43B65">
        <w:rPr>
          <w:rFonts w:ascii="Times New Roman" w:hAnsi="Times New Roman" w:cs="Times New Roman"/>
        </w:rPr>
        <w:t xml:space="preserve"> </w:t>
      </w:r>
    </w:p>
    <w:p w14:paraId="21DD02ED" w14:textId="77777777" w:rsidR="00193DE0" w:rsidRDefault="00193DE0" w:rsidP="004F4475"/>
    <w:p w14:paraId="7447B4FA" w14:textId="77777777" w:rsidR="00335E3E" w:rsidRDefault="00335E3E"/>
    <w:sectPr w:rsidR="00335E3E" w:rsidSect="004F4475">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1601AD"/>
    <w:multiLevelType w:val="hybridMultilevel"/>
    <w:tmpl w:val="F9A4C9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FB1DB6"/>
    <w:multiLevelType w:val="hybridMultilevel"/>
    <w:tmpl w:val="A93AA6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37991543">
    <w:abstractNumId w:val="0"/>
  </w:num>
  <w:num w:numId="2" w16cid:durableId="2860873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475"/>
    <w:rsid w:val="00193DE0"/>
    <w:rsid w:val="00335E3E"/>
    <w:rsid w:val="004F4475"/>
    <w:rsid w:val="00774520"/>
    <w:rsid w:val="00BE63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5FD4ED"/>
  <w15:chartTrackingRefBased/>
  <w15:docId w15:val="{0097D29D-D3AB-4711-941D-08ABF3EC5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475"/>
    <w:pPr>
      <w:spacing w:after="240" w:line="360" w:lineRule="auto"/>
    </w:pPr>
    <w:rPr>
      <w:rFonts w:ascii="Arial" w:hAnsi="Arial" w:cstheme="minorHAnsi"/>
      <w:kern w:val="0"/>
      <w:szCs w:val="24"/>
      <w:lang w:val="en-GB"/>
      <w14:ligatures w14:val="none"/>
    </w:rPr>
  </w:style>
  <w:style w:type="paragraph" w:styleId="Heading1">
    <w:name w:val="heading 1"/>
    <w:basedOn w:val="Normal"/>
    <w:next w:val="Normal"/>
    <w:link w:val="Heading1Char"/>
    <w:uiPriority w:val="9"/>
    <w:qFormat/>
    <w:rsid w:val="004F44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44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44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44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44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44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44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44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44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4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44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44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44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44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44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44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44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4475"/>
    <w:rPr>
      <w:rFonts w:eastAsiaTheme="majorEastAsia" w:cstheme="majorBidi"/>
      <w:color w:val="272727" w:themeColor="text1" w:themeTint="D8"/>
    </w:rPr>
  </w:style>
  <w:style w:type="paragraph" w:styleId="Title">
    <w:name w:val="Title"/>
    <w:basedOn w:val="Normal"/>
    <w:next w:val="Normal"/>
    <w:link w:val="TitleChar"/>
    <w:uiPriority w:val="10"/>
    <w:qFormat/>
    <w:rsid w:val="004F44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44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44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44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4475"/>
    <w:pPr>
      <w:spacing w:before="160"/>
      <w:jc w:val="center"/>
    </w:pPr>
    <w:rPr>
      <w:i/>
      <w:iCs/>
      <w:color w:val="404040" w:themeColor="text1" w:themeTint="BF"/>
    </w:rPr>
  </w:style>
  <w:style w:type="character" w:customStyle="1" w:styleId="QuoteChar">
    <w:name w:val="Quote Char"/>
    <w:basedOn w:val="DefaultParagraphFont"/>
    <w:link w:val="Quote"/>
    <w:uiPriority w:val="29"/>
    <w:rsid w:val="004F4475"/>
    <w:rPr>
      <w:i/>
      <w:iCs/>
      <w:color w:val="404040" w:themeColor="text1" w:themeTint="BF"/>
    </w:rPr>
  </w:style>
  <w:style w:type="paragraph" w:styleId="ListParagraph">
    <w:name w:val="List Paragraph"/>
    <w:basedOn w:val="Normal"/>
    <w:uiPriority w:val="34"/>
    <w:qFormat/>
    <w:rsid w:val="004F4475"/>
    <w:pPr>
      <w:ind w:left="720"/>
      <w:contextualSpacing/>
    </w:pPr>
  </w:style>
  <w:style w:type="character" w:styleId="IntenseEmphasis">
    <w:name w:val="Intense Emphasis"/>
    <w:basedOn w:val="DefaultParagraphFont"/>
    <w:uiPriority w:val="21"/>
    <w:qFormat/>
    <w:rsid w:val="004F4475"/>
    <w:rPr>
      <w:i/>
      <w:iCs/>
      <w:color w:val="0F4761" w:themeColor="accent1" w:themeShade="BF"/>
    </w:rPr>
  </w:style>
  <w:style w:type="paragraph" w:styleId="IntenseQuote">
    <w:name w:val="Intense Quote"/>
    <w:basedOn w:val="Normal"/>
    <w:next w:val="Normal"/>
    <w:link w:val="IntenseQuoteChar"/>
    <w:uiPriority w:val="30"/>
    <w:qFormat/>
    <w:rsid w:val="004F44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4475"/>
    <w:rPr>
      <w:i/>
      <w:iCs/>
      <w:color w:val="0F4761" w:themeColor="accent1" w:themeShade="BF"/>
    </w:rPr>
  </w:style>
  <w:style w:type="character" w:styleId="IntenseReference">
    <w:name w:val="Intense Reference"/>
    <w:basedOn w:val="DefaultParagraphFont"/>
    <w:uiPriority w:val="32"/>
    <w:qFormat/>
    <w:rsid w:val="004F4475"/>
    <w:rPr>
      <w:b/>
      <w:bCs/>
      <w:smallCaps/>
      <w:color w:val="0F4761" w:themeColor="accent1" w:themeShade="BF"/>
      <w:spacing w:val="5"/>
    </w:rPr>
  </w:style>
  <w:style w:type="table" w:styleId="TableGrid">
    <w:name w:val="Table Grid"/>
    <w:basedOn w:val="TableNormal"/>
    <w:uiPriority w:val="39"/>
    <w:rsid w:val="004F447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F4475"/>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13005</Words>
  <Characters>74132</Characters>
  <Application>Microsoft Office Word</Application>
  <DocSecurity>0</DocSecurity>
  <Lines>617</Lines>
  <Paragraphs>173</Paragraphs>
  <ScaleCrop>false</ScaleCrop>
  <Company/>
  <LinksUpToDate>false</LinksUpToDate>
  <CharactersWithSpaces>86964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Victory Ekpin</dc:creator>
  <cp:keywords/>
  <dc:description/>
  <cp:lastModifiedBy>Victory Ekpin</cp:lastModifiedBy>
  <cp:revision>2</cp:revision>
  <dcterms:created xsi:type="dcterms:W3CDTF">2024-06-17T15:10:00Z</dcterms:created>
  <dcterms:modified xsi:type="dcterms:W3CDTF">2024-07-01T21:08:00Z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1d65a514-083a-46e8-a20c-5e7fe23e1a68</vt:lpwstr>
  </property>
</Properties>
</file>