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cs="Calibri"/>
          <w:lang w:val="en-US"/>
        </w:rPr>
      </w:pP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Table.1 Patients characteristics and transplant outcomes</w:t>
      </w:r>
    </w:p>
    <w:tbl>
      <w:tblPr>
        <w:tblStyle w:val="3"/>
        <w:tblW w:w="9336" w:type="dxa"/>
        <w:tblInd w:w="0" w:type="dxa"/>
        <w:tblBorders>
          <w:top w:val="single" w:color="5B9BD5" w:sz="8" w:space="0"/>
          <w:left w:val="none" w:color="auto" w:sz="6" w:space="0"/>
          <w:bottom w:val="single" w:color="5B9BD5" w:sz="8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0"/>
        <w:gridCol w:w="1416"/>
        <w:gridCol w:w="1701"/>
        <w:gridCol w:w="1557"/>
        <w:gridCol w:w="1008"/>
      </w:tblGrid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single" w:color="5B9BD5" w:sz="8" w:space="0"/>
              <w:left w:val="nil"/>
              <w:bottom w:val="single" w:color="5B9BD5" w:sz="8" w:space="0"/>
              <w:right w:val="nil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2E74B5"/>
                <w:sz w:val="20"/>
                <w:szCs w:val="20"/>
              </w:rPr>
            </w:pPr>
            <w:bookmarkStart w:id="0" w:name="OLE_LINK46"/>
            <w:bookmarkEnd w:id="0"/>
          </w:p>
        </w:tc>
        <w:tc>
          <w:tcPr>
            <w:tcW w:w="1417" w:type="dxa"/>
            <w:tcBorders>
              <w:top w:val="single" w:color="5B9BD5" w:sz="8" w:space="0"/>
              <w:left w:val="single" w:color="FFFFFF" w:sz="4" w:space="0"/>
              <w:bottom w:val="single" w:color="5B9BD5" w:sz="8" w:space="0"/>
              <w:right w:val="nil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b/>
                <w:bCs/>
                <w:color w:val="FFFFFF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FFFFFF"/>
                <w:kern w:val="2"/>
                <w:sz w:val="20"/>
                <w:szCs w:val="20"/>
                <w:lang w:val="en-US" w:eastAsia="zh-CN" w:bidi="ar"/>
              </w:rPr>
              <w:t>ALL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b/>
                <w:bCs/>
                <w:color w:val="FFFFFF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FFFFFF"/>
                <w:kern w:val="2"/>
                <w:sz w:val="20"/>
                <w:szCs w:val="20"/>
                <w:lang w:val="en-US" w:eastAsia="zh-CN" w:bidi="ar"/>
              </w:rPr>
              <w:t>(N=87)</w:t>
            </w:r>
          </w:p>
        </w:tc>
        <w:tc>
          <w:tcPr>
            <w:tcW w:w="1702" w:type="dxa"/>
            <w:tcBorders>
              <w:top w:val="single" w:color="5B9BD5" w:sz="8" w:space="0"/>
              <w:left w:val="nil"/>
              <w:bottom w:val="single" w:color="5B9BD5" w:sz="8" w:space="0"/>
              <w:right w:val="nil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b/>
                <w:bCs/>
                <w:color w:val="FFFFFF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FFFFFF"/>
                <w:kern w:val="2"/>
                <w:sz w:val="20"/>
                <w:szCs w:val="20"/>
                <w:lang w:val="en-US" w:eastAsia="zh-CN" w:bidi="ar"/>
              </w:rPr>
              <w:t>MC Group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b/>
                <w:bCs/>
                <w:color w:val="FFFFFF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FFFFFF"/>
                <w:kern w:val="2"/>
                <w:sz w:val="20"/>
                <w:szCs w:val="20"/>
                <w:lang w:val="en-US" w:eastAsia="zh-CN" w:bidi="ar"/>
              </w:rPr>
              <w:t>(N=23)</w:t>
            </w:r>
          </w:p>
        </w:tc>
        <w:tc>
          <w:tcPr>
            <w:tcW w:w="1558" w:type="dxa"/>
            <w:tcBorders>
              <w:top w:val="single" w:color="5B9BD5" w:sz="8" w:space="0"/>
              <w:left w:val="nil"/>
              <w:bottom w:val="single" w:color="5B9BD5" w:sz="8" w:space="0"/>
              <w:right w:val="nil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b/>
                <w:bCs/>
                <w:color w:val="FFFFFF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FFFFFF"/>
                <w:kern w:val="2"/>
                <w:sz w:val="20"/>
                <w:szCs w:val="20"/>
                <w:lang w:val="en-US" w:eastAsia="zh-CN" w:bidi="ar"/>
              </w:rPr>
              <w:t>CC Group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b/>
                <w:bCs/>
                <w:color w:val="FFFFFF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FFFFFF"/>
                <w:kern w:val="2"/>
                <w:sz w:val="20"/>
                <w:szCs w:val="20"/>
                <w:lang w:val="en-US" w:eastAsia="zh-CN" w:bidi="ar"/>
              </w:rPr>
              <w:t>(N=64)</w:t>
            </w:r>
          </w:p>
        </w:tc>
        <w:tc>
          <w:tcPr>
            <w:tcW w:w="1009" w:type="dxa"/>
            <w:tcBorders>
              <w:top w:val="single" w:color="5B9BD5" w:sz="8" w:space="0"/>
              <w:left w:val="nil"/>
              <w:bottom w:val="single" w:color="5B9BD5" w:sz="8" w:space="0"/>
              <w:right w:val="nil"/>
            </w:tcBorders>
            <w:shd w:val="clear" w:color="auto" w:fill="2F549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b/>
                <w:bCs/>
                <w:color w:val="FFFFFF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FFFFFF"/>
                <w:kern w:val="2"/>
                <w:sz w:val="20"/>
                <w:szCs w:val="20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Age at HSCT, years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median (range)</w:t>
            </w:r>
          </w:p>
        </w:tc>
        <w:tc>
          <w:tcPr>
            <w:tcW w:w="1417" w:type="dxa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9 (1.5 - 16)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9 (4 – 16)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9 (1.5 - 16)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0.624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Gender, n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Male / Female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52 / 35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17 / 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35 / 29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0.148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Diagnosis,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VSAA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SAA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TD-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NSAA</w:t>
            </w:r>
          </w:p>
        </w:tc>
        <w:tc>
          <w:tcPr>
            <w:tcW w:w="1417" w:type="dxa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30 (34%)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44 (51%)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13 (15%)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9 (39%)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9 (39%)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5 (22%)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21 (33%)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35 (55%)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8 (12%)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0.314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Donor Age, years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median (range)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10 (1 - 38)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10 (3 – 24)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10.5 (1 – 38)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0.725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Donor-recipient sex match,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total</w:t>
            </w:r>
          </w:p>
        </w:tc>
        <w:tc>
          <w:tcPr>
            <w:tcW w:w="1417" w:type="dxa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34 (39%)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8 (35%)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26 (41%)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0.747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Interval from diagnosis to HSCT, months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median (range)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2 (1 - 96)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3 (1 - 72)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2 (1 - 96)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0.426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Transfusion before HSCT, n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PRBC: median (range)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platelet: median (range)</w:t>
            </w:r>
          </w:p>
        </w:tc>
        <w:tc>
          <w:tcPr>
            <w:tcW w:w="1417" w:type="dxa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4 (0 - 45)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8 (0 - 50)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4 (0 - 30)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7 (0 - 41)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4.5 (0 - 45)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8 (0 - 50)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0.667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0.727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MS Mincho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Conditioning Regimen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CY120-150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+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FLU150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,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CY120-150+FLU1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8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0-200,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 CY200+FLU150,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CY200+FLU180-200,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1" w:firstLineChars="100"/>
              <w:jc w:val="left"/>
              <w:rPr>
                <w:rFonts w:hint="default" w:cs="Calibri"/>
                <w:b/>
                <w:bCs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FC+TBI,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FC+BU,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ATG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7.5mg/kg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,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MS Mincho" w:cs="Calibri"/>
                <w:b/>
                <w:bCs/>
                <w:color w:val="2E74B5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10mg/kg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, n (%)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MS Mincho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2E74B5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(5%)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2E74B5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25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(29%)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2E74B5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17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(20%)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21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(23%)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(7%)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14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(16%)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8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(10%)*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69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(90%)*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MS Mincho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(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14 (</w:t>
            </w:r>
            <w:r>
              <w:rPr>
                <w:rFonts w:hint="eastAsia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56</w:t>
            </w:r>
            <w:bookmarkStart w:id="1" w:name="_GoBack"/>
            <w:bookmarkEnd w:id="1"/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 (0%)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3 (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13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 (0%)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5 (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22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(11%)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2E74B5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17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(89%)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MS Mincho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3 (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11 (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17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17 (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27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18 (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28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6 (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9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9 (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14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(10%)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52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(90%)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  <w:lang w:val="en-US"/>
              </w:rPr>
            </w:pPr>
            <w:r>
              <w:rPr>
                <w:rFonts w:hint="default" w:ascii="Calibri" w:hAnsi="Calibri" w:eastAsia="宋体" w:cs="Calibri"/>
                <w:b/>
                <w:bCs w:val="0"/>
                <w:i/>
                <w:iCs w:val="0"/>
                <w:color w:val="000000"/>
                <w:kern w:val="2"/>
                <w:sz w:val="20"/>
                <w:szCs w:val="20"/>
                <w:u w:val="single"/>
                <w:lang w:val="en-US" w:eastAsia="zh-CN" w:bidi="ar"/>
              </w:rPr>
              <w:t>0.00</w:t>
            </w:r>
            <w:r>
              <w:rPr>
                <w:rFonts w:hint="default" w:ascii="Calibri" w:hAnsi="Calibri" w:eastAsia="MS Mincho" w:cs="Calibri"/>
                <w:b/>
                <w:bCs w:val="0"/>
                <w:i/>
                <w:iCs w:val="0"/>
                <w:color w:val="000000"/>
                <w:kern w:val="2"/>
                <w:sz w:val="20"/>
                <w:szCs w:val="20"/>
                <w:u w:val="single"/>
                <w:lang w:val="en-US" w:eastAsia="zh-CN" w:bidi="ar"/>
              </w:rPr>
              <w:t>5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bCs/>
                <w:iCs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bCs/>
                <w:iCs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bCs/>
                <w:iCs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bCs/>
                <w:iCs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0.383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MS Mincho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MS Mincho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0.805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Dose of cell, recipient weight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TNC (×10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vertAlign w:val="superscript"/>
                <w:lang w:val="en-US" w:eastAsia="zh-CN" w:bidi="ar"/>
              </w:rPr>
              <w:t>8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/kg): median (range)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CD34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vertAlign w:val="superscript"/>
                <w:lang w:val="en-US" w:eastAsia="zh-CN" w:bidi="ar"/>
              </w:rPr>
              <w:t>+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cell (×10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vertAlign w:val="superscript"/>
                <w:lang w:val="en-US" w:eastAsia="zh-CN" w:bidi="ar"/>
              </w:rPr>
              <w:t>6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/kg): median (range)</w:t>
            </w:r>
          </w:p>
        </w:tc>
        <w:tc>
          <w:tcPr>
            <w:tcW w:w="1417" w:type="dxa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14.1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 (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3.9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 - 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36.2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3.9 (1.3 - 10.5)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12.1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 (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3.9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–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22.6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4.5 (1.5 – 9.8)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color w:val="00000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宋体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14.3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 xml:space="preserve"> (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4.2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–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36.2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3.8 (1.3 – 10.5)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566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633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Engraftment, + day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Neutrophil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median (range)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Platelet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,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median (range)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13 (6 - 33)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14 (0 - 49)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14 (6 - 33)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14 (1 - 49)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12.5 (8 - 18)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14 (0 - 37)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0.948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0.468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aGVHD,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Grade II-IV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Grade III-IV</w:t>
            </w:r>
          </w:p>
        </w:tc>
        <w:tc>
          <w:tcPr>
            <w:tcW w:w="1417" w:type="dxa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8 (9%)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2 (2%)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2 (9%)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 (4%)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6 (9%)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 (2%)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D6E6F4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0.678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0.425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cGVHD, n (%),</w:t>
            </w:r>
            <w:r>
              <w:rPr>
                <w:rFonts w:hint="default" w:ascii="Calibri" w:hAnsi="Calibri" w:eastAsia="MS Mincho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mild+moderate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13 (15%)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6 (26%)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8 (13%)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0.555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nil"/>
              <w:left w:val="nil"/>
              <w:bottom w:val="nil"/>
              <w:right w:val="single" w:color="FFFFFF" w:sz="4" w:space="0"/>
            </w:tcBorders>
            <w:shd w:val="clear" w:color="auto" w:fill="DEEAF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Viral reaction,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CMV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EBV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Hemorrhagic cystitis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EEAF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43 (49%)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vertAlign w:val="superscript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43 (56%)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vertAlign w:val="superscript"/>
                <w:lang w:val="en-US" w:eastAsia="zh-CN" w:bidi="ar"/>
              </w:rPr>
              <w:t>**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8 (9%)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DEEAF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10 (43%)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vertAlign w:val="superscript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9 (47%)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vertAlign w:val="superscript"/>
                <w:lang w:val="en-US" w:eastAsia="zh-CN" w:bidi="ar"/>
              </w:rPr>
              <w:t>***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3 (13%)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33 (52%)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vertAlign w:val="superscript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34 (58%)</w:t>
            </w: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vertAlign w:val="superscript"/>
                <w:lang w:val="en-US" w:eastAsia="zh-CN" w:bidi="ar"/>
              </w:rPr>
              <w:t>****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5 (8%)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DEEAF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0.620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0.503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0.142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Follow-up, months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MS Mincho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median (range)</w:t>
            </w:r>
          </w:p>
        </w:tc>
        <w:tc>
          <w:tcPr>
            <w:tcW w:w="1417" w:type="dxa"/>
            <w:tcBorders>
              <w:top w:val="nil"/>
              <w:left w:val="single" w:color="FFFFFF" w:sz="4" w:space="0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18"/>
                <w:szCs w:val="18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35.3 (2.3-146.8)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32.7 (8.5–134.6)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18"/>
                <w:szCs w:val="18"/>
                <w:lang w:val="en-US" w:eastAsia="zh-CN" w:bidi="ar"/>
              </w:rPr>
              <w:t>35.3 (2.3–146.8)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MS Mincho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0.871</w:t>
            </w:r>
          </w:p>
        </w:tc>
      </w:tr>
      <w:tr>
        <w:tblPrEx>
          <w:tblBorders>
            <w:top w:val="single" w:color="5B9BD5" w:sz="8" w:space="0"/>
            <w:left w:val="none" w:color="auto" w:sz="6" w:space="0"/>
            <w:bottom w:val="single" w:color="5B9BD5" w:sz="8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3651" w:type="dxa"/>
            <w:tcBorders>
              <w:top w:val="nil"/>
              <w:left w:val="nil"/>
              <w:bottom w:val="single" w:color="5B9BD5" w:sz="8" w:space="0"/>
              <w:right w:val="single" w:color="FFFFFF" w:sz="4" w:space="0"/>
            </w:tcBorders>
            <w:shd w:val="clear" w:color="auto" w:fill="DEEAF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Outcome, n (%)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OS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FFS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0" w:firstLineChars="100"/>
              <w:jc w:val="left"/>
              <w:rPr>
                <w:rFonts w:hint="default" w:ascii="Calibri" w:hAnsi="Calibri" w:eastAsia="宋体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GFFS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5B9BD5" w:sz="8" w:space="0"/>
              <w:right w:val="nil"/>
            </w:tcBorders>
            <w:shd w:val="clear" w:color="auto" w:fill="DEEAF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85 (98%)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79 (91%)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77 (89%)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5B9BD5" w:sz="8" w:space="0"/>
              <w:right w:val="nil"/>
            </w:tcBorders>
            <w:shd w:val="clear" w:color="auto" w:fill="DEEAF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23 (100%)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19 (83%)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Cs w:val="21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18 (78%)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5B9BD5" w:sz="8" w:space="0"/>
              <w:right w:val="nil"/>
            </w:tcBorders>
            <w:shd w:val="clear" w:color="auto" w:fill="DEEAF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62 (97%)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60 (94%)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Cs w:val="21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59 (92%)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5B9BD5" w:sz="8" w:space="0"/>
              <w:right w:val="nil"/>
            </w:tcBorders>
            <w:shd w:val="clear" w:color="auto" w:fill="DEEAF6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0.395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0.126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"/>
              </w:rPr>
              <w:t>0.082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eastAsia="MS Mincho" w:cs="Calibri"/>
          <w:color w:val="000000"/>
          <w:szCs w:val="21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cs="Calibri"/>
          <w:color w:val="000000"/>
          <w:lang w:val="en-US"/>
        </w:rPr>
      </w:pP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MC, mixed chimerism; CC, complete chimerism; 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HSCT, hematopoietic stem cell transplant; VSAA, very severe aplastic anemia; SAA, severe aplastic anemia; NSAA, non-severe aplastic anemia; PRBC, packed red blood cell; FLU,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fludarabine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; CY,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cyclophosphamide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; ATG,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anti-thymocyte globulin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; FC, FLU+CY; TBI,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 xml:space="preserve">total body irradiation; BU, busulfan; 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TNC, total nucleated cell; aGVHD,  acute graft-versus-host disease; cGVHD,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chronic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 graft-versus-host disease; CMV, </w:t>
      </w:r>
      <w:r>
        <w:rPr>
          <w:rFonts w:hint="default" w:ascii="Calibri" w:hAnsi="Calibri" w:eastAsia="宋体" w:cs="Calibri"/>
          <w:i/>
          <w:iCs/>
          <w:color w:val="000000"/>
          <w:kern w:val="2"/>
          <w:sz w:val="21"/>
          <w:szCs w:val="24"/>
          <w:lang w:val="en-US" w:eastAsia="zh-CN" w:bidi="ar"/>
        </w:rPr>
        <w:t>cytomegalovirus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; EBV, </w:t>
      </w:r>
      <w:r>
        <w:rPr>
          <w:rFonts w:hint="default" w:ascii="Calibri" w:hAnsi="Calibri" w:eastAsia="宋体" w:cs="Calibri"/>
          <w:i/>
          <w:iCs/>
          <w:color w:val="000000"/>
          <w:kern w:val="2"/>
          <w:sz w:val="21"/>
          <w:szCs w:val="24"/>
          <w:lang w:val="en-US" w:eastAsia="zh-CN" w:bidi="ar"/>
        </w:rPr>
        <w:t>Epstein-Barr virus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>; OS, o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verall survival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 xml:space="preserve">; FFS, failure-free survival; GFFS, </w:t>
      </w: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GVDH/failure-free survival</w:t>
      </w:r>
      <w:r>
        <w:rPr>
          <w:rFonts w:hint="default" w:ascii="Calibri" w:hAnsi="Calibri" w:eastAsia="宋体" w:cs="Calibri"/>
          <w:color w:val="000000"/>
          <w:kern w:val="2"/>
          <w:sz w:val="21"/>
          <w:szCs w:val="24"/>
          <w:lang w:val="en-US" w:eastAsia="zh-CN" w:bidi="ar"/>
        </w:rPr>
        <w:t>.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cs="Calibri"/>
          <w:color w:val="000000"/>
          <w:lang w:val="en-US"/>
        </w:rPr>
      </w:pPr>
      <w:r>
        <w:rPr>
          <w:rFonts w:hint="default" w:ascii="Calibri" w:hAnsi="Calibri" w:eastAsia="宋体" w:cs="Calibri"/>
          <w:kern w:val="2"/>
          <w:sz w:val="21"/>
          <w:szCs w:val="24"/>
          <w:lang w:val="en-US" w:eastAsia="zh-CN" w:bidi="ar"/>
        </w:rPr>
        <w:t>*10 patients with ATG-F are excluded. **No data in 10 patients. ***No data in 4 patients. ****No data in 6 patients.</w:t>
      </w:r>
    </w:p>
    <w:p/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ZDJhMWUxYmM1YWI0ZDM2YTMwNzZkYmMzNTFjODMifQ=="/>
  </w:docVars>
  <w:rsids>
    <w:rsidRoot w:val="00000000"/>
    <w:rsid w:val="20FA6136"/>
    <w:rsid w:val="2DB04B8F"/>
    <w:rsid w:val="35F3249F"/>
    <w:rsid w:val="36A97E5D"/>
    <w:rsid w:val="502A6ED8"/>
    <w:rsid w:val="542A06EE"/>
    <w:rsid w:val="604C539B"/>
    <w:rsid w:val="6DF727EF"/>
    <w:rsid w:val="7122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Light Shading Accent 1"/>
    <w:basedOn w:val="2"/>
    <w:qFormat/>
    <w:uiPriority w:val="6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color w:val="2E74B5"/>
      <w:sz w:val="20"/>
      <w:szCs w:val="20"/>
    </w:rPr>
    <w:tblPr>
      <w:tblBorders>
        <w:top w:val="single" w:color="5B9BD5" w:sz="8" w:space="0"/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8" w:space="0"/>
        <w:left w:val="nil"/>
        <w:bottom w:val="single" w:color="5B9BD5" w:sz="8" w:space="0"/>
        <w:right w:val="nil"/>
      </w:tcBorders>
    </w:tcPr>
    <w:tblStylePr w:type="fir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color="5B9BD5" w:sz="8" w:space="0"/>
          <w:left w:val="nil"/>
          <w:bottom w:val="single" w:color="5B9BD5" w:sz="8" w:space="0"/>
          <w:right w:val="nil"/>
        </w:tcBorders>
      </w:tcPr>
    </w:tblStylePr>
    <w:tblStylePr w:type="la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color="5B9BD5" w:sz="8" w:space="0"/>
          <w:left w:val="nil"/>
          <w:bottom w:val="single" w:color="5B9BD5" w:sz="8" w:space="0"/>
          <w:right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</w:tcBorders>
        <w:shd w:val="clear" w:color="auto" w:fill="D6E6F4"/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2023-11-16T09:11:00Z</dcterms:created>
  <dc:creator>Lenovo</dc:creator>
  <cp:lastModifiedBy>玖珠</cp:lastModifiedBy>
  <dcterms:modified xsi:type="dcterms:W3CDTF">2024-02-15T12:15:17Z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7764055A487C4A118EB2FE16BDD7A615_12</vt:lpwstr>
  </property>
</Properties>
</file>