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5B03E4" w14:textId="37A5951F" w:rsidR="001F297A" w:rsidRDefault="00B232E4">
      <w:pPr>
        <w:pStyle w:val="BATitle"/>
        <w:spacing w:before="0" w:after="120" w:line="240" w:lineRule="auto"/>
        <w:jc w:val="left"/>
      </w:pPr>
      <w:r>
        <w:rPr>
          <w:b/>
        </w:rPr>
        <w:t>Supp</w:t>
      </w:r>
      <w:r w:rsidR="00D9424B">
        <w:rPr>
          <w:b/>
        </w:rPr>
        <w:t xml:space="preserve">lementary </w:t>
      </w:r>
      <w:r>
        <w:rPr>
          <w:b/>
        </w:rPr>
        <w:t>Information</w:t>
      </w:r>
    </w:p>
    <w:p w14:paraId="08B11467" w14:textId="77777777" w:rsidR="001F297A" w:rsidRDefault="00B232E4">
      <w:pPr>
        <w:pStyle w:val="BATitle"/>
        <w:spacing w:before="0" w:after="240" w:line="240" w:lineRule="auto"/>
        <w:jc w:val="left"/>
      </w:pPr>
      <w:r>
        <w:t>Liposomes embedded in layer by layer constructs as simplistic exosome transfer model</w:t>
      </w:r>
    </w:p>
    <w:p w14:paraId="0C686D57" w14:textId="7D3C0C36" w:rsidR="001F297A" w:rsidRPr="00D9424B" w:rsidRDefault="00B232E4">
      <w:pPr>
        <w:pStyle w:val="BBAuthorName"/>
        <w:spacing w:line="240" w:lineRule="auto"/>
        <w:jc w:val="left"/>
        <w:rPr>
          <w:rFonts w:cs="Times"/>
          <w:i w:val="0"/>
          <w:vertAlign w:val="superscript"/>
          <w:lang w:val="pt-PT"/>
        </w:rPr>
      </w:pPr>
      <w:r w:rsidRPr="00D9424B">
        <w:rPr>
          <w:i w:val="0"/>
          <w:lang w:val="pt-PT"/>
        </w:rPr>
        <w:t>Vicente Domínguez-Arca</w:t>
      </w:r>
      <w:r w:rsidR="00F85152" w:rsidRPr="00D9424B">
        <w:rPr>
          <w:i w:val="0"/>
          <w:lang w:val="pt-PT"/>
        </w:rPr>
        <w:t>,</w:t>
      </w:r>
      <w:r w:rsidR="00F85152" w:rsidRPr="00D9424B">
        <w:rPr>
          <w:rFonts w:cs="Times"/>
          <w:i w:val="0"/>
          <w:vertAlign w:val="superscript"/>
          <w:lang w:val="pt-PT"/>
        </w:rPr>
        <w:t>1</w:t>
      </w:r>
      <w:r w:rsidRPr="00D9424B">
        <w:rPr>
          <w:i w:val="0"/>
          <w:vertAlign w:val="superscript"/>
          <w:lang w:val="pt-PT"/>
        </w:rPr>
        <w:t>,</w:t>
      </w:r>
      <w:r w:rsidR="00F85152" w:rsidRPr="00D9424B">
        <w:rPr>
          <w:rFonts w:cs="Times"/>
          <w:i w:val="0"/>
          <w:vertAlign w:val="superscript"/>
          <w:lang w:val="pt-PT"/>
        </w:rPr>
        <w:t>2</w:t>
      </w:r>
      <w:r w:rsidRPr="00D9424B">
        <w:rPr>
          <w:i w:val="0"/>
          <w:vertAlign w:val="superscript"/>
          <w:lang w:val="pt-PT"/>
        </w:rPr>
        <w:t>,</w:t>
      </w:r>
      <w:r w:rsidR="00F85152" w:rsidRPr="00D9424B">
        <w:rPr>
          <w:rFonts w:cs="Times"/>
          <w:i w:val="0"/>
          <w:vertAlign w:val="superscript"/>
          <w:lang w:val="pt-PT"/>
        </w:rPr>
        <w:t>3</w:t>
      </w:r>
      <w:r w:rsidRPr="00D9424B">
        <w:rPr>
          <w:i w:val="0"/>
          <w:lang w:val="pt-PT"/>
        </w:rPr>
        <w:t xml:space="preserve"> Rui R. Costa,</w:t>
      </w:r>
      <w:r w:rsidR="00F85152" w:rsidRPr="00D9424B">
        <w:rPr>
          <w:rFonts w:cs="Times"/>
          <w:i w:val="0"/>
          <w:vertAlign w:val="superscript"/>
          <w:lang w:val="pt-PT"/>
        </w:rPr>
        <w:t>2</w:t>
      </w:r>
      <w:r w:rsidRPr="00D9424B">
        <w:rPr>
          <w:i w:val="0"/>
          <w:vertAlign w:val="superscript"/>
          <w:lang w:val="pt-PT"/>
        </w:rPr>
        <w:t>,</w:t>
      </w:r>
      <w:r w:rsidR="00F85152" w:rsidRPr="00D9424B">
        <w:rPr>
          <w:rFonts w:cs="Times"/>
          <w:i w:val="0"/>
          <w:vertAlign w:val="superscript"/>
          <w:lang w:val="pt-PT"/>
        </w:rPr>
        <w:t>3</w:t>
      </w:r>
      <w:r w:rsidRPr="00D9424B">
        <w:rPr>
          <w:i w:val="0"/>
          <w:lang w:val="pt-PT"/>
        </w:rPr>
        <w:t xml:space="preserve"> Ana M. Carvalho,</w:t>
      </w:r>
      <w:r w:rsidR="00F85152" w:rsidRPr="00D9424B">
        <w:rPr>
          <w:rFonts w:cs="Times"/>
          <w:i w:val="0"/>
          <w:vertAlign w:val="superscript"/>
          <w:lang w:val="pt-PT"/>
        </w:rPr>
        <w:t>2</w:t>
      </w:r>
      <w:r w:rsidRPr="00D9424B">
        <w:rPr>
          <w:i w:val="0"/>
          <w:vertAlign w:val="superscript"/>
          <w:lang w:val="pt-PT"/>
        </w:rPr>
        <w:t>,</w:t>
      </w:r>
      <w:r w:rsidR="00F85152" w:rsidRPr="00D9424B">
        <w:rPr>
          <w:rFonts w:cs="Times"/>
          <w:i w:val="0"/>
          <w:vertAlign w:val="superscript"/>
          <w:lang w:val="pt-PT"/>
        </w:rPr>
        <w:t>3</w:t>
      </w:r>
      <w:r w:rsidRPr="00D9424B">
        <w:rPr>
          <w:i w:val="0"/>
          <w:lang w:val="pt-PT"/>
        </w:rPr>
        <w:t xml:space="preserve"> Pablo Taboada,</w:t>
      </w:r>
      <w:r w:rsidR="00F85152" w:rsidRPr="00D9424B">
        <w:rPr>
          <w:rFonts w:cs="Times"/>
          <w:i w:val="0"/>
          <w:vertAlign w:val="superscript"/>
          <w:lang w:val="pt-PT"/>
        </w:rPr>
        <w:t>4</w:t>
      </w:r>
      <w:r w:rsidRPr="00D9424B">
        <w:rPr>
          <w:i w:val="0"/>
          <w:lang w:val="pt-PT"/>
        </w:rPr>
        <w:t xml:space="preserve"> Rui L. Reis</w:t>
      </w:r>
      <w:r w:rsidR="00F85152" w:rsidRPr="00D9424B">
        <w:rPr>
          <w:i w:val="0"/>
          <w:lang w:val="pt-PT"/>
        </w:rPr>
        <w:t>,</w:t>
      </w:r>
      <w:r w:rsidR="00F85152" w:rsidRPr="00D9424B">
        <w:rPr>
          <w:rFonts w:cs="Times"/>
          <w:i w:val="0"/>
          <w:vertAlign w:val="superscript"/>
          <w:lang w:val="pt-PT"/>
        </w:rPr>
        <w:t>2</w:t>
      </w:r>
      <w:r w:rsidRPr="00D9424B">
        <w:rPr>
          <w:i w:val="0"/>
          <w:vertAlign w:val="superscript"/>
          <w:lang w:val="pt-PT"/>
        </w:rPr>
        <w:t>,</w:t>
      </w:r>
      <w:r w:rsidR="00F85152" w:rsidRPr="00D9424B">
        <w:rPr>
          <w:rFonts w:cs="Times"/>
          <w:i w:val="0"/>
          <w:vertAlign w:val="superscript"/>
          <w:lang w:val="pt-PT"/>
        </w:rPr>
        <w:t>3</w:t>
      </w:r>
      <w:r w:rsidRPr="00D9424B">
        <w:rPr>
          <w:i w:val="0"/>
          <w:vertAlign w:val="superscript"/>
          <w:lang w:val="pt-PT"/>
        </w:rPr>
        <w:t>,</w:t>
      </w:r>
      <w:r w:rsidR="00F85152" w:rsidRPr="00D9424B">
        <w:rPr>
          <w:rFonts w:ascii="Times New Roman" w:hAnsi="Times New Roman"/>
          <w:i w:val="0"/>
          <w:vertAlign w:val="superscript"/>
          <w:lang w:val="pt-PT"/>
        </w:rPr>
        <w:t>5</w:t>
      </w:r>
      <w:r w:rsidRPr="00D9424B">
        <w:rPr>
          <w:i w:val="0"/>
          <w:lang w:val="pt-PT"/>
        </w:rPr>
        <w:t xml:space="preserve"> Gerardo Prieto,</w:t>
      </w:r>
      <w:r w:rsidR="00F85152" w:rsidRPr="00D9424B">
        <w:rPr>
          <w:rFonts w:cs="Times"/>
          <w:i w:val="0"/>
          <w:vertAlign w:val="superscript"/>
          <w:lang w:val="pt-PT"/>
        </w:rPr>
        <w:t>1</w:t>
      </w:r>
      <w:r w:rsidRPr="00D9424B">
        <w:rPr>
          <w:i w:val="0"/>
          <w:lang w:val="pt-PT"/>
        </w:rPr>
        <w:t xml:space="preserve"> and Iva Pashkuleva</w:t>
      </w:r>
      <w:r w:rsidR="00F85152" w:rsidRPr="00D9424B">
        <w:rPr>
          <w:rFonts w:cs="Times"/>
          <w:i w:val="0"/>
          <w:vertAlign w:val="superscript"/>
          <w:lang w:val="pt-PT"/>
        </w:rPr>
        <w:t>2</w:t>
      </w:r>
      <w:r w:rsidRPr="00D9424B">
        <w:rPr>
          <w:i w:val="0"/>
          <w:vertAlign w:val="superscript"/>
          <w:lang w:val="pt-PT"/>
        </w:rPr>
        <w:t>,</w:t>
      </w:r>
      <w:r w:rsidR="00F85152" w:rsidRPr="00D9424B">
        <w:rPr>
          <w:rFonts w:cs="Times"/>
          <w:i w:val="0"/>
          <w:vertAlign w:val="superscript"/>
          <w:lang w:val="pt-PT"/>
        </w:rPr>
        <w:t>3</w:t>
      </w:r>
    </w:p>
    <w:p w14:paraId="1D3765BE" w14:textId="03AD5F38" w:rsidR="001F297A" w:rsidRDefault="00F85152">
      <w:pPr>
        <w:pStyle w:val="BCAuthorAddress"/>
        <w:spacing w:after="120" w:line="240" w:lineRule="auto"/>
        <w:jc w:val="left"/>
      </w:pPr>
      <w:r>
        <w:rPr>
          <w:rFonts w:cs="Times"/>
          <w:vertAlign w:val="superscript"/>
        </w:rPr>
        <w:t>1</w:t>
      </w:r>
      <w:r w:rsidR="00B232E4">
        <w:rPr>
          <w:rFonts w:cs="Times"/>
          <w:vertAlign w:val="superscript"/>
        </w:rPr>
        <w:t xml:space="preserve"> </w:t>
      </w:r>
      <w:r w:rsidR="00B232E4">
        <w:t>Biophysics and Interfaces Group, Department of Applied Physics, Faculty of Physics, University of Santiago de Compostela, 15782 Santiago de Compostela, Spain</w:t>
      </w:r>
    </w:p>
    <w:p w14:paraId="7146FA45" w14:textId="2D2A9487" w:rsidR="001F297A" w:rsidRDefault="00F85152">
      <w:pPr>
        <w:pStyle w:val="BCAuthorAddress"/>
        <w:spacing w:after="120" w:line="240" w:lineRule="auto"/>
        <w:jc w:val="left"/>
      </w:pPr>
      <w:r>
        <w:rPr>
          <w:rFonts w:cs="Times"/>
          <w:vertAlign w:val="superscript"/>
        </w:rPr>
        <w:t>2</w:t>
      </w:r>
      <w:r w:rsidR="00B232E4">
        <w:rPr>
          <w:rFonts w:cs="Times"/>
          <w:vertAlign w:val="superscript"/>
        </w:rPr>
        <w:t xml:space="preserve"> </w:t>
      </w:r>
      <w:r w:rsidR="00B232E4">
        <w:t>3B’s Research Group, I3Bs – Research Institute on Biomaterials, Biodegradables and Biomimetics, University of Minho, Headquarters of the European Institute of Excellence on Tissue Engineering and Regenerative Medicine, AvePark, Parque de Ciência e Tecnologia, Zona Industrial da Gandra, 4805-017 Barco, Guimarães, Portugal</w:t>
      </w:r>
    </w:p>
    <w:p w14:paraId="4AFC1783" w14:textId="5590C6D3" w:rsidR="001F297A" w:rsidRDefault="00F85152">
      <w:pPr>
        <w:pStyle w:val="BCAuthorAddress"/>
        <w:spacing w:after="120" w:line="240" w:lineRule="auto"/>
        <w:jc w:val="left"/>
      </w:pPr>
      <w:r>
        <w:rPr>
          <w:rFonts w:cs="Times"/>
          <w:vertAlign w:val="superscript"/>
        </w:rPr>
        <w:t>3</w:t>
      </w:r>
      <w:r w:rsidR="00B232E4">
        <w:rPr>
          <w:rFonts w:cs="Times"/>
          <w:vertAlign w:val="superscript"/>
        </w:rPr>
        <w:t xml:space="preserve"> </w:t>
      </w:r>
      <w:r w:rsidR="00B232E4">
        <w:t>ICVS/3B’s, PT Government Associated Laboratory, Braga/Guimarães, Portugal</w:t>
      </w:r>
    </w:p>
    <w:p w14:paraId="441ECC8A" w14:textId="2E2866F1" w:rsidR="001F297A" w:rsidRDefault="00F85152">
      <w:pPr>
        <w:pStyle w:val="BCAuthorAddress"/>
        <w:spacing w:after="120" w:line="240" w:lineRule="auto"/>
        <w:jc w:val="left"/>
      </w:pPr>
      <w:r>
        <w:rPr>
          <w:rFonts w:cs="Times"/>
          <w:vertAlign w:val="superscript"/>
        </w:rPr>
        <w:t>4</w:t>
      </w:r>
      <w:r w:rsidR="00B232E4">
        <w:rPr>
          <w:rFonts w:cs="Times"/>
          <w:vertAlign w:val="superscript"/>
        </w:rPr>
        <w:t xml:space="preserve"> </w:t>
      </w:r>
      <w:r w:rsidR="00B232E4">
        <w:t>Colloids and Polymers Physics Group, Particle Physics Department and Health Research Institute, University of Santiago de Compostela, 15782 Santiago de Compostela, Spain</w:t>
      </w:r>
    </w:p>
    <w:p w14:paraId="6C999CB4" w14:textId="5F0200AB" w:rsidR="001F297A" w:rsidRDefault="00F85152">
      <w:pPr>
        <w:pStyle w:val="BCAuthorAddress"/>
        <w:spacing w:after="120" w:line="240" w:lineRule="auto"/>
        <w:jc w:val="left"/>
      </w:pPr>
      <w:r>
        <w:rPr>
          <w:rFonts w:ascii="Times New Roman" w:hAnsi="Times New Roman"/>
          <w:vertAlign w:val="superscript"/>
        </w:rPr>
        <w:t>5</w:t>
      </w:r>
      <w:r w:rsidR="00B232E4">
        <w:rPr>
          <w:rFonts w:ascii="Times New Roman" w:hAnsi="Times New Roman"/>
          <w:vertAlign w:val="superscript"/>
        </w:rPr>
        <w:t xml:space="preserve"> </w:t>
      </w:r>
      <w:r w:rsidR="00B232E4">
        <w:t>The Discoveries Centre for Regenerative and Precision Medicine, Headquarters at University of Minho, Avepark, 4805-017 Barco, Guimarães, Portugal</w:t>
      </w:r>
    </w:p>
    <w:p w14:paraId="5C1D85AC" w14:textId="77777777" w:rsidR="001F297A" w:rsidRDefault="001F297A">
      <w:pPr>
        <w:pStyle w:val="BIEmailAddress"/>
        <w:spacing w:line="240" w:lineRule="auto"/>
      </w:pPr>
    </w:p>
    <w:p w14:paraId="739E010E" w14:textId="77777777" w:rsidR="001F297A" w:rsidRDefault="00B232E4">
      <w:pPr>
        <w:pStyle w:val="TAMainText"/>
        <w:spacing w:after="120" w:line="360" w:lineRule="auto"/>
        <w:ind w:firstLine="0"/>
        <w:rPr>
          <w:rFonts w:eastAsia="Arial"/>
          <w:b/>
        </w:rPr>
      </w:pPr>
      <w:r>
        <w:rPr>
          <w:rFonts w:eastAsia="Arial"/>
          <w:b/>
        </w:rPr>
        <w:t>Supporting Figures</w:t>
      </w:r>
    </w:p>
    <w:p w14:paraId="0F9B73AB" w14:textId="27BE3238" w:rsidR="001F297A" w:rsidRDefault="0072612E">
      <w:pPr>
        <w:pStyle w:val="VAFigureCaption"/>
        <w:spacing w:line="312" w:lineRule="auto"/>
        <w:rPr>
          <w:rFonts w:eastAsia="Arial"/>
        </w:rPr>
      </w:pPr>
      <w:r>
        <w:rPr>
          <w:b/>
          <w:noProof/>
          <w:lang w:val="gl-ES" w:eastAsia="gl-ES"/>
        </w:rPr>
        <w:drawing>
          <wp:anchor distT="0" distB="0" distL="114300" distR="114300" simplePos="0" relativeHeight="251658240" behindDoc="0" locked="0" layoutInCell="1" allowOverlap="1" wp14:anchorId="28D7A3F3" wp14:editId="0AAA0116">
            <wp:simplePos x="0" y="0"/>
            <wp:positionH relativeFrom="column">
              <wp:posOffset>38100</wp:posOffset>
            </wp:positionH>
            <wp:positionV relativeFrom="paragraph">
              <wp:posOffset>60325</wp:posOffset>
            </wp:positionV>
            <wp:extent cx="2880360" cy="2117725"/>
            <wp:effectExtent l="0" t="0" r="0" b="0"/>
            <wp:wrapSquare wrapText="bothSides"/>
            <wp:docPr id="9" name="Imagem 9" descr="Fig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S1"/>
                    <pic:cNvPicPr>
                      <a:picLocks noChangeAspect="1" noChangeArrowheads="1"/>
                    </pic:cNvPicPr>
                  </pic:nvPicPr>
                  <pic:blipFill>
                    <a:blip r:embed="rId8" cstate="print">
                      <a:extLst>
                        <a:ext uri="{28A0092B-C50C-407E-A947-70E740481C1C}">
                          <a14:useLocalDpi xmlns:a14="http://schemas.microsoft.com/office/drawing/2010/main" val="0"/>
                        </a:ext>
                      </a:extLst>
                    </a:blip>
                    <a:srcRect r="-6779" b="-2933"/>
                    <a:stretch>
                      <a:fillRect/>
                    </a:stretch>
                  </pic:blipFill>
                  <pic:spPr bwMode="auto">
                    <a:xfrm>
                      <a:off x="0" y="0"/>
                      <a:ext cx="2880360" cy="2117725"/>
                    </a:xfrm>
                    <a:prstGeom prst="rect">
                      <a:avLst/>
                    </a:prstGeom>
                    <a:noFill/>
                  </pic:spPr>
                </pic:pic>
              </a:graphicData>
            </a:graphic>
            <wp14:sizeRelH relativeFrom="page">
              <wp14:pctWidth>0</wp14:pctWidth>
            </wp14:sizeRelH>
            <wp14:sizeRelV relativeFrom="page">
              <wp14:pctHeight>0</wp14:pctHeight>
            </wp14:sizeRelV>
          </wp:anchor>
        </w:drawing>
      </w:r>
      <w:r w:rsidR="00B232E4">
        <w:rPr>
          <w:b/>
        </w:rPr>
        <w:t>Figure S1.</w:t>
      </w:r>
      <w:r w:rsidR="00B232E4">
        <w:t xml:space="preserve"> Determination of the </w:t>
      </w:r>
      <w:r w:rsidR="00B232E4">
        <w:rPr>
          <w:rFonts w:eastAsia="Arial," w:cs="Arial,"/>
          <w:bCs/>
        </w:rPr>
        <w:t xml:space="preserve">CMC of GS14 by Isothermal Titration Calorimetry (ITC). </w:t>
      </w:r>
      <w:r w:rsidR="00B232E4">
        <w:rPr>
          <w:rFonts w:eastAsia="Arial"/>
        </w:rPr>
        <w:t xml:space="preserve">The titrations were monitored and carried out using an isothermal titration microcalorimeter (VP-ITC) from Microcal Inc. (Northampton, MA) at 1 atm. In each run, 2.5 </w:t>
      </w:r>
      <w:r w:rsidR="00B232E4">
        <w:rPr>
          <w:rFonts w:ascii="Times New Roman" w:eastAsia="Arial" w:hAnsi="Times New Roman"/>
        </w:rPr>
        <w:t>μ</w:t>
      </w:r>
      <w:r w:rsidR="00B232E4">
        <w:rPr>
          <w:rFonts w:eastAsia="Arial"/>
        </w:rPr>
        <w:t xml:space="preserve">L aliquots of a solution of 3 mM were sequentially injected from a 0.270 mL automatic syringe into a sample-cell containing water, while stirring at 200 rpm. The concentration of the aliquots is higher than the CMC, so at the beginning, the titrations show demicellization. As the concentration of GS14 in the sample-cell increased, the CMC was reached, and the final titrations measured the dilution of micelles. The inflection in the enthalpy curve gave a value of the 27.15 </w:t>
      </w:r>
      <w:r w:rsidR="00B232E4">
        <w:rPr>
          <w:rFonts w:ascii="Times New Roman" w:eastAsia="Arial" w:hAnsi="Times New Roman"/>
        </w:rPr>
        <w:t>μ</w:t>
      </w:r>
      <w:r w:rsidR="00B232E4">
        <w:rPr>
          <w:rFonts w:eastAsia="Arial"/>
        </w:rPr>
        <w:t xml:space="preserve">M for the CMC of GS14. Samples and water were degassed and thermostated by using a ThermoVac accessory before the titration process. The equilibration time between injections was set </w:t>
      </w:r>
      <w:r w:rsidR="00B232E4">
        <w:rPr>
          <w:rFonts w:eastAsia="Arial"/>
          <w:color w:val="000000" w:themeColor="text1"/>
        </w:rPr>
        <w:t>at 500 s</w:t>
      </w:r>
      <w:r w:rsidR="00B232E4">
        <w:rPr>
          <w:rFonts w:eastAsia="Arial"/>
        </w:rPr>
        <w:t>.</w:t>
      </w:r>
    </w:p>
    <w:p w14:paraId="59B12B14" w14:textId="77777777" w:rsidR="001F297A" w:rsidRDefault="00B232E4">
      <w:pPr>
        <w:pStyle w:val="VAFigureCaption"/>
        <w:spacing w:line="360" w:lineRule="auto"/>
        <w:jc w:val="center"/>
      </w:pPr>
      <w:r>
        <w:rPr>
          <w:noProof/>
          <w:lang w:val="gl-ES" w:eastAsia="gl-ES"/>
        </w:rPr>
        <w:lastRenderedPageBreak/>
        <w:drawing>
          <wp:inline distT="0" distB="5080" distL="0" distR="4445" wp14:anchorId="4698A3BA" wp14:editId="68CDFEF2">
            <wp:extent cx="4319905" cy="2147570"/>
            <wp:effectExtent l="0" t="0" r="0" b="0"/>
            <wp:docPr id="2" name="Imagem 3" descr="C:\Users\Rui\AppData\Local\Microsoft\Windows\INetCache\Content.Word\FigS3.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3" descr="C:\Users\Rui\AppData\Local\Microsoft\Windows\INetCache\Content.Word\FigS3.tif"/>
                    <pic:cNvPicPr>
                      <a:picLocks noChangeAspect="1" noChangeArrowheads="1"/>
                    </pic:cNvPicPr>
                  </pic:nvPicPr>
                  <pic:blipFill>
                    <a:blip r:embed="rId9"/>
                    <a:stretch>
                      <a:fillRect/>
                    </a:stretch>
                  </pic:blipFill>
                  <pic:spPr bwMode="auto">
                    <a:xfrm>
                      <a:off x="0" y="0"/>
                      <a:ext cx="4319905" cy="2147570"/>
                    </a:xfrm>
                    <a:prstGeom prst="rect">
                      <a:avLst/>
                    </a:prstGeom>
                  </pic:spPr>
                </pic:pic>
              </a:graphicData>
            </a:graphic>
          </wp:inline>
        </w:drawing>
      </w:r>
    </w:p>
    <w:p w14:paraId="7CCE94CC" w14:textId="77777777" w:rsidR="001F297A" w:rsidRDefault="00B232E4">
      <w:pPr>
        <w:pStyle w:val="VAFigureCaption"/>
        <w:spacing w:after="240" w:line="312" w:lineRule="auto"/>
      </w:pPr>
      <w:r>
        <w:rPr>
          <w:b/>
        </w:rPr>
        <w:t>Figure S2.</w:t>
      </w:r>
      <w:r>
        <w:t xml:space="preserve"> Cryo-TEM of empty liposomes depicting structures with a diameter roughly from 50 to 150 nm. Hexagonal shapes are observed due to artifacts induced by the formation of ice crystals during the freezing process. Cryo-TEM was used to observe frozen hydrated liposomes with intact morphology. The sample was applied to QUANTIFOIL® holey carbon grid (Cu/Rh R 3.5/1). This method was described elsewhere (ref. 21).</w:t>
      </w:r>
    </w:p>
    <w:p w14:paraId="1C2F63F3" w14:textId="77777777" w:rsidR="001F297A" w:rsidRDefault="001F297A">
      <w:pPr>
        <w:rPr>
          <w:sz w:val="12"/>
          <w:szCs w:val="12"/>
        </w:rPr>
      </w:pPr>
    </w:p>
    <w:p w14:paraId="611A3545" w14:textId="77777777" w:rsidR="001F297A" w:rsidRDefault="00B232E4">
      <w:pPr>
        <w:pStyle w:val="VAFigureCaption"/>
        <w:spacing w:line="360" w:lineRule="auto"/>
        <w:jc w:val="center"/>
        <w:rPr>
          <w:lang w:val="pt-PT" w:eastAsia="pt-PT"/>
        </w:rPr>
      </w:pPr>
      <w:r>
        <w:rPr>
          <w:noProof/>
          <w:lang w:val="gl-ES" w:eastAsia="gl-ES"/>
        </w:rPr>
        <w:drawing>
          <wp:inline distT="0" distB="0" distL="0" distR="0" wp14:anchorId="41BA7BBB" wp14:editId="2A298B67">
            <wp:extent cx="5753735" cy="2146935"/>
            <wp:effectExtent l="0" t="0" r="0" b="0"/>
            <wp:docPr id="3" name="Imagem 3"/>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pic:blipFill>
                  <pic:spPr>
                    <a:xfrm>
                      <a:off x="0" y="0"/>
                      <a:ext cx="5753160" cy="2146320"/>
                    </a:xfrm>
                    <a:prstGeom prst="rect">
                      <a:avLst/>
                    </a:prstGeom>
                    <a:ln>
                      <a:noFill/>
                    </a:ln>
                  </pic:spPr>
                </pic:pic>
              </a:graphicData>
            </a:graphic>
          </wp:inline>
        </w:drawing>
      </w:r>
    </w:p>
    <w:p w14:paraId="457A89A8" w14:textId="77777777" w:rsidR="001F297A" w:rsidRDefault="00B232E4">
      <w:pPr>
        <w:pStyle w:val="VAFigureCaption"/>
        <w:spacing w:after="240" w:line="312" w:lineRule="auto"/>
        <w:rPr>
          <w:rFonts w:eastAsia="Arial"/>
        </w:rPr>
      </w:pPr>
      <w:r>
        <w:rPr>
          <w:rFonts w:eastAsia="Arial"/>
          <w:b/>
        </w:rPr>
        <w:t>Figure S3</w:t>
      </w:r>
      <w:r>
        <w:rPr>
          <w:rFonts w:eastAsia="Arial,"/>
          <w:b/>
        </w:rPr>
        <w:t>.</w:t>
      </w:r>
      <w:r>
        <w:rPr>
          <w:rFonts w:eastAsia="Arial,"/>
        </w:rPr>
        <w:t xml:space="preserve"> Calibration curve of Nile Red in DMSO. </w:t>
      </w:r>
      <w:r>
        <w:rPr>
          <w:rFonts w:eastAsia="Arial"/>
        </w:rPr>
        <w:t>Samples of Nile Red in DMSO were prepared between 2 and 20 ng</w:t>
      </w:r>
      <w:r>
        <w:rPr>
          <w:rFonts w:eastAsia="Arial" w:cs="Times"/>
        </w:rPr>
        <w:t>∙</w:t>
      </w:r>
      <w:r>
        <w:rPr>
          <w:rFonts w:eastAsia="Arial"/>
        </w:rPr>
        <w:t>mL</w:t>
      </w:r>
      <w:r>
        <w:rPr>
          <w:rFonts w:eastAsia="Arial"/>
          <w:vertAlign w:val="superscript"/>
        </w:rPr>
        <w:t>-1</w:t>
      </w:r>
      <w:r>
        <w:rPr>
          <w:rFonts w:eastAsia="Arial"/>
        </w:rPr>
        <w:t xml:space="preserve"> to measure the fluorescence emission spectra. The intensities of the fluorescence emission peaks were obtained with an excitation wavelength of 550 nm. The emission spectra were measured with an FP-8500 spectrofluorometer (Jasco Inc., MD, USA) in a quartz cuvette with 200</w:t>
      </w:r>
      <w:r>
        <w:rPr>
          <w:rFonts w:ascii="Times New Roman" w:eastAsia="Arial" w:hAnsi="Times New Roman"/>
        </w:rPr>
        <w:t xml:space="preserve"> μL </w:t>
      </w:r>
      <w:r>
        <w:rPr>
          <w:rFonts w:eastAsia="Arial"/>
        </w:rPr>
        <w:t>of sample. The maxima of the emission fluorescence intensities were found at 617.8 nm.</w:t>
      </w:r>
    </w:p>
    <w:p w14:paraId="08FFD9F6" w14:textId="1CDB2158" w:rsidR="001F297A" w:rsidRDefault="00F45A83">
      <w:pPr>
        <w:pStyle w:val="VAFigureCaption"/>
        <w:spacing w:line="360" w:lineRule="auto"/>
        <w:jc w:val="center"/>
      </w:pPr>
      <w:r>
        <w:rPr>
          <w:noProof/>
          <w:lang w:val="pt-PT" w:eastAsia="pt-PT"/>
        </w:rPr>
        <w:lastRenderedPageBreak/>
        <w:pict w14:anchorId="1FC19E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55pt;height:155.95pt">
            <v:imagedata r:id="rId11" o:title="FigS4"/>
          </v:shape>
        </w:pict>
      </w:r>
    </w:p>
    <w:p w14:paraId="5A59635E" w14:textId="2C5AFCBD" w:rsidR="001F297A" w:rsidRDefault="00B232E4">
      <w:pPr>
        <w:pStyle w:val="VAFigureCaption"/>
        <w:spacing w:after="240" w:line="312" w:lineRule="auto"/>
        <w:rPr>
          <w:rFonts w:eastAsia="Arial"/>
        </w:rPr>
      </w:pPr>
      <w:r>
        <w:rPr>
          <w:rFonts w:eastAsia="Arial"/>
          <w:b/>
        </w:rPr>
        <w:t>Figure S4.</w:t>
      </w:r>
      <w:r>
        <w:rPr>
          <w:rFonts w:eastAsia="Arial"/>
        </w:rPr>
        <w:t xml:space="preserve"> Computational molecular dynamics simulations of the lipid bilayer loaded with Nile Red at 323</w:t>
      </w:r>
      <w:r w:rsidR="0072612E">
        <w:rPr>
          <w:rFonts w:eastAsia="Arial"/>
        </w:rPr>
        <w:t xml:space="preserve"> </w:t>
      </w:r>
      <w:r>
        <w:rPr>
          <w:rFonts w:eastAsia="Arial"/>
        </w:rPr>
        <w:t xml:space="preserve">K. At this temperature we simulate the nematic phase of the alkyl chains in the lipids. The 3D representation and the density of water molecules, Nile Red, and the </w:t>
      </w:r>
      <w:r w:rsidR="0072612E">
        <w:rPr>
          <w:rFonts w:eastAsia="Arial"/>
        </w:rPr>
        <w:t>phosphate</w:t>
      </w:r>
      <w:r>
        <w:rPr>
          <w:rFonts w:eastAsia="Arial"/>
        </w:rPr>
        <w:t xml:space="preserve"> head groups demonstrate that Nile Red is encapsulated in between the </w:t>
      </w:r>
      <w:r w:rsidR="0072612E">
        <w:rPr>
          <w:rFonts w:eastAsia="Arial"/>
        </w:rPr>
        <w:t xml:space="preserve">phosphate head groups, </w:t>
      </w:r>
      <w:r w:rsidR="0072612E" w:rsidRPr="0072612E">
        <w:rPr>
          <w:rFonts w:eastAsia="Arial"/>
          <w:i/>
        </w:rPr>
        <w:t>i.e.</w:t>
      </w:r>
      <w:r>
        <w:rPr>
          <w:rFonts w:eastAsia="Arial"/>
        </w:rPr>
        <w:t xml:space="preserve"> in the inner part of the lipid bilayer.</w:t>
      </w:r>
    </w:p>
    <w:p w14:paraId="32460569" w14:textId="77777777" w:rsidR="001F297A" w:rsidRDefault="001F297A">
      <w:pPr>
        <w:rPr>
          <w:rFonts w:eastAsia="Arial"/>
          <w:sz w:val="12"/>
        </w:rPr>
      </w:pPr>
    </w:p>
    <w:p w14:paraId="434A5513" w14:textId="77777777" w:rsidR="001F297A" w:rsidRDefault="00B232E4">
      <w:pPr>
        <w:pStyle w:val="VAFigureCaption"/>
        <w:spacing w:line="360" w:lineRule="auto"/>
        <w:jc w:val="center"/>
        <w:rPr>
          <w:lang w:val="en-GB"/>
        </w:rPr>
      </w:pPr>
      <w:r>
        <w:rPr>
          <w:noProof/>
          <w:lang w:val="gl-ES" w:eastAsia="gl-ES"/>
        </w:rPr>
        <w:drawing>
          <wp:inline distT="0" distB="0" distL="0" distR="0" wp14:anchorId="014F9C59" wp14:editId="662DACBD">
            <wp:extent cx="4432935" cy="3353435"/>
            <wp:effectExtent l="0" t="0" r="0" b="0"/>
            <wp:docPr id="5" name="Imagem 5"/>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2"/>
                    <a:stretch/>
                  </pic:blipFill>
                  <pic:spPr>
                    <a:xfrm>
                      <a:off x="0" y="0"/>
                      <a:ext cx="4432320" cy="3352680"/>
                    </a:xfrm>
                    <a:prstGeom prst="rect">
                      <a:avLst/>
                    </a:prstGeom>
                    <a:ln>
                      <a:noFill/>
                    </a:ln>
                  </pic:spPr>
                </pic:pic>
              </a:graphicData>
            </a:graphic>
          </wp:inline>
        </w:drawing>
      </w:r>
    </w:p>
    <w:p w14:paraId="15AEA221" w14:textId="77777777" w:rsidR="001F297A" w:rsidRDefault="00B232E4">
      <w:pPr>
        <w:pStyle w:val="VAFigureCaption"/>
        <w:spacing w:after="240" w:line="312" w:lineRule="auto"/>
        <w:rPr>
          <w:rFonts w:eastAsia="Arial"/>
        </w:rPr>
      </w:pPr>
      <w:r>
        <w:rPr>
          <w:rFonts w:eastAsia="Arial," w:cs="Arial,"/>
          <w:b/>
          <w:bCs/>
        </w:rPr>
        <w:t xml:space="preserve">Figure S5. </w:t>
      </w:r>
      <w:r>
        <w:rPr>
          <w:rFonts w:eastAsia="Arial," w:cs="Arial,"/>
          <w:bCs/>
        </w:rPr>
        <w:t xml:space="preserve">QCM-D demonstration of a supported phospholipid bilayer formation. Three minutes of baseline stabilization are shown. </w:t>
      </w:r>
      <w:r>
        <w:rPr>
          <w:rFonts w:eastAsia="Arial"/>
        </w:rPr>
        <w:t xml:space="preserve">The deposition of the cationic NR-Liposomes on a gold substrate led to the disruption of the liposomes and the formation of the supported lipid bilayer. This is evident from the increase of </w:t>
      </w:r>
      <w:r>
        <w:rPr>
          <w:rFonts w:eastAsia="Arial" w:cs="Times"/>
        </w:rPr>
        <w:t>Δ</w:t>
      </w:r>
      <w:r>
        <w:rPr>
          <w:rFonts w:eastAsia="Arial"/>
          <w:i/>
        </w:rPr>
        <w:t>F</w:t>
      </w:r>
      <w:r>
        <w:rPr>
          <w:rFonts w:eastAsia="Arial"/>
        </w:rPr>
        <w:t xml:space="preserve"> and decrease of </w:t>
      </w:r>
      <w:r>
        <w:rPr>
          <w:rFonts w:eastAsia="Arial" w:cs="Times"/>
        </w:rPr>
        <w:t>Δ</w:t>
      </w:r>
      <w:r>
        <w:rPr>
          <w:rFonts w:eastAsia="Arial" w:cs="Times"/>
          <w:i/>
        </w:rPr>
        <w:t>D</w:t>
      </w:r>
      <w:r>
        <w:rPr>
          <w:rFonts w:eastAsia="Arial"/>
        </w:rPr>
        <w:t xml:space="preserve"> after 1 min of NR-Liposomes contacting with the crystal (4 min in the graph) due to the disruption of liposomes and the release of water from the core.</w:t>
      </w:r>
    </w:p>
    <w:p w14:paraId="678E98DD" w14:textId="560DBAFF" w:rsidR="001F297A" w:rsidRDefault="00F45A83">
      <w:pPr>
        <w:pStyle w:val="Standard"/>
        <w:spacing w:line="360" w:lineRule="auto"/>
        <w:jc w:val="center"/>
        <w:rPr>
          <w:rFonts w:ascii="Arial" w:eastAsia="Arial," w:hAnsi="Arial" w:cs="Arial,"/>
          <w:b/>
          <w:bCs/>
          <w:lang w:val="en-US"/>
        </w:rPr>
      </w:pPr>
      <w:r>
        <w:rPr>
          <w:rFonts w:ascii="Arial" w:eastAsia="Arial," w:hAnsi="Arial" w:cs="Arial,"/>
          <w:b/>
          <w:bCs/>
          <w:lang w:val="en-US"/>
        </w:rPr>
        <w:lastRenderedPageBreak/>
        <w:pict w14:anchorId="3B7740C9">
          <v:shape id="_x0000_i1026" type="#_x0000_t75" style="width:467.5pt;height:382.45pt">
            <v:imagedata r:id="rId13" o:title="FigS6"/>
          </v:shape>
        </w:pict>
      </w:r>
    </w:p>
    <w:p w14:paraId="4904303C" w14:textId="1335FB0F" w:rsidR="003A721D" w:rsidRPr="00D9424B" w:rsidRDefault="00B232E4">
      <w:pPr>
        <w:pStyle w:val="Standard"/>
        <w:spacing w:after="240" w:line="312" w:lineRule="auto"/>
        <w:jc w:val="both"/>
        <w:rPr>
          <w:rFonts w:ascii="Times" w:hAnsi="Times" w:cs="Times"/>
          <w:lang w:val="en-GB"/>
        </w:rPr>
      </w:pPr>
      <w:r>
        <w:rPr>
          <w:rFonts w:ascii="Times New Roman" w:eastAsia="Arial," w:hAnsi="Times New Roman" w:cs="Times New Roman"/>
          <w:b/>
          <w:bCs/>
          <w:lang w:val="en-US"/>
        </w:rPr>
        <w:t>Figure S6.</w:t>
      </w:r>
      <w:r>
        <w:rPr>
          <w:rFonts w:ascii="Arial" w:eastAsia="Arial," w:hAnsi="Arial" w:cs="Arial,"/>
          <w:b/>
          <w:bCs/>
          <w:lang w:val="en-US"/>
        </w:rPr>
        <w:t xml:space="preserve"> </w:t>
      </w:r>
      <w:r>
        <w:rPr>
          <w:lang w:val="en-US"/>
        </w:rPr>
        <w:t>Release profile fittings to zero order, first order</w:t>
      </w:r>
      <w:r w:rsidR="005C2B22">
        <w:rPr>
          <w:lang w:val="en-US"/>
        </w:rPr>
        <w:t>, Hixson-Crowell</w:t>
      </w:r>
      <w:r>
        <w:rPr>
          <w:lang w:val="en-US"/>
        </w:rPr>
        <w:t xml:space="preserve"> and Higuchi models. In a zero order release type, the cumulative release is represented as a function of time. In a first order release type, the logarithm of the </w:t>
      </w:r>
      <w:r w:rsidR="00697501">
        <w:rPr>
          <w:lang w:val="en-US"/>
        </w:rPr>
        <w:t>unreleased</w:t>
      </w:r>
      <w:r>
        <w:rPr>
          <w:lang w:val="en-US"/>
        </w:rPr>
        <w:t xml:space="preserve"> drug is represented as a function of time</w:t>
      </w:r>
      <w:r w:rsidR="00831B8E">
        <w:rPr>
          <w:lang w:val="en-US"/>
        </w:rPr>
        <w:t xml:space="preserve">. </w:t>
      </w:r>
      <w:r w:rsidR="008C763B">
        <w:rPr>
          <w:lang w:val="en-US"/>
        </w:rPr>
        <w:t xml:space="preserve">In the Hixson-Crowell model, the </w:t>
      </w:r>
      <w:r w:rsidR="00697501">
        <w:rPr>
          <w:lang w:val="en-US"/>
        </w:rPr>
        <w:t xml:space="preserve">cube root of the unreleased drug is subtracted from the cube root of the total initial amount and plotted as a function of time. </w:t>
      </w:r>
      <w:r w:rsidR="00831B8E">
        <w:rPr>
          <w:lang w:val="en-US"/>
        </w:rPr>
        <w:t>In the</w:t>
      </w:r>
      <w:r>
        <w:rPr>
          <w:lang w:val="en-US"/>
        </w:rPr>
        <w:t xml:space="preserve"> Higuchi model, the cumulative release is plotted as a function of the square root of time. The graphs show the fittings, the functions and the correlation coefficients resulting from the regression analyses with the Nile Red release profiles from surface-exposed liposomes and embedded lipos</w:t>
      </w:r>
      <w:r w:rsidRPr="00D9424B">
        <w:rPr>
          <w:rFonts w:ascii="Times" w:hAnsi="Times" w:cs="Times"/>
          <w:lang w:val="en-US"/>
        </w:rPr>
        <w:t>omes.</w:t>
      </w:r>
      <w:bookmarkStart w:id="0" w:name="_GoBack"/>
      <w:bookmarkEnd w:id="0"/>
    </w:p>
    <w:p w14:paraId="6DAB887B" w14:textId="77777777" w:rsidR="008C763B" w:rsidRDefault="008C763B">
      <w:pPr>
        <w:pStyle w:val="Standard"/>
        <w:spacing w:after="240" w:line="312" w:lineRule="auto"/>
        <w:jc w:val="both"/>
        <w:rPr>
          <w:lang w:val="en-US"/>
        </w:rPr>
      </w:pPr>
    </w:p>
    <w:p w14:paraId="566F3627" w14:textId="77777777" w:rsidR="00786080" w:rsidRDefault="00786080">
      <w:pPr>
        <w:pStyle w:val="Standard"/>
        <w:spacing w:after="240" w:line="312" w:lineRule="auto"/>
        <w:jc w:val="both"/>
        <w:rPr>
          <w:lang w:val="en-US"/>
        </w:rPr>
      </w:pPr>
    </w:p>
    <w:p w14:paraId="037D4FC9" w14:textId="77777777" w:rsidR="00786080" w:rsidRDefault="00786080">
      <w:pPr>
        <w:pStyle w:val="Standard"/>
        <w:spacing w:after="240" w:line="312" w:lineRule="auto"/>
        <w:jc w:val="both"/>
        <w:rPr>
          <w:lang w:val="en-US"/>
        </w:rPr>
      </w:pPr>
    </w:p>
    <w:p w14:paraId="796A8EC8" w14:textId="77777777" w:rsidR="00786080" w:rsidRDefault="00786080">
      <w:pPr>
        <w:pStyle w:val="Standard"/>
        <w:spacing w:after="240" w:line="312" w:lineRule="auto"/>
        <w:jc w:val="both"/>
        <w:rPr>
          <w:lang w:val="en-US"/>
        </w:rPr>
      </w:pPr>
    </w:p>
    <w:p w14:paraId="00AB6018" w14:textId="77777777" w:rsidR="00CF33E0" w:rsidRDefault="00CF33E0">
      <w:pPr>
        <w:pStyle w:val="Standard"/>
        <w:spacing w:after="240" w:line="312" w:lineRule="auto"/>
        <w:jc w:val="both"/>
        <w:rPr>
          <w:lang w:val="en-US"/>
        </w:rPr>
      </w:pPr>
    </w:p>
    <w:p w14:paraId="689FCF3E" w14:textId="4503F2CD" w:rsidR="008C763B" w:rsidRDefault="008C763B" w:rsidP="007F717C">
      <w:pPr>
        <w:pStyle w:val="VBChartTitle"/>
        <w:spacing w:after="240" w:line="312" w:lineRule="auto"/>
        <w:jc w:val="center"/>
      </w:pPr>
      <w:r w:rsidRPr="00697501">
        <w:rPr>
          <w:b/>
        </w:rPr>
        <w:lastRenderedPageBreak/>
        <w:t xml:space="preserve">Table </w:t>
      </w:r>
      <w:r w:rsidR="008546BF">
        <w:rPr>
          <w:b/>
        </w:rPr>
        <w:t>S</w:t>
      </w:r>
      <w:r w:rsidRPr="00697501">
        <w:rPr>
          <w:b/>
        </w:rPr>
        <w:t>1.</w:t>
      </w:r>
      <w:r>
        <w:t xml:space="preserve"> Coefficients of determination</w:t>
      </w:r>
      <w:r w:rsidR="00697501">
        <w:t xml:space="preserve"> calculated from the release profile fittings.</w:t>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83"/>
        <w:gridCol w:w="2929"/>
        <w:gridCol w:w="2898"/>
      </w:tblGrid>
      <w:tr w:rsidR="003A721D" w14:paraId="369691D3" w14:textId="1AE9E48C" w:rsidTr="00831B8E">
        <w:trPr>
          <w:jc w:val="center"/>
        </w:trPr>
        <w:tc>
          <w:tcPr>
            <w:tcW w:w="1883" w:type="dxa"/>
            <w:tcBorders>
              <w:top w:val="single" w:sz="4" w:space="0" w:color="auto"/>
              <w:bottom w:val="single" w:sz="4" w:space="0" w:color="auto"/>
            </w:tcBorders>
            <w:vAlign w:val="center"/>
          </w:tcPr>
          <w:p w14:paraId="78E4FEAC" w14:textId="5A908651" w:rsidR="003A721D" w:rsidRDefault="003A721D" w:rsidP="00831B8E">
            <w:pPr>
              <w:pStyle w:val="Standard"/>
              <w:spacing w:before="120" w:after="120"/>
              <w:jc w:val="center"/>
              <w:rPr>
                <w:lang w:val="en-US"/>
              </w:rPr>
            </w:pPr>
            <w:r>
              <w:rPr>
                <w:lang w:val="en-US"/>
              </w:rPr>
              <w:t>model</w:t>
            </w:r>
          </w:p>
        </w:tc>
        <w:tc>
          <w:tcPr>
            <w:tcW w:w="5827" w:type="dxa"/>
            <w:gridSpan w:val="2"/>
            <w:tcBorders>
              <w:top w:val="single" w:sz="4" w:space="0" w:color="auto"/>
              <w:bottom w:val="single" w:sz="4" w:space="0" w:color="auto"/>
            </w:tcBorders>
            <w:vAlign w:val="center"/>
          </w:tcPr>
          <w:p w14:paraId="19F1942C" w14:textId="3D79197F" w:rsidR="003A721D" w:rsidRDefault="003A721D" w:rsidP="00831B8E">
            <w:pPr>
              <w:pStyle w:val="Standard"/>
              <w:spacing w:before="120" w:after="120"/>
              <w:jc w:val="center"/>
              <w:rPr>
                <w:lang w:val="en-US"/>
              </w:rPr>
            </w:pPr>
            <w:r>
              <w:rPr>
                <w:lang w:val="en-US"/>
              </w:rPr>
              <w:t xml:space="preserve">coefficient of determination, </w:t>
            </w:r>
            <w:r>
              <w:rPr>
                <w:i/>
                <w:lang w:val="en-US"/>
              </w:rPr>
              <w:t>r</w:t>
            </w:r>
            <w:r w:rsidRPr="003A721D">
              <w:rPr>
                <w:i/>
                <w:vertAlign w:val="superscript"/>
                <w:lang w:val="en-US"/>
              </w:rPr>
              <w:t>2</w:t>
            </w:r>
          </w:p>
        </w:tc>
      </w:tr>
      <w:tr w:rsidR="003A721D" w14:paraId="7CA5DEC7" w14:textId="63CE1022" w:rsidTr="00831B8E">
        <w:trPr>
          <w:jc w:val="center"/>
        </w:trPr>
        <w:tc>
          <w:tcPr>
            <w:tcW w:w="1883" w:type="dxa"/>
            <w:tcBorders>
              <w:top w:val="single" w:sz="4" w:space="0" w:color="auto"/>
            </w:tcBorders>
            <w:vAlign w:val="center"/>
          </w:tcPr>
          <w:p w14:paraId="4965166E" w14:textId="3B678411" w:rsidR="003A721D" w:rsidRDefault="003A721D" w:rsidP="00831B8E">
            <w:pPr>
              <w:pStyle w:val="Standard"/>
              <w:spacing w:before="120" w:after="120"/>
              <w:jc w:val="center"/>
              <w:rPr>
                <w:lang w:val="en-US"/>
              </w:rPr>
            </w:pPr>
          </w:p>
        </w:tc>
        <w:tc>
          <w:tcPr>
            <w:tcW w:w="2929" w:type="dxa"/>
            <w:tcBorders>
              <w:top w:val="single" w:sz="4" w:space="0" w:color="auto"/>
              <w:bottom w:val="single" w:sz="4" w:space="0" w:color="auto"/>
            </w:tcBorders>
            <w:vAlign w:val="center"/>
          </w:tcPr>
          <w:p w14:paraId="461A5E71" w14:textId="5C7004D3" w:rsidR="003A721D" w:rsidRDefault="003A721D" w:rsidP="00831B8E">
            <w:pPr>
              <w:pStyle w:val="Standard"/>
              <w:spacing w:before="120" w:after="120"/>
              <w:jc w:val="center"/>
              <w:rPr>
                <w:lang w:val="en-US"/>
              </w:rPr>
            </w:pPr>
            <w:r>
              <w:rPr>
                <w:lang w:val="en-US"/>
              </w:rPr>
              <w:t>surface-exposed liposomes</w:t>
            </w:r>
          </w:p>
        </w:tc>
        <w:tc>
          <w:tcPr>
            <w:tcW w:w="2898" w:type="dxa"/>
            <w:tcBorders>
              <w:top w:val="single" w:sz="4" w:space="0" w:color="auto"/>
              <w:bottom w:val="single" w:sz="4" w:space="0" w:color="auto"/>
            </w:tcBorders>
            <w:vAlign w:val="center"/>
          </w:tcPr>
          <w:p w14:paraId="734DD25F" w14:textId="15AE1551" w:rsidR="003A721D" w:rsidRDefault="003A721D" w:rsidP="00831B8E">
            <w:pPr>
              <w:pStyle w:val="Standard"/>
              <w:spacing w:before="120" w:after="120"/>
              <w:jc w:val="center"/>
              <w:rPr>
                <w:lang w:val="en-US"/>
              </w:rPr>
            </w:pPr>
            <w:r>
              <w:rPr>
                <w:lang w:val="en-US"/>
              </w:rPr>
              <w:t>embedded liposomes</w:t>
            </w:r>
          </w:p>
        </w:tc>
      </w:tr>
      <w:tr w:rsidR="003A721D" w14:paraId="38E48A55" w14:textId="0B8C878B" w:rsidTr="00831B8E">
        <w:trPr>
          <w:jc w:val="center"/>
        </w:trPr>
        <w:tc>
          <w:tcPr>
            <w:tcW w:w="1883" w:type="dxa"/>
            <w:vAlign w:val="center"/>
          </w:tcPr>
          <w:p w14:paraId="02606E4F" w14:textId="75E2EA8A" w:rsidR="003A721D" w:rsidRDefault="003A721D" w:rsidP="00831B8E">
            <w:pPr>
              <w:pStyle w:val="Standard"/>
              <w:spacing w:before="120" w:after="120"/>
              <w:jc w:val="center"/>
              <w:rPr>
                <w:lang w:val="en-US"/>
              </w:rPr>
            </w:pPr>
            <w:r>
              <w:rPr>
                <w:lang w:val="en-US"/>
              </w:rPr>
              <w:t>zero order</w:t>
            </w:r>
          </w:p>
        </w:tc>
        <w:tc>
          <w:tcPr>
            <w:tcW w:w="2929" w:type="dxa"/>
            <w:tcBorders>
              <w:top w:val="single" w:sz="4" w:space="0" w:color="auto"/>
            </w:tcBorders>
            <w:vAlign w:val="center"/>
          </w:tcPr>
          <w:p w14:paraId="48748379" w14:textId="16436CBA" w:rsidR="003A721D" w:rsidRDefault="008C763B" w:rsidP="00831B8E">
            <w:pPr>
              <w:pStyle w:val="Standard"/>
              <w:spacing w:before="120" w:after="120"/>
              <w:jc w:val="center"/>
              <w:rPr>
                <w:lang w:val="en-US"/>
              </w:rPr>
            </w:pPr>
            <w:r>
              <w:rPr>
                <w:lang w:val="en-US"/>
              </w:rPr>
              <w:t>0.65</w:t>
            </w:r>
          </w:p>
        </w:tc>
        <w:tc>
          <w:tcPr>
            <w:tcW w:w="2898" w:type="dxa"/>
            <w:tcBorders>
              <w:top w:val="single" w:sz="4" w:space="0" w:color="auto"/>
            </w:tcBorders>
            <w:vAlign w:val="center"/>
          </w:tcPr>
          <w:p w14:paraId="29388AE2" w14:textId="578E4B65" w:rsidR="003A721D" w:rsidRDefault="008C763B" w:rsidP="00831B8E">
            <w:pPr>
              <w:pStyle w:val="Standard"/>
              <w:spacing w:before="120" w:after="120"/>
              <w:jc w:val="center"/>
              <w:rPr>
                <w:lang w:val="en-US"/>
              </w:rPr>
            </w:pPr>
            <w:r>
              <w:rPr>
                <w:lang w:val="en-US"/>
              </w:rPr>
              <w:t>0.81</w:t>
            </w:r>
          </w:p>
        </w:tc>
      </w:tr>
      <w:tr w:rsidR="003A721D" w14:paraId="5D390F1B" w14:textId="7934BA18" w:rsidTr="00831B8E">
        <w:trPr>
          <w:jc w:val="center"/>
        </w:trPr>
        <w:tc>
          <w:tcPr>
            <w:tcW w:w="1883" w:type="dxa"/>
            <w:vAlign w:val="center"/>
          </w:tcPr>
          <w:p w14:paraId="329BB366" w14:textId="1EE549B8" w:rsidR="003A721D" w:rsidRDefault="003A721D" w:rsidP="00831B8E">
            <w:pPr>
              <w:pStyle w:val="Standard"/>
              <w:spacing w:before="120" w:after="120"/>
              <w:jc w:val="center"/>
              <w:rPr>
                <w:lang w:val="en-US"/>
              </w:rPr>
            </w:pPr>
            <w:r>
              <w:rPr>
                <w:lang w:val="en-US"/>
              </w:rPr>
              <w:t>first order</w:t>
            </w:r>
          </w:p>
        </w:tc>
        <w:tc>
          <w:tcPr>
            <w:tcW w:w="2929" w:type="dxa"/>
            <w:vAlign w:val="center"/>
          </w:tcPr>
          <w:p w14:paraId="1A3E25B3" w14:textId="60FBD1D6" w:rsidR="003A721D" w:rsidRDefault="008C763B" w:rsidP="00831B8E">
            <w:pPr>
              <w:pStyle w:val="Standard"/>
              <w:spacing w:before="120" w:after="120"/>
              <w:jc w:val="center"/>
              <w:rPr>
                <w:lang w:val="en-US"/>
              </w:rPr>
            </w:pPr>
            <w:r>
              <w:rPr>
                <w:lang w:val="en-US"/>
              </w:rPr>
              <w:t>0.93</w:t>
            </w:r>
          </w:p>
        </w:tc>
        <w:tc>
          <w:tcPr>
            <w:tcW w:w="2898" w:type="dxa"/>
            <w:vAlign w:val="center"/>
          </w:tcPr>
          <w:p w14:paraId="76D41B2F" w14:textId="28A480E4" w:rsidR="003A721D" w:rsidRDefault="008C763B" w:rsidP="00831B8E">
            <w:pPr>
              <w:pStyle w:val="Standard"/>
              <w:spacing w:before="120" w:after="120"/>
              <w:jc w:val="center"/>
              <w:rPr>
                <w:lang w:val="en-US"/>
              </w:rPr>
            </w:pPr>
            <w:r>
              <w:rPr>
                <w:lang w:val="en-US"/>
              </w:rPr>
              <w:t>0.96</w:t>
            </w:r>
          </w:p>
        </w:tc>
      </w:tr>
      <w:tr w:rsidR="003A721D" w14:paraId="43E088FE" w14:textId="4223CCA4" w:rsidTr="00831B8E">
        <w:trPr>
          <w:jc w:val="center"/>
        </w:trPr>
        <w:tc>
          <w:tcPr>
            <w:tcW w:w="1883" w:type="dxa"/>
            <w:vAlign w:val="center"/>
          </w:tcPr>
          <w:p w14:paraId="710558CB" w14:textId="6EE06F91" w:rsidR="003A721D" w:rsidRDefault="003A721D" w:rsidP="00831B8E">
            <w:pPr>
              <w:pStyle w:val="Standard"/>
              <w:spacing w:before="120" w:after="120"/>
              <w:jc w:val="center"/>
              <w:rPr>
                <w:lang w:val="en-US"/>
              </w:rPr>
            </w:pPr>
            <w:r>
              <w:rPr>
                <w:lang w:val="en-US"/>
              </w:rPr>
              <w:t>Hixson-Crowell</w:t>
            </w:r>
          </w:p>
        </w:tc>
        <w:tc>
          <w:tcPr>
            <w:tcW w:w="2929" w:type="dxa"/>
            <w:vAlign w:val="center"/>
          </w:tcPr>
          <w:p w14:paraId="752C69B7" w14:textId="52601369" w:rsidR="003A721D" w:rsidRDefault="008C763B" w:rsidP="00831B8E">
            <w:pPr>
              <w:pStyle w:val="Standard"/>
              <w:spacing w:before="120" w:after="120"/>
              <w:jc w:val="center"/>
              <w:rPr>
                <w:lang w:val="en-US"/>
              </w:rPr>
            </w:pPr>
            <w:r>
              <w:rPr>
                <w:lang w:val="en-US"/>
              </w:rPr>
              <w:t>0.85</w:t>
            </w:r>
          </w:p>
        </w:tc>
        <w:tc>
          <w:tcPr>
            <w:tcW w:w="2898" w:type="dxa"/>
            <w:vAlign w:val="center"/>
          </w:tcPr>
          <w:p w14:paraId="726E7F13" w14:textId="52C5FBE1" w:rsidR="003A721D" w:rsidRDefault="008C763B" w:rsidP="00831B8E">
            <w:pPr>
              <w:pStyle w:val="Standard"/>
              <w:spacing w:before="120" w:after="120"/>
              <w:jc w:val="center"/>
              <w:rPr>
                <w:lang w:val="en-US"/>
              </w:rPr>
            </w:pPr>
            <w:r>
              <w:rPr>
                <w:lang w:val="en-US"/>
              </w:rPr>
              <w:t>0.93</w:t>
            </w:r>
          </w:p>
        </w:tc>
      </w:tr>
      <w:tr w:rsidR="003A721D" w14:paraId="524FDE63" w14:textId="140DF165" w:rsidTr="00831B8E">
        <w:trPr>
          <w:jc w:val="center"/>
        </w:trPr>
        <w:tc>
          <w:tcPr>
            <w:tcW w:w="1883" w:type="dxa"/>
            <w:tcBorders>
              <w:bottom w:val="single" w:sz="4" w:space="0" w:color="auto"/>
            </w:tcBorders>
            <w:vAlign w:val="center"/>
          </w:tcPr>
          <w:p w14:paraId="17F44753" w14:textId="2E812EB3" w:rsidR="003A721D" w:rsidRDefault="003A721D" w:rsidP="00831B8E">
            <w:pPr>
              <w:pStyle w:val="Standard"/>
              <w:spacing w:before="120" w:after="120"/>
              <w:jc w:val="center"/>
              <w:rPr>
                <w:lang w:val="en-US"/>
              </w:rPr>
            </w:pPr>
            <w:r>
              <w:rPr>
                <w:lang w:val="en-US"/>
              </w:rPr>
              <w:t>Higuchi</w:t>
            </w:r>
          </w:p>
        </w:tc>
        <w:tc>
          <w:tcPr>
            <w:tcW w:w="2929" w:type="dxa"/>
            <w:tcBorders>
              <w:bottom w:val="single" w:sz="4" w:space="0" w:color="auto"/>
            </w:tcBorders>
            <w:vAlign w:val="center"/>
          </w:tcPr>
          <w:p w14:paraId="116106D5" w14:textId="7B25C158" w:rsidR="003A721D" w:rsidRDefault="008C763B" w:rsidP="00831B8E">
            <w:pPr>
              <w:pStyle w:val="Standard"/>
              <w:spacing w:before="120" w:after="120"/>
              <w:jc w:val="center"/>
              <w:rPr>
                <w:lang w:val="en-US"/>
              </w:rPr>
            </w:pPr>
            <w:r>
              <w:rPr>
                <w:lang w:val="en-US"/>
              </w:rPr>
              <w:t>0.90</w:t>
            </w:r>
          </w:p>
        </w:tc>
        <w:tc>
          <w:tcPr>
            <w:tcW w:w="2898" w:type="dxa"/>
            <w:tcBorders>
              <w:bottom w:val="single" w:sz="4" w:space="0" w:color="auto"/>
            </w:tcBorders>
            <w:vAlign w:val="center"/>
          </w:tcPr>
          <w:p w14:paraId="75F25BF9" w14:textId="66653C51" w:rsidR="003A721D" w:rsidRDefault="008C763B" w:rsidP="00831B8E">
            <w:pPr>
              <w:pStyle w:val="Standard"/>
              <w:spacing w:before="120" w:after="120"/>
              <w:jc w:val="center"/>
              <w:rPr>
                <w:lang w:val="en-US"/>
              </w:rPr>
            </w:pPr>
            <w:r>
              <w:rPr>
                <w:lang w:val="en-US"/>
              </w:rPr>
              <w:t>0.97</w:t>
            </w:r>
          </w:p>
        </w:tc>
      </w:tr>
    </w:tbl>
    <w:p w14:paraId="6EE2A56A" w14:textId="77777777" w:rsidR="003A721D" w:rsidRDefault="003A721D">
      <w:pPr>
        <w:pStyle w:val="Standard"/>
        <w:spacing w:after="240" w:line="312" w:lineRule="auto"/>
        <w:jc w:val="both"/>
        <w:rPr>
          <w:lang w:val="en-US"/>
        </w:rPr>
      </w:pPr>
    </w:p>
    <w:p w14:paraId="4EF23A36" w14:textId="77777777" w:rsidR="007F717C" w:rsidRDefault="007F717C">
      <w:pPr>
        <w:pStyle w:val="Standard"/>
        <w:spacing w:after="240" w:line="312" w:lineRule="auto"/>
        <w:jc w:val="both"/>
        <w:rPr>
          <w:lang w:val="en-US"/>
        </w:rPr>
      </w:pPr>
    </w:p>
    <w:p w14:paraId="4CD8B53E" w14:textId="77777777" w:rsidR="001F297A" w:rsidRDefault="00B232E4">
      <w:pPr>
        <w:pStyle w:val="Standard"/>
        <w:spacing w:after="240" w:line="360" w:lineRule="auto"/>
        <w:ind w:hanging="426"/>
        <w:jc w:val="both"/>
        <w:rPr>
          <w:lang w:val="en-US"/>
        </w:rPr>
      </w:pPr>
      <w:r>
        <w:rPr>
          <w:noProof/>
          <w:lang w:val="gl-ES" w:eastAsia="gl-ES" w:bidi="ar-SA"/>
        </w:rPr>
        <w:drawing>
          <wp:inline distT="0" distB="152400" distL="0" distR="0" wp14:anchorId="0B5E6454" wp14:editId="3F3B8EC8">
            <wp:extent cx="6426835" cy="2845435"/>
            <wp:effectExtent l="0" t="0" r="0" b="0"/>
            <wp:docPr id="7" name="Imagem 7"/>
            <wp:cNvGraphicFramePr/>
            <a:graphic xmlns:a="http://schemas.openxmlformats.org/drawingml/2006/main">
              <a:graphicData uri="http://schemas.openxmlformats.org/drawingml/2006/picture">
                <pic:pic xmlns:pic="http://schemas.openxmlformats.org/drawingml/2006/picture">
                  <pic:nvPicPr>
                    <pic:cNvPr id="4" name=""/>
                    <pic:cNvPicPr/>
                  </pic:nvPicPr>
                  <pic:blipFill>
                    <a:blip r:embed="rId14"/>
                    <a:stretch/>
                  </pic:blipFill>
                  <pic:spPr>
                    <a:xfrm>
                      <a:off x="0" y="0"/>
                      <a:ext cx="6426360" cy="2844720"/>
                    </a:xfrm>
                    <a:prstGeom prst="rect">
                      <a:avLst/>
                    </a:prstGeom>
                    <a:ln>
                      <a:noFill/>
                    </a:ln>
                  </pic:spPr>
                </pic:pic>
              </a:graphicData>
            </a:graphic>
          </wp:inline>
        </w:drawing>
      </w:r>
    </w:p>
    <w:p w14:paraId="44282352" w14:textId="52DFDCCD" w:rsidR="00FA155A" w:rsidRDefault="00B232E4" w:rsidP="00FA155A">
      <w:pPr>
        <w:pStyle w:val="VAFigureCaption"/>
        <w:spacing w:after="240" w:line="312" w:lineRule="auto"/>
        <w:rPr>
          <w:rFonts w:ascii="Times New Roman" w:hAnsi="Times New Roman"/>
        </w:rPr>
      </w:pPr>
      <w:r>
        <w:rPr>
          <w:b/>
        </w:rPr>
        <w:t>Figure S7.</w:t>
      </w:r>
      <w:r>
        <w:t xml:space="preserve"> </w:t>
      </w:r>
      <w:r>
        <w:rPr>
          <w:rFonts w:ascii="Times New Roman" w:hAnsi="Times New Roman"/>
        </w:rPr>
        <w:t>CLSM images of MDA-MB-231 breast cancer cells from Figure 4. Fluorescence channels were selected to also show isolated Nile Red (A3-L3). Scale bar: 50 µm.</w:t>
      </w:r>
    </w:p>
    <w:p w14:paraId="71268068" w14:textId="77777777" w:rsidR="00FA155A" w:rsidRDefault="00FA155A" w:rsidP="00FA155A"/>
    <w:p w14:paraId="6D19111C" w14:textId="77777777" w:rsidR="00FA155A" w:rsidRDefault="00FA155A" w:rsidP="00FA155A"/>
    <w:p w14:paraId="75B25EC6" w14:textId="77777777" w:rsidR="00FA155A" w:rsidRDefault="00FA155A" w:rsidP="00FA155A"/>
    <w:p w14:paraId="56EAB8A8" w14:textId="77777777" w:rsidR="00FA155A" w:rsidRDefault="00FA155A" w:rsidP="00FA155A"/>
    <w:p w14:paraId="05BAE013" w14:textId="43C58571" w:rsidR="00FA155A" w:rsidRDefault="00F45A83" w:rsidP="00FA155A">
      <w:pPr>
        <w:pStyle w:val="VAFigureCaption"/>
        <w:ind w:left="-426"/>
      </w:pPr>
      <w:r>
        <w:lastRenderedPageBreak/>
        <w:pict w14:anchorId="1B005189">
          <v:shape id="_x0000_i1027" type="#_x0000_t75" style="width:505.25pt;height:411.5pt">
            <v:imagedata r:id="rId15" o:title="FigS8"/>
          </v:shape>
        </w:pict>
      </w:r>
    </w:p>
    <w:p w14:paraId="3184F4F5" w14:textId="36369717" w:rsidR="00484D55" w:rsidRDefault="00FA155A" w:rsidP="00484D55">
      <w:pPr>
        <w:pStyle w:val="VAFigureCaption"/>
        <w:spacing w:after="240" w:line="312" w:lineRule="auto"/>
      </w:pPr>
      <w:r w:rsidRPr="00FA155A">
        <w:rPr>
          <w:b/>
        </w:rPr>
        <w:t>Figure S8.</w:t>
      </w:r>
      <w:r>
        <w:t xml:space="preserve"> </w:t>
      </w:r>
      <w:r>
        <w:rPr>
          <w:rFonts w:eastAsia="Arial,"/>
        </w:rPr>
        <w:t xml:space="preserve">Nile Red intensity distribution profiles in the control and in cells incubated with free NR-Liposomes. The yellow lines </w:t>
      </w:r>
      <w:r w:rsidR="004A1423">
        <w:rPr>
          <w:rFonts w:eastAsia="Arial,"/>
        </w:rPr>
        <w:t>represent</w:t>
      </w:r>
      <w:r>
        <w:rPr>
          <w:rFonts w:eastAsia="Arial,"/>
        </w:rPr>
        <w:t xml:space="preserve"> the traced profile for </w:t>
      </w:r>
      <w:r w:rsidR="004A1423">
        <w:rPr>
          <w:rFonts w:eastAsia="Arial,"/>
        </w:rPr>
        <w:t>the quantification of the red intensity</w:t>
      </w:r>
      <w:r>
        <w:rPr>
          <w:rFonts w:eastAsia="Arial,"/>
        </w:rPr>
        <w:t xml:space="preserve">. </w:t>
      </w:r>
      <w:r w:rsidR="0081456D">
        <w:rPr>
          <w:rFonts w:eastAsia="Arial,"/>
        </w:rPr>
        <w:t>T</w:t>
      </w:r>
      <w:r>
        <w:rPr>
          <w:rFonts w:eastAsia="Arial,"/>
        </w:rPr>
        <w:t xml:space="preserve">he </w:t>
      </w:r>
      <w:r w:rsidR="004A1423">
        <w:rPr>
          <w:rFonts w:eastAsia="Arial,"/>
        </w:rPr>
        <w:t xml:space="preserve">intensity from the </w:t>
      </w:r>
      <w:r>
        <w:rPr>
          <w:rFonts w:eastAsia="Arial,"/>
        </w:rPr>
        <w:t xml:space="preserve">red </w:t>
      </w:r>
      <w:r w:rsidR="004A1423">
        <w:rPr>
          <w:rFonts w:eastAsia="Arial,"/>
        </w:rPr>
        <w:t xml:space="preserve">channel </w:t>
      </w:r>
      <w:r w:rsidR="0081456D">
        <w:rPr>
          <w:rFonts w:eastAsia="Arial,"/>
        </w:rPr>
        <w:t xml:space="preserve">in the control cells </w:t>
      </w:r>
      <w:r>
        <w:rPr>
          <w:rFonts w:eastAsia="Arial,"/>
        </w:rPr>
        <w:t>is residual.</w:t>
      </w:r>
      <w:r w:rsidR="004A1423">
        <w:rPr>
          <w:rFonts w:eastAsia="Arial,"/>
        </w:rPr>
        <w:t xml:space="preserve"> The spikes in the graphs show locations where Nile Red is more concentrated, which agrees with </w:t>
      </w:r>
      <w:r w:rsidR="00CF1FD3">
        <w:rPr>
          <w:rFonts w:eastAsia="Arial,"/>
        </w:rPr>
        <w:t>cells taking in NR-Liposomes</w:t>
      </w:r>
      <w:r w:rsidR="0081456D">
        <w:rPr>
          <w:rFonts w:eastAsia="Arial,"/>
        </w:rPr>
        <w:t xml:space="preserve"> and </w:t>
      </w:r>
      <w:r w:rsidR="009652E5">
        <w:rPr>
          <w:rFonts w:eastAsia="Arial,"/>
        </w:rPr>
        <w:t xml:space="preserve">with </w:t>
      </w:r>
      <w:r w:rsidR="0081456D">
        <w:rPr>
          <w:rFonts w:eastAsia="Arial,"/>
        </w:rPr>
        <w:t>the likely formation of endosomes</w:t>
      </w:r>
      <w:r w:rsidR="004A1423">
        <w:rPr>
          <w:rFonts w:eastAsia="Arial,"/>
        </w:rPr>
        <w:t>.</w:t>
      </w:r>
      <w:r w:rsidR="00484D55">
        <w:rPr>
          <w:rFonts w:eastAsia="Arial,"/>
        </w:rPr>
        <w:t xml:space="preserve"> T</w:t>
      </w:r>
      <w:r w:rsidR="00484D55" w:rsidRPr="007E1229">
        <w:rPr>
          <w:rFonts w:eastAsia="Arial,"/>
        </w:rPr>
        <w:t xml:space="preserve">he </w:t>
      </w:r>
      <w:r w:rsidR="00484D55">
        <w:rPr>
          <w:rFonts w:eastAsia="Arial,"/>
        </w:rPr>
        <w:t xml:space="preserve">profile </w:t>
      </w:r>
      <w:r w:rsidR="00484D55" w:rsidRPr="007E1229">
        <w:rPr>
          <w:rFonts w:eastAsia="Arial,"/>
        </w:rPr>
        <w:t>lin</w:t>
      </w:r>
      <w:r w:rsidR="00484D55">
        <w:rPr>
          <w:rFonts w:eastAsia="Arial,"/>
        </w:rPr>
        <w:t xml:space="preserve">es were traced on the cytoplasm. </w:t>
      </w:r>
      <w:r w:rsidR="00484D55" w:rsidRPr="007E1229">
        <w:rPr>
          <w:rFonts w:eastAsia="Arial,"/>
        </w:rPr>
        <w:t xml:space="preserve">Images for WGA/DAPI </w:t>
      </w:r>
      <w:r w:rsidR="00484D55">
        <w:rPr>
          <w:rFonts w:eastAsia="Arial,"/>
        </w:rPr>
        <w:t xml:space="preserve">staining </w:t>
      </w:r>
      <w:r w:rsidR="00484D55" w:rsidRPr="007E1229">
        <w:rPr>
          <w:rFonts w:eastAsia="Arial,"/>
        </w:rPr>
        <w:t>and Nile Red</w:t>
      </w:r>
      <w:r w:rsidR="00484D55">
        <w:rPr>
          <w:rFonts w:eastAsia="Arial,"/>
        </w:rPr>
        <w:t xml:space="preserve"> alone</w:t>
      </w:r>
      <w:r w:rsidR="00484D55" w:rsidRPr="007E1229">
        <w:rPr>
          <w:rFonts w:eastAsia="Arial,"/>
        </w:rPr>
        <w:t xml:space="preserve"> are shown to confirm that the analyzed region was outside the nucleus.</w:t>
      </w:r>
      <w:r w:rsidR="004C1EDD">
        <w:rPr>
          <w:rFonts w:eastAsia="Arial,"/>
        </w:rPr>
        <w:t xml:space="preserve"> All analysis were made using ImageJ (version 1.53a).</w:t>
      </w:r>
    </w:p>
    <w:p w14:paraId="1F55B533" w14:textId="1CD4F9EF" w:rsidR="00FA155A" w:rsidRDefault="00FA155A" w:rsidP="00FA155A">
      <w:pPr>
        <w:pStyle w:val="VAFigureCaption"/>
        <w:spacing w:after="240" w:line="312" w:lineRule="auto"/>
      </w:pPr>
    </w:p>
    <w:p w14:paraId="31A0EB46" w14:textId="77777777" w:rsidR="00FA155A" w:rsidRDefault="00FA155A" w:rsidP="00FA155A"/>
    <w:p w14:paraId="69783E39" w14:textId="4A349E51" w:rsidR="00FA155A" w:rsidRDefault="00F45A83" w:rsidP="00FA155A">
      <w:pPr>
        <w:ind w:left="-426"/>
      </w:pPr>
      <w:r>
        <w:lastRenderedPageBreak/>
        <w:pict w14:anchorId="36636FB9">
          <v:shape id="_x0000_i1028" type="#_x0000_t75" style="width:505.55pt;height:410.7pt">
            <v:imagedata r:id="rId16" o:title="FigS9"/>
          </v:shape>
        </w:pict>
      </w:r>
    </w:p>
    <w:p w14:paraId="1DF9414E" w14:textId="58FE73E2" w:rsidR="00FA155A" w:rsidRDefault="00FA155A" w:rsidP="00FA155A">
      <w:pPr>
        <w:pStyle w:val="VAFigureCaption"/>
        <w:spacing w:after="240" w:line="312" w:lineRule="auto"/>
      </w:pPr>
      <w:r w:rsidRPr="00FA155A">
        <w:rPr>
          <w:b/>
        </w:rPr>
        <w:t xml:space="preserve">Figure S9. </w:t>
      </w:r>
      <w:r>
        <w:rPr>
          <w:rFonts w:eastAsia="Arial,"/>
        </w:rPr>
        <w:t>Nile Red intensity distribution profiles in cells seeded on surface-exposed and embedded liposomes.</w:t>
      </w:r>
      <w:r w:rsidR="007E1229">
        <w:rPr>
          <w:rFonts w:eastAsia="Arial,"/>
        </w:rPr>
        <w:t xml:space="preserve"> The yellow lines represent the traced profile for the quantification of the red intensity. </w:t>
      </w:r>
      <w:r w:rsidR="00F83AB5">
        <w:rPr>
          <w:rFonts w:eastAsia="Arial,"/>
        </w:rPr>
        <w:t>T</w:t>
      </w:r>
      <w:r w:rsidR="007E1229" w:rsidRPr="007E1229">
        <w:rPr>
          <w:rFonts w:eastAsia="Arial,"/>
        </w:rPr>
        <w:t xml:space="preserve">he distribution </w:t>
      </w:r>
      <w:r w:rsidR="007E1229">
        <w:rPr>
          <w:rFonts w:eastAsia="Arial,"/>
        </w:rPr>
        <w:t xml:space="preserve">of Nile Red </w:t>
      </w:r>
      <w:r w:rsidR="007E1229" w:rsidRPr="007E1229">
        <w:rPr>
          <w:rFonts w:eastAsia="Arial,"/>
        </w:rPr>
        <w:t>is smoother</w:t>
      </w:r>
      <w:r w:rsidR="007E1229">
        <w:rPr>
          <w:rFonts w:eastAsia="Arial,"/>
        </w:rPr>
        <w:t xml:space="preserve"> (</w:t>
      </w:r>
      <w:r w:rsidR="007E1229" w:rsidRPr="007E1229">
        <w:rPr>
          <w:rFonts w:eastAsia="Arial,"/>
          <w:i/>
        </w:rPr>
        <w:t>i.e.</w:t>
      </w:r>
      <w:r w:rsidR="007E1229">
        <w:rPr>
          <w:rFonts w:eastAsia="Arial,"/>
        </w:rPr>
        <w:t xml:space="preserve"> no significant spikes are identified)</w:t>
      </w:r>
      <w:r w:rsidR="007E1229" w:rsidRPr="007E1229">
        <w:rPr>
          <w:rFonts w:eastAsia="Arial,"/>
        </w:rPr>
        <w:t xml:space="preserve"> in </w:t>
      </w:r>
      <w:r w:rsidR="00484D55">
        <w:rPr>
          <w:rFonts w:eastAsia="Arial,"/>
        </w:rPr>
        <w:t xml:space="preserve">cells seeded on </w:t>
      </w:r>
      <w:r w:rsidR="007E1229" w:rsidRPr="007E1229">
        <w:rPr>
          <w:rFonts w:eastAsia="Arial,"/>
        </w:rPr>
        <w:t xml:space="preserve">surface-exposed </w:t>
      </w:r>
      <w:r w:rsidR="00484D55">
        <w:rPr>
          <w:rFonts w:eastAsia="Arial,"/>
        </w:rPr>
        <w:t>liposomes</w:t>
      </w:r>
      <w:r w:rsidR="00F83AB5">
        <w:rPr>
          <w:rFonts w:eastAsia="Arial,"/>
        </w:rPr>
        <w:t>, which indicates that Nile Red might be spread in throughout the cytoplasm in free-form</w:t>
      </w:r>
      <w:r w:rsidR="007E1229" w:rsidRPr="007E1229">
        <w:rPr>
          <w:rFonts w:eastAsia="Arial,"/>
        </w:rPr>
        <w:t>.</w:t>
      </w:r>
      <w:r w:rsidR="00484D55">
        <w:rPr>
          <w:rFonts w:eastAsia="Arial,"/>
        </w:rPr>
        <w:t xml:space="preserve"> </w:t>
      </w:r>
      <w:r w:rsidR="00F83AB5">
        <w:rPr>
          <w:rFonts w:eastAsia="Arial,"/>
        </w:rPr>
        <w:t>T</w:t>
      </w:r>
      <w:r w:rsidR="00484D55">
        <w:rPr>
          <w:rFonts w:eastAsia="Arial,"/>
        </w:rPr>
        <w:t>he red intensity profile</w:t>
      </w:r>
      <w:r w:rsidR="007E1229" w:rsidRPr="007E1229">
        <w:rPr>
          <w:rFonts w:eastAsia="Arial,"/>
        </w:rPr>
        <w:t xml:space="preserve"> </w:t>
      </w:r>
      <w:r w:rsidR="00484D55">
        <w:rPr>
          <w:rFonts w:eastAsia="Arial,"/>
        </w:rPr>
        <w:t xml:space="preserve">from cells with embedded liposomes </w:t>
      </w:r>
      <w:r w:rsidR="00F83AB5">
        <w:rPr>
          <w:rFonts w:eastAsia="Arial,"/>
        </w:rPr>
        <w:t xml:space="preserve">and the observed spikes </w:t>
      </w:r>
      <w:r w:rsidR="007E1229" w:rsidRPr="007E1229">
        <w:rPr>
          <w:rFonts w:eastAsia="Arial,"/>
        </w:rPr>
        <w:t xml:space="preserve">show </w:t>
      </w:r>
      <w:r w:rsidR="00F83AB5">
        <w:rPr>
          <w:rFonts w:eastAsia="Arial,"/>
        </w:rPr>
        <w:t xml:space="preserve">that </w:t>
      </w:r>
      <w:r w:rsidR="007E1229" w:rsidRPr="007E1229">
        <w:rPr>
          <w:rFonts w:eastAsia="Arial,"/>
        </w:rPr>
        <w:t>Nile Red is more</w:t>
      </w:r>
      <w:r w:rsidR="007E1229">
        <w:rPr>
          <w:rFonts w:eastAsia="Arial,"/>
        </w:rPr>
        <w:t xml:space="preserve"> concentrated in some locations</w:t>
      </w:r>
      <w:r w:rsidR="00F83AB5">
        <w:rPr>
          <w:rFonts w:eastAsia="Arial,"/>
        </w:rPr>
        <w:t>, suggesting the endocytosis of NR-Liposomes</w:t>
      </w:r>
      <w:r w:rsidR="00484D55">
        <w:rPr>
          <w:rFonts w:eastAsia="Arial,"/>
        </w:rPr>
        <w:t>.</w:t>
      </w:r>
    </w:p>
    <w:p w14:paraId="7746BF02" w14:textId="77777777" w:rsidR="00FA155A" w:rsidRDefault="00FA155A" w:rsidP="00FA155A"/>
    <w:p w14:paraId="701AB3AC" w14:textId="77777777" w:rsidR="00FA155A" w:rsidRDefault="00FA155A" w:rsidP="00FA155A"/>
    <w:p w14:paraId="4B6BC8BE" w14:textId="77777777" w:rsidR="00FA155A" w:rsidRPr="00FA155A" w:rsidRDefault="00FA155A" w:rsidP="00FA155A">
      <w:pPr>
        <w:sectPr w:rsidR="00FA155A" w:rsidRPr="00FA155A">
          <w:footerReference w:type="default" r:id="rId17"/>
          <w:pgSz w:w="12240" w:h="15840"/>
          <w:pgMar w:top="1134" w:right="1440" w:bottom="1134" w:left="1440" w:header="0" w:footer="0" w:gutter="0"/>
          <w:cols w:space="720"/>
          <w:formProt w:val="0"/>
          <w:docGrid w:linePitch="312" w:charSpace="-6145"/>
        </w:sectPr>
      </w:pPr>
    </w:p>
    <w:p w14:paraId="1B2FF375" w14:textId="77777777" w:rsidR="00B232E4" w:rsidRDefault="00B232E4"/>
    <w:p w14:paraId="04BFC5FB" w14:textId="77777777" w:rsidR="007F717C" w:rsidRDefault="007F717C"/>
    <w:sectPr w:rsidR="007F717C">
      <w:type w:val="continuous"/>
      <w:pgSz w:w="12240" w:h="15840"/>
      <w:pgMar w:top="1134" w:right="1440" w:bottom="1134" w:left="1440" w:header="0" w:footer="0" w:gutter="0"/>
      <w:cols w:space="720"/>
      <w:formProt w:val="0"/>
      <w:docGrid w:linePitch="312" w:charSpace="-614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C39B594" w14:textId="77777777" w:rsidR="00700CE3" w:rsidRDefault="00700CE3">
      <w:pPr>
        <w:spacing w:after="0"/>
      </w:pPr>
      <w:r>
        <w:separator/>
      </w:r>
    </w:p>
  </w:endnote>
  <w:endnote w:type="continuationSeparator" w:id="0">
    <w:p w14:paraId="1ACEBD5A" w14:textId="77777777" w:rsidR="00700CE3" w:rsidRDefault="00700CE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ew York">
    <w:panose1 w:val="02040503060506020304"/>
    <w:charset w:val="00"/>
    <w:family w:val="roman"/>
    <w:notTrueType/>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Times">
    <w:altName w:val="Times New Roman"/>
    <w:panose1 w:val="02020603050405020304"/>
    <w:charset w:val="00"/>
    <w:family w:val="roman"/>
    <w:pitch w:val="variable"/>
    <w:sig w:usb0="E0002EFF" w:usb1="C0007843" w:usb2="00000009" w:usb3="00000000" w:csb0="000001FF" w:csb1="00000000"/>
  </w:font>
  <w:font w:name="Arno Pro">
    <w:charset w:val="01"/>
    <w:family w:val="roman"/>
    <w:pitch w:val="variable"/>
  </w:font>
  <w:font w:name="Courier New">
    <w:panose1 w:val="02070309020205020404"/>
    <w:charset w:val="00"/>
    <w:family w:val="modern"/>
    <w:pitch w:val="fixed"/>
    <w:sig w:usb0="E0002AFF" w:usb1="C0007843" w:usb2="00000009" w:usb3="00000000" w:csb0="000001FF" w:csb1="00000000"/>
  </w:font>
  <w:font w:name="Liberation Sans">
    <w:altName w:val="Arial"/>
    <w:charset w:val="01"/>
    <w:family w:val="roman"/>
    <w:pitch w:val="variable"/>
  </w:font>
  <w:font w:name="AR PL SungtiL GB">
    <w:panose1 w:val="00000000000000000000"/>
    <w:charset w:val="00"/>
    <w:family w:val="roman"/>
    <w:notTrueType/>
    <w:pitch w:val="default"/>
  </w:font>
  <w:font w:name="Lohit Devanagar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1"/>
    <w:family w:val="roman"/>
    <w:pitch w:val="variable"/>
  </w:font>
  <w:font w:name="Arial">
    <w:panose1 w:val="020B0604020202020204"/>
    <w:charset w:val="00"/>
    <w:family w:val="swiss"/>
    <w:pitch w:val="variable"/>
    <w:sig w:usb0="E0002AFF" w:usb1="C0007843" w:usb2="00000009" w:usb3="00000000" w:csb0="000001FF" w:csb1="00000000"/>
  </w:font>
  <w:font w:name="Arial,">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149E4A" w14:textId="77777777" w:rsidR="001F297A" w:rsidRDefault="00B232E4">
    <w:pPr>
      <w:pStyle w:val="Piedepgina"/>
      <w:ind w:right="360"/>
    </w:pPr>
    <w:r>
      <w:rPr>
        <w:noProof/>
        <w:lang w:val="gl-ES" w:eastAsia="gl-ES"/>
      </w:rPr>
      <mc:AlternateContent>
        <mc:Choice Requires="wps">
          <w:drawing>
            <wp:anchor distT="0" distB="0" distL="0" distR="0" simplePos="0" relativeHeight="251665920" behindDoc="0" locked="0" layoutInCell="1" allowOverlap="1" wp14:anchorId="0FCE6C60" wp14:editId="7D205186">
              <wp:simplePos x="0" y="0"/>
              <wp:positionH relativeFrom="margin">
                <wp:align>right</wp:align>
              </wp:positionH>
              <wp:positionV relativeFrom="paragraph">
                <wp:posOffset>635</wp:posOffset>
              </wp:positionV>
              <wp:extent cx="76835" cy="175260"/>
              <wp:effectExtent l="0" t="0" r="0" b="0"/>
              <wp:wrapSquare wrapText="largest"/>
              <wp:docPr id="8" name="Marco1"/>
              <wp:cNvGraphicFramePr/>
              <a:graphic xmlns:a="http://schemas.openxmlformats.org/drawingml/2006/main">
                <a:graphicData uri="http://schemas.microsoft.com/office/word/2010/wordprocessingShape">
                  <wps:wsp>
                    <wps:cNvSpPr txBox="1"/>
                    <wps:spPr>
                      <a:xfrm>
                        <a:off x="0" y="0"/>
                        <a:ext cx="76835" cy="175260"/>
                      </a:xfrm>
                      <a:prstGeom prst="rect">
                        <a:avLst/>
                      </a:prstGeom>
                      <a:solidFill>
                        <a:srgbClr val="FFFFFF">
                          <a:alpha val="0"/>
                        </a:srgbClr>
                      </a:solidFill>
                    </wps:spPr>
                    <wps:txbx>
                      <w:txbxContent>
                        <w:p w14:paraId="5BE479CA" w14:textId="77777777" w:rsidR="001F297A" w:rsidRDefault="00B232E4">
                          <w:pPr>
                            <w:pStyle w:val="Piedepgina"/>
                          </w:pPr>
                          <w:r>
                            <w:rPr>
                              <w:rStyle w:val="Nmerodepgina"/>
                            </w:rPr>
                            <w:fldChar w:fldCharType="begin"/>
                          </w:r>
                          <w:r>
                            <w:rPr>
                              <w:rStyle w:val="Nmerodepgina"/>
                            </w:rPr>
                            <w:instrText>PAGE</w:instrText>
                          </w:r>
                          <w:r>
                            <w:rPr>
                              <w:rStyle w:val="Nmerodepgina"/>
                            </w:rPr>
                            <w:fldChar w:fldCharType="separate"/>
                          </w:r>
                          <w:r w:rsidR="00F45A83">
                            <w:rPr>
                              <w:rStyle w:val="Nmerodepgina"/>
                              <w:noProof/>
                            </w:rPr>
                            <w:t>1</w:t>
                          </w:r>
                          <w:r>
                            <w:rPr>
                              <w:rStyle w:val="Nmerodepgina"/>
                            </w:rPr>
                            <w:fldChar w:fldCharType="end"/>
                          </w:r>
                        </w:p>
                      </w:txbxContent>
                    </wps:txbx>
                    <wps:bodyPr lIns="0" tIns="0" rIns="0" bIns="0" anchor="t">
                      <a:spAutoFit/>
                    </wps:bodyPr>
                  </wps:wsp>
                </a:graphicData>
              </a:graphic>
            </wp:anchor>
          </w:drawing>
        </mc:Choice>
        <mc:Fallback>
          <w:pict>
            <v:shapetype w14:anchorId="0FCE6C60" id="_x0000_t202" coordsize="21600,21600" o:spt="202" path="m,l,21600r21600,l21600,xe">
              <v:stroke joinstyle="miter"/>
              <v:path gradientshapeok="t" o:connecttype="rect"/>
            </v:shapetype>
            <v:shape id="Marco1" o:spid="_x0000_s1026" type="#_x0000_t202" style="position:absolute;left:0;text-align:left;margin-left:-45.15pt;margin-top:.05pt;width:6.05pt;height:13.8pt;z-index:251665920;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" stroked="f">
              <v:fill opacity="0"/>
              <v:textbox style="mso-fit-shape-to-text:t" inset="0,0,0,0">
                <w:txbxContent>
                  <w:p w14:paraId="5BE479CA" w14:textId="77777777" w:rsidR="001F297A" w:rsidRDefault="00B232E4">
                    <w:pPr>
                      <w:pStyle w:val="Piedepgina"/>
                    </w:pPr>
                    <w:r>
                      <w:rPr>
                        <w:rStyle w:val="Nmerodepgina"/>
                      </w:rPr>
                      <w:fldChar w:fldCharType="begin"/>
                    </w:r>
                    <w:r>
                      <w:rPr>
                        <w:rStyle w:val="Nmerodepgina"/>
                      </w:rPr>
                      <w:instrText>PAGE</w:instrText>
                    </w:r>
                    <w:r>
                      <w:rPr>
                        <w:rStyle w:val="Nmerodepgina"/>
                      </w:rPr>
                      <w:fldChar w:fldCharType="separate"/>
                    </w:r>
                    <w:r w:rsidR="00F45A83">
                      <w:rPr>
                        <w:rStyle w:val="Nmerodepgina"/>
                        <w:noProof/>
                      </w:rPr>
                      <w:t>1</w:t>
                    </w:r>
                    <w:r>
                      <w:rPr>
                        <w:rStyle w:val="Nmerodepgina"/>
                      </w:rP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CF3728" w14:textId="77777777" w:rsidR="00700CE3" w:rsidRDefault="00700CE3">
      <w:pPr>
        <w:spacing w:after="0"/>
      </w:pPr>
      <w:r>
        <w:separator/>
      </w:r>
    </w:p>
  </w:footnote>
  <w:footnote w:type="continuationSeparator" w:id="0">
    <w:p w14:paraId="25F2877E" w14:textId="77777777" w:rsidR="00700CE3" w:rsidRDefault="00700CE3">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650944C"/>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rY0NTQxMTcxMDEyNbJQ0lEKTi0uzszPAykwqwUALSyqkiwAAAA="/>
  </w:docVars>
  <w:rsids>
    <w:rsidRoot w:val="001F297A"/>
    <w:rsid w:val="001519A0"/>
    <w:rsid w:val="001F297A"/>
    <w:rsid w:val="0027537F"/>
    <w:rsid w:val="003A721D"/>
    <w:rsid w:val="004525A3"/>
    <w:rsid w:val="00484D55"/>
    <w:rsid w:val="004A1423"/>
    <w:rsid w:val="004C1EDD"/>
    <w:rsid w:val="005C2B22"/>
    <w:rsid w:val="00685B46"/>
    <w:rsid w:val="00697501"/>
    <w:rsid w:val="00700CE3"/>
    <w:rsid w:val="0072612E"/>
    <w:rsid w:val="00754DFA"/>
    <w:rsid w:val="00786080"/>
    <w:rsid w:val="007E1229"/>
    <w:rsid w:val="007F717C"/>
    <w:rsid w:val="0081456D"/>
    <w:rsid w:val="00831B8E"/>
    <w:rsid w:val="008546BF"/>
    <w:rsid w:val="0087219E"/>
    <w:rsid w:val="008C58C6"/>
    <w:rsid w:val="008C763B"/>
    <w:rsid w:val="00904E9B"/>
    <w:rsid w:val="009652E5"/>
    <w:rsid w:val="00B232E4"/>
    <w:rsid w:val="00B630D3"/>
    <w:rsid w:val="00B729A1"/>
    <w:rsid w:val="00BF0D74"/>
    <w:rsid w:val="00CF1FD3"/>
    <w:rsid w:val="00CF33E0"/>
    <w:rsid w:val="00D9424B"/>
    <w:rsid w:val="00ED5CAE"/>
    <w:rsid w:val="00F45A83"/>
    <w:rsid w:val="00F83AB5"/>
    <w:rsid w:val="00F85152"/>
    <w:rsid w:val="00FA155A"/>
    <w:rsid w:val="00FF5696"/>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514F09"/>
  <w15:docId w15:val="{C22C1094-022B-45EE-8D9F-739781E75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jc w:val="both"/>
    </w:pPr>
    <w:rPr>
      <w:rFonts w:ascii="Times" w:hAnsi="Time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visitado">
    <w:name w:val="FollowedHyperlink"/>
    <w:qFormat/>
    <w:rPr>
      <w:color w:val="800080"/>
      <w:u w:val="single"/>
    </w:rPr>
  </w:style>
  <w:style w:type="character" w:customStyle="1" w:styleId="EnlacedeInternet">
    <w:name w:val="Enlace de Internet"/>
    <w:rPr>
      <w:color w:val="0000FF"/>
      <w:u w:val="single"/>
    </w:rPr>
  </w:style>
  <w:style w:type="character" w:styleId="Nmerodepgina">
    <w:name w:val="page number"/>
    <w:basedOn w:val="Fuentedeprrafopredeter"/>
    <w:qFormat/>
  </w:style>
  <w:style w:type="character" w:customStyle="1" w:styleId="StyleFACorrespondingAuthorFootnote7ptChar">
    <w:name w:val="Style FA_Corresponding_Author_Footnote + 7 pt Char"/>
    <w:link w:val="StyleFACorrespondingAuthorFootnote7pt"/>
    <w:qFormat/>
    <w:rsid w:val="00C10EE0"/>
    <w:rPr>
      <w:rFonts w:ascii="Arno Pro" w:hAnsi="Arno Pro"/>
      <w:kern w:val="2"/>
      <w:sz w:val="18"/>
    </w:rPr>
  </w:style>
  <w:style w:type="character" w:customStyle="1" w:styleId="FAAuthorInfoSubtitleChar">
    <w:name w:val="FA_Author_Info_Subtitle Char"/>
    <w:link w:val="FAAuthorInfoSubtitle"/>
    <w:qFormat/>
    <w:rsid w:val="00DD6DBB"/>
    <w:rPr>
      <w:rFonts w:ascii="Times" w:hAnsi="Times"/>
      <w:b/>
      <w:sz w:val="24"/>
    </w:rPr>
  </w:style>
  <w:style w:type="character" w:styleId="Refdecomentario">
    <w:name w:val="annotation reference"/>
    <w:basedOn w:val="Fuentedeprrafopredeter"/>
    <w:unhideWhenUsed/>
    <w:qFormat/>
    <w:rsid w:val="00831574"/>
    <w:rPr>
      <w:sz w:val="16"/>
      <w:szCs w:val="16"/>
    </w:rPr>
  </w:style>
  <w:style w:type="character" w:customStyle="1" w:styleId="TextocomentarioCar">
    <w:name w:val="Texto comentario Car"/>
    <w:basedOn w:val="Fuentedeprrafopredeter"/>
    <w:link w:val="Textocomentario"/>
    <w:qFormat/>
    <w:rsid w:val="00831574"/>
    <w:rPr>
      <w:rFonts w:ascii="Times" w:hAnsi="Times"/>
    </w:rPr>
  </w:style>
  <w:style w:type="character" w:customStyle="1" w:styleId="AsuntodelcomentarioCar">
    <w:name w:val="Asunto del comentario Car"/>
    <w:basedOn w:val="TextocomentarioCar"/>
    <w:link w:val="Asuntodelcomentario"/>
    <w:semiHidden/>
    <w:qFormat/>
    <w:rsid w:val="00055530"/>
    <w:rPr>
      <w:rFonts w:ascii="Times" w:hAnsi="Times"/>
      <w:b/>
      <w:bCs/>
    </w:rPr>
  </w:style>
  <w:style w:type="character" w:customStyle="1" w:styleId="ListLabel1">
    <w:name w:val="ListLabel 1"/>
    <w:qFormat/>
    <w:rPr>
      <w:rFonts w:eastAsia="Times New Roman" w:cs="Times"/>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eastAsia="Times New Roman" w:cs="Times"/>
    </w:rPr>
  </w:style>
  <w:style w:type="character" w:customStyle="1" w:styleId="ListLabel6">
    <w:name w:val="ListLabel 6"/>
    <w:qFormat/>
    <w:rPr>
      <w:rFonts w:eastAsia="Times New Roman" w:cs="Times"/>
    </w:rPr>
  </w:style>
  <w:style w:type="paragraph" w:styleId="Puesto">
    <w:name w:val="Title"/>
    <w:basedOn w:val="Normal"/>
    <w:next w:val="Textoindependiente"/>
    <w:qFormat/>
    <w:pPr>
      <w:keepNext/>
      <w:spacing w:before="240" w:after="120"/>
    </w:pPr>
    <w:rPr>
      <w:rFonts w:ascii="Liberation Sans" w:eastAsia="AR PL SungtiL GB" w:hAnsi="Liberation Sans" w:cs="Lohit Devanagari"/>
      <w:sz w:val="28"/>
      <w:szCs w:val="28"/>
    </w:rPr>
  </w:style>
  <w:style w:type="paragraph" w:styleId="Textoindependiente">
    <w:name w:val="Body Text"/>
    <w:basedOn w:val="Normal"/>
    <w:link w:val="TextoindependienteCar"/>
    <w:pPr>
      <w:jc w:val="center"/>
    </w:pPr>
    <w:rPr>
      <w:b/>
      <w:sz w:val="40"/>
    </w:r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Cs w:val="24"/>
    </w:rPr>
  </w:style>
  <w:style w:type="paragraph" w:customStyle="1" w:styleId="ndice">
    <w:name w:val="Índice"/>
    <w:basedOn w:val="Normal"/>
    <w:qFormat/>
    <w:pPr>
      <w:suppressLineNumbers/>
    </w:pPr>
    <w:rPr>
      <w:rFonts w:cs="Lohit Devanagari"/>
    </w:rPr>
  </w:style>
  <w:style w:type="paragraph" w:styleId="Textonotapie">
    <w:name w:val="footnote text"/>
    <w:basedOn w:val="Normal"/>
    <w:semiHidden/>
  </w:style>
  <w:style w:type="paragraph" w:customStyle="1" w:styleId="TFReferencesSection">
    <w:name w:val="TF_References_Section"/>
    <w:basedOn w:val="Normal"/>
    <w:qFormat/>
    <w:pPr>
      <w:spacing w:line="480" w:lineRule="auto"/>
      <w:ind w:firstLine="187"/>
    </w:pPr>
  </w:style>
  <w:style w:type="paragraph" w:customStyle="1" w:styleId="TAMainText">
    <w:name w:val="TA_Main_Text"/>
    <w:basedOn w:val="Normal"/>
    <w:qFormat/>
    <w:pPr>
      <w:spacing w:after="0" w:line="480" w:lineRule="auto"/>
      <w:ind w:firstLine="202"/>
    </w:pPr>
  </w:style>
  <w:style w:type="paragraph" w:customStyle="1" w:styleId="BATitle">
    <w:name w:val="BA_Title"/>
    <w:basedOn w:val="Normal"/>
    <w:qFormat/>
    <w:pPr>
      <w:spacing w:before="720" w:after="360" w:line="480" w:lineRule="auto"/>
      <w:jc w:val="center"/>
    </w:pPr>
    <w:rPr>
      <w:rFonts w:ascii="Times New Roman" w:hAnsi="Times New Roman"/>
      <w:sz w:val="44"/>
    </w:rPr>
  </w:style>
  <w:style w:type="paragraph" w:customStyle="1" w:styleId="BBAuthorName">
    <w:name w:val="BB_Author_Name"/>
    <w:basedOn w:val="Normal"/>
    <w:qFormat/>
    <w:pPr>
      <w:spacing w:after="240" w:line="480" w:lineRule="auto"/>
      <w:jc w:val="center"/>
    </w:pPr>
    <w:rPr>
      <w:i/>
    </w:rPr>
  </w:style>
  <w:style w:type="paragraph" w:customStyle="1" w:styleId="BCAuthorAddress">
    <w:name w:val="BC_Author_Address"/>
    <w:basedOn w:val="Normal"/>
    <w:qFormat/>
    <w:pPr>
      <w:spacing w:after="240" w:line="480" w:lineRule="auto"/>
      <w:jc w:val="center"/>
    </w:pPr>
  </w:style>
  <w:style w:type="paragraph" w:customStyle="1" w:styleId="BIEmailAddress">
    <w:name w:val="BI_Email_Address"/>
    <w:basedOn w:val="Normal"/>
    <w:qFormat/>
    <w:pPr>
      <w:spacing w:line="480" w:lineRule="auto"/>
    </w:pPr>
  </w:style>
  <w:style w:type="paragraph" w:customStyle="1" w:styleId="AIReceivedDate">
    <w:name w:val="AI_Received_Date"/>
    <w:basedOn w:val="Normal"/>
    <w:qFormat/>
    <w:pPr>
      <w:spacing w:after="240" w:line="480" w:lineRule="auto"/>
    </w:pPr>
    <w:rPr>
      <w:b/>
    </w:rPr>
  </w:style>
  <w:style w:type="paragraph" w:customStyle="1" w:styleId="BDAbstract">
    <w:name w:val="BD_Abstract"/>
    <w:basedOn w:val="Normal"/>
    <w:qFormat/>
    <w:pPr>
      <w:spacing w:before="360" w:after="360" w:line="480" w:lineRule="auto"/>
    </w:pPr>
  </w:style>
  <w:style w:type="paragraph" w:customStyle="1" w:styleId="TDAcknowledgments">
    <w:name w:val="TD_Acknowledgments"/>
    <w:basedOn w:val="Normal"/>
    <w:next w:val="Normal"/>
    <w:qFormat/>
    <w:pPr>
      <w:spacing w:before="200" w:line="480" w:lineRule="auto"/>
      <w:ind w:firstLine="202"/>
    </w:pPr>
  </w:style>
  <w:style w:type="paragraph" w:customStyle="1" w:styleId="TESupportingInformation">
    <w:name w:val="TE_Supporting_Information"/>
    <w:basedOn w:val="Normal"/>
    <w:next w:val="Normal"/>
    <w:qFormat/>
    <w:pPr>
      <w:spacing w:line="480" w:lineRule="auto"/>
      <w:ind w:firstLine="187"/>
    </w:pPr>
  </w:style>
  <w:style w:type="paragraph" w:customStyle="1" w:styleId="VCSchemeTitle">
    <w:name w:val="VC_Scheme_Title"/>
    <w:basedOn w:val="Normal"/>
    <w:next w:val="Normal"/>
    <w:qFormat/>
    <w:pPr>
      <w:spacing w:line="480" w:lineRule="auto"/>
    </w:pPr>
  </w:style>
  <w:style w:type="paragraph" w:customStyle="1" w:styleId="VDTableTitle">
    <w:name w:val="VD_Table_Title"/>
    <w:basedOn w:val="Normal"/>
    <w:next w:val="Normal"/>
    <w:qFormat/>
    <w:pPr>
      <w:spacing w:line="480" w:lineRule="auto"/>
    </w:pPr>
  </w:style>
  <w:style w:type="paragraph" w:customStyle="1" w:styleId="VAFigureCaption">
    <w:name w:val="VA_Figure_Caption"/>
    <w:basedOn w:val="Normal"/>
    <w:next w:val="Normal"/>
    <w:qFormat/>
    <w:pPr>
      <w:spacing w:line="480" w:lineRule="auto"/>
    </w:pPr>
  </w:style>
  <w:style w:type="paragraph" w:customStyle="1" w:styleId="VBChartTitle">
    <w:name w:val="VB_Chart_Title"/>
    <w:basedOn w:val="Normal"/>
    <w:next w:val="Normal"/>
    <w:qFormat/>
    <w:pPr>
      <w:spacing w:line="480" w:lineRule="auto"/>
    </w:pPr>
  </w:style>
  <w:style w:type="paragraph" w:customStyle="1" w:styleId="FETableFootnote">
    <w:name w:val="FE_Table_Footnote"/>
    <w:basedOn w:val="Normal"/>
    <w:next w:val="Normal"/>
    <w:qFormat/>
    <w:pPr>
      <w:ind w:firstLine="187"/>
    </w:pPr>
  </w:style>
  <w:style w:type="paragraph" w:customStyle="1" w:styleId="FCChartFootnote">
    <w:name w:val="FC_Chart_Footnote"/>
    <w:basedOn w:val="Normal"/>
    <w:next w:val="Normal"/>
    <w:qFormat/>
    <w:pPr>
      <w:ind w:firstLine="187"/>
    </w:pPr>
  </w:style>
  <w:style w:type="paragraph" w:customStyle="1" w:styleId="FDSchemeFootnote">
    <w:name w:val="FD_Scheme_Footnote"/>
    <w:basedOn w:val="Normal"/>
    <w:next w:val="Normal"/>
    <w:qFormat/>
    <w:pPr>
      <w:ind w:firstLine="187"/>
    </w:pPr>
  </w:style>
  <w:style w:type="paragraph" w:customStyle="1" w:styleId="TCTableBody">
    <w:name w:val="TC_Table_Body"/>
    <w:basedOn w:val="Normal"/>
    <w:qFormat/>
  </w:style>
  <w:style w:type="paragraph" w:customStyle="1" w:styleId="AFTitleRunningHead">
    <w:name w:val="AF_Title_Running_Head"/>
    <w:basedOn w:val="Normal"/>
    <w:qFormat/>
    <w:pPr>
      <w:spacing w:line="480" w:lineRule="auto"/>
    </w:pPr>
  </w:style>
  <w:style w:type="paragraph" w:customStyle="1" w:styleId="BEAuthorBiography">
    <w:name w:val="BE_Author_Biography"/>
    <w:basedOn w:val="Normal"/>
    <w:qFormat/>
    <w:pPr>
      <w:spacing w:line="480" w:lineRule="auto"/>
    </w:pPr>
  </w:style>
  <w:style w:type="paragraph" w:customStyle="1" w:styleId="FACorrespondingAuthorFootnote">
    <w:name w:val="FA_Corresponding_Author_Footnote"/>
    <w:basedOn w:val="Normal"/>
    <w:qFormat/>
    <w:pPr>
      <w:spacing w:line="480" w:lineRule="auto"/>
    </w:pPr>
  </w:style>
  <w:style w:type="paragraph" w:customStyle="1" w:styleId="SNSynopsisTOC">
    <w:name w:val="SN_Synopsis_TOC"/>
    <w:basedOn w:val="Normal"/>
    <w:qFormat/>
    <w:pPr>
      <w:spacing w:line="480" w:lineRule="auto"/>
    </w:pPr>
  </w:style>
  <w:style w:type="paragraph" w:styleId="Piedepgina">
    <w:name w:val="footer"/>
    <w:basedOn w:val="Normal"/>
    <w:pPr>
      <w:tabs>
        <w:tab w:val="center" w:pos="4320"/>
        <w:tab w:val="right" w:pos="8640"/>
      </w:tabs>
    </w:pPr>
  </w:style>
  <w:style w:type="paragraph" w:customStyle="1" w:styleId="BGKeywords">
    <w:name w:val="BG_Keywords"/>
    <w:basedOn w:val="Normal"/>
    <w:qFormat/>
    <w:pPr>
      <w:spacing w:line="480" w:lineRule="auto"/>
    </w:pPr>
  </w:style>
  <w:style w:type="paragraph" w:customStyle="1" w:styleId="BHBriefs">
    <w:name w:val="BH_Briefs"/>
    <w:basedOn w:val="Normal"/>
    <w:qFormat/>
    <w:pPr>
      <w:spacing w:line="480" w:lineRule="auto"/>
    </w:pPr>
  </w:style>
  <w:style w:type="paragraph" w:styleId="Textodeglobo">
    <w:name w:val="Balloon Text"/>
    <w:basedOn w:val="Normal"/>
    <w:semiHidden/>
    <w:qFormat/>
    <w:rsid w:val="00E96302"/>
    <w:rPr>
      <w:rFonts w:ascii="Tahoma" w:hAnsi="Tahoma" w:cs="Tahoma"/>
      <w:sz w:val="16"/>
      <w:szCs w:val="16"/>
    </w:rPr>
  </w:style>
  <w:style w:type="paragraph" w:customStyle="1" w:styleId="StyleFACorrespondingAuthorFootnote7pt">
    <w:name w:val="Style FA_Corresponding_Author_Footnote + 7 pt"/>
    <w:basedOn w:val="Normal"/>
    <w:link w:val="StyleFACorrespondingAuthorFootnote7ptChar"/>
    <w:autoRedefine/>
    <w:qFormat/>
    <w:rsid w:val="00C10EE0"/>
    <w:pPr>
      <w:spacing w:after="0"/>
      <w:jc w:val="left"/>
    </w:pPr>
    <w:rPr>
      <w:rFonts w:ascii="Arno Pro" w:hAnsi="Arno Pro"/>
      <w:kern w:val="2"/>
      <w:sz w:val="18"/>
    </w:rPr>
  </w:style>
  <w:style w:type="paragraph" w:customStyle="1" w:styleId="FAAuthorInfoSubtitle">
    <w:name w:val="FA_Author_Info_Subtitle"/>
    <w:basedOn w:val="Normal"/>
    <w:link w:val="FAAuthorInfoSubtitleChar"/>
    <w:autoRedefine/>
    <w:qFormat/>
    <w:rsid w:val="00DD6DBB"/>
    <w:pPr>
      <w:spacing w:before="120" w:after="60" w:line="480" w:lineRule="auto"/>
      <w:jc w:val="left"/>
    </w:pPr>
    <w:rPr>
      <w:b/>
    </w:rPr>
  </w:style>
  <w:style w:type="paragraph" w:customStyle="1" w:styleId="Default">
    <w:name w:val="Default"/>
    <w:qFormat/>
    <w:rsid w:val="001A7A90"/>
    <w:rPr>
      <w:rFonts w:ascii="Symbol" w:hAnsi="Symbol" w:cs="Symbol"/>
      <w:color w:val="000000"/>
      <w:sz w:val="24"/>
      <w:szCs w:val="24"/>
    </w:rPr>
  </w:style>
  <w:style w:type="paragraph" w:styleId="Textocomentario">
    <w:name w:val="annotation text"/>
    <w:basedOn w:val="Normal"/>
    <w:link w:val="TextocomentarioCar"/>
    <w:unhideWhenUsed/>
    <w:qFormat/>
    <w:rsid w:val="00831574"/>
    <w:rPr>
      <w:sz w:val="20"/>
    </w:rPr>
  </w:style>
  <w:style w:type="paragraph" w:customStyle="1" w:styleId="Standard">
    <w:name w:val="Standard"/>
    <w:qFormat/>
    <w:rsid w:val="00055530"/>
    <w:pPr>
      <w:suppressAutoHyphens/>
      <w:textAlignment w:val="baseline"/>
    </w:pPr>
    <w:rPr>
      <w:rFonts w:ascii="Liberation Serif" w:eastAsia="AR PL SungtiL GB" w:hAnsi="Liberation Serif" w:cs="Lohit Devanagari"/>
      <w:kern w:val="2"/>
      <w:sz w:val="24"/>
      <w:szCs w:val="24"/>
      <w:lang w:val="es-ES" w:eastAsia="zh-CN" w:bidi="hi-IN"/>
    </w:rPr>
  </w:style>
  <w:style w:type="paragraph" w:styleId="Asuntodelcomentario">
    <w:name w:val="annotation subject"/>
    <w:basedOn w:val="Textocomentario"/>
    <w:link w:val="AsuntodelcomentarioCar"/>
    <w:semiHidden/>
    <w:unhideWhenUsed/>
    <w:qFormat/>
    <w:rsid w:val="00055530"/>
    <w:rPr>
      <w:b/>
      <w:bCs/>
    </w:rPr>
  </w:style>
  <w:style w:type="paragraph" w:customStyle="1" w:styleId="Contenidodelmarco">
    <w:name w:val="Contenido del marco"/>
    <w:basedOn w:val="Normal"/>
    <w:qFormat/>
  </w:style>
  <w:style w:type="table" w:styleId="Tablaconcuadrcula">
    <w:name w:val="Table Grid"/>
    <w:basedOn w:val="Tablanormal"/>
    <w:rsid w:val="003A72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Car">
    <w:name w:val="Texto independiente Car"/>
    <w:basedOn w:val="Fuentedeprrafopredeter"/>
    <w:link w:val="Textoindependiente"/>
    <w:rsid w:val="00697501"/>
    <w:rPr>
      <w:rFonts w:ascii="Times" w:hAnsi="Times"/>
      <w:b/>
      <w:sz w:val="40"/>
    </w:rPr>
  </w:style>
  <w:style w:type="paragraph" w:styleId="Encabezado">
    <w:name w:val="header"/>
    <w:basedOn w:val="Normal"/>
    <w:link w:val="EncabezadoCar"/>
    <w:unhideWhenUsed/>
    <w:rsid w:val="007F717C"/>
    <w:pPr>
      <w:tabs>
        <w:tab w:val="center" w:pos="4252"/>
        <w:tab w:val="right" w:pos="8504"/>
      </w:tabs>
      <w:spacing w:after="0"/>
    </w:pPr>
  </w:style>
  <w:style w:type="character" w:customStyle="1" w:styleId="EncabezadoCar">
    <w:name w:val="Encabezado Car"/>
    <w:basedOn w:val="Fuentedeprrafopredeter"/>
    <w:link w:val="Encabezado"/>
    <w:rsid w:val="007F717C"/>
    <w:rPr>
      <w:rFonts w:ascii="Times"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E1506D-8BC0-4BFD-B909-8D5DA0F97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309</TotalTime>
  <Pages>7</Pages>
  <Words>952</Words>
  <Characters>5431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Template for Electronic Submission to ACS Journals</vt:lpstr>
    </vt:vector>
  </TitlesOfParts>
  <Company>ACS</Company>
  <LinksUpToDate>false</LinksUpToDate>
  <CharactersWithSpaces>6371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RC</dc:creator>
  <dc:description/>
  <cp:lastModifiedBy>Noelia Dios Parada</cp:lastModifiedBy>
  <cp:revision>62</cp:revision>
  <cp:lastPrinted>2008-06-11T21:33:00Z</cp:lastPrinted>
  <dcterms:created xsi:type="dcterms:W3CDTF">2020-04-07T18:11:00Z</dcterms:created>
  <dcterms:modified xsi:type="dcterms:W3CDTF">2020-07-20T15:01:00Z</dcterms:modified>
  <dc:language>es-ES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ACS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