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E7BAF8" w14:textId="77777777" w:rsidR="00565E36" w:rsidRPr="00565E36" w:rsidRDefault="00565E36" w:rsidP="00565E36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565E36">
        <w:rPr>
          <w:rFonts w:ascii="Arial" w:hAnsi="Arial" w:cs="Arial"/>
          <w:b/>
          <w:bCs/>
          <w:sz w:val="24"/>
          <w:szCs w:val="24"/>
        </w:rPr>
        <w:t>Appendix 1: Radiographic Variables</w:t>
      </w:r>
    </w:p>
    <w:p w14:paraId="18FC8B4C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Anatomic Variants</w:t>
      </w:r>
    </w:p>
    <w:p w14:paraId="2B7895DD" w14:textId="77777777" w:rsidR="00565E36" w:rsidRPr="009B1941" w:rsidRDefault="00565E36" w:rsidP="00565E36">
      <w:pPr>
        <w:numPr>
          <w:ilvl w:val="0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Atypical number of lumbar vertebrae</w:t>
      </w:r>
      <w:r w:rsidRPr="009B1941">
        <w:rPr>
          <w:rFonts w:ascii="Arial" w:eastAsia="Calibri" w:hAnsi="Arial" w:cs="Arial"/>
          <w:sz w:val="24"/>
          <w:szCs w:val="24"/>
        </w:rPr>
        <w:tab/>
      </w:r>
    </w:p>
    <w:p w14:paraId="4C19FC0D" w14:textId="77777777" w:rsidR="00565E36" w:rsidRPr="009B1941" w:rsidRDefault="00565E36" w:rsidP="00565E36">
      <w:pPr>
        <w:numPr>
          <w:ilvl w:val="0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Transitional Vertebrae</w:t>
      </w:r>
    </w:p>
    <w:p w14:paraId="1BE7647A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Bilateral </w:t>
      </w:r>
    </w:p>
    <w:p w14:paraId="1706696D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Transverse Process Spatulation </w:t>
      </w:r>
    </w:p>
    <w:p w14:paraId="6C072A8D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proofErr w:type="spellStart"/>
      <w:r w:rsidRPr="009B1941">
        <w:rPr>
          <w:rFonts w:ascii="Arial" w:eastAsia="Calibri" w:hAnsi="Arial" w:cs="Arial"/>
          <w:sz w:val="24"/>
          <w:szCs w:val="24"/>
        </w:rPr>
        <w:t>Pseudojoint</w:t>
      </w:r>
      <w:proofErr w:type="spellEnd"/>
      <w:r w:rsidRPr="009B1941">
        <w:rPr>
          <w:rFonts w:ascii="Arial" w:eastAsia="Calibri" w:hAnsi="Arial" w:cs="Arial"/>
          <w:sz w:val="24"/>
          <w:szCs w:val="24"/>
        </w:rPr>
        <w:t xml:space="preserve"> </w:t>
      </w:r>
    </w:p>
    <w:p w14:paraId="69F846A6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Fusion </w:t>
      </w:r>
    </w:p>
    <w:p w14:paraId="74BB5001" w14:textId="77777777" w:rsidR="00565E36" w:rsidRPr="009B1941" w:rsidRDefault="00565E36" w:rsidP="00565E36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Hemi-vertebrae</w:t>
      </w:r>
    </w:p>
    <w:p w14:paraId="50F92050" w14:textId="77777777" w:rsidR="00565E36" w:rsidRPr="009B1941" w:rsidRDefault="00565E36" w:rsidP="00565E36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Block vertebrae</w:t>
      </w:r>
    </w:p>
    <w:p w14:paraId="005970E9" w14:textId="77777777" w:rsidR="00565E36" w:rsidRPr="009B1941" w:rsidRDefault="00565E36" w:rsidP="00565E36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Prior lumbar surgery </w:t>
      </w:r>
    </w:p>
    <w:p w14:paraId="024D57F1" w14:textId="77777777" w:rsidR="00565E36" w:rsidRPr="009B1941" w:rsidRDefault="00565E36" w:rsidP="00565E36">
      <w:pPr>
        <w:numPr>
          <w:ilvl w:val="1"/>
          <w:numId w:val="2"/>
        </w:numPr>
        <w:spacing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Type of surgery</w:t>
      </w:r>
    </w:p>
    <w:p w14:paraId="6C335BFE" w14:textId="77777777" w:rsidR="00565E36" w:rsidRPr="009B1941" w:rsidRDefault="00565E36" w:rsidP="00565E36">
      <w:pPr>
        <w:numPr>
          <w:ilvl w:val="2"/>
          <w:numId w:val="2"/>
        </w:numPr>
        <w:spacing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Decompression, </w:t>
      </w:r>
    </w:p>
    <w:p w14:paraId="095D0445" w14:textId="77777777" w:rsidR="00565E36" w:rsidRPr="009B1941" w:rsidRDefault="00565E36" w:rsidP="00565E36">
      <w:pPr>
        <w:numPr>
          <w:ilvl w:val="2"/>
          <w:numId w:val="2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Fusion (single or multilevel)</w:t>
      </w:r>
    </w:p>
    <w:p w14:paraId="507978FF" w14:textId="77777777" w:rsidR="00565E36" w:rsidRPr="009B1941" w:rsidRDefault="00565E36" w:rsidP="00565E36">
      <w:pPr>
        <w:numPr>
          <w:ilvl w:val="2"/>
          <w:numId w:val="2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Other</w:t>
      </w:r>
    </w:p>
    <w:p w14:paraId="5F23B5BD" w14:textId="77777777" w:rsidR="00565E36" w:rsidRPr="009B1941" w:rsidRDefault="00565E36" w:rsidP="00565E36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L5-S1 tropism </w:t>
      </w:r>
    </w:p>
    <w:p w14:paraId="77FFEB19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Definition: refers to a situation where there is a difference in the orientation/angle of facet joints (i.e. between the left and right sides) with respect to each other in the sagittal plane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22</w:t>
      </w:r>
    </w:p>
    <w:p w14:paraId="2FEB1D50" w14:textId="77777777" w:rsidR="00565E36" w:rsidRPr="009B1941" w:rsidRDefault="00565E36" w:rsidP="00565E36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Vertebral Wedging </w:t>
      </w:r>
    </w:p>
    <w:p w14:paraId="69D04A05" w14:textId="77777777" w:rsidR="00565E36" w:rsidRPr="009B1941" w:rsidRDefault="00565E36" w:rsidP="00565E36">
      <w:pPr>
        <w:numPr>
          <w:ilvl w:val="1"/>
          <w:numId w:val="1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Definition: </w:t>
      </w:r>
      <w:r w:rsidRPr="009B1941">
        <w:rPr>
          <w:rFonts w:ascii="Arial" w:eastAsia="Calibri" w:hAnsi="Arial" w:cs="Arial"/>
          <w:sz w:val="24"/>
          <w:szCs w:val="24"/>
          <w:u w:val="single"/>
        </w:rPr>
        <w:t>&gt;</w:t>
      </w:r>
      <w:r w:rsidRPr="009B1941">
        <w:rPr>
          <w:rFonts w:ascii="Arial" w:eastAsia="Calibri" w:hAnsi="Arial" w:cs="Arial"/>
          <w:sz w:val="24"/>
          <w:szCs w:val="24"/>
        </w:rPr>
        <w:t>5</w:t>
      </w:r>
      <w:r w:rsidRPr="009B1941">
        <w:rPr>
          <w:rFonts w:ascii="Arial" w:eastAsia="Calibri" w:hAnsi="Arial" w:cs="Arial"/>
          <w:sz w:val="24"/>
          <w:szCs w:val="24"/>
        </w:rPr>
        <w:sym w:font="Symbol" w:char="F0B0"/>
      </w:r>
      <w:r w:rsidRPr="009B1941">
        <w:rPr>
          <w:rFonts w:ascii="Arial" w:eastAsia="Calibri" w:hAnsi="Arial" w:cs="Arial"/>
          <w:sz w:val="24"/>
          <w:szCs w:val="24"/>
        </w:rPr>
        <w:t xml:space="preserve"> difference in anterior height to posterior height of vertebral body</w:t>
      </w:r>
    </w:p>
    <w:p w14:paraId="76B4985A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Disc Degeneration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23</w:t>
      </w:r>
    </w:p>
    <w:p w14:paraId="09459C2D" w14:textId="77777777" w:rsidR="00565E36" w:rsidRPr="009B1941" w:rsidRDefault="00565E36" w:rsidP="00565E36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lastRenderedPageBreak/>
        <w:t>Mild: Height Loss: anterior and posterior height loss with respect to the individual height before degeneration; &lt;33%</w:t>
      </w:r>
    </w:p>
    <w:p w14:paraId="4E8517FA" w14:textId="77777777" w:rsidR="00565E36" w:rsidRPr="009B1941" w:rsidRDefault="00565E36" w:rsidP="00565E36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Moderate: Height Loss: anterior and posterior height loss with respect to the individual height before degeneration; </w:t>
      </w:r>
      <w:r w:rsidRPr="009B1941">
        <w:rPr>
          <w:rFonts w:ascii="Arial" w:eastAsia="Calibri" w:hAnsi="Arial" w:cs="Arial"/>
          <w:sz w:val="24"/>
          <w:szCs w:val="24"/>
          <w:u w:val="single"/>
        </w:rPr>
        <w:t>&gt;</w:t>
      </w:r>
      <w:r w:rsidRPr="009B1941">
        <w:rPr>
          <w:rFonts w:ascii="Arial" w:eastAsia="Calibri" w:hAnsi="Arial" w:cs="Arial"/>
          <w:sz w:val="24"/>
          <w:szCs w:val="24"/>
        </w:rPr>
        <w:t>33% to &lt;66%</w:t>
      </w:r>
    </w:p>
    <w:p w14:paraId="62F5C369" w14:textId="77777777" w:rsidR="00565E36" w:rsidRPr="009B1941" w:rsidRDefault="00565E36" w:rsidP="00565E36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Severe: Height Loss: anterior and posterior height loss with respect to the individual height before degeneration; </w:t>
      </w:r>
      <w:r w:rsidRPr="009B1941">
        <w:rPr>
          <w:rFonts w:ascii="Arial" w:eastAsia="Calibri" w:hAnsi="Arial" w:cs="Arial"/>
          <w:sz w:val="24"/>
          <w:szCs w:val="24"/>
          <w:u w:val="single"/>
        </w:rPr>
        <w:t>&gt;</w:t>
      </w:r>
      <w:r w:rsidRPr="009B1941">
        <w:rPr>
          <w:rFonts w:ascii="Arial" w:eastAsia="Calibri" w:hAnsi="Arial" w:cs="Arial"/>
          <w:sz w:val="24"/>
          <w:szCs w:val="24"/>
        </w:rPr>
        <w:t>66%</w:t>
      </w:r>
    </w:p>
    <w:p w14:paraId="09567B13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Alignment </w:t>
      </w:r>
    </w:p>
    <w:p w14:paraId="55BC38E8" w14:textId="77777777" w:rsidR="00565E36" w:rsidRPr="009B1941" w:rsidRDefault="00565E36" w:rsidP="00565E36">
      <w:pPr>
        <w:numPr>
          <w:ilvl w:val="0"/>
          <w:numId w:val="3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Scoliosis of &gt;10 degrees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24</w:t>
      </w:r>
    </w:p>
    <w:p w14:paraId="30DFEE2E" w14:textId="77777777" w:rsidR="00565E36" w:rsidRPr="009B1941" w:rsidRDefault="00565E36" w:rsidP="00565E36">
      <w:pPr>
        <w:numPr>
          <w:ilvl w:val="1"/>
          <w:numId w:val="3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Rule: +/- 5 degrees is considered agreement of inter-rater reliability  </w:t>
      </w:r>
    </w:p>
    <w:p w14:paraId="19C122A5" w14:textId="77777777" w:rsidR="00565E36" w:rsidRPr="009B1941" w:rsidRDefault="00565E36" w:rsidP="00565E36">
      <w:pPr>
        <w:numPr>
          <w:ilvl w:val="0"/>
          <w:numId w:val="3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Cobb Angle (if &gt;10 degrees)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22,25</w:t>
      </w:r>
    </w:p>
    <w:p w14:paraId="215AD5CE" w14:textId="77777777" w:rsidR="00565E36" w:rsidRPr="009B1941" w:rsidRDefault="00565E36" w:rsidP="00565E36">
      <w:pPr>
        <w:pStyle w:val="pf0"/>
        <w:numPr>
          <w:ilvl w:val="1"/>
          <w:numId w:val="3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Decide which vertebrae are the end vertebrae of the curve deformity (the terminal vertebrae) – the vertebra whose endplates are most tilted towards each other 4. </w:t>
      </w:r>
    </w:p>
    <w:p w14:paraId="34C90CB7" w14:textId="77777777" w:rsidR="00565E36" w:rsidRPr="009B1941" w:rsidRDefault="00565E36" w:rsidP="00565E36">
      <w:pPr>
        <w:pStyle w:val="pf0"/>
        <w:numPr>
          <w:ilvl w:val="1"/>
          <w:numId w:val="3"/>
        </w:numPr>
        <w:spacing w:after="0" w:afterAutospacing="0" w:line="480" w:lineRule="auto"/>
        <w:rPr>
          <w:rStyle w:val="cf01"/>
          <w:rFonts w:ascii="Arial" w:hAnsi="Arial" w:cs="Arial"/>
          <w:sz w:val="24"/>
          <w:szCs w:val="24"/>
        </w:rPr>
      </w:pPr>
      <w:r w:rsidRPr="009B1941">
        <w:rPr>
          <w:rStyle w:val="cf01"/>
          <w:rFonts w:ascii="Arial" w:hAnsi="Arial" w:cs="Arial"/>
          <w:sz w:val="24"/>
          <w:szCs w:val="24"/>
        </w:rPr>
        <w:t>Lines are then drawn along the endplates (or the pedicles if the endplates are not properly visualized 8), and the angle between the two lines, where they intersect, is measured. </w:t>
      </w:r>
    </w:p>
    <w:p w14:paraId="1FF989E5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Lumbar/ Lumbosacral </w:t>
      </w:r>
    </w:p>
    <w:p w14:paraId="432BDF9F" w14:textId="77777777" w:rsidR="00565E36" w:rsidRPr="009B1941" w:rsidRDefault="00565E36" w:rsidP="00565E36">
      <w:pPr>
        <w:numPr>
          <w:ilvl w:val="0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Ferguson’s weight bearing line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26</w:t>
      </w:r>
    </w:p>
    <w:p w14:paraId="052EB0E8" w14:textId="77777777" w:rsidR="00565E36" w:rsidRPr="009B1941" w:rsidRDefault="00565E36" w:rsidP="00565E36">
      <w:pPr>
        <w:numPr>
          <w:ilvl w:val="1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Drawn on an erect weight bearing radiograph as plumb line drawn downwards on a sagittal image from the middle of the L3 vertebral body and usually should pass through the anterior 1/3 of the sacrum.</w:t>
      </w:r>
    </w:p>
    <w:p w14:paraId="6B455519" w14:textId="77777777" w:rsidR="00565E36" w:rsidRPr="009B1941" w:rsidRDefault="00565E36" w:rsidP="00565E36">
      <w:pPr>
        <w:numPr>
          <w:ilvl w:val="0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Lumbar lordosis of L1-S1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27,28</w:t>
      </w:r>
    </w:p>
    <w:p w14:paraId="5DDE8F59" w14:textId="77777777" w:rsidR="00565E36" w:rsidRPr="009B1941" w:rsidRDefault="00565E36" w:rsidP="00565E36">
      <w:pPr>
        <w:numPr>
          <w:ilvl w:val="1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Measure the angle formed by the upper endplate of L1 and the upper endplate of S1 or the lower endplate of L5</w:t>
      </w:r>
    </w:p>
    <w:p w14:paraId="3E2E3F7F" w14:textId="77777777" w:rsidR="00565E36" w:rsidRPr="009B1941" w:rsidRDefault="00565E36" w:rsidP="00565E36">
      <w:pPr>
        <w:numPr>
          <w:ilvl w:val="0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Sacral base angle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29</w:t>
      </w:r>
    </w:p>
    <w:p w14:paraId="0F46AFC6" w14:textId="77777777" w:rsidR="00565E36" w:rsidRPr="009B1941" w:rsidRDefault="00565E36" w:rsidP="00565E36">
      <w:pPr>
        <w:numPr>
          <w:ilvl w:val="1"/>
          <w:numId w:val="4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Style w:val="ui-provider"/>
          <w:rFonts w:ascii="Arial" w:hAnsi="Arial" w:cs="Arial"/>
          <w:sz w:val="24"/>
          <w:szCs w:val="24"/>
        </w:rPr>
        <w:t>Measured by joining a line across the plane of the superior margin of the sacrum and a horizontal line (also called lumbosacral angle, Ferguson’s angle)</w:t>
      </w:r>
    </w:p>
    <w:p w14:paraId="25D20118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Coronal and Pelvic Balance </w:t>
      </w:r>
    </w:p>
    <w:p w14:paraId="0480B81C" w14:textId="77777777" w:rsidR="00565E36" w:rsidRPr="009B1941" w:rsidRDefault="00565E36" w:rsidP="00565E36">
      <w:pPr>
        <w:pStyle w:val="ListParagraph"/>
        <w:numPr>
          <w:ilvl w:val="0"/>
          <w:numId w:val="5"/>
        </w:numPr>
        <w:spacing w:after="0"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Definition: Middle of L1 body plumb line aligns with S1 tubercle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30</w:t>
      </w:r>
    </w:p>
    <w:p w14:paraId="5923BB19" w14:textId="77777777" w:rsidR="00565E36" w:rsidRPr="009B1941" w:rsidRDefault="00565E36" w:rsidP="00565E36">
      <w:pPr>
        <w:numPr>
          <w:ilvl w:val="0"/>
          <w:numId w:val="5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Trunk shift &gt;2 cm to either right or left is a positive finding.</w:t>
      </w:r>
    </w:p>
    <w:p w14:paraId="4ACD9F60" w14:textId="77777777" w:rsidR="00565E36" w:rsidRPr="009B1941" w:rsidRDefault="00565E36" w:rsidP="00565E36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Segmental </w:t>
      </w:r>
    </w:p>
    <w:p w14:paraId="4D67F1ED" w14:textId="77777777" w:rsidR="00565E36" w:rsidRPr="009B1941" w:rsidRDefault="00565E36" w:rsidP="00565E36">
      <w:pPr>
        <w:numPr>
          <w:ilvl w:val="0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  <w:vertAlign w:val="superscript"/>
        </w:rPr>
      </w:pPr>
      <w:r w:rsidRPr="009B1941">
        <w:rPr>
          <w:rFonts w:ascii="Arial" w:eastAsia="Calibri" w:hAnsi="Arial" w:cs="Arial"/>
          <w:sz w:val="24"/>
          <w:szCs w:val="24"/>
        </w:rPr>
        <w:t>Anterolisthesis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28,29</w:t>
      </w:r>
    </w:p>
    <w:p w14:paraId="27B8F8F3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Definition: Anterior displacement (forward slip) of a vertebral body relative to the one below </w:t>
      </w:r>
    </w:p>
    <w:p w14:paraId="7E3352AC" w14:textId="77777777" w:rsidR="00565E36" w:rsidRPr="009B1941" w:rsidRDefault="00565E36" w:rsidP="00565E36">
      <w:pPr>
        <w:numPr>
          <w:ilvl w:val="0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proofErr w:type="spellStart"/>
      <w:r w:rsidRPr="009B1941">
        <w:rPr>
          <w:rFonts w:ascii="Arial" w:eastAsia="Calibri" w:hAnsi="Arial" w:cs="Arial"/>
          <w:sz w:val="24"/>
          <w:szCs w:val="24"/>
        </w:rPr>
        <w:t>Meyerding</w:t>
      </w:r>
      <w:proofErr w:type="spellEnd"/>
      <w:r w:rsidRPr="009B1941">
        <w:rPr>
          <w:rFonts w:ascii="Arial" w:eastAsia="Calibri" w:hAnsi="Arial" w:cs="Arial"/>
          <w:sz w:val="24"/>
          <w:szCs w:val="24"/>
        </w:rPr>
        <w:t xml:space="preserve"> grade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31</w:t>
      </w:r>
    </w:p>
    <w:p w14:paraId="11F78CDE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 0% to 25% is a Grade I slip</w:t>
      </w:r>
    </w:p>
    <w:p w14:paraId="60E3E834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26% to 50% is a Grade II slip</w:t>
      </w:r>
    </w:p>
    <w:p w14:paraId="224FFEA4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51% to 75% is a Grade III slip</w:t>
      </w:r>
    </w:p>
    <w:p w14:paraId="71E894B2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76% to 100% is a Grade IV slip</w:t>
      </w:r>
    </w:p>
    <w:p w14:paraId="029D5692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proofErr w:type="spellStart"/>
      <w:r w:rsidRPr="009B1941">
        <w:rPr>
          <w:rFonts w:ascii="Arial" w:eastAsia="Calibri" w:hAnsi="Arial" w:cs="Arial"/>
          <w:sz w:val="24"/>
          <w:szCs w:val="24"/>
        </w:rPr>
        <w:t>spondyloptosis</w:t>
      </w:r>
      <w:proofErr w:type="spellEnd"/>
      <w:r w:rsidRPr="009B1941">
        <w:rPr>
          <w:rFonts w:ascii="Arial" w:eastAsia="Calibri" w:hAnsi="Arial" w:cs="Arial"/>
          <w:sz w:val="24"/>
          <w:szCs w:val="24"/>
        </w:rPr>
        <w:t xml:space="preserve"> &gt; 100% is a Grade V slip</w:t>
      </w:r>
    </w:p>
    <w:p w14:paraId="690ED3B6" w14:textId="77777777" w:rsidR="00565E36" w:rsidRPr="009B1941" w:rsidRDefault="00565E36" w:rsidP="00565E36">
      <w:pPr>
        <w:numPr>
          <w:ilvl w:val="0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Wiltse-Newman Type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32</w:t>
      </w:r>
    </w:p>
    <w:p w14:paraId="78DCE18E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Type I (dysplastic/congenital): translation is secondary to an abnormal neural arch</w:t>
      </w:r>
    </w:p>
    <w:p w14:paraId="4CC5FFC5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lastRenderedPageBreak/>
        <w:t>Type II (isthmic): translation is secondary to a lesion involving the </w:t>
      </w:r>
      <w:r w:rsidRPr="009B1941">
        <w:rPr>
          <w:rStyle w:val="cf21"/>
          <w:rFonts w:ascii="Arial" w:eastAsiaTheme="majorEastAsia" w:hAnsi="Arial" w:cs="Arial"/>
        </w:rPr>
        <w:t>pars interarticularis</w:t>
      </w:r>
    </w:p>
    <w:p w14:paraId="62F1F3B8" w14:textId="77777777" w:rsidR="00565E36" w:rsidRPr="009B1941" w:rsidRDefault="00565E36" w:rsidP="00565E36">
      <w:pPr>
        <w:pStyle w:val="pf0"/>
        <w:numPr>
          <w:ilvl w:val="2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Subtype a (lytic): secondary to </w:t>
      </w:r>
      <w:r w:rsidRPr="009B1941">
        <w:rPr>
          <w:rStyle w:val="cf21"/>
          <w:rFonts w:ascii="Arial" w:eastAsiaTheme="majorEastAsia" w:hAnsi="Arial" w:cs="Arial"/>
        </w:rPr>
        <w:t>stress fracture</w:t>
      </w:r>
      <w:r w:rsidRPr="009B1941">
        <w:rPr>
          <w:rStyle w:val="cf01"/>
          <w:rFonts w:ascii="Arial" w:hAnsi="Arial" w:cs="Arial"/>
          <w:sz w:val="24"/>
          <w:szCs w:val="24"/>
        </w:rPr>
        <w:t>, in most cases attributed to repeated extension and/or twisting motions</w:t>
      </w:r>
    </w:p>
    <w:p w14:paraId="771FBACC" w14:textId="77777777" w:rsidR="00565E36" w:rsidRPr="009B1941" w:rsidRDefault="00565E36" w:rsidP="00565E36">
      <w:pPr>
        <w:pStyle w:val="pf0"/>
        <w:numPr>
          <w:ilvl w:val="2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Subtype b (elongated pars): result of multiple injury/healing events leading to elongation of the pars</w:t>
      </w:r>
    </w:p>
    <w:p w14:paraId="174E25F7" w14:textId="77777777" w:rsidR="00565E36" w:rsidRPr="009B1941" w:rsidRDefault="00565E36" w:rsidP="00565E36">
      <w:pPr>
        <w:pStyle w:val="pf0"/>
        <w:numPr>
          <w:ilvl w:val="2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Subtype c (acute pars fracture): secondary to a single event and is rare</w:t>
      </w:r>
    </w:p>
    <w:p w14:paraId="2C131FF7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Type III (degenerative): result of chronic instability and intersegmental degenerative changes</w:t>
      </w:r>
    </w:p>
    <w:p w14:paraId="74BE1926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Type IV (post-traumatic): fracture in a region other than the pars leading to slippage</w:t>
      </w:r>
    </w:p>
    <w:p w14:paraId="3BD7BF84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Fonts w:ascii="Arial" w:hAnsi="Arial" w:cs="Arial"/>
        </w:rPr>
      </w:pPr>
      <w:r w:rsidRPr="009B1941">
        <w:rPr>
          <w:rStyle w:val="cf01"/>
          <w:rFonts w:ascii="Arial" w:hAnsi="Arial" w:cs="Arial"/>
          <w:sz w:val="24"/>
          <w:szCs w:val="24"/>
        </w:rPr>
        <w:t>Type V (pathological): diffuse or local disease compromising the usual structural integrity that prevents slippage</w:t>
      </w:r>
    </w:p>
    <w:p w14:paraId="5EDAF668" w14:textId="77777777" w:rsidR="00565E36" w:rsidRPr="009B1941" w:rsidRDefault="00565E36" w:rsidP="00565E36">
      <w:pPr>
        <w:pStyle w:val="pf0"/>
        <w:numPr>
          <w:ilvl w:val="1"/>
          <w:numId w:val="6"/>
        </w:numPr>
        <w:spacing w:after="0" w:afterAutospacing="0" w:line="480" w:lineRule="auto"/>
        <w:rPr>
          <w:rStyle w:val="cf01"/>
          <w:rFonts w:ascii="Arial" w:hAnsi="Arial" w:cs="Arial"/>
          <w:sz w:val="24"/>
          <w:szCs w:val="24"/>
        </w:rPr>
      </w:pPr>
      <w:r w:rsidRPr="009B1941">
        <w:rPr>
          <w:rStyle w:val="cf01"/>
          <w:rFonts w:ascii="Arial" w:hAnsi="Arial" w:cs="Arial"/>
          <w:sz w:val="24"/>
          <w:szCs w:val="24"/>
        </w:rPr>
        <w:t>Type VI (iatrogenic): slip caused directly from a prior spine surgery that involved decompression of the spine without stabilization</w:t>
      </w:r>
    </w:p>
    <w:p w14:paraId="112BCA40" w14:textId="77777777" w:rsidR="00565E36" w:rsidRPr="009B1941" w:rsidRDefault="00565E36" w:rsidP="00565E36">
      <w:pPr>
        <w:numPr>
          <w:ilvl w:val="0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Retrolisthesis</w:t>
      </w:r>
      <w:r w:rsidRPr="009B1941">
        <w:rPr>
          <w:rFonts w:ascii="Arial" w:eastAsia="Calibri" w:hAnsi="Arial" w:cs="Arial"/>
          <w:sz w:val="24"/>
          <w:szCs w:val="24"/>
          <w:vertAlign w:val="superscript"/>
        </w:rPr>
        <w:t>33</w:t>
      </w:r>
    </w:p>
    <w:p w14:paraId="57FAC441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>Backwards slippage of one vertebral body on another</w:t>
      </w:r>
    </w:p>
    <w:p w14:paraId="4A47C4A2" w14:textId="77777777" w:rsidR="00565E36" w:rsidRPr="009B1941" w:rsidRDefault="00565E36" w:rsidP="00565E36">
      <w:pPr>
        <w:numPr>
          <w:ilvl w:val="1"/>
          <w:numId w:val="6"/>
        </w:numPr>
        <w:spacing w:after="0" w:line="480" w:lineRule="auto"/>
        <w:contextualSpacing/>
        <w:rPr>
          <w:rFonts w:ascii="Arial" w:eastAsia="Calibri" w:hAnsi="Arial" w:cs="Arial"/>
          <w:sz w:val="24"/>
          <w:szCs w:val="24"/>
        </w:rPr>
      </w:pPr>
      <w:r w:rsidRPr="009B1941">
        <w:rPr>
          <w:rFonts w:ascii="Arial" w:eastAsia="Calibri" w:hAnsi="Arial" w:cs="Arial"/>
          <w:sz w:val="24"/>
          <w:szCs w:val="24"/>
        </w:rPr>
        <w:t xml:space="preserve">+/- 3mm is normal variation of retrolisthesis slip </w:t>
      </w:r>
    </w:p>
    <w:p w14:paraId="3E4F5E95" w14:textId="77777777" w:rsidR="00565E36" w:rsidRPr="009B1941" w:rsidRDefault="00565E36" w:rsidP="00565E36">
      <w:pPr>
        <w:spacing w:after="0" w:line="480" w:lineRule="auto"/>
        <w:contextualSpacing/>
        <w:rPr>
          <w:rFonts w:ascii="Arial" w:eastAsia="Calibri" w:hAnsi="Arial" w:cs="Arial"/>
        </w:rPr>
      </w:pPr>
    </w:p>
    <w:p w14:paraId="6EA8A74B" w14:textId="77777777" w:rsidR="003D3406" w:rsidRDefault="003D3406"/>
    <w:sectPr w:rsidR="003D3406" w:rsidSect="00565E36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43F9A"/>
    <w:multiLevelType w:val="hybridMultilevel"/>
    <w:tmpl w:val="4CD278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B5281"/>
    <w:multiLevelType w:val="hybridMultilevel"/>
    <w:tmpl w:val="C1A454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F1E0C"/>
    <w:multiLevelType w:val="hybridMultilevel"/>
    <w:tmpl w:val="C2E8BB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C26D4"/>
    <w:multiLevelType w:val="hybridMultilevel"/>
    <w:tmpl w:val="4DE854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844E1"/>
    <w:multiLevelType w:val="hybridMultilevel"/>
    <w:tmpl w:val="DE1211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510487"/>
    <w:multiLevelType w:val="hybridMultilevel"/>
    <w:tmpl w:val="B06ED7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C4C63"/>
    <w:multiLevelType w:val="hybridMultilevel"/>
    <w:tmpl w:val="28860A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877825">
    <w:abstractNumId w:val="3"/>
  </w:num>
  <w:num w:numId="2" w16cid:durableId="1485244218">
    <w:abstractNumId w:val="2"/>
  </w:num>
  <w:num w:numId="3" w16cid:durableId="2126540937">
    <w:abstractNumId w:val="0"/>
  </w:num>
  <w:num w:numId="4" w16cid:durableId="12927860">
    <w:abstractNumId w:val="6"/>
  </w:num>
  <w:num w:numId="5" w16cid:durableId="1999923286">
    <w:abstractNumId w:val="4"/>
  </w:num>
  <w:num w:numId="6" w16cid:durableId="1967272994">
    <w:abstractNumId w:val="1"/>
  </w:num>
  <w:num w:numId="7" w16cid:durableId="7960283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E36"/>
    <w:rsid w:val="003D3406"/>
    <w:rsid w:val="00511B0A"/>
    <w:rsid w:val="00565E36"/>
    <w:rsid w:val="006B6B60"/>
    <w:rsid w:val="00C6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1F69A"/>
  <w15:chartTrackingRefBased/>
  <w15:docId w15:val="{3E4D0D87-E7D5-40A4-80D7-6553FD0B3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E36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5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E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E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E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E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E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E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E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E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E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E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E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E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E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E36"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DefaultParagraphFont"/>
    <w:rsid w:val="00565E36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565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f21">
    <w:name w:val="cf21"/>
    <w:basedOn w:val="DefaultParagraphFont"/>
    <w:rsid w:val="00565E36"/>
    <w:rPr>
      <w:rFonts w:ascii="Segoe UI" w:hAnsi="Segoe UI" w:cs="Segoe UI" w:hint="default"/>
      <w:sz w:val="18"/>
      <w:szCs w:val="18"/>
      <w:shd w:val="clear" w:color="auto" w:fill="FFFFFF"/>
    </w:rPr>
  </w:style>
  <w:style w:type="character" w:customStyle="1" w:styleId="ui-provider">
    <w:name w:val="ui-provider"/>
    <w:basedOn w:val="DefaultParagraphFont"/>
    <w:rsid w:val="00565E36"/>
  </w:style>
  <w:style w:type="character" w:styleId="LineNumber">
    <w:name w:val="line number"/>
    <w:basedOn w:val="DefaultParagraphFont"/>
    <w:uiPriority w:val="99"/>
    <w:semiHidden/>
    <w:unhideWhenUsed/>
    <w:rsid w:val="00565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11ca459-b2f5-4529-a931-4abedc9769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8CA05CA95D914EB8588DBFFD789F66" ma:contentTypeVersion="15" ma:contentTypeDescription="Create a new document." ma:contentTypeScope="" ma:versionID="0c1c0dccf3011806cd3329b76852e0f7">
  <xsd:schema xmlns:xsd="http://www.w3.org/2001/XMLSchema" xmlns:xs="http://www.w3.org/2001/XMLSchema" xmlns:p="http://schemas.microsoft.com/office/2006/metadata/properties" xmlns:ns3="199af910-80f5-4dad-839f-b51b8a3028f9" xmlns:ns4="f11ca459-b2f5-4529-a931-4abedc976990" targetNamespace="http://schemas.microsoft.com/office/2006/metadata/properties" ma:root="true" ma:fieldsID="49e09c7e736b27b20dafbe48040706a4" ns3:_="" ns4:_="">
    <xsd:import namespace="199af910-80f5-4dad-839f-b51b8a3028f9"/>
    <xsd:import namespace="f11ca459-b2f5-4529-a931-4abedc97699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af910-80f5-4dad-839f-b51b8a3028f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ca459-b2f5-4529-a931-4abedc97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22762B-099F-4BBD-9E95-A7C22FA76E10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f11ca459-b2f5-4529-a931-4abedc97699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199af910-80f5-4dad-839f-b51b8a3028f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0293D50-D0D5-45A2-9B78-A323408B97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07466E-8ABC-454D-843B-9F1C1B8ED5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af910-80f5-4dad-839f-b51b8a3028f9"/>
    <ds:schemaRef ds:uri="f11ca459-b2f5-4529-a931-4abedc9769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531</Words>
  <Characters>3033</Characters>
  <Application>Microsoft Office Word</Application>
  <DocSecurity>0</DocSecurity>
  <Lines>25</Lines>
  <Paragraphs>7</Paragraphs>
  <ScaleCrop>false</ScaleCrop>
  <Company>Northwestern Health Sciences University</Company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Albertson</dc:creator>
  <cp:keywords/>
  <dc:description/>
  <cp:lastModifiedBy>Andrea Albertson</cp:lastModifiedBy>
  <cp:revision>2</cp:revision>
  <dcterms:created xsi:type="dcterms:W3CDTF">2024-07-12T13:36:00Z</dcterms:created>
  <dcterms:modified xsi:type="dcterms:W3CDTF">2024-07-12T13:36:00Z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0x010100D08CA05CA95D914EB8588DBFFD789F66</vt:lpwstr>
  </property>
</Properties>
</file>