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333289" w14:textId="7C8A0D1A" w:rsidR="00661C26" w:rsidRPr="00661C26" w:rsidRDefault="00661C26" w:rsidP="00730FDF">
      <w:pPr>
        <w:pStyle w:val="Titel"/>
        <w:spacing w:line="360" w:lineRule="auto"/>
        <w:jc w:val="both"/>
        <w:rPr>
          <w:rFonts w:ascii="Arial" w:hAnsi="Arial" w:cs="Arial"/>
          <w:sz w:val="40"/>
          <w:szCs w:val="40"/>
        </w:rPr>
      </w:pPr>
      <w:bookmarkStart w:id="0" w:name="_Hlk132700801"/>
      <w:r w:rsidRPr="00661C26">
        <w:rPr>
          <w:rFonts w:ascii="Arial" w:hAnsi="Arial" w:cs="Arial"/>
          <w:sz w:val="40"/>
          <w:szCs w:val="40"/>
        </w:rPr>
        <w:t>Supporting information:</w:t>
      </w:r>
    </w:p>
    <w:p w14:paraId="74D5C02D" w14:textId="1F884105" w:rsidR="00325D67" w:rsidRPr="00325D67" w:rsidRDefault="00325D67" w:rsidP="00730FDF">
      <w:pPr>
        <w:pStyle w:val="Titel"/>
        <w:spacing w:line="360" w:lineRule="auto"/>
        <w:jc w:val="both"/>
        <w:rPr>
          <w:rFonts w:ascii="Arial" w:hAnsi="Arial" w:cs="Arial"/>
        </w:rPr>
      </w:pPr>
      <w:r w:rsidRPr="00325D67">
        <w:rPr>
          <w:rFonts w:ascii="Arial" w:hAnsi="Arial" w:cs="Arial"/>
        </w:rPr>
        <w:t xml:space="preserve">Chemically induced deceleration of nuclear spin relaxation </w:t>
      </w:r>
      <w:r>
        <w:rPr>
          <w:rFonts w:ascii="Arial" w:hAnsi="Arial" w:cs="Arial"/>
        </w:rPr>
        <w:t>(CID</w:t>
      </w:r>
      <w:r w:rsidR="003954E5">
        <w:rPr>
          <w:rFonts w:ascii="Arial" w:hAnsi="Arial" w:cs="Arial"/>
        </w:rPr>
        <w:t>E</w:t>
      </w:r>
      <w:r>
        <w:rPr>
          <w:rFonts w:ascii="Arial" w:hAnsi="Arial" w:cs="Arial"/>
        </w:rPr>
        <w:t xml:space="preserve">R) </w:t>
      </w:r>
      <w:r w:rsidR="00A61E96">
        <w:rPr>
          <w:rFonts w:ascii="Arial" w:hAnsi="Arial" w:cs="Arial"/>
        </w:rPr>
        <w:t>preserves hyperpolarization</w:t>
      </w:r>
    </w:p>
    <w:bookmarkEnd w:id="0"/>
    <w:p w14:paraId="54126CBF" w14:textId="0536636E" w:rsidR="00483668" w:rsidRPr="00716B7B" w:rsidRDefault="00483668" w:rsidP="00730FDF">
      <w:pPr>
        <w:spacing w:after="0" w:line="360" w:lineRule="auto"/>
        <w:jc w:val="both"/>
        <w:rPr>
          <w:rFonts w:cs="Arial"/>
          <w:color w:val="000000" w:themeColor="text1"/>
          <w:sz w:val="20"/>
          <w:szCs w:val="20"/>
          <w:vertAlign w:val="subscript"/>
        </w:rPr>
      </w:pPr>
      <w:r w:rsidRPr="00716B7B">
        <w:rPr>
          <w:rFonts w:cs="Arial"/>
          <w:sz w:val="20"/>
          <w:szCs w:val="20"/>
        </w:rPr>
        <w:t xml:space="preserve">Josh </w:t>
      </w:r>
      <w:r w:rsidR="00D646F4">
        <w:rPr>
          <w:rFonts w:cs="Arial"/>
          <w:sz w:val="20"/>
          <w:szCs w:val="20"/>
        </w:rPr>
        <w:t xml:space="preserve">P. </w:t>
      </w:r>
      <w:r w:rsidRPr="00716B7B">
        <w:rPr>
          <w:rFonts w:cs="Arial"/>
          <w:sz w:val="20"/>
          <w:szCs w:val="20"/>
        </w:rPr>
        <w:t>Peters</w:t>
      </w:r>
      <w:r w:rsidRPr="00716B7B">
        <w:rPr>
          <w:rFonts w:cs="Arial"/>
          <w:sz w:val="20"/>
          <w:szCs w:val="20"/>
          <w:vertAlign w:val="superscript"/>
        </w:rPr>
        <w:t>1</w:t>
      </w:r>
      <w:r w:rsidRPr="00716B7B">
        <w:rPr>
          <w:rFonts w:cs="Arial"/>
          <w:sz w:val="20"/>
          <w:szCs w:val="20"/>
        </w:rPr>
        <w:t xml:space="preserve">, </w:t>
      </w:r>
      <w:r w:rsidR="00E8478A">
        <w:rPr>
          <w:rFonts w:cs="Arial"/>
          <w:sz w:val="20"/>
          <w:szCs w:val="20"/>
        </w:rPr>
        <w:t>Charbel Assaf</w:t>
      </w:r>
      <w:r w:rsidR="00E8478A" w:rsidRPr="00E8478A">
        <w:rPr>
          <w:rFonts w:cs="Arial"/>
          <w:sz w:val="20"/>
          <w:szCs w:val="20"/>
          <w:vertAlign w:val="superscript"/>
        </w:rPr>
        <w:t>1</w:t>
      </w:r>
      <w:r w:rsidR="00E8478A">
        <w:rPr>
          <w:rFonts w:cs="Arial"/>
          <w:sz w:val="20"/>
          <w:szCs w:val="20"/>
        </w:rPr>
        <w:t xml:space="preserve">, </w:t>
      </w:r>
      <w:r w:rsidRPr="00716B7B">
        <w:rPr>
          <w:rFonts w:cs="Arial"/>
          <w:sz w:val="20"/>
          <w:szCs w:val="20"/>
        </w:rPr>
        <w:t>Arne Brahms</w:t>
      </w:r>
      <w:r w:rsidRPr="00716B7B">
        <w:rPr>
          <w:rFonts w:cs="Arial"/>
          <w:sz w:val="20"/>
          <w:szCs w:val="20"/>
          <w:vertAlign w:val="superscript"/>
        </w:rPr>
        <w:t>2</w:t>
      </w:r>
      <w:r w:rsidRPr="00716B7B">
        <w:rPr>
          <w:rFonts w:cs="Arial"/>
          <w:sz w:val="20"/>
          <w:szCs w:val="20"/>
        </w:rPr>
        <w:t>,</w:t>
      </w:r>
      <w:r w:rsidR="00DD49B1">
        <w:rPr>
          <w:rFonts w:cs="Arial"/>
          <w:sz w:val="20"/>
          <w:szCs w:val="20"/>
        </w:rPr>
        <w:t xml:space="preserve"> Kolja Them</w:t>
      </w:r>
      <w:r w:rsidR="008B4885" w:rsidRPr="008B4885">
        <w:rPr>
          <w:rFonts w:cs="Arial"/>
          <w:sz w:val="20"/>
          <w:szCs w:val="20"/>
          <w:vertAlign w:val="superscript"/>
        </w:rPr>
        <w:t>1</w:t>
      </w:r>
      <w:r w:rsidR="008B4885">
        <w:rPr>
          <w:rFonts w:cs="Arial"/>
          <w:sz w:val="20"/>
          <w:szCs w:val="20"/>
        </w:rPr>
        <w:t>,</w:t>
      </w:r>
      <w:r w:rsidRPr="00716B7B">
        <w:rPr>
          <w:rFonts w:cs="Arial"/>
          <w:sz w:val="20"/>
          <w:szCs w:val="20"/>
        </w:rPr>
        <w:t xml:space="preserve"> </w:t>
      </w:r>
      <w:r w:rsidR="005556BE" w:rsidRPr="005556BE">
        <w:rPr>
          <w:rFonts w:cs="Arial"/>
          <w:sz w:val="20"/>
          <w:szCs w:val="20"/>
        </w:rPr>
        <w:t>Mir</w:t>
      </w:r>
      <w:r w:rsidR="004A4407">
        <w:rPr>
          <w:rFonts w:cs="Arial"/>
          <w:sz w:val="20"/>
          <w:szCs w:val="20"/>
        </w:rPr>
        <w:t>c</w:t>
      </w:r>
      <w:r w:rsidR="005556BE" w:rsidRPr="005556BE">
        <w:rPr>
          <w:rFonts w:cs="Arial"/>
          <w:sz w:val="20"/>
          <w:szCs w:val="20"/>
        </w:rPr>
        <w:t>o Gerdsen</w:t>
      </w:r>
      <w:r w:rsidR="005556BE" w:rsidRPr="005556BE">
        <w:rPr>
          <w:rFonts w:cs="Arial"/>
          <w:sz w:val="20"/>
          <w:szCs w:val="20"/>
          <w:vertAlign w:val="superscript"/>
        </w:rPr>
        <w:t>2</w:t>
      </w:r>
      <w:r w:rsidR="001226C0" w:rsidRPr="005556BE">
        <w:rPr>
          <w:rFonts w:cs="Arial"/>
          <w:sz w:val="20"/>
          <w:szCs w:val="20"/>
        </w:rPr>
        <w:t>,</w:t>
      </w:r>
      <w:r w:rsidR="001226C0">
        <w:rPr>
          <w:rFonts w:cs="Arial"/>
          <w:sz w:val="20"/>
          <w:szCs w:val="20"/>
        </w:rPr>
        <w:t xml:space="preserve"> </w:t>
      </w:r>
      <w:r w:rsidR="00E8478A">
        <w:rPr>
          <w:rFonts w:cs="Arial"/>
          <w:sz w:val="20"/>
          <w:szCs w:val="20"/>
        </w:rPr>
        <w:t>Rainer Herges</w:t>
      </w:r>
      <w:r w:rsidR="00E8478A" w:rsidRPr="00E8478A">
        <w:rPr>
          <w:rFonts w:cs="Arial"/>
          <w:sz w:val="20"/>
          <w:szCs w:val="20"/>
          <w:vertAlign w:val="superscript"/>
        </w:rPr>
        <w:t>2</w:t>
      </w:r>
      <w:r w:rsidR="00E8478A">
        <w:rPr>
          <w:rFonts w:cs="Arial"/>
          <w:sz w:val="20"/>
          <w:szCs w:val="20"/>
        </w:rPr>
        <w:t xml:space="preserve">, </w:t>
      </w:r>
      <w:r w:rsidRPr="00716B7B">
        <w:rPr>
          <w:rFonts w:cs="Arial"/>
          <w:color w:val="000000" w:themeColor="text1"/>
          <w:sz w:val="20"/>
          <w:szCs w:val="20"/>
        </w:rPr>
        <w:t>Jan-Bernd Hövener</w:t>
      </w:r>
      <w:r w:rsidRPr="00716B7B">
        <w:rPr>
          <w:rFonts w:cs="Arial"/>
          <w:color w:val="000000" w:themeColor="text1"/>
          <w:sz w:val="20"/>
          <w:szCs w:val="20"/>
          <w:vertAlign w:val="superscript"/>
        </w:rPr>
        <w:t>1</w:t>
      </w:r>
      <w:r w:rsidRPr="00716B7B">
        <w:rPr>
          <w:rFonts w:cs="Arial"/>
          <w:color w:val="000000" w:themeColor="text1"/>
          <w:sz w:val="20"/>
          <w:szCs w:val="20"/>
        </w:rPr>
        <w:t>, Andrey N. Pravdivtsev</w:t>
      </w:r>
      <w:r w:rsidRPr="00716B7B">
        <w:rPr>
          <w:rFonts w:cs="Arial"/>
          <w:color w:val="000000" w:themeColor="text1"/>
          <w:sz w:val="20"/>
          <w:szCs w:val="20"/>
          <w:vertAlign w:val="superscript"/>
        </w:rPr>
        <w:t>1</w:t>
      </w:r>
    </w:p>
    <w:p w14:paraId="61E2B6F3" w14:textId="77777777" w:rsidR="00483668" w:rsidRPr="00716B7B" w:rsidRDefault="00483668" w:rsidP="00730FDF">
      <w:pPr>
        <w:spacing w:after="0" w:line="360" w:lineRule="auto"/>
        <w:jc w:val="both"/>
        <w:rPr>
          <w:rFonts w:cs="Arial"/>
          <w:sz w:val="20"/>
          <w:szCs w:val="20"/>
        </w:rPr>
      </w:pPr>
      <w:r w:rsidRPr="00716B7B">
        <w:rPr>
          <w:rFonts w:cs="Arial"/>
          <w:sz w:val="20"/>
          <w:szCs w:val="20"/>
        </w:rPr>
        <w:t xml:space="preserve">1. Section Biomedical Imaging, Molecular Imaging North Competence Center (MOIN CC), Department of Radiology and Neuroradiology, University Medical Center Kiel, Kiel University, Am Botanischen Garten 14, 24114, Kiel, Germany </w:t>
      </w:r>
    </w:p>
    <w:p w14:paraId="41570174" w14:textId="4014804A" w:rsidR="005B185B" w:rsidRPr="00D646F4" w:rsidRDefault="00483668" w:rsidP="00D646F4">
      <w:pPr>
        <w:spacing w:after="0" w:line="360" w:lineRule="auto"/>
        <w:jc w:val="both"/>
        <w:rPr>
          <w:rFonts w:cs="Arial"/>
          <w:sz w:val="20"/>
          <w:szCs w:val="20"/>
        </w:rPr>
      </w:pPr>
      <w:r w:rsidRPr="00716B7B">
        <w:rPr>
          <w:rFonts w:cs="Arial"/>
          <w:sz w:val="20"/>
          <w:szCs w:val="20"/>
        </w:rPr>
        <w:t>2. Otto Diels Institute for Organic Chemistry, Kiel University, Otto-Hahn Platz 4, 24098 Kiel, Germany</w:t>
      </w:r>
    </w:p>
    <w:p w14:paraId="3AF99B7A" w14:textId="14CE5F54" w:rsidR="005B185B" w:rsidRDefault="005B185B" w:rsidP="00730FDF">
      <w:pPr>
        <w:jc w:val="both"/>
      </w:pPr>
      <w:r>
        <w:br w:type="page"/>
      </w:r>
    </w:p>
    <w:p w14:paraId="4C2BE258" w14:textId="5D386670" w:rsidR="005B185B" w:rsidRPr="00683366" w:rsidRDefault="005B185B" w:rsidP="00730FDF">
      <w:pPr>
        <w:pStyle w:val="Listenabsatz"/>
        <w:numPr>
          <w:ilvl w:val="0"/>
          <w:numId w:val="20"/>
        </w:numPr>
        <w:jc w:val="both"/>
        <w:rPr>
          <w:b/>
          <w:bCs/>
          <w:sz w:val="24"/>
          <w:szCs w:val="24"/>
        </w:rPr>
      </w:pPr>
      <w:r w:rsidRPr="00683366">
        <w:rPr>
          <w:b/>
          <w:bCs/>
          <w:sz w:val="24"/>
          <w:szCs w:val="24"/>
        </w:rPr>
        <w:lastRenderedPageBreak/>
        <w:t>Dendrons</w:t>
      </w:r>
    </w:p>
    <w:p w14:paraId="286EA8FF" w14:textId="7B0A3425" w:rsidR="008A23A2" w:rsidRPr="008A23A2" w:rsidRDefault="008A23A2" w:rsidP="00730FDF">
      <w:pPr>
        <w:jc w:val="both"/>
        <w:rPr>
          <w:rFonts w:cs="Arial"/>
          <w:b/>
          <w:bCs/>
        </w:rPr>
      </w:pPr>
      <w:r>
        <w:rPr>
          <w:rFonts w:cs="Arial"/>
          <w:b/>
          <w:bCs/>
        </w:rPr>
        <w:t xml:space="preserve">1 </w:t>
      </w:r>
      <w:r w:rsidRPr="008A23A2">
        <w:rPr>
          <w:rFonts w:cs="Arial"/>
          <w:b/>
          <w:bCs/>
        </w:rPr>
        <w:t>General Information</w:t>
      </w:r>
    </w:p>
    <w:p w14:paraId="3855F975" w14:textId="77777777" w:rsidR="008A23A2" w:rsidRPr="008A23A2" w:rsidRDefault="008A23A2" w:rsidP="00730FDF">
      <w:pPr>
        <w:jc w:val="both"/>
        <w:rPr>
          <w:rFonts w:cs="Arial"/>
        </w:rPr>
      </w:pPr>
      <w:r w:rsidRPr="008A23A2">
        <w:rPr>
          <w:rFonts w:cs="Arial"/>
        </w:rPr>
        <w:t>Commercially available solvents and reagents were used as received. Drying of THF was carried out on a Pure Solv MD-5 drying system from Innovative Technologies.</w:t>
      </w:r>
    </w:p>
    <w:p w14:paraId="554FC788" w14:textId="01504CF9" w:rsidR="008A23A2" w:rsidRPr="008A23A2" w:rsidRDefault="008A23A2" w:rsidP="00730FDF">
      <w:pPr>
        <w:jc w:val="both"/>
        <w:rPr>
          <w:rFonts w:cs="Arial"/>
        </w:rPr>
      </w:pPr>
      <w:r w:rsidRPr="008A23A2">
        <w:rPr>
          <w:rFonts w:cs="Arial"/>
        </w:rPr>
        <w:t xml:space="preserve">Column chromatography was carried out using 0.040-0.063 mm mesh silica gel from Merck. </w:t>
      </w:r>
      <w:r w:rsidRPr="008A23A2">
        <w:rPr>
          <w:rFonts w:cs="Arial"/>
          <w:i/>
        </w:rPr>
        <w:t>R</w:t>
      </w:r>
      <w:r w:rsidRPr="008A23A2">
        <w:rPr>
          <w:rFonts w:cs="Arial"/>
          <w:vertAlign w:val="subscript"/>
        </w:rPr>
        <w:t>f</w:t>
      </w:r>
      <w:r w:rsidRPr="008A23A2">
        <w:rPr>
          <w:rFonts w:cs="Arial"/>
        </w:rPr>
        <w:t xml:space="preserve"> values were determined by thin layer chromatography on Polygram</w:t>
      </w:r>
      <w:r w:rsidRPr="008A23A2">
        <w:rPr>
          <w:rFonts w:cs="Arial"/>
          <w:vertAlign w:val="superscript"/>
        </w:rPr>
        <w:t>®</w:t>
      </w:r>
      <w:r w:rsidRPr="008A23A2">
        <w:rPr>
          <w:rFonts w:cs="Arial"/>
        </w:rPr>
        <w:t xml:space="preserve"> Sil G/UV</w:t>
      </w:r>
      <w:r w:rsidRPr="008A23A2">
        <w:rPr>
          <w:rFonts w:cs="Arial"/>
          <w:vertAlign w:val="subscript"/>
        </w:rPr>
        <w:t>254</w:t>
      </w:r>
      <w:r w:rsidRPr="008A23A2">
        <w:rPr>
          <w:rFonts w:cs="Arial"/>
        </w:rPr>
        <w:t xml:space="preserve"> with 0.2 mm particle size from Macherey-Nagel. Identification of spots were carried out with Hanessian’s stain: 0.2 % (m/V) Ce(SO</w:t>
      </w:r>
      <w:r w:rsidRPr="008A23A2">
        <w:rPr>
          <w:rFonts w:cs="Arial"/>
          <w:vertAlign w:val="subscript"/>
        </w:rPr>
        <w:t>4</w:t>
      </w:r>
      <w:r w:rsidRPr="008A23A2">
        <w:rPr>
          <w:rFonts w:cs="Arial"/>
        </w:rPr>
        <w:t>), 5 % (m/V) (NH</w:t>
      </w:r>
      <w:r w:rsidRPr="008A23A2">
        <w:rPr>
          <w:rFonts w:cs="Arial"/>
          <w:vertAlign w:val="subscript"/>
        </w:rPr>
        <w:t>4</w:t>
      </w:r>
      <w:r w:rsidRPr="008A23A2">
        <w:rPr>
          <w:rFonts w:cs="Arial"/>
        </w:rPr>
        <w:t>)</w:t>
      </w:r>
      <w:r w:rsidRPr="008A23A2">
        <w:rPr>
          <w:rFonts w:cs="Arial"/>
          <w:vertAlign w:val="subscript"/>
        </w:rPr>
        <w:t>2</w:t>
      </w:r>
      <w:r w:rsidRPr="008A23A2">
        <w:rPr>
          <w:rFonts w:cs="Arial"/>
        </w:rPr>
        <w:t>Mo</w:t>
      </w:r>
      <w:r w:rsidRPr="008A23A2">
        <w:rPr>
          <w:rFonts w:cs="Arial"/>
          <w:vertAlign w:val="subscript"/>
        </w:rPr>
        <w:t>3</w:t>
      </w:r>
      <w:r w:rsidRPr="008A23A2">
        <w:rPr>
          <w:rFonts w:cs="Arial"/>
        </w:rPr>
        <w:t>O</w:t>
      </w:r>
      <w:r w:rsidRPr="008A23A2">
        <w:rPr>
          <w:rFonts w:cs="Arial"/>
          <w:vertAlign w:val="subscript"/>
        </w:rPr>
        <w:t>7</w:t>
      </w:r>
      <w:r w:rsidRPr="008A23A2">
        <w:rPr>
          <w:rFonts w:cs="Arial"/>
        </w:rPr>
        <w:t>, 5 % (m/V) konz. H</w:t>
      </w:r>
      <w:r w:rsidRPr="008A23A2">
        <w:rPr>
          <w:rFonts w:cs="Arial"/>
          <w:vertAlign w:val="subscript"/>
        </w:rPr>
        <w:t>2</w:t>
      </w:r>
      <w:r w:rsidRPr="008A23A2">
        <w:rPr>
          <w:rFonts w:cs="Arial"/>
        </w:rPr>
        <w:t>SO</w:t>
      </w:r>
      <w:r w:rsidRPr="008A23A2">
        <w:rPr>
          <w:rFonts w:cs="Arial"/>
          <w:vertAlign w:val="subscript"/>
        </w:rPr>
        <w:t>4</w:t>
      </w:r>
      <w:r w:rsidRPr="008A23A2">
        <w:rPr>
          <w:rFonts w:cs="Arial"/>
        </w:rPr>
        <w:t xml:space="preserve"> in H</w:t>
      </w:r>
      <w:r w:rsidRPr="008A23A2">
        <w:rPr>
          <w:rFonts w:cs="Arial"/>
          <w:vertAlign w:val="subscript"/>
        </w:rPr>
        <w:t>2</w:t>
      </w:r>
      <w:r w:rsidRPr="008A23A2">
        <w:rPr>
          <w:rFonts w:cs="Arial"/>
        </w:rPr>
        <w:t>O. After immersion, the silica gel plates were carefully dried using a heat</w:t>
      </w:r>
      <w:r w:rsidR="00730FDF">
        <w:rPr>
          <w:rFonts w:cs="Arial"/>
        </w:rPr>
        <w:t xml:space="preserve"> </w:t>
      </w:r>
      <w:r w:rsidRPr="008A23A2">
        <w:rPr>
          <w:rFonts w:cs="Arial"/>
        </w:rPr>
        <w:t>gun.</w:t>
      </w:r>
      <w:r w:rsidR="00730FDF">
        <w:rPr>
          <w:rFonts w:cs="Arial"/>
        </w:rPr>
        <w:t xml:space="preserve"> </w:t>
      </w:r>
      <w:r w:rsidRPr="008A23A2">
        <w:rPr>
          <w:rFonts w:cs="Arial"/>
        </w:rPr>
        <w:t>Substance</w:t>
      </w:r>
      <w:r w:rsidR="00730FDF">
        <w:rPr>
          <w:rFonts w:cs="Arial"/>
        </w:rPr>
        <w:t xml:space="preserve"> </w:t>
      </w:r>
      <w:r w:rsidRPr="008A23A2">
        <w:rPr>
          <w:rFonts w:cs="Arial"/>
        </w:rPr>
        <w:t>spots</w:t>
      </w:r>
      <w:r w:rsidR="00730FDF">
        <w:rPr>
          <w:rFonts w:cs="Arial"/>
        </w:rPr>
        <w:t xml:space="preserve"> </w:t>
      </w:r>
      <w:r w:rsidRPr="008A23A2">
        <w:rPr>
          <w:rFonts w:cs="Arial"/>
        </w:rPr>
        <w:t>then</w:t>
      </w:r>
      <w:r w:rsidR="00730FDF">
        <w:rPr>
          <w:rFonts w:cs="Arial"/>
        </w:rPr>
        <w:t xml:space="preserve"> </w:t>
      </w:r>
      <w:r w:rsidRPr="008A23A2">
        <w:rPr>
          <w:rFonts w:cs="Arial"/>
        </w:rPr>
        <w:t>appear as</w:t>
      </w:r>
      <w:r w:rsidR="00730FDF">
        <w:rPr>
          <w:rFonts w:cs="Arial"/>
        </w:rPr>
        <w:t xml:space="preserve"> </w:t>
      </w:r>
      <w:r w:rsidRPr="008A23A2">
        <w:rPr>
          <w:rFonts w:cs="Arial"/>
        </w:rPr>
        <w:t>blue spots.</w:t>
      </w:r>
    </w:p>
    <w:p w14:paraId="70A697ED" w14:textId="77777777" w:rsidR="008A23A2" w:rsidRPr="008A23A2" w:rsidRDefault="008A23A2" w:rsidP="00730FDF">
      <w:pPr>
        <w:jc w:val="both"/>
        <w:rPr>
          <w:rFonts w:cs="Arial"/>
        </w:rPr>
      </w:pPr>
      <w:r w:rsidRPr="008A23A2">
        <w:rPr>
          <w:rFonts w:cs="Arial"/>
        </w:rPr>
        <w:t>NMR-spectroscopy was carried out on an AV 200 (</w:t>
      </w:r>
      <w:r w:rsidRPr="008A23A2">
        <w:rPr>
          <w:rFonts w:cs="Arial"/>
          <w:vertAlign w:val="superscript"/>
        </w:rPr>
        <w:t>1</w:t>
      </w:r>
      <w:r w:rsidRPr="008A23A2">
        <w:rPr>
          <w:rFonts w:cs="Arial"/>
        </w:rPr>
        <w:t>H-NMR: 200 MHz), a DRX 500 (</w:t>
      </w:r>
      <w:r w:rsidRPr="008A23A2">
        <w:rPr>
          <w:rFonts w:cs="Arial"/>
          <w:vertAlign w:val="superscript"/>
        </w:rPr>
        <w:t>1</w:t>
      </w:r>
      <w:r w:rsidRPr="008A23A2">
        <w:rPr>
          <w:rFonts w:cs="Arial"/>
        </w:rPr>
        <w:t xml:space="preserve">H NMR: 500 MHz, </w:t>
      </w:r>
      <w:r w:rsidRPr="008A23A2">
        <w:rPr>
          <w:rFonts w:cs="Arial"/>
          <w:vertAlign w:val="superscript"/>
        </w:rPr>
        <w:t>13</w:t>
      </w:r>
      <w:r w:rsidRPr="008A23A2">
        <w:rPr>
          <w:rFonts w:cs="Arial"/>
        </w:rPr>
        <w:t>C NMR: 125 MHz) or an AV 600 (</w:t>
      </w:r>
      <w:r w:rsidRPr="008A23A2">
        <w:rPr>
          <w:rFonts w:cs="Arial"/>
          <w:vertAlign w:val="superscript"/>
        </w:rPr>
        <w:t>1</w:t>
      </w:r>
      <w:r w:rsidRPr="008A23A2">
        <w:rPr>
          <w:rFonts w:cs="Arial"/>
        </w:rPr>
        <w:t xml:space="preserve">H NMR: 600 MHz, </w:t>
      </w:r>
      <w:r w:rsidRPr="008A23A2">
        <w:rPr>
          <w:rFonts w:cs="Arial"/>
          <w:vertAlign w:val="superscript"/>
        </w:rPr>
        <w:t>13</w:t>
      </w:r>
      <w:r w:rsidRPr="008A23A2">
        <w:rPr>
          <w:rFonts w:cs="Arial"/>
        </w:rPr>
        <w:t xml:space="preserve">C NMR: 150 MHz) from Bruker. Further two-dimensional methods for assigning the peaks were used (COSY, HSQC, HMBC). Chemical shift is notated in ppm. </w:t>
      </w:r>
      <w:r w:rsidRPr="008A23A2">
        <w:rPr>
          <w:rFonts w:cs="Arial"/>
          <w:vertAlign w:val="superscript"/>
        </w:rPr>
        <w:t>1</w:t>
      </w:r>
      <w:r w:rsidRPr="008A23A2">
        <w:rPr>
          <w:rFonts w:cs="Arial"/>
        </w:rPr>
        <w:t xml:space="preserve">H NMR and </w:t>
      </w:r>
      <w:r w:rsidRPr="008A23A2">
        <w:rPr>
          <w:rFonts w:cs="Arial"/>
          <w:vertAlign w:val="superscript"/>
        </w:rPr>
        <w:t>13</w:t>
      </w:r>
      <w:r w:rsidRPr="008A23A2">
        <w:rPr>
          <w:rFonts w:cs="Arial"/>
        </w:rPr>
        <w:t>C NMR spectra were referenced to solvents from Deutero as follows:</w:t>
      </w:r>
    </w:p>
    <w:p w14:paraId="421F520A" w14:textId="77777777" w:rsidR="008A23A2" w:rsidRPr="008A23A2" w:rsidRDefault="008A23A2" w:rsidP="00730FDF">
      <w:pPr>
        <w:jc w:val="both"/>
        <w:rPr>
          <w:rFonts w:cs="Arial"/>
        </w:rPr>
      </w:pPr>
    </w:p>
    <w:p w14:paraId="469B15AF" w14:textId="6F8297F8" w:rsidR="008A23A2" w:rsidRPr="008A23A2" w:rsidRDefault="008A23A2" w:rsidP="00730FDF">
      <w:pPr>
        <w:jc w:val="both"/>
        <w:rPr>
          <w:rFonts w:cs="Arial"/>
          <w:b/>
          <w:vertAlign w:val="superscript"/>
        </w:rPr>
      </w:pPr>
      <w:r w:rsidRPr="008A23A2">
        <w:rPr>
          <w:rFonts w:cs="Arial"/>
          <w:b/>
        </w:rPr>
        <w:t>Table S1</w:t>
      </w:r>
      <w:r w:rsidR="00A31102">
        <w:rPr>
          <w:rFonts w:cs="Arial"/>
          <w:b/>
        </w:rPr>
        <w:t>:</w:t>
      </w:r>
      <w:r w:rsidRPr="008A23A2">
        <w:rPr>
          <w:rFonts w:cs="Arial"/>
          <w:b/>
        </w:rPr>
        <w:t xml:space="preserve"> Solvent references in </w:t>
      </w:r>
      <w:r w:rsidRPr="008A23A2">
        <w:rPr>
          <w:rFonts w:cs="Arial"/>
          <w:b/>
          <w:vertAlign w:val="superscript"/>
        </w:rPr>
        <w:t>1</w:t>
      </w:r>
      <w:r w:rsidRPr="008A23A2">
        <w:rPr>
          <w:rFonts w:cs="Arial"/>
          <w:b/>
        </w:rPr>
        <w:t xml:space="preserve">H NMR and </w:t>
      </w:r>
      <w:r w:rsidRPr="008A23A2">
        <w:rPr>
          <w:rFonts w:cs="Arial"/>
          <w:b/>
          <w:vertAlign w:val="superscript"/>
        </w:rPr>
        <w:t>13</w:t>
      </w:r>
      <w:r w:rsidRPr="008A23A2">
        <w:rPr>
          <w:rFonts w:cs="Arial"/>
          <w:b/>
        </w:rPr>
        <w:t>C NMR</w:t>
      </w:r>
      <w:r w:rsidRPr="008A23A2">
        <w:rPr>
          <w:rFonts w:cs="Arial"/>
          <w:b/>
          <w:vertAlign w:val="superscript"/>
        </w:rPr>
        <w:t>[1]</w:t>
      </w: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2268"/>
        <w:gridCol w:w="2410"/>
      </w:tblGrid>
      <w:tr w:rsidR="008A23A2" w:rsidRPr="008A23A2" w14:paraId="70472796" w14:textId="77777777" w:rsidTr="008A23A2">
        <w:trPr>
          <w:jc w:val="center"/>
        </w:trPr>
        <w:tc>
          <w:tcPr>
            <w:tcW w:w="1418" w:type="dxa"/>
            <w:tcBorders>
              <w:top w:val="nil"/>
              <w:left w:val="nil"/>
              <w:bottom w:val="single" w:sz="12" w:space="0" w:color="auto"/>
              <w:right w:val="single" w:sz="4" w:space="0" w:color="auto"/>
            </w:tcBorders>
            <w:vAlign w:val="center"/>
            <w:hideMark/>
          </w:tcPr>
          <w:p w14:paraId="469BC26D" w14:textId="77777777" w:rsidR="008A23A2" w:rsidRPr="008A23A2" w:rsidRDefault="008A23A2" w:rsidP="00730FDF">
            <w:pPr>
              <w:spacing w:after="160" w:line="259" w:lineRule="auto"/>
              <w:jc w:val="both"/>
              <w:rPr>
                <w:rFonts w:cs="Arial"/>
              </w:rPr>
            </w:pPr>
            <w:r w:rsidRPr="008A23A2">
              <w:rPr>
                <w:rFonts w:cs="Arial"/>
              </w:rPr>
              <w:t>solvent</w:t>
            </w:r>
          </w:p>
        </w:tc>
        <w:tc>
          <w:tcPr>
            <w:tcW w:w="2268" w:type="dxa"/>
            <w:tcBorders>
              <w:top w:val="nil"/>
              <w:left w:val="single" w:sz="4" w:space="0" w:color="auto"/>
              <w:bottom w:val="single" w:sz="12" w:space="0" w:color="auto"/>
              <w:right w:val="single" w:sz="4" w:space="0" w:color="auto"/>
            </w:tcBorders>
            <w:vAlign w:val="center"/>
            <w:hideMark/>
          </w:tcPr>
          <w:p w14:paraId="607E9FFE" w14:textId="77777777" w:rsidR="008A23A2" w:rsidRPr="008A23A2" w:rsidRDefault="008A23A2" w:rsidP="00730FDF">
            <w:pPr>
              <w:spacing w:after="160" w:line="259" w:lineRule="auto"/>
              <w:jc w:val="both"/>
              <w:rPr>
                <w:rFonts w:cs="Arial"/>
              </w:rPr>
            </w:pPr>
            <w:r w:rsidRPr="008A23A2">
              <w:rPr>
                <w:rFonts w:cs="Arial"/>
                <w:vertAlign w:val="superscript"/>
              </w:rPr>
              <w:t>1</w:t>
            </w:r>
            <w:r w:rsidRPr="008A23A2">
              <w:rPr>
                <w:rFonts w:cs="Arial"/>
              </w:rPr>
              <w:t>H NMR shift [ppm]</w:t>
            </w:r>
          </w:p>
        </w:tc>
        <w:tc>
          <w:tcPr>
            <w:tcW w:w="2410" w:type="dxa"/>
            <w:tcBorders>
              <w:top w:val="nil"/>
              <w:left w:val="single" w:sz="4" w:space="0" w:color="auto"/>
              <w:bottom w:val="single" w:sz="12" w:space="0" w:color="auto"/>
              <w:right w:val="nil"/>
            </w:tcBorders>
            <w:vAlign w:val="center"/>
            <w:hideMark/>
          </w:tcPr>
          <w:p w14:paraId="74CCCFA7" w14:textId="77777777" w:rsidR="008A23A2" w:rsidRPr="008A23A2" w:rsidRDefault="008A23A2" w:rsidP="00730FDF">
            <w:pPr>
              <w:spacing w:after="160" w:line="259" w:lineRule="auto"/>
              <w:jc w:val="both"/>
              <w:rPr>
                <w:rFonts w:cs="Arial"/>
              </w:rPr>
            </w:pPr>
            <w:r w:rsidRPr="008A23A2">
              <w:rPr>
                <w:rFonts w:cs="Arial"/>
                <w:vertAlign w:val="superscript"/>
              </w:rPr>
              <w:t>13</w:t>
            </w:r>
            <w:r w:rsidRPr="008A23A2">
              <w:rPr>
                <w:rFonts w:cs="Arial"/>
              </w:rPr>
              <w:t>C NMR shift [ppm]</w:t>
            </w:r>
          </w:p>
        </w:tc>
      </w:tr>
      <w:tr w:rsidR="008A23A2" w:rsidRPr="008A23A2" w14:paraId="266B9AB0" w14:textId="77777777" w:rsidTr="008A23A2">
        <w:trPr>
          <w:jc w:val="center"/>
        </w:trPr>
        <w:tc>
          <w:tcPr>
            <w:tcW w:w="1418" w:type="dxa"/>
            <w:tcBorders>
              <w:top w:val="single" w:sz="12" w:space="0" w:color="auto"/>
              <w:left w:val="nil"/>
              <w:bottom w:val="single" w:sz="4" w:space="0" w:color="auto"/>
              <w:right w:val="single" w:sz="4" w:space="0" w:color="auto"/>
            </w:tcBorders>
            <w:vAlign w:val="center"/>
            <w:hideMark/>
          </w:tcPr>
          <w:p w14:paraId="74C69150" w14:textId="77777777" w:rsidR="008A23A2" w:rsidRPr="008A23A2" w:rsidRDefault="008A23A2" w:rsidP="00730FDF">
            <w:pPr>
              <w:spacing w:after="160" w:line="259" w:lineRule="auto"/>
              <w:jc w:val="both"/>
              <w:rPr>
                <w:rFonts w:cs="Arial"/>
              </w:rPr>
            </w:pPr>
            <w:r w:rsidRPr="008A23A2">
              <w:rPr>
                <w:rFonts w:cs="Arial"/>
              </w:rPr>
              <w:t>acetone-d</w:t>
            </w:r>
            <w:r w:rsidRPr="008A23A2">
              <w:rPr>
                <w:rFonts w:cs="Arial"/>
                <w:vertAlign w:val="subscript"/>
              </w:rPr>
              <w:t>6</w:t>
            </w:r>
          </w:p>
        </w:tc>
        <w:tc>
          <w:tcPr>
            <w:tcW w:w="2268" w:type="dxa"/>
            <w:tcBorders>
              <w:top w:val="single" w:sz="12" w:space="0" w:color="auto"/>
              <w:left w:val="single" w:sz="4" w:space="0" w:color="auto"/>
              <w:bottom w:val="single" w:sz="4" w:space="0" w:color="auto"/>
              <w:right w:val="single" w:sz="4" w:space="0" w:color="auto"/>
            </w:tcBorders>
            <w:vAlign w:val="center"/>
            <w:hideMark/>
          </w:tcPr>
          <w:p w14:paraId="00C19297" w14:textId="77777777" w:rsidR="008A23A2" w:rsidRPr="008A23A2" w:rsidRDefault="008A23A2" w:rsidP="00730FDF">
            <w:pPr>
              <w:spacing w:after="160" w:line="259" w:lineRule="auto"/>
              <w:jc w:val="both"/>
              <w:rPr>
                <w:rFonts w:cs="Arial"/>
              </w:rPr>
            </w:pPr>
            <w:r w:rsidRPr="008A23A2">
              <w:rPr>
                <w:rFonts w:cs="Arial"/>
              </w:rPr>
              <w:t>2.05</w:t>
            </w:r>
          </w:p>
        </w:tc>
        <w:tc>
          <w:tcPr>
            <w:tcW w:w="2410" w:type="dxa"/>
            <w:tcBorders>
              <w:top w:val="single" w:sz="12" w:space="0" w:color="auto"/>
              <w:left w:val="single" w:sz="4" w:space="0" w:color="auto"/>
              <w:bottom w:val="single" w:sz="4" w:space="0" w:color="auto"/>
              <w:right w:val="nil"/>
            </w:tcBorders>
            <w:vAlign w:val="center"/>
            <w:hideMark/>
          </w:tcPr>
          <w:p w14:paraId="1D216D52" w14:textId="77777777" w:rsidR="008A23A2" w:rsidRPr="008A23A2" w:rsidRDefault="008A23A2" w:rsidP="00730FDF">
            <w:pPr>
              <w:spacing w:after="160" w:line="259" w:lineRule="auto"/>
              <w:jc w:val="both"/>
              <w:rPr>
                <w:rFonts w:cs="Arial"/>
              </w:rPr>
            </w:pPr>
            <w:r w:rsidRPr="008A23A2">
              <w:rPr>
                <w:rFonts w:cs="Arial"/>
              </w:rPr>
              <w:t>29.84</w:t>
            </w:r>
          </w:p>
        </w:tc>
      </w:tr>
      <w:tr w:rsidR="008A23A2" w:rsidRPr="008A23A2" w14:paraId="53731225" w14:textId="77777777" w:rsidTr="008A23A2">
        <w:trPr>
          <w:jc w:val="center"/>
        </w:trPr>
        <w:tc>
          <w:tcPr>
            <w:tcW w:w="1418" w:type="dxa"/>
            <w:tcBorders>
              <w:top w:val="single" w:sz="4" w:space="0" w:color="auto"/>
              <w:left w:val="nil"/>
              <w:bottom w:val="single" w:sz="4" w:space="0" w:color="auto"/>
              <w:right w:val="single" w:sz="4" w:space="0" w:color="auto"/>
            </w:tcBorders>
            <w:vAlign w:val="center"/>
            <w:hideMark/>
          </w:tcPr>
          <w:p w14:paraId="091A2440" w14:textId="77777777" w:rsidR="008A23A2" w:rsidRPr="008A23A2" w:rsidRDefault="008A23A2" w:rsidP="00730FDF">
            <w:pPr>
              <w:spacing w:after="160" w:line="259" w:lineRule="auto"/>
              <w:jc w:val="both"/>
              <w:rPr>
                <w:rFonts w:cs="Arial"/>
              </w:rPr>
            </w:pPr>
            <w:r w:rsidRPr="008A23A2">
              <w:rPr>
                <w:rFonts w:cs="Arial"/>
              </w:rPr>
              <w:t>CDCl</w:t>
            </w:r>
            <w:r w:rsidRPr="008A23A2">
              <w:rPr>
                <w:rFonts w:cs="Arial"/>
                <w:vertAlign w:val="subscript"/>
              </w:rPr>
              <w:t>3</w:t>
            </w:r>
          </w:p>
        </w:tc>
        <w:tc>
          <w:tcPr>
            <w:tcW w:w="2268" w:type="dxa"/>
            <w:tcBorders>
              <w:top w:val="single" w:sz="4" w:space="0" w:color="auto"/>
              <w:left w:val="single" w:sz="4" w:space="0" w:color="auto"/>
              <w:bottom w:val="single" w:sz="4" w:space="0" w:color="auto"/>
              <w:right w:val="single" w:sz="4" w:space="0" w:color="auto"/>
            </w:tcBorders>
            <w:vAlign w:val="center"/>
            <w:hideMark/>
          </w:tcPr>
          <w:p w14:paraId="4AED5FF6" w14:textId="77777777" w:rsidR="008A23A2" w:rsidRPr="008A23A2" w:rsidRDefault="008A23A2" w:rsidP="00730FDF">
            <w:pPr>
              <w:spacing w:after="160" w:line="259" w:lineRule="auto"/>
              <w:jc w:val="both"/>
              <w:rPr>
                <w:rFonts w:cs="Arial"/>
              </w:rPr>
            </w:pPr>
            <w:r w:rsidRPr="008A23A2">
              <w:rPr>
                <w:rFonts w:cs="Arial"/>
              </w:rPr>
              <w:t>7.26</w:t>
            </w:r>
          </w:p>
        </w:tc>
        <w:tc>
          <w:tcPr>
            <w:tcW w:w="2410" w:type="dxa"/>
            <w:tcBorders>
              <w:top w:val="single" w:sz="4" w:space="0" w:color="auto"/>
              <w:left w:val="single" w:sz="4" w:space="0" w:color="auto"/>
              <w:bottom w:val="single" w:sz="4" w:space="0" w:color="auto"/>
              <w:right w:val="nil"/>
            </w:tcBorders>
            <w:vAlign w:val="center"/>
            <w:hideMark/>
          </w:tcPr>
          <w:p w14:paraId="0F87451D" w14:textId="77777777" w:rsidR="008A23A2" w:rsidRPr="008A23A2" w:rsidRDefault="008A23A2" w:rsidP="00730FDF">
            <w:pPr>
              <w:spacing w:after="160" w:line="259" w:lineRule="auto"/>
              <w:jc w:val="both"/>
              <w:rPr>
                <w:rFonts w:cs="Arial"/>
              </w:rPr>
            </w:pPr>
            <w:r w:rsidRPr="008A23A2">
              <w:rPr>
                <w:rFonts w:cs="Arial"/>
              </w:rPr>
              <w:t>77.16</w:t>
            </w:r>
          </w:p>
        </w:tc>
      </w:tr>
      <w:tr w:rsidR="008A23A2" w:rsidRPr="008A23A2" w14:paraId="3AC14225" w14:textId="77777777" w:rsidTr="008A23A2">
        <w:trPr>
          <w:jc w:val="center"/>
        </w:trPr>
        <w:tc>
          <w:tcPr>
            <w:tcW w:w="1418" w:type="dxa"/>
            <w:tcBorders>
              <w:top w:val="single" w:sz="4" w:space="0" w:color="auto"/>
              <w:left w:val="nil"/>
              <w:bottom w:val="nil"/>
              <w:right w:val="single" w:sz="4" w:space="0" w:color="auto"/>
            </w:tcBorders>
            <w:vAlign w:val="center"/>
            <w:hideMark/>
          </w:tcPr>
          <w:p w14:paraId="008C0085" w14:textId="77777777" w:rsidR="008A23A2" w:rsidRPr="008A23A2" w:rsidRDefault="008A23A2" w:rsidP="00730FDF">
            <w:pPr>
              <w:spacing w:after="160" w:line="259" w:lineRule="auto"/>
              <w:jc w:val="both"/>
              <w:rPr>
                <w:rFonts w:cs="Arial"/>
              </w:rPr>
            </w:pPr>
            <w:r w:rsidRPr="008A23A2">
              <w:rPr>
                <w:rFonts w:cs="Arial"/>
              </w:rPr>
              <w:t>D</w:t>
            </w:r>
            <w:r w:rsidRPr="008A23A2">
              <w:rPr>
                <w:rFonts w:cs="Arial"/>
                <w:vertAlign w:val="subscript"/>
              </w:rPr>
              <w:t>2</w:t>
            </w:r>
            <w:r w:rsidRPr="008A23A2">
              <w:rPr>
                <w:rFonts w:cs="Arial"/>
              </w:rPr>
              <w:t>O</w:t>
            </w:r>
          </w:p>
        </w:tc>
        <w:tc>
          <w:tcPr>
            <w:tcW w:w="2268" w:type="dxa"/>
            <w:tcBorders>
              <w:top w:val="single" w:sz="4" w:space="0" w:color="auto"/>
              <w:left w:val="single" w:sz="4" w:space="0" w:color="auto"/>
              <w:bottom w:val="nil"/>
              <w:right w:val="single" w:sz="4" w:space="0" w:color="auto"/>
            </w:tcBorders>
            <w:vAlign w:val="center"/>
            <w:hideMark/>
          </w:tcPr>
          <w:p w14:paraId="15FC9116" w14:textId="77777777" w:rsidR="008A23A2" w:rsidRPr="008A23A2" w:rsidRDefault="008A23A2" w:rsidP="00730FDF">
            <w:pPr>
              <w:spacing w:after="160" w:line="259" w:lineRule="auto"/>
              <w:jc w:val="both"/>
              <w:rPr>
                <w:rFonts w:cs="Arial"/>
              </w:rPr>
            </w:pPr>
            <w:r w:rsidRPr="008A23A2">
              <w:rPr>
                <w:rFonts w:cs="Arial"/>
              </w:rPr>
              <w:t>4.79</w:t>
            </w:r>
          </w:p>
        </w:tc>
        <w:tc>
          <w:tcPr>
            <w:tcW w:w="2410" w:type="dxa"/>
            <w:tcBorders>
              <w:top w:val="single" w:sz="4" w:space="0" w:color="auto"/>
              <w:left w:val="single" w:sz="4" w:space="0" w:color="auto"/>
              <w:bottom w:val="nil"/>
              <w:right w:val="nil"/>
            </w:tcBorders>
            <w:vAlign w:val="center"/>
            <w:hideMark/>
          </w:tcPr>
          <w:p w14:paraId="1556B743" w14:textId="77777777" w:rsidR="008A23A2" w:rsidRPr="008A23A2" w:rsidRDefault="008A23A2" w:rsidP="00730FDF">
            <w:pPr>
              <w:spacing w:after="160" w:line="259" w:lineRule="auto"/>
              <w:jc w:val="both"/>
              <w:rPr>
                <w:rFonts w:cs="Arial"/>
              </w:rPr>
            </w:pPr>
            <w:r w:rsidRPr="008A23A2">
              <w:rPr>
                <w:rFonts w:cs="Arial"/>
              </w:rPr>
              <w:t>21.03 (acetic acid)</w:t>
            </w:r>
          </w:p>
        </w:tc>
      </w:tr>
    </w:tbl>
    <w:p w14:paraId="6ADEBD8D" w14:textId="77777777" w:rsidR="00730FDF" w:rsidRDefault="00730FDF" w:rsidP="00730FDF">
      <w:pPr>
        <w:jc w:val="both"/>
        <w:rPr>
          <w:rFonts w:cs="Arial"/>
        </w:rPr>
      </w:pPr>
    </w:p>
    <w:p w14:paraId="38A9F566" w14:textId="00A59200" w:rsidR="008A23A2" w:rsidRPr="008A23A2" w:rsidRDefault="008A23A2" w:rsidP="00730FDF">
      <w:pPr>
        <w:jc w:val="both"/>
        <w:rPr>
          <w:rFonts w:cs="Arial"/>
        </w:rPr>
      </w:pPr>
      <w:r w:rsidRPr="008A23A2">
        <w:rPr>
          <w:rFonts w:cs="Arial"/>
        </w:rPr>
        <w:t>Signal multiplicities were abbreviated as follows:</w:t>
      </w:r>
    </w:p>
    <w:p w14:paraId="60EBBAB6" w14:textId="000D0081" w:rsidR="008A23A2" w:rsidRPr="008A23A2" w:rsidRDefault="008A23A2" w:rsidP="00730FDF">
      <w:pPr>
        <w:jc w:val="both"/>
        <w:rPr>
          <w:rFonts w:cs="Arial"/>
          <w:b/>
        </w:rPr>
      </w:pPr>
      <w:r w:rsidRPr="008A23A2">
        <w:rPr>
          <w:rFonts w:cs="Arial"/>
          <w:b/>
        </w:rPr>
        <w:t>Table S2</w:t>
      </w:r>
      <w:r w:rsidR="00A31102">
        <w:rPr>
          <w:rFonts w:cs="Arial"/>
          <w:b/>
        </w:rPr>
        <w:t>:</w:t>
      </w:r>
      <w:r w:rsidRPr="008A23A2">
        <w:rPr>
          <w:rFonts w:cs="Arial"/>
          <w:b/>
        </w:rPr>
        <w:t xml:space="preserve"> Abbreviations of signal multiplicities</w:t>
      </w:r>
    </w:p>
    <w:tbl>
      <w:tblPr>
        <w:tblStyle w:val="Tabellenraster"/>
        <w:tblW w:w="0" w:type="auto"/>
        <w:tblInd w:w="32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3"/>
        <w:gridCol w:w="1083"/>
      </w:tblGrid>
      <w:tr w:rsidR="008A23A2" w:rsidRPr="008A23A2" w14:paraId="13250FEF" w14:textId="77777777" w:rsidTr="008A23A2">
        <w:tc>
          <w:tcPr>
            <w:tcW w:w="1483" w:type="dxa"/>
            <w:tcBorders>
              <w:top w:val="nil"/>
              <w:left w:val="nil"/>
              <w:bottom w:val="single" w:sz="12" w:space="0" w:color="auto"/>
              <w:right w:val="single" w:sz="4" w:space="0" w:color="auto"/>
            </w:tcBorders>
            <w:vAlign w:val="center"/>
            <w:hideMark/>
          </w:tcPr>
          <w:p w14:paraId="4E66BC72" w14:textId="77777777" w:rsidR="008A23A2" w:rsidRPr="008A23A2" w:rsidRDefault="008A23A2" w:rsidP="00730FDF">
            <w:pPr>
              <w:spacing w:after="160" w:line="259" w:lineRule="auto"/>
              <w:jc w:val="both"/>
              <w:rPr>
                <w:rFonts w:cs="Arial"/>
              </w:rPr>
            </w:pPr>
            <w:r w:rsidRPr="008A23A2">
              <w:rPr>
                <w:rFonts w:cs="Arial"/>
              </w:rPr>
              <w:t>Abbreviation</w:t>
            </w:r>
          </w:p>
        </w:tc>
        <w:tc>
          <w:tcPr>
            <w:tcW w:w="1083" w:type="dxa"/>
            <w:tcBorders>
              <w:top w:val="nil"/>
              <w:left w:val="single" w:sz="4" w:space="0" w:color="auto"/>
              <w:bottom w:val="single" w:sz="12" w:space="0" w:color="auto"/>
              <w:right w:val="nil"/>
            </w:tcBorders>
            <w:vAlign w:val="center"/>
            <w:hideMark/>
          </w:tcPr>
          <w:p w14:paraId="56584392" w14:textId="77777777" w:rsidR="008A23A2" w:rsidRPr="008A23A2" w:rsidRDefault="008A23A2" w:rsidP="00730FDF">
            <w:pPr>
              <w:spacing w:after="160" w:line="259" w:lineRule="auto"/>
              <w:jc w:val="both"/>
              <w:rPr>
                <w:rFonts w:cs="Arial"/>
              </w:rPr>
            </w:pPr>
            <w:r w:rsidRPr="008A23A2">
              <w:rPr>
                <w:rFonts w:cs="Arial"/>
              </w:rPr>
              <w:t>Meaning</w:t>
            </w:r>
          </w:p>
        </w:tc>
      </w:tr>
      <w:tr w:rsidR="008A23A2" w:rsidRPr="008A23A2" w14:paraId="1E9137BA" w14:textId="77777777" w:rsidTr="008A23A2">
        <w:tc>
          <w:tcPr>
            <w:tcW w:w="1483" w:type="dxa"/>
            <w:tcBorders>
              <w:top w:val="single" w:sz="12" w:space="0" w:color="auto"/>
              <w:left w:val="nil"/>
              <w:bottom w:val="single" w:sz="4" w:space="0" w:color="auto"/>
              <w:right w:val="single" w:sz="4" w:space="0" w:color="auto"/>
            </w:tcBorders>
            <w:vAlign w:val="center"/>
            <w:hideMark/>
          </w:tcPr>
          <w:p w14:paraId="0FE0F9C7" w14:textId="77777777" w:rsidR="008A23A2" w:rsidRPr="008A23A2" w:rsidRDefault="008A23A2" w:rsidP="00730FDF">
            <w:pPr>
              <w:spacing w:after="160" w:line="259" w:lineRule="auto"/>
              <w:jc w:val="both"/>
              <w:rPr>
                <w:rFonts w:cs="Arial"/>
              </w:rPr>
            </w:pPr>
            <w:r w:rsidRPr="008A23A2">
              <w:rPr>
                <w:rFonts w:cs="Arial"/>
              </w:rPr>
              <w:t>s</w:t>
            </w:r>
          </w:p>
        </w:tc>
        <w:tc>
          <w:tcPr>
            <w:tcW w:w="1083" w:type="dxa"/>
            <w:tcBorders>
              <w:top w:val="single" w:sz="12" w:space="0" w:color="auto"/>
              <w:left w:val="single" w:sz="4" w:space="0" w:color="auto"/>
              <w:bottom w:val="single" w:sz="4" w:space="0" w:color="auto"/>
              <w:right w:val="nil"/>
            </w:tcBorders>
            <w:vAlign w:val="center"/>
            <w:hideMark/>
          </w:tcPr>
          <w:p w14:paraId="44DAF260" w14:textId="77777777" w:rsidR="008A23A2" w:rsidRPr="008A23A2" w:rsidRDefault="008A23A2" w:rsidP="00730FDF">
            <w:pPr>
              <w:spacing w:after="160" w:line="259" w:lineRule="auto"/>
              <w:jc w:val="both"/>
              <w:rPr>
                <w:rFonts w:cs="Arial"/>
              </w:rPr>
            </w:pPr>
            <w:r w:rsidRPr="008A23A2">
              <w:rPr>
                <w:rFonts w:cs="Arial"/>
              </w:rPr>
              <w:t>singlet</w:t>
            </w:r>
          </w:p>
        </w:tc>
      </w:tr>
      <w:tr w:rsidR="008A23A2" w:rsidRPr="008A23A2" w14:paraId="3EC21334" w14:textId="77777777" w:rsidTr="008A23A2">
        <w:tc>
          <w:tcPr>
            <w:tcW w:w="1483" w:type="dxa"/>
            <w:tcBorders>
              <w:top w:val="single" w:sz="4" w:space="0" w:color="auto"/>
              <w:left w:val="nil"/>
              <w:bottom w:val="single" w:sz="4" w:space="0" w:color="auto"/>
              <w:right w:val="single" w:sz="4" w:space="0" w:color="auto"/>
            </w:tcBorders>
            <w:vAlign w:val="center"/>
            <w:hideMark/>
          </w:tcPr>
          <w:p w14:paraId="44138ECC" w14:textId="77777777" w:rsidR="008A23A2" w:rsidRPr="008A23A2" w:rsidRDefault="008A23A2" w:rsidP="00730FDF">
            <w:pPr>
              <w:spacing w:after="160" w:line="259" w:lineRule="auto"/>
              <w:jc w:val="both"/>
              <w:rPr>
                <w:rFonts w:cs="Arial"/>
              </w:rPr>
            </w:pPr>
            <w:r w:rsidRPr="008A23A2">
              <w:rPr>
                <w:rFonts w:cs="Arial"/>
              </w:rPr>
              <w:t>quint.</w:t>
            </w:r>
          </w:p>
        </w:tc>
        <w:tc>
          <w:tcPr>
            <w:tcW w:w="1083" w:type="dxa"/>
            <w:tcBorders>
              <w:top w:val="single" w:sz="4" w:space="0" w:color="auto"/>
              <w:left w:val="single" w:sz="4" w:space="0" w:color="auto"/>
              <w:bottom w:val="single" w:sz="4" w:space="0" w:color="auto"/>
              <w:right w:val="nil"/>
            </w:tcBorders>
            <w:vAlign w:val="center"/>
            <w:hideMark/>
          </w:tcPr>
          <w:p w14:paraId="3D59F2BD" w14:textId="77777777" w:rsidR="008A23A2" w:rsidRPr="008A23A2" w:rsidRDefault="008A23A2" w:rsidP="00730FDF">
            <w:pPr>
              <w:spacing w:after="160" w:line="259" w:lineRule="auto"/>
              <w:jc w:val="both"/>
              <w:rPr>
                <w:rFonts w:cs="Arial"/>
              </w:rPr>
            </w:pPr>
            <w:r w:rsidRPr="008A23A2">
              <w:rPr>
                <w:rFonts w:cs="Arial"/>
              </w:rPr>
              <w:t>quintet</w:t>
            </w:r>
          </w:p>
        </w:tc>
      </w:tr>
      <w:tr w:rsidR="008A23A2" w:rsidRPr="008A23A2" w14:paraId="2BEDE32E" w14:textId="77777777" w:rsidTr="008A23A2">
        <w:tc>
          <w:tcPr>
            <w:tcW w:w="1483" w:type="dxa"/>
            <w:tcBorders>
              <w:top w:val="single" w:sz="4" w:space="0" w:color="auto"/>
              <w:left w:val="nil"/>
              <w:bottom w:val="nil"/>
              <w:right w:val="single" w:sz="4" w:space="0" w:color="auto"/>
            </w:tcBorders>
            <w:vAlign w:val="center"/>
            <w:hideMark/>
          </w:tcPr>
          <w:p w14:paraId="366783DD" w14:textId="77777777" w:rsidR="008A23A2" w:rsidRPr="008A23A2" w:rsidRDefault="008A23A2" w:rsidP="00730FDF">
            <w:pPr>
              <w:spacing w:after="160" w:line="259" w:lineRule="auto"/>
              <w:jc w:val="both"/>
              <w:rPr>
                <w:rFonts w:cs="Arial"/>
              </w:rPr>
            </w:pPr>
            <w:r w:rsidRPr="008A23A2">
              <w:rPr>
                <w:rFonts w:cs="Arial"/>
              </w:rPr>
              <w:t>m</w:t>
            </w:r>
          </w:p>
        </w:tc>
        <w:tc>
          <w:tcPr>
            <w:tcW w:w="1083" w:type="dxa"/>
            <w:tcBorders>
              <w:top w:val="single" w:sz="4" w:space="0" w:color="auto"/>
              <w:left w:val="single" w:sz="4" w:space="0" w:color="auto"/>
              <w:bottom w:val="nil"/>
              <w:right w:val="nil"/>
            </w:tcBorders>
            <w:vAlign w:val="center"/>
            <w:hideMark/>
          </w:tcPr>
          <w:p w14:paraId="3C3A842F" w14:textId="77777777" w:rsidR="008A23A2" w:rsidRPr="008A23A2" w:rsidRDefault="008A23A2" w:rsidP="00730FDF">
            <w:pPr>
              <w:spacing w:after="160" w:line="259" w:lineRule="auto"/>
              <w:jc w:val="both"/>
              <w:rPr>
                <w:rFonts w:cs="Arial"/>
              </w:rPr>
            </w:pPr>
            <w:r w:rsidRPr="008A23A2">
              <w:rPr>
                <w:rFonts w:cs="Arial"/>
              </w:rPr>
              <w:t>multiplet</w:t>
            </w:r>
          </w:p>
        </w:tc>
      </w:tr>
    </w:tbl>
    <w:p w14:paraId="58FD499F" w14:textId="77777777" w:rsidR="008A23A2" w:rsidRPr="008A23A2" w:rsidRDefault="008A23A2" w:rsidP="00730FDF">
      <w:pPr>
        <w:jc w:val="both"/>
        <w:rPr>
          <w:rFonts w:cs="Arial"/>
        </w:rPr>
      </w:pPr>
    </w:p>
    <w:p w14:paraId="07FE33F4" w14:textId="77777777" w:rsidR="008A23A2" w:rsidRPr="008A23A2" w:rsidRDefault="008A23A2" w:rsidP="00730FDF">
      <w:pPr>
        <w:jc w:val="both"/>
        <w:rPr>
          <w:rFonts w:cs="Arial"/>
        </w:rPr>
      </w:pPr>
      <w:r w:rsidRPr="008A23A2">
        <w:rPr>
          <w:rFonts w:cs="Arial"/>
        </w:rPr>
        <w:t>IR-spectroscopy was carried out with a Perkin-Elmer 1600 Series FT-IR spectrometer with an A531-G Golden-Gate-Diamond-ATR-unit. The wave number range was 4000 cm</w:t>
      </w:r>
      <w:r w:rsidRPr="008A23A2">
        <w:rPr>
          <w:rFonts w:cs="Arial"/>
          <w:vertAlign w:val="superscript"/>
        </w:rPr>
        <w:t>-1</w:t>
      </w:r>
      <w:r w:rsidRPr="008A23A2">
        <w:rPr>
          <w:rFonts w:cs="Arial"/>
        </w:rPr>
        <w:t xml:space="preserve"> to 400 cm</w:t>
      </w:r>
      <w:r w:rsidRPr="008A23A2">
        <w:rPr>
          <w:rFonts w:cs="Arial"/>
          <w:vertAlign w:val="superscript"/>
        </w:rPr>
        <w:noBreakHyphen/>
        <w:t>1</w:t>
      </w:r>
      <w:r w:rsidRPr="008A23A2">
        <w:rPr>
          <w:rFonts w:cs="Arial"/>
        </w:rPr>
        <w:t>. Signal intensities were noted as follows: vs (very strong), s (strong), m (medium), w (weak).</w:t>
      </w:r>
    </w:p>
    <w:p w14:paraId="3E1BCD4A" w14:textId="77777777" w:rsidR="008A23A2" w:rsidRPr="008A23A2" w:rsidRDefault="008A23A2" w:rsidP="00730FDF">
      <w:pPr>
        <w:jc w:val="both"/>
        <w:rPr>
          <w:rFonts w:cs="Arial"/>
        </w:rPr>
      </w:pPr>
      <w:r w:rsidRPr="008A23A2">
        <w:rPr>
          <w:rFonts w:cs="Arial"/>
        </w:rPr>
        <w:tab/>
        <w:t>UV/vis spectroscopy was carried out on a Lambda 14 spectrometer from Perkin-Elmer.</w:t>
      </w:r>
    </w:p>
    <w:p w14:paraId="4B9F6BD2" w14:textId="77777777" w:rsidR="008A23A2" w:rsidRPr="008A23A2" w:rsidRDefault="008A23A2" w:rsidP="00730FDF">
      <w:pPr>
        <w:jc w:val="both"/>
        <w:rPr>
          <w:rFonts w:cs="Arial"/>
        </w:rPr>
      </w:pPr>
      <w:r w:rsidRPr="008A23A2">
        <w:rPr>
          <w:rFonts w:cs="Arial"/>
        </w:rPr>
        <w:lastRenderedPageBreak/>
        <w:tab/>
        <w:t>Electron impact ionization (EI) was carried with an ionization energy of 70 eV on an AccuTOF GCv 4G mass spectrometer from Jeol. Electro spray ionization (ESI) high resolution (HR) spectra were measured with a Q Exactive</w:t>
      </w:r>
      <w:r w:rsidRPr="008A23A2">
        <w:rPr>
          <w:rFonts w:cs="Arial"/>
          <w:vertAlign w:val="superscript"/>
        </w:rPr>
        <w:t>TM</w:t>
      </w:r>
      <w:r w:rsidRPr="008A23A2">
        <w:rPr>
          <w:rFonts w:cs="Arial"/>
        </w:rPr>
        <w:t xml:space="preserve"> Plus mass spectrometer with Hybrid Quadrupole Orbitrap</w:t>
      </w:r>
      <w:r w:rsidRPr="008A23A2">
        <w:rPr>
          <w:rFonts w:cs="Arial"/>
          <w:vertAlign w:val="superscript"/>
        </w:rPr>
        <w:t>TM</w:t>
      </w:r>
      <w:r w:rsidRPr="008A23A2">
        <w:rPr>
          <w:rFonts w:cs="Arial"/>
        </w:rPr>
        <w:t xml:space="preserve"> from Thermo Fisher Scientific.</w:t>
      </w:r>
    </w:p>
    <w:p w14:paraId="74C6B910" w14:textId="77777777" w:rsidR="008A23A2" w:rsidRPr="008A23A2" w:rsidRDefault="008A23A2" w:rsidP="00730FDF">
      <w:pPr>
        <w:jc w:val="both"/>
        <w:rPr>
          <w:rFonts w:cs="Arial"/>
          <w:b/>
          <w:bCs/>
        </w:rPr>
      </w:pPr>
      <w:bookmarkStart w:id="1" w:name="_Toc165903211"/>
      <w:r w:rsidRPr="008A23A2">
        <w:rPr>
          <w:rFonts w:cs="Arial"/>
          <w:b/>
          <w:bCs/>
        </w:rPr>
        <w:t>2 Synthetic Procedures</w:t>
      </w:r>
      <w:bookmarkEnd w:id="1"/>
    </w:p>
    <w:p w14:paraId="06B699E5" w14:textId="0C596DB8" w:rsidR="008A23A2" w:rsidRPr="008A23A2" w:rsidRDefault="008A23A2" w:rsidP="00730FDF">
      <w:pPr>
        <w:jc w:val="both"/>
        <w:rPr>
          <w:rFonts w:cs="Arial"/>
        </w:rPr>
      </w:pPr>
      <w:r w:rsidRPr="008A23A2">
        <w:rPr>
          <w:rFonts w:cs="Arial"/>
        </w:rPr>
        <w:t>Dendrons were synthesized according to Wyszogrodzka</w:t>
      </w:r>
      <w:r w:rsidRPr="008A23A2">
        <w:rPr>
          <w:rFonts w:cs="Arial"/>
          <w:i/>
        </w:rPr>
        <w:t xml:space="preserve"> et al.</w:t>
      </w:r>
      <w:r w:rsidR="00730FDF">
        <w:rPr>
          <w:rFonts w:cs="Arial"/>
          <w:i/>
        </w:rPr>
        <w:t xml:space="preserve"> (ref [2])</w:t>
      </w:r>
      <w:r w:rsidRPr="008A23A2">
        <w:rPr>
          <w:rFonts w:cs="Arial"/>
        </w:rPr>
        <w:t xml:space="preserve"> starting with solketal. A double Williamson ether synthesis with methallyl dichloride yields dendron first generation. The resulting molecule must be prepared to build the next generation by undergoing an ozonolysis and reduction to the corresponding alcohol afterwards. The next steps for the next generation then repeats itself. After receiving the protected dendron second generation, deprotection was carried out with acetic acid (Scheme S</w:t>
      </w:r>
      <w:r w:rsidR="00730FDF">
        <w:rPr>
          <w:rFonts w:cs="Arial"/>
        </w:rPr>
        <w:t>1</w:t>
      </w:r>
      <w:r w:rsidRPr="008A23A2">
        <w:rPr>
          <w:rFonts w:cs="Arial"/>
        </w:rPr>
        <w:t>).</w:t>
      </w:r>
    </w:p>
    <w:p w14:paraId="263A9C11" w14:textId="18B1D7E7" w:rsidR="008A23A2" w:rsidRPr="008A23A2" w:rsidRDefault="00730FDF" w:rsidP="00730FDF">
      <w:pPr>
        <w:jc w:val="center"/>
        <w:rPr>
          <w:rFonts w:cs="Arial"/>
        </w:rPr>
      </w:pPr>
      <w:r>
        <w:rPr>
          <w:rFonts w:cs="Arial"/>
          <w:noProof/>
        </w:rPr>
        <w:drawing>
          <wp:inline distT="0" distB="0" distL="0" distR="0" wp14:anchorId="32DCECEB" wp14:editId="06BC08E7">
            <wp:extent cx="4047784" cy="4895850"/>
            <wp:effectExtent l="0" t="0" r="0" b="0"/>
            <wp:docPr id="9354011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54522" cy="4904000"/>
                    </a:xfrm>
                    <a:prstGeom prst="rect">
                      <a:avLst/>
                    </a:prstGeom>
                    <a:noFill/>
                  </pic:spPr>
                </pic:pic>
              </a:graphicData>
            </a:graphic>
          </wp:inline>
        </w:drawing>
      </w:r>
    </w:p>
    <w:p w14:paraId="318202A8" w14:textId="21D845A2" w:rsidR="00730FDF" w:rsidRDefault="008A23A2" w:rsidP="00730FDF">
      <w:pPr>
        <w:jc w:val="both"/>
        <w:rPr>
          <w:rFonts w:cs="Arial"/>
          <w:bCs/>
        </w:rPr>
      </w:pPr>
      <w:r w:rsidRPr="008A23A2">
        <w:rPr>
          <w:rFonts w:cs="Arial"/>
          <w:b/>
        </w:rPr>
        <w:t>Scheme S</w:t>
      </w:r>
      <w:r w:rsidR="00730FDF">
        <w:rPr>
          <w:rFonts w:cs="Arial"/>
          <w:b/>
        </w:rPr>
        <w:t>1</w:t>
      </w:r>
      <w:r w:rsidRPr="008A23A2">
        <w:rPr>
          <w:rFonts w:cs="Arial"/>
          <w:b/>
        </w:rPr>
        <w:t xml:space="preserve">. </w:t>
      </w:r>
      <w:r w:rsidRPr="00730FDF">
        <w:rPr>
          <w:rFonts w:cs="Arial"/>
          <w:bCs/>
        </w:rPr>
        <w:t>Repeating steps of Williamson ether synthesis and ozonolysis with reduction in order to build higher generations of glycerol dendrons.</w:t>
      </w:r>
    </w:p>
    <w:p w14:paraId="00F425EE" w14:textId="77777777" w:rsidR="00730FDF" w:rsidRDefault="00730FDF">
      <w:pPr>
        <w:rPr>
          <w:rFonts w:cs="Arial"/>
          <w:bCs/>
        </w:rPr>
      </w:pPr>
      <w:r>
        <w:rPr>
          <w:rFonts w:cs="Arial"/>
          <w:bCs/>
        </w:rPr>
        <w:br w:type="page"/>
      </w:r>
    </w:p>
    <w:p w14:paraId="72DADA6D" w14:textId="77777777" w:rsidR="008A23A2" w:rsidRPr="008A23A2" w:rsidRDefault="008A23A2" w:rsidP="00730FDF">
      <w:pPr>
        <w:jc w:val="both"/>
        <w:rPr>
          <w:rFonts w:cs="Arial"/>
          <w:u w:val="words"/>
        </w:rPr>
      </w:pPr>
      <w:r w:rsidRPr="008A23A2">
        <w:rPr>
          <w:rFonts w:cs="Arial"/>
          <w:u w:val="words"/>
        </w:rPr>
        <w:lastRenderedPageBreak/>
        <w:t>General Procedure A: Synthesis of dendrons G[n.1]-ene</w:t>
      </w:r>
    </w:p>
    <w:p w14:paraId="50FA7C1C" w14:textId="77777777" w:rsidR="008A23A2" w:rsidRPr="008A23A2" w:rsidRDefault="008A23A2" w:rsidP="00730FDF">
      <w:pPr>
        <w:jc w:val="both"/>
        <w:rPr>
          <w:rFonts w:cs="Arial"/>
        </w:rPr>
      </w:pPr>
      <w:r w:rsidRPr="008A23A2">
        <w:rPr>
          <w:rFonts w:cs="Arial"/>
        </w:rPr>
        <w:t>Under a nitrogen atmosphere 3-4 equivalents of sodium hydride were placed in 100-200 mL dry tetrahydrofuran. To the mixture 2 equivalents G[n-1.1]-OH were added dropwise and catalytic amounts of [15]-crown-[5] were added. After stirring for 1 h at 40 °C, 1 equivalent of methallyl dichloride and catalytic amounts of potassium iodide were added. Stirring continued under reflux for 1 d. The reaction was quenched by adding 100 mL water and the phases were separated. The aqueous phase was extracted with dichloromethane and the combined organic phase was dried over magnesium sulfate. Solvent was removed under reduced pressure and the crude product was purified by column chromatography on silica gel.</w:t>
      </w:r>
    </w:p>
    <w:p w14:paraId="34782965" w14:textId="77777777" w:rsidR="008A23A2" w:rsidRPr="008A23A2" w:rsidRDefault="008A23A2" w:rsidP="00730FDF">
      <w:pPr>
        <w:jc w:val="both"/>
        <w:rPr>
          <w:rFonts w:cs="Arial"/>
          <w:u w:val="words"/>
        </w:rPr>
      </w:pPr>
    </w:p>
    <w:p w14:paraId="00D8DEC3" w14:textId="77777777" w:rsidR="008A23A2" w:rsidRPr="008A23A2" w:rsidRDefault="008A23A2" w:rsidP="00730FDF">
      <w:pPr>
        <w:jc w:val="both"/>
        <w:rPr>
          <w:rFonts w:cs="Arial"/>
          <w:u w:val="words"/>
        </w:rPr>
      </w:pPr>
      <w:r w:rsidRPr="008A23A2">
        <w:rPr>
          <w:rFonts w:cs="Arial"/>
          <w:u w:val="words"/>
        </w:rPr>
        <w:t>General Procedure B: Synthesis of dendrons G[n.1]-OH</w:t>
      </w:r>
    </w:p>
    <w:p w14:paraId="1AE694DE" w14:textId="77777777" w:rsidR="008A23A2" w:rsidRPr="008A23A2" w:rsidRDefault="008A23A2" w:rsidP="00730FDF">
      <w:pPr>
        <w:jc w:val="both"/>
        <w:rPr>
          <w:rFonts w:cs="Arial"/>
        </w:rPr>
      </w:pPr>
      <w:r w:rsidRPr="008A23A2">
        <w:rPr>
          <w:rFonts w:cs="Arial"/>
          <w:u w:val="words"/>
        </w:rPr>
        <w:tab/>
      </w:r>
      <w:r w:rsidRPr="008A23A2">
        <w:rPr>
          <w:rFonts w:cs="Arial"/>
        </w:rPr>
        <w:t>G[n.1]-ene was dissolved in 100-200 mL dry methanol/dichloromethane 1:1 under a nitrogen atmosphere and cooled to -78 °C. Ozone bubbled through the solution until it turned blue. Excess of ozone was removed by bubbling nitrogen through the solution. The reaction mixture was treated with sodium borohydride and stirred for 16 h while allowing to warm to room temperature. Reaction was quenched with 100 mL water, extracted with dichloromethane and the organic phase was dried over magnesium sulfate. The solvent was removed under reduced pressure and yielded the corresponding G[n.1]-OH.</w:t>
      </w:r>
    </w:p>
    <w:p w14:paraId="1AE9BAB4" w14:textId="77777777" w:rsidR="008A23A2" w:rsidRPr="008A23A2" w:rsidRDefault="008A23A2" w:rsidP="00730FDF">
      <w:pPr>
        <w:jc w:val="both"/>
        <w:rPr>
          <w:rFonts w:cs="Arial"/>
        </w:rPr>
      </w:pPr>
    </w:p>
    <w:p w14:paraId="13AC5742" w14:textId="77777777" w:rsidR="008A23A2" w:rsidRPr="008A23A2" w:rsidRDefault="00D646F4" w:rsidP="00730FDF">
      <w:pPr>
        <w:jc w:val="both"/>
        <w:rPr>
          <w:rFonts w:cs="Arial"/>
        </w:rPr>
      </w:pPr>
      <w:r>
        <w:rPr>
          <w:rFonts w:cs="Arial"/>
        </w:rPr>
        <w:object w:dxaOrig="1440" w:dyaOrig="1440" w14:anchorId="5398D8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1" type="#_x0000_t75" style="position:absolute;left:0;text-align:left;margin-left:169.9pt;margin-top:5.4pt;width:128.25pt;height:90pt;z-index:251660288">
            <v:imagedata r:id="rId9" o:title=""/>
            <w10:wrap type="square"/>
          </v:shape>
          <o:OLEObject Type="Embed" ProgID="ACD.ChemSketchCDX" ShapeID="_x0000_s1051" DrawAspect="Content" ObjectID="_1781346167" r:id="rId10"/>
        </w:object>
      </w:r>
      <w:r w:rsidR="008A23A2" w:rsidRPr="008A23A2">
        <w:rPr>
          <w:rFonts w:cs="Arial"/>
          <w:u w:val="single"/>
        </w:rPr>
        <w:t>G[1.1]-ene</w:t>
      </w:r>
    </w:p>
    <w:p w14:paraId="559C4239" w14:textId="77777777" w:rsidR="008A23A2" w:rsidRPr="008A23A2" w:rsidRDefault="008A23A2" w:rsidP="00730FDF">
      <w:pPr>
        <w:jc w:val="both"/>
        <w:rPr>
          <w:rFonts w:cs="Arial"/>
        </w:rPr>
      </w:pPr>
    </w:p>
    <w:p w14:paraId="66A57296" w14:textId="77777777" w:rsidR="008A23A2" w:rsidRPr="008A23A2" w:rsidRDefault="008A23A2" w:rsidP="00730FDF">
      <w:pPr>
        <w:jc w:val="both"/>
        <w:rPr>
          <w:rFonts w:cs="Arial"/>
        </w:rPr>
      </w:pPr>
    </w:p>
    <w:p w14:paraId="700A7798" w14:textId="77777777" w:rsidR="008A23A2" w:rsidRPr="008A23A2" w:rsidRDefault="008A23A2" w:rsidP="00730FDF">
      <w:pPr>
        <w:jc w:val="both"/>
        <w:rPr>
          <w:rFonts w:cs="Arial"/>
        </w:rPr>
      </w:pPr>
    </w:p>
    <w:p w14:paraId="5C9AE62C" w14:textId="77777777" w:rsidR="008A23A2" w:rsidRPr="008A23A2" w:rsidRDefault="008A23A2" w:rsidP="00730FDF">
      <w:pPr>
        <w:jc w:val="both"/>
        <w:rPr>
          <w:rFonts w:cs="Arial"/>
        </w:rPr>
      </w:pPr>
    </w:p>
    <w:p w14:paraId="3D7D0BD0" w14:textId="77777777" w:rsidR="008A23A2" w:rsidRPr="008A23A2" w:rsidRDefault="008A23A2" w:rsidP="00730FDF">
      <w:pPr>
        <w:jc w:val="both"/>
        <w:rPr>
          <w:rFonts w:cs="Arial"/>
        </w:rPr>
      </w:pPr>
      <w:r w:rsidRPr="008A23A2">
        <w:rPr>
          <w:rFonts w:cs="Arial"/>
        </w:rPr>
        <w:tab/>
        <w:t>G[1.1]-ene was synthesized as described after general procedure A with solketal nr (7.97 g, 60.3 mmol) and methallyl dichloride nr (3.94 g, 30.9 mmol) in 200 mL dry tetrahydrofuran. Column chromatography was performed with cyclohexane/ethyl acetate 4:1. The product was isolated as a colorless oil.</w:t>
      </w:r>
    </w:p>
    <w:p w14:paraId="013AFEA3" w14:textId="77777777" w:rsidR="008A23A2" w:rsidRPr="008A23A2" w:rsidRDefault="008A23A2" w:rsidP="00730FDF">
      <w:pPr>
        <w:jc w:val="both"/>
        <w:rPr>
          <w:rFonts w:cs="Arial"/>
        </w:rPr>
      </w:pPr>
      <w:r w:rsidRPr="008A23A2">
        <w:rPr>
          <w:rFonts w:cs="Arial"/>
        </w:rPr>
        <w:tab/>
      </w:r>
      <w:r w:rsidRPr="008A23A2">
        <w:rPr>
          <w:rFonts w:cs="Arial"/>
          <w:b/>
        </w:rPr>
        <w:t>Yield</w:t>
      </w:r>
      <w:r w:rsidRPr="008A23A2">
        <w:rPr>
          <w:rFonts w:cs="Arial"/>
        </w:rPr>
        <w:t>: 8.85 g (28.0 mmol, 91 %)</w:t>
      </w:r>
      <w:r w:rsidRPr="008A23A2">
        <w:rPr>
          <w:rFonts w:cs="Arial"/>
        </w:rPr>
        <w:tab/>
      </w:r>
      <w:r w:rsidRPr="008A23A2">
        <w:rPr>
          <w:rFonts w:cs="Arial"/>
        </w:rPr>
        <w:tab/>
      </w:r>
      <w:r w:rsidRPr="008A23A2">
        <w:rPr>
          <w:rFonts w:cs="Arial"/>
        </w:rPr>
        <w:tab/>
      </w:r>
      <w:r w:rsidRPr="008A23A2">
        <w:rPr>
          <w:rFonts w:cs="Arial"/>
        </w:rPr>
        <w:tab/>
      </w:r>
      <w:r w:rsidRPr="008A23A2">
        <w:rPr>
          <w:rFonts w:cs="Arial"/>
        </w:rPr>
        <w:tab/>
      </w:r>
      <w:r w:rsidRPr="008A23A2">
        <w:rPr>
          <w:rFonts w:cs="Arial"/>
        </w:rPr>
        <w:tab/>
        <w:t>Lit.</w:t>
      </w:r>
      <w:r w:rsidRPr="008A23A2">
        <w:rPr>
          <w:rFonts w:cs="Arial"/>
          <w:vertAlign w:val="superscript"/>
        </w:rPr>
        <w:t>[2]</w:t>
      </w:r>
      <w:r w:rsidRPr="008A23A2">
        <w:rPr>
          <w:rFonts w:cs="Arial"/>
        </w:rPr>
        <w:t>: 99 %</w:t>
      </w:r>
    </w:p>
    <w:p w14:paraId="4F475F0C" w14:textId="77777777" w:rsidR="008A23A2" w:rsidRPr="008A23A2" w:rsidRDefault="008A23A2" w:rsidP="00730FDF">
      <w:pPr>
        <w:jc w:val="both"/>
        <w:rPr>
          <w:rFonts w:cs="Arial"/>
        </w:rPr>
      </w:pPr>
      <w:r w:rsidRPr="008A23A2">
        <w:rPr>
          <w:rFonts w:cs="Arial"/>
          <w:b/>
        </w:rPr>
        <w:t>FT-IR</w:t>
      </w:r>
      <w:r w:rsidRPr="008A23A2">
        <w:rPr>
          <w:rFonts w:cs="Arial"/>
        </w:rPr>
        <w:t xml:space="preserve"> (ATR): </w:t>
      </w:r>
      <w:r w:rsidRPr="008A23A2">
        <w:rPr>
          <w:rFonts w:cs="Arial"/>
          <w:i/>
          <w:iCs/>
        </w:rPr>
        <w:t>ṽ</w:t>
      </w:r>
      <w:r w:rsidRPr="008A23A2">
        <w:rPr>
          <w:rFonts w:cs="Arial"/>
        </w:rPr>
        <w:t xml:space="preserve"> = 2987 (m), 2871 (m), 1736 (w), 1456 (w), 1371 (s), 1215 (s), 1085 (vs), 1051 (vs), 975 (m), 919 (m), 842 (s), 790 (w), 751 (w), 514 (m) cm</w:t>
      </w:r>
      <w:r w:rsidRPr="008A23A2">
        <w:rPr>
          <w:rFonts w:cs="Arial"/>
          <w:vertAlign w:val="superscript"/>
        </w:rPr>
        <w:t>-1</w:t>
      </w:r>
      <w:r w:rsidRPr="008A23A2">
        <w:rPr>
          <w:rFonts w:cs="Arial"/>
        </w:rPr>
        <w:t>.</w:t>
      </w:r>
    </w:p>
    <w:p w14:paraId="0016332B" w14:textId="77777777" w:rsidR="008A23A2" w:rsidRPr="008A23A2" w:rsidRDefault="008A23A2" w:rsidP="00730FDF">
      <w:pPr>
        <w:jc w:val="both"/>
        <w:rPr>
          <w:rFonts w:cs="Arial"/>
        </w:rPr>
      </w:pPr>
      <w:r w:rsidRPr="008A23A2">
        <w:rPr>
          <w:rFonts w:cs="Arial"/>
          <w:b/>
          <w:vertAlign w:val="superscript"/>
        </w:rPr>
        <w:t>1</w:t>
      </w:r>
      <w:r w:rsidRPr="008A23A2">
        <w:rPr>
          <w:rFonts w:cs="Arial"/>
          <w:b/>
        </w:rPr>
        <w:t>H-NMR</w:t>
      </w:r>
      <w:r w:rsidRPr="008A23A2">
        <w:rPr>
          <w:rFonts w:cs="Arial"/>
        </w:rPr>
        <w:t>: (600 MHz, CDCl</w:t>
      </w:r>
      <w:r w:rsidRPr="008A23A2">
        <w:rPr>
          <w:rFonts w:cs="Arial"/>
          <w:vertAlign w:val="subscript"/>
        </w:rPr>
        <w:t>3</w:t>
      </w:r>
      <w:r w:rsidRPr="008A23A2">
        <w:rPr>
          <w:rFonts w:cs="Arial"/>
        </w:rPr>
        <w:t xml:space="preserve">, 298 K): </w:t>
      </w:r>
      <w:r w:rsidRPr="008A23A2">
        <w:rPr>
          <w:rFonts w:cs="Arial"/>
          <w:i/>
        </w:rPr>
        <w:t>δ</w:t>
      </w:r>
      <w:r w:rsidRPr="008A23A2">
        <w:rPr>
          <w:rFonts w:cs="Arial"/>
        </w:rPr>
        <w:t xml:space="preserve"> = 5.19 (s, 2 H, C</w:t>
      </w:r>
      <w:r w:rsidRPr="008A23A2">
        <w:rPr>
          <w:rFonts w:cs="Arial"/>
          <w:i/>
        </w:rPr>
        <w:t>H</w:t>
      </w:r>
      <w:r w:rsidRPr="008A23A2">
        <w:rPr>
          <w:rFonts w:cs="Arial"/>
          <w:vertAlign w:val="subscript"/>
        </w:rPr>
        <w:t>2</w:t>
      </w:r>
      <w:r w:rsidRPr="008A23A2">
        <w:rPr>
          <w:rFonts w:cs="Arial"/>
        </w:rPr>
        <w:t xml:space="preserve">), 4.27 (quint., </w:t>
      </w:r>
      <w:r w:rsidRPr="008A23A2">
        <w:rPr>
          <w:rFonts w:cs="Arial"/>
          <w:vertAlign w:val="superscript"/>
        </w:rPr>
        <w:t>3</w:t>
      </w:r>
      <w:r w:rsidRPr="008A23A2">
        <w:rPr>
          <w:rFonts w:cs="Arial"/>
          <w:i/>
        </w:rPr>
        <w:t>J</w:t>
      </w:r>
      <w:r w:rsidRPr="008A23A2">
        <w:rPr>
          <w:rFonts w:cs="Arial"/>
        </w:rPr>
        <w:t xml:space="preserve"> = 6.0 Hz, 2 H, </w:t>
      </w:r>
      <w:r w:rsidRPr="008A23A2">
        <w:rPr>
          <w:rFonts w:cs="Arial"/>
          <w:i/>
        </w:rPr>
        <w:t>H</w:t>
      </w:r>
      <w:r w:rsidRPr="008A23A2">
        <w:rPr>
          <w:rFonts w:cs="Arial"/>
        </w:rPr>
        <w:t xml:space="preserve">-4), 4.07-4.02 (m, 6 H, </w:t>
      </w:r>
      <w:r w:rsidRPr="008A23A2">
        <w:rPr>
          <w:rFonts w:cs="Arial"/>
          <w:i/>
        </w:rPr>
        <w:t>H</w:t>
      </w:r>
      <w:r w:rsidRPr="008A23A2">
        <w:rPr>
          <w:rFonts w:cs="Arial"/>
        </w:rPr>
        <w:t xml:space="preserve">-2, </w:t>
      </w:r>
      <w:r w:rsidRPr="008A23A2">
        <w:rPr>
          <w:rFonts w:cs="Arial"/>
          <w:i/>
        </w:rPr>
        <w:t>H</w:t>
      </w:r>
      <w:r w:rsidRPr="008A23A2">
        <w:rPr>
          <w:rFonts w:cs="Arial"/>
        </w:rPr>
        <w:t xml:space="preserve">-5), 3.75-3.72 (m, 2 H, </w:t>
      </w:r>
      <w:r w:rsidRPr="008A23A2">
        <w:rPr>
          <w:rFonts w:cs="Arial"/>
          <w:i/>
        </w:rPr>
        <w:t>H</w:t>
      </w:r>
      <w:r w:rsidRPr="008A23A2">
        <w:rPr>
          <w:rFonts w:cs="Arial"/>
        </w:rPr>
        <w:t xml:space="preserve">-5), 3.57-3.48 (m, 4 H, </w:t>
      </w:r>
      <w:r w:rsidRPr="008A23A2">
        <w:rPr>
          <w:rFonts w:cs="Arial"/>
          <w:i/>
        </w:rPr>
        <w:t>H</w:t>
      </w:r>
      <w:r w:rsidRPr="008A23A2">
        <w:rPr>
          <w:rFonts w:cs="Arial"/>
        </w:rPr>
        <w:t>-3), 1.42 (s, 6 H, C</w:t>
      </w:r>
      <w:r w:rsidRPr="008A23A2">
        <w:rPr>
          <w:rFonts w:cs="Arial"/>
          <w:i/>
        </w:rPr>
        <w:t>H</w:t>
      </w:r>
      <w:r w:rsidRPr="008A23A2">
        <w:rPr>
          <w:rFonts w:cs="Arial"/>
          <w:vertAlign w:val="subscript"/>
        </w:rPr>
        <w:t>3</w:t>
      </w:r>
      <w:r w:rsidRPr="008A23A2">
        <w:rPr>
          <w:rFonts w:cs="Arial"/>
        </w:rPr>
        <w:t>), 1.36 (s, 6 H, C</w:t>
      </w:r>
      <w:r w:rsidRPr="008A23A2">
        <w:rPr>
          <w:rFonts w:cs="Arial"/>
          <w:i/>
        </w:rPr>
        <w:t>H</w:t>
      </w:r>
      <w:r w:rsidRPr="008A23A2">
        <w:rPr>
          <w:rFonts w:cs="Arial"/>
          <w:vertAlign w:val="subscript"/>
        </w:rPr>
        <w:t>3</w:t>
      </w:r>
      <w:r w:rsidRPr="008A23A2">
        <w:rPr>
          <w:rFonts w:cs="Arial"/>
        </w:rPr>
        <w:t>) ppm.</w:t>
      </w:r>
    </w:p>
    <w:p w14:paraId="6EB5B576" w14:textId="77777777" w:rsidR="008A23A2" w:rsidRPr="008A23A2" w:rsidRDefault="008A23A2" w:rsidP="00730FDF">
      <w:pPr>
        <w:jc w:val="both"/>
        <w:rPr>
          <w:rFonts w:cs="Arial"/>
        </w:rPr>
      </w:pPr>
      <w:r w:rsidRPr="008A23A2">
        <w:rPr>
          <w:rFonts w:cs="Arial"/>
          <w:b/>
          <w:vertAlign w:val="superscript"/>
        </w:rPr>
        <w:t>13</w:t>
      </w:r>
      <w:r w:rsidRPr="008A23A2">
        <w:rPr>
          <w:rFonts w:cs="Arial"/>
          <w:b/>
        </w:rPr>
        <w:t>C-NMR</w:t>
      </w:r>
      <w:r w:rsidRPr="008A23A2">
        <w:rPr>
          <w:rFonts w:cs="Arial"/>
        </w:rPr>
        <w:t>: (150 MHz, CDCl</w:t>
      </w:r>
      <w:r w:rsidRPr="008A23A2">
        <w:rPr>
          <w:rFonts w:cs="Arial"/>
          <w:vertAlign w:val="subscript"/>
        </w:rPr>
        <w:t>3</w:t>
      </w:r>
      <w:r w:rsidRPr="008A23A2">
        <w:rPr>
          <w:rFonts w:cs="Arial"/>
        </w:rPr>
        <w:t xml:space="preserve">, 298 K): </w:t>
      </w:r>
      <w:r w:rsidRPr="008A23A2">
        <w:rPr>
          <w:rFonts w:cs="Arial"/>
          <w:i/>
        </w:rPr>
        <w:t>δ</w:t>
      </w:r>
      <w:r w:rsidRPr="008A23A2">
        <w:rPr>
          <w:rFonts w:cs="Arial"/>
        </w:rPr>
        <w:t xml:space="preserve"> = 142.1 (</w:t>
      </w:r>
      <w:r w:rsidRPr="008A23A2">
        <w:rPr>
          <w:rFonts w:cs="Arial"/>
          <w:i/>
        </w:rPr>
        <w:t>C</w:t>
      </w:r>
      <w:r w:rsidRPr="008A23A2">
        <w:rPr>
          <w:rFonts w:cs="Arial"/>
        </w:rPr>
        <w:t>-1), 114.8 (</w:t>
      </w:r>
      <w:r w:rsidRPr="008A23A2">
        <w:rPr>
          <w:rFonts w:cs="Arial"/>
          <w:i/>
        </w:rPr>
        <w:t>C</w:t>
      </w:r>
      <w:r w:rsidRPr="008A23A2">
        <w:rPr>
          <w:rFonts w:cs="Arial"/>
        </w:rPr>
        <w:t>H</w:t>
      </w:r>
      <w:r w:rsidRPr="008A23A2">
        <w:rPr>
          <w:rFonts w:cs="Arial"/>
          <w:vertAlign w:val="subscript"/>
        </w:rPr>
        <w:t>2</w:t>
      </w:r>
      <w:r w:rsidRPr="008A23A2">
        <w:rPr>
          <w:rFonts w:cs="Arial"/>
        </w:rPr>
        <w:t>), 109.6 (</w:t>
      </w:r>
      <w:r w:rsidRPr="008A23A2">
        <w:rPr>
          <w:rFonts w:cs="Arial"/>
          <w:i/>
        </w:rPr>
        <w:t>C</w:t>
      </w:r>
      <w:r w:rsidRPr="008A23A2">
        <w:rPr>
          <w:rFonts w:cs="Arial"/>
        </w:rPr>
        <w:t>(CH</w:t>
      </w:r>
      <w:r w:rsidRPr="008A23A2">
        <w:rPr>
          <w:rFonts w:cs="Arial"/>
          <w:vertAlign w:val="subscript"/>
        </w:rPr>
        <w:t>3</w:t>
      </w:r>
      <w:r w:rsidRPr="008A23A2">
        <w:rPr>
          <w:rFonts w:cs="Arial"/>
        </w:rPr>
        <w:t>)</w:t>
      </w:r>
      <w:r w:rsidRPr="008A23A2">
        <w:rPr>
          <w:rFonts w:cs="Arial"/>
          <w:vertAlign w:val="subscript"/>
        </w:rPr>
        <w:t>2</w:t>
      </w:r>
      <w:r w:rsidRPr="008A23A2">
        <w:rPr>
          <w:rFonts w:cs="Arial"/>
        </w:rPr>
        <w:t>), 74.8 (</w:t>
      </w:r>
      <w:r w:rsidRPr="008A23A2">
        <w:rPr>
          <w:rFonts w:cs="Arial"/>
          <w:i/>
        </w:rPr>
        <w:t>C</w:t>
      </w:r>
      <w:r w:rsidRPr="008A23A2">
        <w:rPr>
          <w:rFonts w:cs="Arial"/>
        </w:rPr>
        <w:t>-4), 72.2 (</w:t>
      </w:r>
      <w:r w:rsidRPr="008A23A2">
        <w:rPr>
          <w:rFonts w:cs="Arial"/>
          <w:i/>
        </w:rPr>
        <w:t>C</w:t>
      </w:r>
      <w:r w:rsidRPr="008A23A2">
        <w:rPr>
          <w:rFonts w:cs="Arial"/>
        </w:rPr>
        <w:t>-2), 71.3 (</w:t>
      </w:r>
      <w:r w:rsidRPr="008A23A2">
        <w:rPr>
          <w:rFonts w:cs="Arial"/>
          <w:i/>
        </w:rPr>
        <w:t>C</w:t>
      </w:r>
      <w:r w:rsidRPr="008A23A2">
        <w:rPr>
          <w:rFonts w:cs="Arial"/>
        </w:rPr>
        <w:t>-3), 66.9 (</w:t>
      </w:r>
      <w:r w:rsidRPr="008A23A2">
        <w:rPr>
          <w:rFonts w:cs="Arial"/>
          <w:i/>
        </w:rPr>
        <w:t>C</w:t>
      </w:r>
      <w:r w:rsidRPr="008A23A2">
        <w:rPr>
          <w:rFonts w:cs="Arial"/>
        </w:rPr>
        <w:t>-5), 26.9 (</w:t>
      </w:r>
      <w:r w:rsidRPr="008A23A2">
        <w:rPr>
          <w:rFonts w:cs="Arial"/>
          <w:i/>
        </w:rPr>
        <w:t>C</w:t>
      </w:r>
      <w:r w:rsidRPr="008A23A2">
        <w:rPr>
          <w:rFonts w:cs="Arial"/>
        </w:rPr>
        <w:t>H</w:t>
      </w:r>
      <w:r w:rsidRPr="008A23A2">
        <w:rPr>
          <w:rFonts w:cs="Arial"/>
          <w:vertAlign w:val="subscript"/>
        </w:rPr>
        <w:t>3</w:t>
      </w:r>
      <w:r w:rsidRPr="008A23A2">
        <w:rPr>
          <w:rFonts w:cs="Arial"/>
        </w:rPr>
        <w:t>), 25.5 (</w:t>
      </w:r>
      <w:r w:rsidRPr="008A23A2">
        <w:rPr>
          <w:rFonts w:cs="Arial"/>
          <w:i/>
        </w:rPr>
        <w:t>C</w:t>
      </w:r>
      <w:r w:rsidRPr="008A23A2">
        <w:rPr>
          <w:rFonts w:cs="Arial"/>
        </w:rPr>
        <w:t>H</w:t>
      </w:r>
      <w:r w:rsidRPr="008A23A2">
        <w:rPr>
          <w:rFonts w:cs="Arial"/>
          <w:vertAlign w:val="subscript"/>
        </w:rPr>
        <w:t>3</w:t>
      </w:r>
      <w:r w:rsidRPr="008A23A2">
        <w:rPr>
          <w:rFonts w:cs="Arial"/>
        </w:rPr>
        <w:t>) ppm.</w:t>
      </w:r>
    </w:p>
    <w:p w14:paraId="328DBFD3" w14:textId="03BBA5DB" w:rsidR="008A23A2" w:rsidRDefault="008A23A2" w:rsidP="00730FDF">
      <w:pPr>
        <w:jc w:val="both"/>
        <w:rPr>
          <w:rFonts w:cs="Arial"/>
          <w:lang w:val="de-DE"/>
        </w:rPr>
      </w:pPr>
      <w:r w:rsidRPr="008A23A2">
        <w:rPr>
          <w:rFonts w:cs="Arial"/>
          <w:b/>
          <w:lang w:val="de-DE"/>
        </w:rPr>
        <w:t>MS</w:t>
      </w:r>
      <w:r w:rsidRPr="008A23A2">
        <w:rPr>
          <w:rFonts w:cs="Arial"/>
          <w:lang w:val="de-DE"/>
        </w:rPr>
        <w:t xml:space="preserve"> (EI-ToF): </w:t>
      </w:r>
      <w:r w:rsidRPr="008A23A2">
        <w:rPr>
          <w:rFonts w:cs="Arial"/>
          <w:i/>
          <w:lang w:val="de-DE"/>
        </w:rPr>
        <w:t>m/z</w:t>
      </w:r>
      <w:r w:rsidRPr="008A23A2">
        <w:rPr>
          <w:rFonts w:cs="Arial"/>
          <w:lang w:val="de-DE"/>
        </w:rPr>
        <w:t xml:space="preserve"> (%) = 301.19 (20) [M-CH</w:t>
      </w:r>
      <w:r w:rsidRPr="008A23A2">
        <w:rPr>
          <w:rFonts w:cs="Arial"/>
          <w:vertAlign w:val="subscript"/>
          <w:lang w:val="de-DE"/>
        </w:rPr>
        <w:t>3</w:t>
      </w:r>
      <w:r w:rsidRPr="008A23A2">
        <w:rPr>
          <w:rFonts w:cs="Arial"/>
          <w:lang w:val="de-DE"/>
        </w:rPr>
        <w:t>]</w:t>
      </w:r>
      <w:r w:rsidRPr="008A23A2">
        <w:rPr>
          <w:rFonts w:cs="Arial"/>
          <w:vertAlign w:val="superscript"/>
          <w:lang w:val="de-DE"/>
        </w:rPr>
        <w:t>+</w:t>
      </w:r>
      <w:r w:rsidRPr="008A23A2">
        <w:rPr>
          <w:rFonts w:cs="Arial"/>
          <w:lang w:val="de-DE"/>
        </w:rPr>
        <w:t>.</w:t>
      </w:r>
    </w:p>
    <w:p w14:paraId="427DEE85" w14:textId="490361DE" w:rsidR="008A23A2" w:rsidRPr="008A23A2" w:rsidRDefault="00D646F4" w:rsidP="00730FDF">
      <w:pPr>
        <w:jc w:val="both"/>
        <w:rPr>
          <w:rFonts w:cs="Arial"/>
        </w:rPr>
      </w:pPr>
      <w:r>
        <w:rPr>
          <w:rFonts w:cs="Arial"/>
        </w:rPr>
        <w:lastRenderedPageBreak/>
        <w:object w:dxaOrig="1440" w:dyaOrig="1440" w14:anchorId="29AB99C9">
          <v:shape id="_x0000_s1052" type="#_x0000_t75" style="position:absolute;left:0;text-align:left;margin-left:169.7pt;margin-top:3.45pt;width:128.1pt;height:94.55pt;z-index:251661312">
            <v:imagedata r:id="rId11" o:title=""/>
            <w10:wrap type="square"/>
          </v:shape>
          <o:OLEObject Type="Embed" ProgID="ACD.ChemSketchCDX" ShapeID="_x0000_s1052" DrawAspect="Content" ObjectID="_1781346168" r:id="rId12"/>
        </w:object>
      </w:r>
      <w:r w:rsidR="008A23A2" w:rsidRPr="008A23A2">
        <w:rPr>
          <w:rFonts w:cs="Arial"/>
          <w:u w:val="single"/>
        </w:rPr>
        <w:t>G[1.1]-OH</w:t>
      </w:r>
    </w:p>
    <w:p w14:paraId="743445B8" w14:textId="77777777" w:rsidR="008A23A2" w:rsidRPr="008A23A2" w:rsidRDefault="008A23A2" w:rsidP="00730FDF">
      <w:pPr>
        <w:jc w:val="both"/>
        <w:rPr>
          <w:rFonts w:cs="Arial"/>
        </w:rPr>
      </w:pPr>
    </w:p>
    <w:p w14:paraId="53D836BB" w14:textId="77777777" w:rsidR="008A23A2" w:rsidRPr="008A23A2" w:rsidRDefault="008A23A2" w:rsidP="00730FDF">
      <w:pPr>
        <w:jc w:val="both"/>
        <w:rPr>
          <w:rFonts w:cs="Arial"/>
        </w:rPr>
      </w:pPr>
    </w:p>
    <w:p w14:paraId="4A3395CA" w14:textId="63D91ECC" w:rsidR="008A23A2" w:rsidRDefault="008A23A2" w:rsidP="00730FDF">
      <w:pPr>
        <w:jc w:val="both"/>
        <w:rPr>
          <w:rFonts w:cs="Arial"/>
        </w:rPr>
      </w:pPr>
    </w:p>
    <w:p w14:paraId="1B7F5326" w14:textId="77777777" w:rsidR="008A23A2" w:rsidRPr="008A23A2" w:rsidRDefault="008A23A2" w:rsidP="00730FDF">
      <w:pPr>
        <w:jc w:val="both"/>
        <w:rPr>
          <w:rFonts w:cs="Arial"/>
        </w:rPr>
      </w:pPr>
    </w:p>
    <w:p w14:paraId="3806411F" w14:textId="77777777" w:rsidR="008A23A2" w:rsidRPr="008A23A2" w:rsidRDefault="008A23A2" w:rsidP="00730FDF">
      <w:pPr>
        <w:jc w:val="both"/>
        <w:rPr>
          <w:rFonts w:cs="Arial"/>
        </w:rPr>
      </w:pPr>
      <w:r w:rsidRPr="008A23A2">
        <w:rPr>
          <w:rFonts w:cs="Arial"/>
        </w:rPr>
        <w:tab/>
        <w:t>G[1.1]-OH was synthesized as described after general procedure B with G[1.1]-ene (8.50 g, 26.9 mmol) in 200 mL dry methanol/dichloromethane 1:1. The product was isolated as a colorless oil.</w:t>
      </w:r>
    </w:p>
    <w:p w14:paraId="62FD1AD3" w14:textId="77777777" w:rsidR="008A23A2" w:rsidRPr="008A23A2" w:rsidRDefault="008A23A2" w:rsidP="00730FDF">
      <w:pPr>
        <w:jc w:val="both"/>
        <w:rPr>
          <w:rFonts w:cs="Arial"/>
        </w:rPr>
      </w:pPr>
      <w:r w:rsidRPr="008A23A2">
        <w:rPr>
          <w:rFonts w:cs="Arial"/>
        </w:rPr>
        <w:tab/>
      </w:r>
      <w:r w:rsidRPr="008A23A2">
        <w:rPr>
          <w:rFonts w:cs="Arial"/>
          <w:b/>
        </w:rPr>
        <w:t>Yield</w:t>
      </w:r>
      <w:r w:rsidRPr="008A23A2">
        <w:rPr>
          <w:rFonts w:cs="Arial"/>
        </w:rPr>
        <w:t>: 8.23 g (25.7 mmol, 95 %)</w:t>
      </w:r>
      <w:r w:rsidRPr="008A23A2">
        <w:rPr>
          <w:rFonts w:cs="Arial"/>
        </w:rPr>
        <w:tab/>
      </w:r>
      <w:r w:rsidRPr="008A23A2">
        <w:rPr>
          <w:rFonts w:cs="Arial"/>
        </w:rPr>
        <w:tab/>
      </w:r>
      <w:r w:rsidRPr="008A23A2">
        <w:rPr>
          <w:rFonts w:cs="Arial"/>
        </w:rPr>
        <w:tab/>
      </w:r>
      <w:r w:rsidRPr="008A23A2">
        <w:rPr>
          <w:rFonts w:cs="Arial"/>
        </w:rPr>
        <w:tab/>
      </w:r>
      <w:r w:rsidRPr="008A23A2">
        <w:rPr>
          <w:rFonts w:cs="Arial"/>
        </w:rPr>
        <w:tab/>
      </w:r>
      <w:r w:rsidRPr="008A23A2">
        <w:rPr>
          <w:rFonts w:cs="Arial"/>
        </w:rPr>
        <w:tab/>
        <w:t>Lit.</w:t>
      </w:r>
      <w:r w:rsidRPr="008A23A2">
        <w:rPr>
          <w:rFonts w:cs="Arial"/>
          <w:vertAlign w:val="superscript"/>
        </w:rPr>
        <w:t>[2]</w:t>
      </w:r>
      <w:r w:rsidRPr="008A23A2">
        <w:rPr>
          <w:rFonts w:cs="Arial"/>
        </w:rPr>
        <w:t>: 99 %</w:t>
      </w:r>
    </w:p>
    <w:p w14:paraId="22FB0551" w14:textId="77777777" w:rsidR="008A23A2" w:rsidRPr="008A23A2" w:rsidRDefault="008A23A2" w:rsidP="00730FDF">
      <w:pPr>
        <w:jc w:val="both"/>
        <w:rPr>
          <w:rFonts w:cs="Arial"/>
        </w:rPr>
      </w:pPr>
      <w:r w:rsidRPr="008A23A2">
        <w:rPr>
          <w:rFonts w:cs="Arial"/>
          <w:b/>
        </w:rPr>
        <w:t>FT-IR</w:t>
      </w:r>
      <w:r w:rsidRPr="008A23A2">
        <w:rPr>
          <w:rFonts w:cs="Arial"/>
        </w:rPr>
        <w:t xml:space="preserve"> (ATR): </w:t>
      </w:r>
      <w:r w:rsidRPr="008A23A2">
        <w:rPr>
          <w:rFonts w:cs="Arial"/>
          <w:i/>
          <w:iCs/>
        </w:rPr>
        <w:t>ṽ</w:t>
      </w:r>
      <w:r w:rsidRPr="008A23A2">
        <w:rPr>
          <w:rFonts w:cs="Arial"/>
        </w:rPr>
        <w:t xml:space="preserve"> = 3475 (br. w), 2986 (m), 2875 (m), 1715 (w), 1456 (w), 1371 (s), 1252 (m), 1212 (s), 1076 (vs), 1049 (vs), 975 (m), 841 (s), 792 (w), 514 (s) cm</w:t>
      </w:r>
      <w:r w:rsidRPr="008A23A2">
        <w:rPr>
          <w:rFonts w:cs="Arial"/>
          <w:vertAlign w:val="superscript"/>
        </w:rPr>
        <w:t>-1</w:t>
      </w:r>
      <w:r w:rsidRPr="008A23A2">
        <w:rPr>
          <w:rFonts w:cs="Arial"/>
        </w:rPr>
        <w:t>.</w:t>
      </w:r>
    </w:p>
    <w:p w14:paraId="1307C726" w14:textId="77777777" w:rsidR="008A23A2" w:rsidRPr="008A23A2" w:rsidRDefault="008A23A2" w:rsidP="00730FDF">
      <w:pPr>
        <w:jc w:val="both"/>
        <w:rPr>
          <w:rFonts w:cs="Arial"/>
        </w:rPr>
      </w:pPr>
      <w:r w:rsidRPr="008A23A2">
        <w:rPr>
          <w:rFonts w:cs="Arial"/>
          <w:b/>
          <w:vertAlign w:val="superscript"/>
        </w:rPr>
        <w:t>1</w:t>
      </w:r>
      <w:r w:rsidRPr="008A23A2">
        <w:rPr>
          <w:rFonts w:cs="Arial"/>
          <w:b/>
        </w:rPr>
        <w:t>H-NMR</w:t>
      </w:r>
      <w:r w:rsidRPr="008A23A2">
        <w:rPr>
          <w:rFonts w:cs="Arial"/>
        </w:rPr>
        <w:t>: (500 MHz, CDCl</w:t>
      </w:r>
      <w:r w:rsidRPr="008A23A2">
        <w:rPr>
          <w:rFonts w:cs="Arial"/>
          <w:vertAlign w:val="subscript"/>
        </w:rPr>
        <w:t>3</w:t>
      </w:r>
      <w:r w:rsidRPr="008A23A2">
        <w:rPr>
          <w:rFonts w:cs="Arial"/>
        </w:rPr>
        <w:t xml:space="preserve">, 298 K): </w:t>
      </w:r>
      <w:r w:rsidRPr="008A23A2">
        <w:rPr>
          <w:rFonts w:cs="Arial"/>
          <w:i/>
        </w:rPr>
        <w:t>δ</w:t>
      </w:r>
      <w:r w:rsidRPr="008A23A2">
        <w:rPr>
          <w:rFonts w:cs="Arial"/>
        </w:rPr>
        <w:t xml:space="preserve"> = 4.31-4.23 (m, 2 H, </w:t>
      </w:r>
      <w:r w:rsidRPr="008A23A2">
        <w:rPr>
          <w:rFonts w:cs="Arial"/>
          <w:i/>
        </w:rPr>
        <w:t>H</w:t>
      </w:r>
      <w:r w:rsidRPr="008A23A2">
        <w:rPr>
          <w:rFonts w:cs="Arial"/>
        </w:rPr>
        <w:t xml:space="preserve">-4), 4.07-4.03 (m, 2 H, </w:t>
      </w:r>
      <w:r w:rsidRPr="008A23A2">
        <w:rPr>
          <w:rFonts w:cs="Arial"/>
          <w:i/>
        </w:rPr>
        <w:t>H</w:t>
      </w:r>
      <w:r w:rsidRPr="008A23A2">
        <w:rPr>
          <w:rFonts w:cs="Arial"/>
        </w:rPr>
        <w:noBreakHyphen/>
        <w:t xml:space="preserve">5), 3.99-3.95 (m, 1 H, </w:t>
      </w:r>
      <w:r w:rsidRPr="008A23A2">
        <w:rPr>
          <w:rFonts w:cs="Arial"/>
          <w:i/>
        </w:rPr>
        <w:t>H</w:t>
      </w:r>
      <w:r w:rsidRPr="008A23A2">
        <w:rPr>
          <w:rFonts w:cs="Arial"/>
        </w:rPr>
        <w:t xml:space="preserve">-1), 3.74-3.70 (m, 2 H, </w:t>
      </w:r>
      <w:r w:rsidRPr="008A23A2">
        <w:rPr>
          <w:rFonts w:cs="Arial"/>
          <w:i/>
        </w:rPr>
        <w:t>H</w:t>
      </w:r>
      <w:r w:rsidRPr="008A23A2">
        <w:rPr>
          <w:rFonts w:cs="Arial"/>
        </w:rPr>
        <w:t xml:space="preserve">-5), 3.59-3.51 (m, 8 H, </w:t>
      </w:r>
      <w:r w:rsidRPr="008A23A2">
        <w:rPr>
          <w:rFonts w:cs="Arial"/>
          <w:i/>
        </w:rPr>
        <w:t>H</w:t>
      </w:r>
      <w:r w:rsidRPr="008A23A2">
        <w:rPr>
          <w:rFonts w:cs="Arial"/>
        </w:rPr>
        <w:t xml:space="preserve">-3, </w:t>
      </w:r>
      <w:r w:rsidRPr="008A23A2">
        <w:rPr>
          <w:rFonts w:cs="Arial"/>
          <w:i/>
        </w:rPr>
        <w:t>H</w:t>
      </w:r>
      <w:r w:rsidRPr="008A23A2">
        <w:rPr>
          <w:rFonts w:cs="Arial"/>
        </w:rPr>
        <w:t>-2), 1.42 (s, 6 H, C</w:t>
      </w:r>
      <w:r w:rsidRPr="008A23A2">
        <w:rPr>
          <w:rFonts w:cs="Arial"/>
          <w:i/>
        </w:rPr>
        <w:t>H</w:t>
      </w:r>
      <w:r w:rsidRPr="008A23A2">
        <w:rPr>
          <w:rFonts w:cs="Arial"/>
          <w:vertAlign w:val="subscript"/>
        </w:rPr>
        <w:t>3</w:t>
      </w:r>
      <w:r w:rsidRPr="008A23A2">
        <w:rPr>
          <w:rFonts w:cs="Arial"/>
        </w:rPr>
        <w:t>), 1.36 (s, 6 H, C</w:t>
      </w:r>
      <w:r w:rsidRPr="008A23A2">
        <w:rPr>
          <w:rFonts w:cs="Arial"/>
          <w:i/>
        </w:rPr>
        <w:t>H</w:t>
      </w:r>
      <w:r w:rsidRPr="008A23A2">
        <w:rPr>
          <w:rFonts w:cs="Arial"/>
          <w:vertAlign w:val="subscript"/>
        </w:rPr>
        <w:t>3</w:t>
      </w:r>
      <w:r w:rsidRPr="008A23A2">
        <w:rPr>
          <w:rFonts w:cs="Arial"/>
        </w:rPr>
        <w:t>) ppm.</w:t>
      </w:r>
    </w:p>
    <w:p w14:paraId="2C6FC4AA" w14:textId="77777777" w:rsidR="008A23A2" w:rsidRPr="008A23A2" w:rsidRDefault="008A23A2" w:rsidP="00730FDF">
      <w:pPr>
        <w:jc w:val="both"/>
        <w:rPr>
          <w:rFonts w:cs="Arial"/>
        </w:rPr>
      </w:pPr>
      <w:r w:rsidRPr="008A23A2">
        <w:rPr>
          <w:rFonts w:cs="Arial"/>
          <w:b/>
          <w:vertAlign w:val="superscript"/>
        </w:rPr>
        <w:t>13</w:t>
      </w:r>
      <w:r w:rsidRPr="008A23A2">
        <w:rPr>
          <w:rFonts w:cs="Arial"/>
          <w:b/>
        </w:rPr>
        <w:t>C-NMR</w:t>
      </w:r>
      <w:r w:rsidRPr="008A23A2">
        <w:rPr>
          <w:rFonts w:cs="Arial"/>
        </w:rPr>
        <w:t>: (125 MHz, CDCl</w:t>
      </w:r>
      <w:r w:rsidRPr="008A23A2">
        <w:rPr>
          <w:rFonts w:cs="Arial"/>
          <w:vertAlign w:val="subscript"/>
        </w:rPr>
        <w:t>3</w:t>
      </w:r>
      <w:r w:rsidRPr="008A23A2">
        <w:rPr>
          <w:rFonts w:cs="Arial"/>
        </w:rPr>
        <w:t xml:space="preserve">, 298 K): </w:t>
      </w:r>
      <w:r w:rsidRPr="008A23A2">
        <w:rPr>
          <w:rFonts w:cs="Arial"/>
          <w:i/>
        </w:rPr>
        <w:t>δ</w:t>
      </w:r>
      <w:r w:rsidRPr="008A23A2">
        <w:rPr>
          <w:rFonts w:cs="Arial"/>
        </w:rPr>
        <w:t xml:space="preserve"> = 109.6 (</w:t>
      </w:r>
      <w:r w:rsidRPr="008A23A2">
        <w:rPr>
          <w:rFonts w:cs="Arial"/>
          <w:i/>
        </w:rPr>
        <w:t>C</w:t>
      </w:r>
      <w:r w:rsidRPr="008A23A2">
        <w:rPr>
          <w:rFonts w:cs="Arial"/>
        </w:rPr>
        <w:t>(CH</w:t>
      </w:r>
      <w:r w:rsidRPr="008A23A2">
        <w:rPr>
          <w:rFonts w:cs="Arial"/>
          <w:vertAlign w:val="subscript"/>
        </w:rPr>
        <w:t>3</w:t>
      </w:r>
      <w:r w:rsidRPr="008A23A2">
        <w:rPr>
          <w:rFonts w:cs="Arial"/>
        </w:rPr>
        <w:t>)</w:t>
      </w:r>
      <w:r w:rsidRPr="008A23A2">
        <w:rPr>
          <w:rFonts w:cs="Arial"/>
          <w:vertAlign w:val="subscript"/>
        </w:rPr>
        <w:t>2</w:t>
      </w:r>
      <w:r w:rsidRPr="008A23A2">
        <w:rPr>
          <w:rFonts w:cs="Arial"/>
        </w:rPr>
        <w:t>), 74.8 (</w:t>
      </w:r>
      <w:r w:rsidRPr="008A23A2">
        <w:rPr>
          <w:rFonts w:cs="Arial"/>
          <w:i/>
        </w:rPr>
        <w:t>C</w:t>
      </w:r>
      <w:r w:rsidRPr="008A23A2">
        <w:rPr>
          <w:rFonts w:cs="Arial"/>
        </w:rPr>
        <w:t>-4), 72.9 (</w:t>
      </w:r>
      <w:r w:rsidRPr="008A23A2">
        <w:rPr>
          <w:rFonts w:cs="Arial"/>
          <w:i/>
        </w:rPr>
        <w:t>C</w:t>
      </w:r>
      <w:r w:rsidRPr="008A23A2">
        <w:rPr>
          <w:rFonts w:cs="Arial"/>
        </w:rPr>
        <w:t>-2), 72.6 (</w:t>
      </w:r>
      <w:r w:rsidRPr="008A23A2">
        <w:rPr>
          <w:rFonts w:cs="Arial"/>
          <w:i/>
        </w:rPr>
        <w:t>C</w:t>
      </w:r>
      <w:r w:rsidRPr="008A23A2">
        <w:rPr>
          <w:rFonts w:cs="Arial"/>
        </w:rPr>
        <w:t>-3), 69.6 (</w:t>
      </w:r>
      <w:r w:rsidRPr="008A23A2">
        <w:rPr>
          <w:rFonts w:cs="Arial"/>
          <w:i/>
        </w:rPr>
        <w:t>C</w:t>
      </w:r>
      <w:r w:rsidRPr="008A23A2">
        <w:rPr>
          <w:rFonts w:cs="Arial"/>
        </w:rPr>
        <w:t>-1), 66.7 (</w:t>
      </w:r>
      <w:r w:rsidRPr="008A23A2">
        <w:rPr>
          <w:rFonts w:cs="Arial"/>
          <w:i/>
        </w:rPr>
        <w:t>C</w:t>
      </w:r>
      <w:r w:rsidRPr="008A23A2">
        <w:rPr>
          <w:rFonts w:cs="Arial"/>
        </w:rPr>
        <w:t>-5), 26.9 (</w:t>
      </w:r>
      <w:r w:rsidRPr="008A23A2">
        <w:rPr>
          <w:rFonts w:cs="Arial"/>
          <w:i/>
        </w:rPr>
        <w:t>C</w:t>
      </w:r>
      <w:r w:rsidRPr="008A23A2">
        <w:rPr>
          <w:rFonts w:cs="Arial"/>
        </w:rPr>
        <w:t>H</w:t>
      </w:r>
      <w:r w:rsidRPr="008A23A2">
        <w:rPr>
          <w:rFonts w:cs="Arial"/>
          <w:vertAlign w:val="subscript"/>
        </w:rPr>
        <w:t>3</w:t>
      </w:r>
      <w:r w:rsidRPr="008A23A2">
        <w:rPr>
          <w:rFonts w:cs="Arial"/>
        </w:rPr>
        <w:t>), 25.5 (</w:t>
      </w:r>
      <w:r w:rsidRPr="008A23A2">
        <w:rPr>
          <w:rFonts w:cs="Arial"/>
          <w:i/>
        </w:rPr>
        <w:t>C</w:t>
      </w:r>
      <w:r w:rsidRPr="008A23A2">
        <w:rPr>
          <w:rFonts w:cs="Arial"/>
        </w:rPr>
        <w:t>H</w:t>
      </w:r>
      <w:r w:rsidRPr="008A23A2">
        <w:rPr>
          <w:rFonts w:cs="Arial"/>
          <w:vertAlign w:val="subscript"/>
        </w:rPr>
        <w:t>3</w:t>
      </w:r>
      <w:r w:rsidRPr="008A23A2">
        <w:rPr>
          <w:rFonts w:cs="Arial"/>
        </w:rPr>
        <w:t>) ppm.</w:t>
      </w:r>
    </w:p>
    <w:p w14:paraId="56D868A6" w14:textId="77777777" w:rsidR="008A23A2" w:rsidRPr="008A23A2" w:rsidRDefault="008A23A2" w:rsidP="00730FDF">
      <w:pPr>
        <w:jc w:val="both"/>
        <w:rPr>
          <w:rFonts w:cs="Arial"/>
          <w:lang w:val="de-DE"/>
        </w:rPr>
      </w:pPr>
      <w:r w:rsidRPr="008A23A2">
        <w:rPr>
          <w:rFonts w:cs="Arial"/>
          <w:b/>
          <w:lang w:val="de-DE"/>
        </w:rPr>
        <w:t>HR-EI-MS</w:t>
      </w:r>
      <w:r w:rsidRPr="008A23A2">
        <w:rPr>
          <w:rFonts w:cs="Arial"/>
          <w:lang w:val="de-DE"/>
        </w:rPr>
        <w:t xml:space="preserve">: </w:t>
      </w:r>
      <w:r w:rsidRPr="008A23A2">
        <w:rPr>
          <w:rFonts w:cs="Arial"/>
          <w:i/>
          <w:lang w:val="de-DE"/>
        </w:rPr>
        <w:t>m/z</w:t>
      </w:r>
      <w:r w:rsidRPr="008A23A2">
        <w:rPr>
          <w:rFonts w:cs="Arial"/>
          <w:lang w:val="de-DE"/>
        </w:rPr>
        <w:t xml:space="preserve"> [M+H]</w:t>
      </w:r>
      <w:r w:rsidRPr="008A23A2">
        <w:rPr>
          <w:rFonts w:cs="Arial"/>
          <w:vertAlign w:val="superscript"/>
          <w:lang w:val="de-DE"/>
        </w:rPr>
        <w:t>+</w:t>
      </w:r>
      <w:r w:rsidRPr="008A23A2">
        <w:rPr>
          <w:rFonts w:cs="Arial"/>
          <w:lang w:val="de-DE"/>
        </w:rPr>
        <w:t xml:space="preserve"> berechnet für C</w:t>
      </w:r>
      <w:r w:rsidRPr="008A23A2">
        <w:rPr>
          <w:rFonts w:cs="Arial"/>
          <w:vertAlign w:val="subscript"/>
          <w:lang w:val="de-DE"/>
        </w:rPr>
        <w:t>15</w:t>
      </w:r>
      <w:r w:rsidRPr="008A23A2">
        <w:rPr>
          <w:rFonts w:cs="Arial"/>
          <w:lang w:val="de-DE"/>
        </w:rPr>
        <w:t>H</w:t>
      </w:r>
      <w:r w:rsidRPr="008A23A2">
        <w:rPr>
          <w:rFonts w:cs="Arial"/>
          <w:vertAlign w:val="subscript"/>
          <w:lang w:val="de-DE"/>
        </w:rPr>
        <w:t>29</w:t>
      </w:r>
      <w:r w:rsidRPr="008A23A2">
        <w:rPr>
          <w:rFonts w:cs="Arial"/>
          <w:lang w:val="de-DE"/>
        </w:rPr>
        <w:t>O</w:t>
      </w:r>
      <w:r w:rsidRPr="008A23A2">
        <w:rPr>
          <w:rFonts w:cs="Arial"/>
          <w:vertAlign w:val="subscript"/>
          <w:lang w:val="de-DE"/>
        </w:rPr>
        <w:t>7</w:t>
      </w:r>
      <w:r w:rsidRPr="008A23A2">
        <w:rPr>
          <w:rFonts w:cs="Arial"/>
          <w:lang w:val="de-DE"/>
        </w:rPr>
        <w:t>: 321.19133; gefunden: 321.19126 (</w:t>
      </w:r>
      <w:r w:rsidRPr="008A23A2">
        <w:rPr>
          <w:rFonts w:cs="Arial"/>
          <w:lang w:val="de-DE"/>
        </w:rPr>
        <w:noBreakHyphen/>
        <w:t>0.19 ppm).</w:t>
      </w:r>
    </w:p>
    <w:p w14:paraId="47339FAA" w14:textId="77777777" w:rsidR="008A23A2" w:rsidRPr="008A23A2" w:rsidRDefault="008A23A2" w:rsidP="00730FDF">
      <w:pPr>
        <w:jc w:val="both"/>
        <w:rPr>
          <w:rFonts w:cs="Arial"/>
          <w:lang w:val="de-DE"/>
        </w:rPr>
      </w:pPr>
    </w:p>
    <w:p w14:paraId="22812429" w14:textId="3F643E75" w:rsidR="008A23A2" w:rsidRPr="008A23A2" w:rsidRDefault="008A23A2" w:rsidP="00730FDF">
      <w:pPr>
        <w:jc w:val="both"/>
        <w:rPr>
          <w:rFonts w:cs="Arial"/>
        </w:rPr>
      </w:pPr>
      <w:r w:rsidRPr="008A23A2">
        <w:rPr>
          <w:rFonts w:cs="Arial"/>
          <w:u w:val="single"/>
        </w:rPr>
        <w:t>G[2.1]-ene</w:t>
      </w:r>
      <w:r w:rsidRPr="008A23A2">
        <w:rPr>
          <w:rFonts w:cs="Arial"/>
          <w:u w:val="single"/>
        </w:rPr>
        <w:br/>
      </w:r>
    </w:p>
    <w:p w14:paraId="4F5505D8" w14:textId="03BCD7B6" w:rsidR="008A23A2" w:rsidRPr="008A23A2" w:rsidRDefault="00D646F4" w:rsidP="00730FDF">
      <w:pPr>
        <w:jc w:val="both"/>
        <w:rPr>
          <w:rFonts w:cs="Arial"/>
        </w:rPr>
      </w:pPr>
      <w:r>
        <w:rPr>
          <w:rFonts w:cs="Arial"/>
        </w:rPr>
        <w:object w:dxaOrig="1440" w:dyaOrig="1440" w14:anchorId="37378BC3">
          <v:shape id="_x0000_s1053" type="#_x0000_t75" style="position:absolute;left:0;text-align:left;margin-left:98.95pt;margin-top:-11.3pt;width:255.5pt;height:127.15pt;z-index:251662336">
            <v:imagedata r:id="rId13" o:title=""/>
            <w10:wrap type="square"/>
          </v:shape>
          <o:OLEObject Type="Embed" ProgID="ACD.ChemSketchCDX" ShapeID="_x0000_s1053" DrawAspect="Content" ObjectID="_1781346169" r:id="rId14"/>
        </w:object>
      </w:r>
    </w:p>
    <w:p w14:paraId="0BCE1E37" w14:textId="77777777" w:rsidR="008A23A2" w:rsidRPr="008A23A2" w:rsidRDefault="008A23A2" w:rsidP="00730FDF">
      <w:pPr>
        <w:jc w:val="both"/>
        <w:rPr>
          <w:rFonts w:cs="Arial"/>
        </w:rPr>
      </w:pPr>
    </w:p>
    <w:p w14:paraId="7D69E949" w14:textId="77777777" w:rsidR="008A23A2" w:rsidRPr="008A23A2" w:rsidRDefault="008A23A2" w:rsidP="00730FDF">
      <w:pPr>
        <w:jc w:val="both"/>
        <w:rPr>
          <w:rFonts w:cs="Arial"/>
        </w:rPr>
      </w:pPr>
    </w:p>
    <w:p w14:paraId="63279665" w14:textId="72908DB2" w:rsidR="008A23A2" w:rsidRDefault="008A23A2" w:rsidP="00730FDF">
      <w:pPr>
        <w:jc w:val="both"/>
        <w:rPr>
          <w:rFonts w:cs="Arial"/>
        </w:rPr>
      </w:pPr>
    </w:p>
    <w:p w14:paraId="2E98CE57" w14:textId="77777777" w:rsidR="008A23A2" w:rsidRPr="008A23A2" w:rsidRDefault="008A23A2" w:rsidP="00730FDF">
      <w:pPr>
        <w:jc w:val="both"/>
        <w:rPr>
          <w:rFonts w:cs="Arial"/>
        </w:rPr>
      </w:pPr>
    </w:p>
    <w:p w14:paraId="282A978F" w14:textId="77777777" w:rsidR="008A23A2" w:rsidRPr="008A23A2" w:rsidRDefault="008A23A2" w:rsidP="00730FDF">
      <w:pPr>
        <w:jc w:val="both"/>
        <w:rPr>
          <w:rFonts w:cs="Arial"/>
        </w:rPr>
      </w:pPr>
    </w:p>
    <w:p w14:paraId="2C65C6FC" w14:textId="77777777" w:rsidR="008A23A2" w:rsidRPr="008A23A2" w:rsidRDefault="008A23A2" w:rsidP="00730FDF">
      <w:pPr>
        <w:jc w:val="both"/>
        <w:rPr>
          <w:rFonts w:cs="Arial"/>
        </w:rPr>
      </w:pPr>
      <w:r w:rsidRPr="008A23A2">
        <w:rPr>
          <w:rFonts w:cs="Arial"/>
        </w:rPr>
        <w:t>G[1.1]-ene was synthesized as described after general procedure A with G[1.1]-OH (8.08 g, 25.2 mmol) and methallyl dichloride nr (1.57 g, 12.5 mmol) in 100 mL dry tetrahydrofuran. Column chromatography was performed with cyclohexane/ethyl acetate 1:2. The product was isolated as a colorless oil.</w:t>
      </w:r>
    </w:p>
    <w:p w14:paraId="578F8311" w14:textId="77777777" w:rsidR="008A23A2" w:rsidRPr="008A23A2" w:rsidRDefault="008A23A2" w:rsidP="00730FDF">
      <w:pPr>
        <w:jc w:val="both"/>
        <w:rPr>
          <w:rFonts w:cs="Arial"/>
        </w:rPr>
      </w:pPr>
      <w:r w:rsidRPr="008A23A2">
        <w:rPr>
          <w:rFonts w:cs="Arial"/>
          <w:b/>
        </w:rPr>
        <w:t>Yield</w:t>
      </w:r>
      <w:r w:rsidRPr="008A23A2">
        <w:rPr>
          <w:rFonts w:cs="Arial"/>
        </w:rPr>
        <w:t>: 7.64 g (11.0 mmol, 88 %)</w:t>
      </w:r>
      <w:r w:rsidRPr="008A23A2">
        <w:rPr>
          <w:rFonts w:cs="Arial"/>
        </w:rPr>
        <w:tab/>
      </w:r>
      <w:r w:rsidRPr="008A23A2">
        <w:rPr>
          <w:rFonts w:cs="Arial"/>
        </w:rPr>
        <w:tab/>
      </w:r>
      <w:r w:rsidRPr="008A23A2">
        <w:rPr>
          <w:rFonts w:cs="Arial"/>
        </w:rPr>
        <w:tab/>
      </w:r>
      <w:r w:rsidRPr="008A23A2">
        <w:rPr>
          <w:rFonts w:cs="Arial"/>
        </w:rPr>
        <w:tab/>
      </w:r>
      <w:r w:rsidRPr="008A23A2">
        <w:rPr>
          <w:rFonts w:cs="Arial"/>
        </w:rPr>
        <w:tab/>
      </w:r>
      <w:r w:rsidRPr="008A23A2">
        <w:rPr>
          <w:rFonts w:cs="Arial"/>
        </w:rPr>
        <w:tab/>
        <w:t>Lit.</w:t>
      </w:r>
      <w:r w:rsidRPr="008A23A2">
        <w:rPr>
          <w:rFonts w:cs="Arial"/>
          <w:vertAlign w:val="superscript"/>
        </w:rPr>
        <w:t>[2]</w:t>
      </w:r>
      <w:r w:rsidRPr="008A23A2">
        <w:rPr>
          <w:rFonts w:cs="Arial"/>
        </w:rPr>
        <w:t>: 94 %</w:t>
      </w:r>
    </w:p>
    <w:p w14:paraId="37A414FE" w14:textId="77777777" w:rsidR="008A23A2" w:rsidRPr="008A23A2" w:rsidRDefault="008A23A2" w:rsidP="00730FDF">
      <w:pPr>
        <w:jc w:val="both"/>
        <w:rPr>
          <w:rFonts w:cs="Arial"/>
        </w:rPr>
      </w:pPr>
      <w:r w:rsidRPr="008A23A2">
        <w:rPr>
          <w:rFonts w:cs="Arial"/>
          <w:b/>
        </w:rPr>
        <w:t>FT-IR</w:t>
      </w:r>
      <w:r w:rsidRPr="008A23A2">
        <w:rPr>
          <w:rFonts w:cs="Arial"/>
        </w:rPr>
        <w:t xml:space="preserve"> (ATR): </w:t>
      </w:r>
      <w:r w:rsidRPr="008A23A2">
        <w:rPr>
          <w:rFonts w:cs="Arial"/>
          <w:i/>
          <w:iCs/>
        </w:rPr>
        <w:t>ṽ</w:t>
      </w:r>
      <w:r w:rsidRPr="008A23A2">
        <w:rPr>
          <w:rFonts w:cs="Arial"/>
        </w:rPr>
        <w:t xml:space="preserve"> = 2986 (m), 2874 (m), 1736 (w), 1457 (w), 1370 (s), 1251 (m),</w:t>
      </w:r>
      <w:r w:rsidRPr="008A23A2">
        <w:rPr>
          <w:rFonts w:cs="Arial"/>
        </w:rPr>
        <w:br/>
        <w:t>1213 (s), 1078 (vs), 1051 (vs), 975 (m), 917 (m), 843 (s), 792 (w), 514 (m) cm</w:t>
      </w:r>
      <w:r w:rsidRPr="008A23A2">
        <w:rPr>
          <w:rFonts w:cs="Arial"/>
          <w:vertAlign w:val="superscript"/>
        </w:rPr>
        <w:t>-1</w:t>
      </w:r>
      <w:r w:rsidRPr="008A23A2">
        <w:rPr>
          <w:rFonts w:cs="Arial"/>
        </w:rPr>
        <w:t>.</w:t>
      </w:r>
    </w:p>
    <w:p w14:paraId="2CC62ABE" w14:textId="77777777" w:rsidR="008A23A2" w:rsidRPr="008A23A2" w:rsidRDefault="008A23A2" w:rsidP="00730FDF">
      <w:pPr>
        <w:jc w:val="both"/>
        <w:rPr>
          <w:rFonts w:cs="Arial"/>
        </w:rPr>
      </w:pPr>
      <w:bookmarkStart w:id="2" w:name="_Hlk169785028"/>
      <w:r w:rsidRPr="008A23A2">
        <w:rPr>
          <w:rFonts w:cs="Arial"/>
          <w:b/>
          <w:vertAlign w:val="superscript"/>
        </w:rPr>
        <w:lastRenderedPageBreak/>
        <w:t>1</w:t>
      </w:r>
      <w:r w:rsidRPr="008A23A2">
        <w:rPr>
          <w:rFonts w:cs="Arial"/>
          <w:b/>
        </w:rPr>
        <w:t>H-NMR</w:t>
      </w:r>
      <w:r w:rsidRPr="008A23A2">
        <w:rPr>
          <w:rFonts w:cs="Arial"/>
        </w:rPr>
        <w:t>: (200 MHz, Acetone-d</w:t>
      </w:r>
      <w:r w:rsidRPr="008A23A2">
        <w:rPr>
          <w:rFonts w:cs="Arial"/>
        </w:rPr>
        <w:softHyphen/>
      </w:r>
      <w:r w:rsidRPr="008A23A2">
        <w:rPr>
          <w:rFonts w:cs="Arial"/>
          <w:vertAlign w:val="subscript"/>
        </w:rPr>
        <w:t>6</w:t>
      </w:r>
      <w:r w:rsidRPr="008A23A2">
        <w:rPr>
          <w:rFonts w:cs="Arial"/>
        </w:rPr>
        <w:t xml:space="preserve">, 298 K): </w:t>
      </w:r>
      <w:r w:rsidRPr="008A23A2">
        <w:rPr>
          <w:rFonts w:cs="Arial"/>
          <w:i/>
        </w:rPr>
        <w:t>δ</w:t>
      </w:r>
      <w:r w:rsidRPr="008A23A2">
        <w:rPr>
          <w:rFonts w:cs="Arial"/>
        </w:rPr>
        <w:t xml:space="preserve"> = δ 5.16 (quint., </w:t>
      </w:r>
      <w:r w:rsidRPr="008A23A2">
        <w:rPr>
          <w:rFonts w:cs="Arial"/>
          <w:vertAlign w:val="superscript"/>
        </w:rPr>
        <w:t>4</w:t>
      </w:r>
      <w:r w:rsidRPr="008A23A2">
        <w:rPr>
          <w:rFonts w:cs="Arial"/>
          <w:i/>
          <w:iCs/>
        </w:rPr>
        <w:t>J</w:t>
      </w:r>
      <w:r w:rsidRPr="008A23A2">
        <w:rPr>
          <w:rFonts w:cs="Arial"/>
        </w:rPr>
        <w:t xml:space="preserve"> = 1.2 Hz, 2 H, C</w:t>
      </w:r>
      <w:r w:rsidRPr="008A23A2">
        <w:rPr>
          <w:rFonts w:cs="Arial"/>
          <w:i/>
        </w:rPr>
        <w:t>H</w:t>
      </w:r>
      <w:r w:rsidRPr="008A23A2">
        <w:rPr>
          <w:rFonts w:cs="Arial"/>
          <w:vertAlign w:val="subscript"/>
        </w:rPr>
        <w:t>2</w:t>
      </w:r>
      <w:r w:rsidRPr="008A23A2">
        <w:rPr>
          <w:rFonts w:cs="Arial"/>
          <w:vanish/>
        </w:rPr>
        <w:t>KKk</w:t>
      </w:r>
      <w:r w:rsidRPr="008A23A2">
        <w:rPr>
          <w:rFonts w:cs="Arial"/>
        </w:rPr>
        <w:t xml:space="preserve">), 4.31-4.11 (m, 8 H, </w:t>
      </w:r>
      <w:r w:rsidRPr="008A23A2">
        <w:rPr>
          <w:rFonts w:cs="Arial"/>
          <w:i/>
        </w:rPr>
        <w:t>H</w:t>
      </w:r>
      <w:r w:rsidRPr="008A23A2">
        <w:rPr>
          <w:rFonts w:cs="Arial"/>
        </w:rPr>
        <w:t xml:space="preserve">-2, </w:t>
      </w:r>
      <w:r w:rsidRPr="008A23A2">
        <w:rPr>
          <w:rFonts w:cs="Arial"/>
          <w:i/>
        </w:rPr>
        <w:t>H</w:t>
      </w:r>
      <w:r w:rsidRPr="008A23A2">
        <w:rPr>
          <w:rFonts w:cs="Arial"/>
        </w:rPr>
        <w:t xml:space="preserve">-6), 4.09-3.97 (m, 4 H, </w:t>
      </w:r>
      <w:r w:rsidRPr="008A23A2">
        <w:rPr>
          <w:rFonts w:cs="Arial"/>
          <w:i/>
        </w:rPr>
        <w:t>H</w:t>
      </w:r>
      <w:r w:rsidRPr="008A23A2">
        <w:rPr>
          <w:rFonts w:cs="Arial"/>
        </w:rPr>
        <w:t xml:space="preserve">-7), 3.76-3.66 (m, 4 H, </w:t>
      </w:r>
      <w:r w:rsidRPr="008A23A2">
        <w:rPr>
          <w:rFonts w:cs="Arial"/>
          <w:i/>
        </w:rPr>
        <w:t>H</w:t>
      </w:r>
      <w:r w:rsidRPr="008A23A2">
        <w:rPr>
          <w:rFonts w:cs="Arial"/>
        </w:rPr>
        <w:t xml:space="preserve">-5), 3.66-3.41 (m, 18 H, </w:t>
      </w:r>
      <w:r w:rsidRPr="008A23A2">
        <w:rPr>
          <w:rFonts w:cs="Arial"/>
          <w:i/>
        </w:rPr>
        <w:t>H</w:t>
      </w:r>
      <w:r w:rsidRPr="008A23A2">
        <w:rPr>
          <w:rFonts w:cs="Arial"/>
        </w:rPr>
        <w:t xml:space="preserve">-3, </w:t>
      </w:r>
      <w:r w:rsidRPr="008A23A2">
        <w:rPr>
          <w:rFonts w:cs="Arial"/>
          <w:i/>
        </w:rPr>
        <w:t>H</w:t>
      </w:r>
      <w:r w:rsidRPr="008A23A2">
        <w:rPr>
          <w:rFonts w:cs="Arial"/>
        </w:rPr>
        <w:t xml:space="preserve">-4, </w:t>
      </w:r>
      <w:r w:rsidRPr="008A23A2">
        <w:rPr>
          <w:rFonts w:cs="Arial"/>
          <w:i/>
        </w:rPr>
        <w:t>H</w:t>
      </w:r>
      <w:r w:rsidRPr="008A23A2">
        <w:rPr>
          <w:rFonts w:cs="Arial"/>
        </w:rPr>
        <w:t xml:space="preserve">-5, </w:t>
      </w:r>
      <w:r w:rsidRPr="008A23A2">
        <w:rPr>
          <w:rFonts w:cs="Arial"/>
          <w:i/>
        </w:rPr>
        <w:t>H</w:t>
      </w:r>
      <w:r w:rsidRPr="008A23A2">
        <w:rPr>
          <w:rFonts w:cs="Arial"/>
        </w:rPr>
        <w:t>-7), 1.36-1.31 (m, 12 H, C</w:t>
      </w:r>
      <w:r w:rsidRPr="008A23A2">
        <w:rPr>
          <w:rFonts w:cs="Arial"/>
          <w:i/>
        </w:rPr>
        <w:t>H</w:t>
      </w:r>
      <w:r w:rsidRPr="008A23A2">
        <w:rPr>
          <w:rFonts w:cs="Arial"/>
          <w:vertAlign w:val="subscript"/>
        </w:rPr>
        <w:t>3</w:t>
      </w:r>
      <w:r w:rsidRPr="008A23A2">
        <w:rPr>
          <w:rFonts w:cs="Arial"/>
        </w:rPr>
        <w:t>), 1.30-1.26 (s, 12 H, C</w:t>
      </w:r>
      <w:r w:rsidRPr="008A23A2">
        <w:rPr>
          <w:rFonts w:cs="Arial"/>
          <w:i/>
        </w:rPr>
        <w:t>H</w:t>
      </w:r>
      <w:r w:rsidRPr="008A23A2">
        <w:rPr>
          <w:rFonts w:cs="Arial"/>
          <w:vertAlign w:val="subscript"/>
        </w:rPr>
        <w:t>3</w:t>
      </w:r>
      <w:r w:rsidRPr="008A23A2">
        <w:rPr>
          <w:rFonts w:cs="Arial"/>
        </w:rPr>
        <w:t xml:space="preserve">) ppm. </w:t>
      </w:r>
    </w:p>
    <w:bookmarkEnd w:id="2"/>
    <w:p w14:paraId="49628607" w14:textId="77777777" w:rsidR="008A23A2" w:rsidRPr="008A23A2" w:rsidRDefault="008A23A2" w:rsidP="00730FDF">
      <w:pPr>
        <w:jc w:val="both"/>
        <w:rPr>
          <w:rFonts w:cs="Arial"/>
          <w:lang w:val="de-DE"/>
        </w:rPr>
      </w:pPr>
      <w:r w:rsidRPr="008A23A2">
        <w:rPr>
          <w:rFonts w:cs="Arial"/>
          <w:b/>
          <w:lang w:val="de-DE"/>
        </w:rPr>
        <w:t>HR-EI-MS</w:t>
      </w:r>
      <w:r w:rsidRPr="008A23A2">
        <w:rPr>
          <w:rFonts w:cs="Arial"/>
          <w:lang w:val="de-DE"/>
        </w:rPr>
        <w:t xml:space="preserve">: </w:t>
      </w:r>
      <w:r w:rsidRPr="008A23A2">
        <w:rPr>
          <w:rFonts w:cs="Arial"/>
          <w:i/>
          <w:lang w:val="de-DE"/>
        </w:rPr>
        <w:t>m/z</w:t>
      </w:r>
      <w:r w:rsidRPr="008A23A2">
        <w:rPr>
          <w:rFonts w:cs="Arial"/>
          <w:lang w:val="de-DE"/>
        </w:rPr>
        <w:t xml:space="preserve"> [M+Na]</w:t>
      </w:r>
      <w:r w:rsidRPr="008A23A2">
        <w:rPr>
          <w:rFonts w:cs="Arial"/>
          <w:vertAlign w:val="superscript"/>
          <w:lang w:val="de-DE"/>
        </w:rPr>
        <w:t>+</w:t>
      </w:r>
      <w:r w:rsidRPr="008A23A2">
        <w:rPr>
          <w:rFonts w:cs="Arial"/>
          <w:lang w:val="de-DE"/>
        </w:rPr>
        <w:t xml:space="preserve"> berechnet für C</w:t>
      </w:r>
      <w:r w:rsidRPr="008A23A2">
        <w:rPr>
          <w:rFonts w:cs="Arial"/>
          <w:vertAlign w:val="subscript"/>
          <w:lang w:val="de-DE"/>
        </w:rPr>
        <w:t>34</w:t>
      </w:r>
      <w:r w:rsidRPr="008A23A2">
        <w:rPr>
          <w:rFonts w:cs="Arial"/>
          <w:lang w:val="de-DE"/>
        </w:rPr>
        <w:t>H</w:t>
      </w:r>
      <w:r w:rsidRPr="008A23A2">
        <w:rPr>
          <w:rFonts w:cs="Arial"/>
          <w:vertAlign w:val="subscript"/>
          <w:lang w:val="de-DE"/>
        </w:rPr>
        <w:t>60</w:t>
      </w:r>
      <w:r w:rsidRPr="008A23A2">
        <w:rPr>
          <w:rFonts w:cs="Arial"/>
          <w:lang w:val="de-DE"/>
        </w:rPr>
        <w:t>O</w:t>
      </w:r>
      <w:r w:rsidRPr="008A23A2">
        <w:rPr>
          <w:rFonts w:cs="Arial"/>
          <w:vertAlign w:val="subscript"/>
          <w:lang w:val="de-DE"/>
        </w:rPr>
        <w:t>14</w:t>
      </w:r>
      <w:r w:rsidRPr="008A23A2">
        <w:rPr>
          <w:rFonts w:cs="Arial"/>
          <w:lang w:val="de-DE"/>
        </w:rPr>
        <w:t>Na: 715.38753; gefunden: 715.38584 (-2.36 ppm).</w:t>
      </w:r>
    </w:p>
    <w:p w14:paraId="63BC8D90" w14:textId="77777777" w:rsidR="008A23A2" w:rsidRPr="008A23A2" w:rsidRDefault="008A23A2" w:rsidP="00730FDF">
      <w:pPr>
        <w:jc w:val="both"/>
        <w:rPr>
          <w:rFonts w:cs="Arial"/>
          <w:lang w:val="de-DE"/>
        </w:rPr>
      </w:pPr>
    </w:p>
    <w:p w14:paraId="538FB10B" w14:textId="77777777" w:rsidR="008A23A2" w:rsidRPr="008A23A2" w:rsidRDefault="00D646F4" w:rsidP="00730FDF">
      <w:pPr>
        <w:jc w:val="both"/>
        <w:rPr>
          <w:rFonts w:cs="Arial"/>
        </w:rPr>
      </w:pPr>
      <w:r>
        <w:rPr>
          <w:rFonts w:cs="Arial"/>
        </w:rPr>
        <w:object w:dxaOrig="1440" w:dyaOrig="1440" w14:anchorId="68F98636">
          <v:shape id="_x0000_s1054" type="#_x0000_t75" style="position:absolute;left:0;text-align:left;margin-left:118.95pt;margin-top:18.9pt;width:244.7pt;height:123pt;z-index:251663360">
            <v:imagedata r:id="rId15" o:title=""/>
            <w10:wrap type="square"/>
          </v:shape>
          <o:OLEObject Type="Embed" ProgID="ACD.ChemSketchCDX" ShapeID="_x0000_s1054" DrawAspect="Content" ObjectID="_1781346170" r:id="rId16"/>
        </w:object>
      </w:r>
      <w:r w:rsidR="008A23A2" w:rsidRPr="008A23A2">
        <w:rPr>
          <w:rFonts w:cs="Arial"/>
          <w:u w:val="single"/>
        </w:rPr>
        <w:t>G[2.1]-OH</w:t>
      </w:r>
      <w:r w:rsidR="008A23A2" w:rsidRPr="008A23A2">
        <w:rPr>
          <w:rFonts w:cs="Arial"/>
          <w:u w:val="single"/>
        </w:rPr>
        <w:br/>
      </w:r>
    </w:p>
    <w:p w14:paraId="4A87C3C5" w14:textId="77777777" w:rsidR="008A23A2" w:rsidRPr="008A23A2" w:rsidRDefault="008A23A2" w:rsidP="00730FDF">
      <w:pPr>
        <w:jc w:val="both"/>
        <w:rPr>
          <w:rFonts w:cs="Arial"/>
        </w:rPr>
      </w:pPr>
    </w:p>
    <w:p w14:paraId="556E2F10" w14:textId="77777777" w:rsidR="008A23A2" w:rsidRPr="008A23A2" w:rsidRDefault="008A23A2" w:rsidP="00730FDF">
      <w:pPr>
        <w:jc w:val="both"/>
        <w:rPr>
          <w:rFonts w:cs="Arial"/>
        </w:rPr>
      </w:pPr>
    </w:p>
    <w:p w14:paraId="7F105220" w14:textId="77777777" w:rsidR="008A23A2" w:rsidRPr="008A23A2" w:rsidRDefault="008A23A2" w:rsidP="00730FDF">
      <w:pPr>
        <w:jc w:val="both"/>
        <w:rPr>
          <w:rFonts w:cs="Arial"/>
        </w:rPr>
      </w:pPr>
    </w:p>
    <w:p w14:paraId="302B833F" w14:textId="77777777" w:rsidR="008A23A2" w:rsidRPr="008A23A2" w:rsidRDefault="008A23A2" w:rsidP="00730FDF">
      <w:pPr>
        <w:jc w:val="both"/>
        <w:rPr>
          <w:rFonts w:cs="Arial"/>
        </w:rPr>
      </w:pPr>
    </w:p>
    <w:p w14:paraId="7E298058" w14:textId="77777777" w:rsidR="008A23A2" w:rsidRPr="008A23A2" w:rsidRDefault="008A23A2" w:rsidP="00730FDF">
      <w:pPr>
        <w:jc w:val="both"/>
        <w:rPr>
          <w:rFonts w:cs="Arial"/>
        </w:rPr>
      </w:pPr>
    </w:p>
    <w:p w14:paraId="192D998C" w14:textId="77777777" w:rsidR="008A23A2" w:rsidRPr="008A23A2" w:rsidRDefault="008A23A2" w:rsidP="00730FDF">
      <w:pPr>
        <w:jc w:val="both"/>
        <w:rPr>
          <w:rFonts w:cs="Arial"/>
        </w:rPr>
      </w:pPr>
    </w:p>
    <w:p w14:paraId="056840CB" w14:textId="77777777" w:rsidR="008A23A2" w:rsidRPr="008A23A2" w:rsidRDefault="008A23A2" w:rsidP="00730FDF">
      <w:pPr>
        <w:jc w:val="both"/>
        <w:rPr>
          <w:rFonts w:cs="Arial"/>
        </w:rPr>
      </w:pPr>
      <w:r w:rsidRPr="008A23A2">
        <w:rPr>
          <w:rFonts w:cs="Arial"/>
        </w:rPr>
        <w:t>G[1.1]-OH was synthesized as described after general procedure B with G[1.1]-ene (7.64 g, 11.0 mmol) in 100 mL dry methanol/dichloromethane 1:1. The product was isolated as a colorless oil.</w:t>
      </w:r>
    </w:p>
    <w:p w14:paraId="0B8A5051" w14:textId="77777777" w:rsidR="008A23A2" w:rsidRPr="008A23A2" w:rsidRDefault="008A23A2" w:rsidP="00730FDF">
      <w:pPr>
        <w:jc w:val="both"/>
        <w:rPr>
          <w:rFonts w:cs="Arial"/>
        </w:rPr>
      </w:pPr>
      <w:r w:rsidRPr="008A23A2">
        <w:rPr>
          <w:rFonts w:cs="Arial"/>
          <w:b/>
        </w:rPr>
        <w:t>Yield</w:t>
      </w:r>
      <w:r w:rsidRPr="008A23A2">
        <w:rPr>
          <w:rFonts w:cs="Arial"/>
        </w:rPr>
        <w:t>: 7.32 g (10.5 mmol, 96 %)</w:t>
      </w:r>
      <w:r w:rsidRPr="008A23A2">
        <w:rPr>
          <w:rFonts w:cs="Arial"/>
        </w:rPr>
        <w:tab/>
      </w:r>
      <w:r w:rsidRPr="008A23A2">
        <w:rPr>
          <w:rFonts w:cs="Arial"/>
        </w:rPr>
        <w:tab/>
      </w:r>
      <w:r w:rsidRPr="008A23A2">
        <w:rPr>
          <w:rFonts w:cs="Arial"/>
        </w:rPr>
        <w:tab/>
      </w:r>
      <w:r w:rsidRPr="008A23A2">
        <w:rPr>
          <w:rFonts w:cs="Arial"/>
        </w:rPr>
        <w:tab/>
      </w:r>
      <w:r w:rsidRPr="008A23A2">
        <w:rPr>
          <w:rFonts w:cs="Arial"/>
        </w:rPr>
        <w:tab/>
      </w:r>
      <w:r w:rsidRPr="008A23A2">
        <w:rPr>
          <w:rFonts w:cs="Arial"/>
        </w:rPr>
        <w:tab/>
        <w:t>Lit.</w:t>
      </w:r>
      <w:r w:rsidRPr="008A23A2">
        <w:rPr>
          <w:rFonts w:cs="Arial"/>
          <w:vertAlign w:val="superscript"/>
        </w:rPr>
        <w:t>[2]</w:t>
      </w:r>
      <w:r w:rsidRPr="008A23A2">
        <w:rPr>
          <w:rFonts w:cs="Arial"/>
        </w:rPr>
        <w:t>: 99.9 %</w:t>
      </w:r>
    </w:p>
    <w:p w14:paraId="5437D91D" w14:textId="77777777" w:rsidR="008A23A2" w:rsidRPr="008A23A2" w:rsidRDefault="008A23A2" w:rsidP="00730FDF">
      <w:pPr>
        <w:jc w:val="both"/>
        <w:rPr>
          <w:rFonts w:cs="Arial"/>
        </w:rPr>
      </w:pPr>
      <w:r w:rsidRPr="008A23A2">
        <w:rPr>
          <w:rFonts w:cs="Arial"/>
          <w:b/>
        </w:rPr>
        <w:t>FT-IR</w:t>
      </w:r>
      <w:r w:rsidRPr="008A23A2">
        <w:rPr>
          <w:rFonts w:cs="Arial"/>
        </w:rPr>
        <w:t xml:space="preserve"> (ATR): </w:t>
      </w:r>
      <w:r w:rsidRPr="008A23A2">
        <w:rPr>
          <w:rFonts w:cs="Arial"/>
          <w:i/>
          <w:iCs/>
        </w:rPr>
        <w:t>ṽ</w:t>
      </w:r>
      <w:r w:rsidRPr="008A23A2">
        <w:rPr>
          <w:rFonts w:cs="Arial"/>
        </w:rPr>
        <w:t xml:space="preserve"> = 3476 (br. w), 2985 (m), 2921 (s), 2856 (m), 1736 (w), 1457 (m), 1371 (s), 1213 (s), 1051 (vs), 975 (m), 841 (s), 792 (w), 750 (m), 514 (m) cm</w:t>
      </w:r>
      <w:r w:rsidRPr="008A23A2">
        <w:rPr>
          <w:rFonts w:cs="Arial"/>
          <w:vertAlign w:val="superscript"/>
        </w:rPr>
        <w:t>-1</w:t>
      </w:r>
      <w:r w:rsidRPr="008A23A2">
        <w:rPr>
          <w:rFonts w:cs="Arial"/>
        </w:rPr>
        <w:t>.</w:t>
      </w:r>
    </w:p>
    <w:p w14:paraId="7D911562" w14:textId="77777777" w:rsidR="008A23A2" w:rsidRPr="008A23A2" w:rsidRDefault="008A23A2" w:rsidP="00730FDF">
      <w:pPr>
        <w:jc w:val="both"/>
        <w:rPr>
          <w:rFonts w:cs="Arial"/>
        </w:rPr>
      </w:pPr>
      <w:r w:rsidRPr="008A23A2">
        <w:rPr>
          <w:rFonts w:cs="Arial"/>
          <w:b/>
          <w:vertAlign w:val="superscript"/>
        </w:rPr>
        <w:t>1</w:t>
      </w:r>
      <w:r w:rsidRPr="008A23A2">
        <w:rPr>
          <w:rFonts w:cs="Arial"/>
          <w:b/>
        </w:rPr>
        <w:t>H-NMR</w:t>
      </w:r>
      <w:r w:rsidRPr="008A23A2">
        <w:rPr>
          <w:rFonts w:cs="Arial"/>
        </w:rPr>
        <w:t>: (500 MHz, Aceton-d</w:t>
      </w:r>
      <w:r w:rsidRPr="008A23A2">
        <w:rPr>
          <w:rFonts w:cs="Arial"/>
          <w:vertAlign w:val="subscript"/>
        </w:rPr>
        <w:t>6</w:t>
      </w:r>
      <w:r w:rsidRPr="008A23A2">
        <w:rPr>
          <w:rFonts w:cs="Arial"/>
        </w:rPr>
        <w:t xml:space="preserve">, 298 K): </w:t>
      </w:r>
      <w:r w:rsidRPr="008A23A2">
        <w:rPr>
          <w:rFonts w:cs="Arial"/>
          <w:i/>
        </w:rPr>
        <w:t>δ</w:t>
      </w:r>
      <w:r w:rsidRPr="008A23A2">
        <w:rPr>
          <w:rFonts w:cs="Arial"/>
        </w:rPr>
        <w:t xml:space="preserve"> = 4.25-4.17 (m, 4 H, </w:t>
      </w:r>
      <w:r w:rsidRPr="008A23A2">
        <w:rPr>
          <w:rFonts w:cs="Arial"/>
          <w:i/>
        </w:rPr>
        <w:t>H</w:t>
      </w:r>
      <w:r w:rsidRPr="008A23A2">
        <w:rPr>
          <w:rFonts w:cs="Arial"/>
        </w:rPr>
        <w:t xml:space="preserve">-6), 4.05-4.00 (m, 4 H, </w:t>
      </w:r>
      <w:r w:rsidRPr="008A23A2">
        <w:rPr>
          <w:rFonts w:cs="Arial"/>
          <w:i/>
        </w:rPr>
        <w:t>H</w:t>
      </w:r>
      <w:r w:rsidRPr="008A23A2">
        <w:rPr>
          <w:rFonts w:cs="Arial"/>
        </w:rPr>
        <w:t xml:space="preserve">-7), 3.81-3.77 (m, 1 H, </w:t>
      </w:r>
      <w:r w:rsidRPr="008A23A2">
        <w:rPr>
          <w:rFonts w:cs="Arial"/>
          <w:i/>
        </w:rPr>
        <w:t>H</w:t>
      </w:r>
      <w:r w:rsidRPr="008A23A2">
        <w:rPr>
          <w:rFonts w:cs="Arial"/>
        </w:rPr>
        <w:t xml:space="preserve">-1), 3.73-3.69 (m, 4 H, </w:t>
      </w:r>
      <w:r w:rsidRPr="008A23A2">
        <w:rPr>
          <w:rFonts w:cs="Arial"/>
          <w:i/>
        </w:rPr>
        <w:t>H</w:t>
      </w:r>
      <w:r w:rsidRPr="008A23A2">
        <w:rPr>
          <w:rFonts w:cs="Arial"/>
        </w:rPr>
        <w:t xml:space="preserve">-5), 3.67-3.63 (m, 4 H, </w:t>
      </w:r>
      <w:r w:rsidRPr="008A23A2">
        <w:rPr>
          <w:rFonts w:cs="Arial"/>
          <w:i/>
        </w:rPr>
        <w:t>H</w:t>
      </w:r>
      <w:r w:rsidRPr="008A23A2">
        <w:rPr>
          <w:rFonts w:cs="Arial"/>
        </w:rPr>
        <w:t xml:space="preserve">-4), 3.61-3.47 (m, 18 H, </w:t>
      </w:r>
      <w:r w:rsidRPr="008A23A2">
        <w:rPr>
          <w:rFonts w:cs="Arial"/>
          <w:i/>
        </w:rPr>
        <w:t>H</w:t>
      </w:r>
      <w:r w:rsidRPr="008A23A2">
        <w:rPr>
          <w:rFonts w:cs="Arial"/>
        </w:rPr>
        <w:t xml:space="preserve">-2, </w:t>
      </w:r>
      <w:r w:rsidRPr="008A23A2">
        <w:rPr>
          <w:rFonts w:cs="Arial"/>
          <w:i/>
        </w:rPr>
        <w:t>H</w:t>
      </w:r>
      <w:r w:rsidRPr="008A23A2">
        <w:rPr>
          <w:rFonts w:cs="Arial"/>
        </w:rPr>
        <w:t xml:space="preserve">-3, </w:t>
      </w:r>
      <w:r w:rsidRPr="008A23A2">
        <w:rPr>
          <w:rFonts w:cs="Arial"/>
          <w:i/>
        </w:rPr>
        <w:t>H</w:t>
      </w:r>
      <w:r w:rsidRPr="008A23A2">
        <w:rPr>
          <w:rFonts w:cs="Arial"/>
        </w:rPr>
        <w:t xml:space="preserve">-4, </w:t>
      </w:r>
      <w:r w:rsidRPr="008A23A2">
        <w:rPr>
          <w:rFonts w:cs="Arial"/>
          <w:i/>
        </w:rPr>
        <w:t>H</w:t>
      </w:r>
      <w:r w:rsidRPr="008A23A2">
        <w:rPr>
          <w:rFonts w:cs="Arial"/>
        </w:rPr>
        <w:t xml:space="preserve">-5, </w:t>
      </w:r>
      <w:r w:rsidRPr="008A23A2">
        <w:rPr>
          <w:rFonts w:cs="Arial"/>
          <w:i/>
        </w:rPr>
        <w:t>H</w:t>
      </w:r>
      <w:r w:rsidRPr="008A23A2">
        <w:rPr>
          <w:rFonts w:cs="Arial"/>
        </w:rPr>
        <w:t>-7), 1.34 (s, 12 H, C</w:t>
      </w:r>
      <w:r w:rsidRPr="008A23A2">
        <w:rPr>
          <w:rFonts w:cs="Arial"/>
          <w:i/>
        </w:rPr>
        <w:t>H</w:t>
      </w:r>
      <w:r w:rsidRPr="008A23A2">
        <w:rPr>
          <w:rFonts w:cs="Arial"/>
          <w:vertAlign w:val="subscript"/>
        </w:rPr>
        <w:t>3</w:t>
      </w:r>
      <w:r w:rsidRPr="008A23A2">
        <w:rPr>
          <w:rFonts w:cs="Arial"/>
        </w:rPr>
        <w:t>), 1.28 (s, 12 H, C</w:t>
      </w:r>
      <w:r w:rsidRPr="008A23A2">
        <w:rPr>
          <w:rFonts w:cs="Arial"/>
          <w:i/>
        </w:rPr>
        <w:t>H</w:t>
      </w:r>
      <w:r w:rsidRPr="008A23A2">
        <w:rPr>
          <w:rFonts w:cs="Arial"/>
          <w:vertAlign w:val="subscript"/>
        </w:rPr>
        <w:t>3</w:t>
      </w:r>
      <w:r w:rsidRPr="008A23A2">
        <w:rPr>
          <w:rFonts w:cs="Arial"/>
        </w:rPr>
        <w:t>) ppm.</w:t>
      </w:r>
    </w:p>
    <w:p w14:paraId="41EE475D" w14:textId="77777777" w:rsidR="008A23A2" w:rsidRPr="008A23A2" w:rsidRDefault="008A23A2" w:rsidP="00730FDF">
      <w:pPr>
        <w:jc w:val="both"/>
        <w:rPr>
          <w:rFonts w:cs="Arial"/>
        </w:rPr>
      </w:pPr>
      <w:r w:rsidRPr="008A23A2">
        <w:rPr>
          <w:rFonts w:cs="Arial"/>
          <w:b/>
          <w:vertAlign w:val="superscript"/>
        </w:rPr>
        <w:t>13</w:t>
      </w:r>
      <w:r w:rsidRPr="008A23A2">
        <w:rPr>
          <w:rFonts w:cs="Arial"/>
          <w:b/>
        </w:rPr>
        <w:t>C-NMR</w:t>
      </w:r>
      <w:r w:rsidRPr="008A23A2">
        <w:rPr>
          <w:rFonts w:cs="Arial"/>
        </w:rPr>
        <w:t>: (125 MHz, Aceton-d</w:t>
      </w:r>
      <w:r w:rsidRPr="008A23A2">
        <w:rPr>
          <w:rFonts w:cs="Arial"/>
          <w:vertAlign w:val="subscript"/>
        </w:rPr>
        <w:t>6</w:t>
      </w:r>
      <w:r w:rsidRPr="008A23A2">
        <w:rPr>
          <w:rFonts w:cs="Arial"/>
        </w:rPr>
        <w:t xml:space="preserve">, 298 K): </w:t>
      </w:r>
      <w:r w:rsidRPr="008A23A2">
        <w:rPr>
          <w:rFonts w:cs="Arial"/>
          <w:i/>
        </w:rPr>
        <w:t>δ</w:t>
      </w:r>
      <w:r w:rsidRPr="008A23A2">
        <w:rPr>
          <w:rFonts w:cs="Arial"/>
        </w:rPr>
        <w:t xml:space="preserve"> = 109.6 (</w:t>
      </w:r>
      <w:r w:rsidRPr="008A23A2">
        <w:rPr>
          <w:rFonts w:cs="Arial"/>
          <w:i/>
        </w:rPr>
        <w:t>C</w:t>
      </w:r>
      <w:r w:rsidRPr="008A23A2">
        <w:rPr>
          <w:rFonts w:cs="Arial"/>
        </w:rPr>
        <w:t>(CH</w:t>
      </w:r>
      <w:r w:rsidRPr="008A23A2">
        <w:rPr>
          <w:rFonts w:cs="Arial"/>
          <w:vertAlign w:val="subscript"/>
        </w:rPr>
        <w:t>3</w:t>
      </w:r>
      <w:r w:rsidRPr="008A23A2">
        <w:rPr>
          <w:rFonts w:cs="Arial"/>
        </w:rPr>
        <w:t>), 79.5 (</w:t>
      </w:r>
      <w:r w:rsidRPr="008A23A2">
        <w:rPr>
          <w:rFonts w:cs="Arial"/>
          <w:i/>
        </w:rPr>
        <w:t>C</w:t>
      </w:r>
      <w:r w:rsidRPr="008A23A2">
        <w:rPr>
          <w:rFonts w:cs="Arial"/>
        </w:rPr>
        <w:t>-4), 75.6 (</w:t>
      </w:r>
      <w:r w:rsidRPr="008A23A2">
        <w:rPr>
          <w:rFonts w:cs="Arial"/>
          <w:i/>
        </w:rPr>
        <w:t>C</w:t>
      </w:r>
      <w:r w:rsidRPr="008A23A2">
        <w:rPr>
          <w:rFonts w:cs="Arial"/>
        </w:rPr>
        <w:t>-6), 73.2 (</w:t>
      </w:r>
      <w:r w:rsidRPr="008A23A2">
        <w:rPr>
          <w:rFonts w:cs="Arial"/>
          <w:i/>
        </w:rPr>
        <w:t>C</w:t>
      </w:r>
      <w:r w:rsidRPr="008A23A2">
        <w:rPr>
          <w:rFonts w:cs="Arial"/>
        </w:rPr>
        <w:t>-2), 72.8 (</w:t>
      </w:r>
      <w:r w:rsidRPr="008A23A2">
        <w:rPr>
          <w:rFonts w:cs="Arial"/>
          <w:i/>
        </w:rPr>
        <w:t>C</w:t>
      </w:r>
      <w:r w:rsidRPr="008A23A2">
        <w:rPr>
          <w:rFonts w:cs="Arial"/>
        </w:rPr>
        <w:t>-5), 72.3 (</w:t>
      </w:r>
      <w:r w:rsidRPr="008A23A2">
        <w:rPr>
          <w:rFonts w:cs="Arial"/>
          <w:i/>
        </w:rPr>
        <w:t>C</w:t>
      </w:r>
      <w:r w:rsidRPr="008A23A2">
        <w:rPr>
          <w:rFonts w:cs="Arial"/>
        </w:rPr>
        <w:t>-3) 70.7 (</w:t>
      </w:r>
      <w:r w:rsidRPr="008A23A2">
        <w:rPr>
          <w:rFonts w:cs="Arial"/>
          <w:i/>
        </w:rPr>
        <w:t>C</w:t>
      </w:r>
      <w:r w:rsidRPr="008A23A2">
        <w:rPr>
          <w:rFonts w:cs="Arial"/>
        </w:rPr>
        <w:t>-1), 67.4 (</w:t>
      </w:r>
      <w:r w:rsidRPr="008A23A2">
        <w:rPr>
          <w:rFonts w:cs="Arial"/>
          <w:i/>
        </w:rPr>
        <w:t>C</w:t>
      </w:r>
      <w:r w:rsidRPr="008A23A2">
        <w:rPr>
          <w:rFonts w:cs="Arial"/>
        </w:rPr>
        <w:t>-7), 27.2 (</w:t>
      </w:r>
      <w:r w:rsidRPr="008A23A2">
        <w:rPr>
          <w:rFonts w:cs="Arial"/>
          <w:i/>
        </w:rPr>
        <w:t>C</w:t>
      </w:r>
      <w:r w:rsidRPr="008A23A2">
        <w:rPr>
          <w:rFonts w:cs="Arial"/>
        </w:rPr>
        <w:t>H</w:t>
      </w:r>
      <w:r w:rsidRPr="008A23A2">
        <w:rPr>
          <w:rFonts w:cs="Arial"/>
          <w:vertAlign w:val="subscript"/>
        </w:rPr>
        <w:t>3</w:t>
      </w:r>
      <w:r w:rsidRPr="008A23A2">
        <w:rPr>
          <w:rFonts w:cs="Arial"/>
        </w:rPr>
        <w:t>), 25.8 (</w:t>
      </w:r>
      <w:r w:rsidRPr="008A23A2">
        <w:rPr>
          <w:rFonts w:cs="Arial"/>
          <w:i/>
        </w:rPr>
        <w:t>C</w:t>
      </w:r>
      <w:r w:rsidRPr="008A23A2">
        <w:rPr>
          <w:rFonts w:cs="Arial"/>
        </w:rPr>
        <w:t>H</w:t>
      </w:r>
      <w:r w:rsidRPr="008A23A2">
        <w:rPr>
          <w:rFonts w:cs="Arial"/>
          <w:vertAlign w:val="subscript"/>
        </w:rPr>
        <w:t>3</w:t>
      </w:r>
      <w:r w:rsidRPr="008A23A2">
        <w:rPr>
          <w:rFonts w:cs="Arial"/>
        </w:rPr>
        <w:t>) ppm.</w:t>
      </w:r>
    </w:p>
    <w:p w14:paraId="6D3490E0" w14:textId="77777777" w:rsidR="008A23A2" w:rsidRPr="008A23A2" w:rsidRDefault="008A23A2" w:rsidP="00730FDF">
      <w:pPr>
        <w:jc w:val="both"/>
        <w:rPr>
          <w:rFonts w:cs="Arial"/>
          <w:lang w:val="de-DE"/>
        </w:rPr>
      </w:pPr>
      <w:r w:rsidRPr="008A23A2">
        <w:rPr>
          <w:rFonts w:cs="Arial"/>
          <w:b/>
          <w:lang w:val="de-DE"/>
        </w:rPr>
        <w:t>HR-EI-MS</w:t>
      </w:r>
      <w:r w:rsidRPr="008A23A2">
        <w:rPr>
          <w:rFonts w:cs="Arial"/>
          <w:lang w:val="de-DE"/>
        </w:rPr>
        <w:t xml:space="preserve">: </w:t>
      </w:r>
      <w:r w:rsidRPr="008A23A2">
        <w:rPr>
          <w:rFonts w:cs="Arial"/>
          <w:i/>
          <w:lang w:val="de-DE"/>
        </w:rPr>
        <w:t>m/z</w:t>
      </w:r>
      <w:r w:rsidRPr="008A23A2">
        <w:rPr>
          <w:rFonts w:cs="Arial"/>
          <w:lang w:val="de-DE"/>
        </w:rPr>
        <w:t xml:space="preserve"> [M+H]</w:t>
      </w:r>
      <w:r w:rsidRPr="008A23A2">
        <w:rPr>
          <w:rFonts w:cs="Arial"/>
          <w:vertAlign w:val="superscript"/>
          <w:lang w:val="de-DE"/>
        </w:rPr>
        <w:t>+</w:t>
      </w:r>
      <w:r w:rsidRPr="008A23A2">
        <w:rPr>
          <w:rFonts w:cs="Arial"/>
          <w:lang w:val="de-DE"/>
        </w:rPr>
        <w:t xml:space="preserve"> berechnet für C</w:t>
      </w:r>
      <w:r w:rsidRPr="008A23A2">
        <w:rPr>
          <w:rFonts w:cs="Arial"/>
          <w:vertAlign w:val="subscript"/>
          <w:lang w:val="de-DE"/>
        </w:rPr>
        <w:t>33</w:t>
      </w:r>
      <w:r w:rsidRPr="008A23A2">
        <w:rPr>
          <w:rFonts w:cs="Arial"/>
          <w:lang w:val="de-DE"/>
        </w:rPr>
        <w:t>H</w:t>
      </w:r>
      <w:r w:rsidRPr="008A23A2">
        <w:rPr>
          <w:rFonts w:cs="Arial"/>
          <w:vertAlign w:val="subscript"/>
          <w:lang w:val="de-DE"/>
        </w:rPr>
        <w:t>61</w:t>
      </w:r>
      <w:r w:rsidRPr="008A23A2">
        <w:rPr>
          <w:rFonts w:cs="Arial"/>
          <w:lang w:val="de-DE"/>
        </w:rPr>
        <w:t>O</w:t>
      </w:r>
      <w:r w:rsidRPr="008A23A2">
        <w:rPr>
          <w:rFonts w:cs="Arial"/>
          <w:vertAlign w:val="subscript"/>
          <w:lang w:val="de-DE"/>
        </w:rPr>
        <w:t>15</w:t>
      </w:r>
      <w:r w:rsidRPr="008A23A2">
        <w:rPr>
          <w:rFonts w:cs="Arial"/>
          <w:lang w:val="de-DE"/>
        </w:rPr>
        <w:t>: 697.40050; gefunden: 697.39982 (</w:t>
      </w:r>
      <w:r w:rsidRPr="008A23A2">
        <w:rPr>
          <w:rFonts w:cs="Arial"/>
          <w:lang w:val="de-DE"/>
        </w:rPr>
        <w:noBreakHyphen/>
        <w:t>0.97 ppm).</w:t>
      </w:r>
    </w:p>
    <w:p w14:paraId="14A6D644" w14:textId="77777777" w:rsidR="008A23A2" w:rsidRPr="008A23A2" w:rsidRDefault="008A23A2" w:rsidP="00730FDF">
      <w:pPr>
        <w:jc w:val="both"/>
        <w:rPr>
          <w:rFonts w:cs="Arial"/>
          <w:lang w:val="de-DE"/>
        </w:rPr>
      </w:pPr>
    </w:p>
    <w:p w14:paraId="5F76AFF7" w14:textId="051EC642" w:rsidR="008A23A2" w:rsidRPr="008A23A2" w:rsidRDefault="00D646F4" w:rsidP="00730FDF">
      <w:pPr>
        <w:jc w:val="both"/>
        <w:rPr>
          <w:rFonts w:cs="Arial"/>
          <w:u w:val="single"/>
        </w:rPr>
      </w:pPr>
      <w:r>
        <w:rPr>
          <w:rFonts w:cs="Arial"/>
        </w:rPr>
        <w:object w:dxaOrig="1440" w:dyaOrig="1440" w14:anchorId="479EC5AB">
          <v:shape id="_x0000_s1055" type="#_x0000_t75" style="position:absolute;left:0;text-align:left;margin-left:106.65pt;margin-top:8.65pt;width:243.75pt;height:120.75pt;z-index:251664384">
            <v:imagedata r:id="rId17" o:title=""/>
            <w10:wrap type="square"/>
          </v:shape>
          <o:OLEObject Type="Embed" ProgID="ACD.ChemSketchCDX" ShapeID="_x0000_s1055" DrawAspect="Content" ObjectID="_1781346171" r:id="rId18"/>
        </w:object>
      </w:r>
      <w:r w:rsidR="008A23A2" w:rsidRPr="008A23A2">
        <w:rPr>
          <w:rFonts w:cs="Arial"/>
          <w:u w:val="single"/>
        </w:rPr>
        <w:t>G[2.0]-OH</w:t>
      </w:r>
    </w:p>
    <w:p w14:paraId="67497896" w14:textId="5B5C75C4" w:rsidR="008A23A2" w:rsidRPr="008A23A2" w:rsidRDefault="008A23A2" w:rsidP="00730FDF">
      <w:pPr>
        <w:jc w:val="both"/>
        <w:rPr>
          <w:rFonts w:cs="Arial"/>
        </w:rPr>
      </w:pPr>
    </w:p>
    <w:p w14:paraId="08A3F4E0" w14:textId="77777777" w:rsidR="008A23A2" w:rsidRPr="008A23A2" w:rsidRDefault="008A23A2" w:rsidP="00730FDF">
      <w:pPr>
        <w:jc w:val="both"/>
        <w:rPr>
          <w:rFonts w:cs="Arial"/>
        </w:rPr>
      </w:pPr>
    </w:p>
    <w:p w14:paraId="14F5FBD0" w14:textId="77777777" w:rsidR="008A23A2" w:rsidRPr="008A23A2" w:rsidRDefault="008A23A2" w:rsidP="00730FDF">
      <w:pPr>
        <w:jc w:val="both"/>
        <w:rPr>
          <w:rFonts w:cs="Arial"/>
        </w:rPr>
      </w:pPr>
    </w:p>
    <w:p w14:paraId="3BCA0426" w14:textId="77777777" w:rsidR="008A23A2" w:rsidRPr="008A23A2" w:rsidRDefault="008A23A2" w:rsidP="00730FDF">
      <w:pPr>
        <w:jc w:val="both"/>
        <w:rPr>
          <w:rFonts w:cs="Arial"/>
        </w:rPr>
      </w:pPr>
    </w:p>
    <w:p w14:paraId="0740BE29" w14:textId="77777777" w:rsidR="008A23A2" w:rsidRPr="008A23A2" w:rsidRDefault="008A23A2" w:rsidP="00730FDF">
      <w:pPr>
        <w:jc w:val="both"/>
        <w:rPr>
          <w:rFonts w:cs="Arial"/>
        </w:rPr>
      </w:pPr>
    </w:p>
    <w:p w14:paraId="59CBCC9C" w14:textId="77777777" w:rsidR="008A23A2" w:rsidRPr="008A23A2" w:rsidRDefault="008A23A2" w:rsidP="00730FDF">
      <w:pPr>
        <w:jc w:val="both"/>
        <w:rPr>
          <w:rFonts w:cs="Arial"/>
        </w:rPr>
      </w:pPr>
    </w:p>
    <w:p w14:paraId="7A7572D5" w14:textId="77777777" w:rsidR="008A23A2" w:rsidRPr="008A23A2" w:rsidRDefault="008A23A2" w:rsidP="00730FDF">
      <w:pPr>
        <w:jc w:val="both"/>
        <w:rPr>
          <w:rFonts w:cs="Arial"/>
        </w:rPr>
      </w:pPr>
      <w:r w:rsidRPr="008A23A2">
        <w:rPr>
          <w:rFonts w:cs="Arial"/>
        </w:rPr>
        <w:lastRenderedPageBreak/>
        <w:t>G[2.1]-OH (756 mg, 1.08 mmol) was dissolved in a 50 ml mixture of acetic acid/H</w:t>
      </w:r>
      <w:r w:rsidRPr="008A23A2">
        <w:rPr>
          <w:rFonts w:cs="Arial"/>
          <w:vertAlign w:val="subscript"/>
        </w:rPr>
        <w:t>2</w:t>
      </w:r>
      <w:r w:rsidRPr="008A23A2">
        <w:rPr>
          <w:rFonts w:cs="Arial"/>
        </w:rPr>
        <w:t>O/MeOH (2:2:1). After stirring at room temperature solvent was removed under reduced pressure. Product was obtained as a viscous oil.</w:t>
      </w:r>
    </w:p>
    <w:p w14:paraId="06C34061" w14:textId="77777777" w:rsidR="008A23A2" w:rsidRPr="008A23A2" w:rsidRDefault="008A23A2" w:rsidP="00730FDF">
      <w:pPr>
        <w:jc w:val="both"/>
        <w:rPr>
          <w:rFonts w:cs="Arial"/>
        </w:rPr>
      </w:pPr>
      <w:r w:rsidRPr="008A23A2">
        <w:rPr>
          <w:rFonts w:cs="Arial"/>
          <w:b/>
        </w:rPr>
        <w:t>Yield</w:t>
      </w:r>
      <w:r w:rsidRPr="008A23A2">
        <w:rPr>
          <w:rFonts w:cs="Arial"/>
        </w:rPr>
        <w:t>: 574 mg (1.07 mmol, 99 %)</w:t>
      </w:r>
      <w:r w:rsidRPr="008A23A2">
        <w:rPr>
          <w:rFonts w:cs="Arial"/>
        </w:rPr>
        <w:tab/>
      </w:r>
      <w:r w:rsidRPr="008A23A2">
        <w:rPr>
          <w:rFonts w:cs="Arial"/>
        </w:rPr>
        <w:tab/>
      </w:r>
      <w:r w:rsidRPr="008A23A2">
        <w:rPr>
          <w:rFonts w:cs="Arial"/>
        </w:rPr>
        <w:tab/>
      </w:r>
      <w:r w:rsidRPr="008A23A2">
        <w:rPr>
          <w:rFonts w:cs="Arial"/>
        </w:rPr>
        <w:tab/>
      </w:r>
      <w:r w:rsidRPr="008A23A2">
        <w:rPr>
          <w:rFonts w:cs="Arial"/>
        </w:rPr>
        <w:tab/>
      </w:r>
      <w:r w:rsidRPr="008A23A2">
        <w:rPr>
          <w:rFonts w:cs="Arial"/>
        </w:rPr>
        <w:tab/>
      </w:r>
    </w:p>
    <w:p w14:paraId="0B898B67" w14:textId="77777777" w:rsidR="008A23A2" w:rsidRPr="008A23A2" w:rsidRDefault="008A23A2" w:rsidP="00730FDF">
      <w:pPr>
        <w:jc w:val="both"/>
        <w:rPr>
          <w:rFonts w:cs="Arial"/>
        </w:rPr>
      </w:pPr>
      <w:r w:rsidRPr="008A23A2">
        <w:rPr>
          <w:rFonts w:cs="Arial"/>
          <w:b/>
          <w:vertAlign w:val="superscript"/>
        </w:rPr>
        <w:t>1</w:t>
      </w:r>
      <w:r w:rsidRPr="008A23A2">
        <w:rPr>
          <w:rFonts w:cs="Arial"/>
          <w:b/>
        </w:rPr>
        <w:t>H-NMR</w:t>
      </w:r>
      <w:r w:rsidRPr="008A23A2">
        <w:rPr>
          <w:rFonts w:cs="Arial"/>
        </w:rPr>
        <w:t>: (500 MHz, D</w:t>
      </w:r>
      <w:r w:rsidRPr="008A23A2">
        <w:rPr>
          <w:rFonts w:cs="Arial"/>
          <w:vertAlign w:val="subscript"/>
        </w:rPr>
        <w:t>2</w:t>
      </w:r>
      <w:r w:rsidRPr="008A23A2">
        <w:rPr>
          <w:rFonts w:cs="Arial"/>
        </w:rPr>
        <w:t xml:space="preserve">O, 298 K): </w:t>
      </w:r>
      <w:r w:rsidRPr="008A23A2">
        <w:rPr>
          <w:rFonts w:cs="Arial"/>
          <w:i/>
        </w:rPr>
        <w:t>δ</w:t>
      </w:r>
      <w:r w:rsidRPr="008A23A2">
        <w:rPr>
          <w:rFonts w:cs="Arial"/>
        </w:rPr>
        <w:t xml:space="preserve"> = 4.01-3.96 (m, 1 H, </w:t>
      </w:r>
      <w:r w:rsidRPr="008A23A2">
        <w:rPr>
          <w:rFonts w:cs="Arial"/>
          <w:i/>
        </w:rPr>
        <w:t>H</w:t>
      </w:r>
      <w:r w:rsidRPr="008A23A2">
        <w:rPr>
          <w:rFonts w:cs="Arial"/>
        </w:rPr>
        <w:t xml:space="preserve">-1), 3.92-3-85 (m, 4 H, </w:t>
      </w:r>
      <w:r w:rsidRPr="008A23A2">
        <w:rPr>
          <w:rFonts w:cs="Arial"/>
          <w:i/>
        </w:rPr>
        <w:t>H</w:t>
      </w:r>
      <w:r w:rsidRPr="008A23A2">
        <w:rPr>
          <w:rFonts w:cs="Arial"/>
        </w:rPr>
        <w:noBreakHyphen/>
        <w:t xml:space="preserve">6), 3.82-3.77 (m, 2 H, </w:t>
      </w:r>
      <w:r w:rsidRPr="008A23A2">
        <w:rPr>
          <w:rFonts w:cs="Arial"/>
          <w:i/>
        </w:rPr>
        <w:t>H</w:t>
      </w:r>
      <w:r w:rsidRPr="008A23A2">
        <w:rPr>
          <w:rFonts w:cs="Arial"/>
        </w:rPr>
        <w:t xml:space="preserve">-3), 3.76-3.67 (m, 6 H, </w:t>
      </w:r>
      <w:r w:rsidRPr="008A23A2">
        <w:rPr>
          <w:rFonts w:cs="Arial"/>
          <w:i/>
        </w:rPr>
        <w:t>H</w:t>
      </w:r>
      <w:r w:rsidRPr="008A23A2">
        <w:rPr>
          <w:rFonts w:cs="Arial"/>
        </w:rPr>
        <w:t xml:space="preserve">-2, </w:t>
      </w:r>
      <w:r w:rsidRPr="008A23A2">
        <w:rPr>
          <w:rFonts w:cs="Arial"/>
          <w:i/>
        </w:rPr>
        <w:t>H</w:t>
      </w:r>
      <w:r w:rsidRPr="008A23A2">
        <w:rPr>
          <w:rFonts w:cs="Arial"/>
        </w:rPr>
        <w:t xml:space="preserve">-4), 3.67-3.59 (m, 14 H, </w:t>
      </w:r>
      <w:r w:rsidRPr="008A23A2">
        <w:rPr>
          <w:rFonts w:cs="Arial"/>
          <w:i/>
        </w:rPr>
        <w:t>H</w:t>
      </w:r>
      <w:r w:rsidRPr="008A23A2">
        <w:rPr>
          <w:rFonts w:cs="Arial"/>
        </w:rPr>
        <w:t xml:space="preserve">-2, </w:t>
      </w:r>
      <w:r w:rsidRPr="008A23A2">
        <w:rPr>
          <w:rFonts w:cs="Arial"/>
          <w:i/>
        </w:rPr>
        <w:t>H</w:t>
      </w:r>
      <w:r w:rsidRPr="008A23A2">
        <w:rPr>
          <w:rFonts w:cs="Arial"/>
        </w:rPr>
        <w:t xml:space="preserve">-4, </w:t>
      </w:r>
      <w:r w:rsidRPr="008A23A2">
        <w:rPr>
          <w:rFonts w:cs="Arial"/>
          <w:i/>
        </w:rPr>
        <w:t>H</w:t>
      </w:r>
      <w:r w:rsidRPr="008A23A2">
        <w:rPr>
          <w:rFonts w:cs="Arial"/>
        </w:rPr>
        <w:noBreakHyphen/>
        <w:t xml:space="preserve">5, </w:t>
      </w:r>
      <w:r w:rsidRPr="008A23A2">
        <w:rPr>
          <w:rFonts w:cs="Arial"/>
          <w:i/>
        </w:rPr>
        <w:t>H</w:t>
      </w:r>
      <w:r w:rsidRPr="008A23A2">
        <w:rPr>
          <w:rFonts w:cs="Arial"/>
        </w:rPr>
        <w:t xml:space="preserve">-7), 3.59-3.50 (m, 8 H, </w:t>
      </w:r>
      <w:r w:rsidRPr="008A23A2">
        <w:rPr>
          <w:rFonts w:cs="Arial"/>
          <w:i/>
        </w:rPr>
        <w:t>H</w:t>
      </w:r>
      <w:r w:rsidRPr="008A23A2">
        <w:rPr>
          <w:rFonts w:cs="Arial"/>
        </w:rPr>
        <w:t xml:space="preserve">-5, </w:t>
      </w:r>
      <w:r w:rsidRPr="008A23A2">
        <w:rPr>
          <w:rFonts w:cs="Arial"/>
          <w:i/>
        </w:rPr>
        <w:t>H</w:t>
      </w:r>
      <w:r w:rsidRPr="008A23A2">
        <w:rPr>
          <w:rFonts w:cs="Arial"/>
        </w:rPr>
        <w:t>-7) ppm.</w:t>
      </w:r>
    </w:p>
    <w:p w14:paraId="2CE80816" w14:textId="7889A374" w:rsidR="00CA1F77" w:rsidRDefault="008A23A2" w:rsidP="00730FDF">
      <w:pPr>
        <w:jc w:val="both"/>
        <w:rPr>
          <w:rFonts w:cs="Arial"/>
        </w:rPr>
      </w:pPr>
      <w:r w:rsidRPr="008A23A2">
        <w:rPr>
          <w:rFonts w:cs="Arial"/>
          <w:b/>
          <w:vertAlign w:val="superscript"/>
        </w:rPr>
        <w:t>13</w:t>
      </w:r>
      <w:r w:rsidRPr="008A23A2">
        <w:rPr>
          <w:rFonts w:cs="Arial"/>
          <w:b/>
        </w:rPr>
        <w:t>C-NMR</w:t>
      </w:r>
      <w:r w:rsidRPr="008A23A2">
        <w:rPr>
          <w:rFonts w:cs="Arial"/>
        </w:rPr>
        <w:t>: (125 MHz, D</w:t>
      </w:r>
      <w:r w:rsidRPr="008A23A2">
        <w:rPr>
          <w:rFonts w:cs="Arial"/>
          <w:vertAlign w:val="subscript"/>
        </w:rPr>
        <w:t>2</w:t>
      </w:r>
      <w:r w:rsidRPr="008A23A2">
        <w:rPr>
          <w:rFonts w:cs="Arial"/>
        </w:rPr>
        <w:t xml:space="preserve">O, 298 K): </w:t>
      </w:r>
      <w:r w:rsidRPr="008A23A2">
        <w:rPr>
          <w:rFonts w:cs="Arial"/>
          <w:i/>
        </w:rPr>
        <w:t>δ</w:t>
      </w:r>
      <w:r w:rsidRPr="008A23A2">
        <w:rPr>
          <w:rFonts w:cs="Arial"/>
        </w:rPr>
        <w:t xml:space="preserve"> = 78.5 (</w:t>
      </w:r>
      <w:r w:rsidRPr="008A23A2">
        <w:rPr>
          <w:rFonts w:cs="Arial"/>
          <w:i/>
        </w:rPr>
        <w:t>C</w:t>
      </w:r>
      <w:r w:rsidRPr="008A23A2">
        <w:rPr>
          <w:rFonts w:cs="Arial"/>
        </w:rPr>
        <w:t>-3), 72.7 (</w:t>
      </w:r>
      <w:r w:rsidRPr="008A23A2">
        <w:rPr>
          <w:rFonts w:cs="Arial"/>
          <w:i/>
        </w:rPr>
        <w:t>C</w:t>
      </w:r>
      <w:r w:rsidRPr="008A23A2">
        <w:rPr>
          <w:rFonts w:cs="Arial"/>
        </w:rPr>
        <w:t>-7), 71.5 (</w:t>
      </w:r>
      <w:r w:rsidRPr="008A23A2">
        <w:rPr>
          <w:rFonts w:cs="Arial"/>
          <w:i/>
        </w:rPr>
        <w:t>C</w:t>
      </w:r>
      <w:r w:rsidRPr="008A23A2">
        <w:rPr>
          <w:rFonts w:cs="Arial"/>
        </w:rPr>
        <w:t>-2), 71.0 (</w:t>
      </w:r>
      <w:r w:rsidRPr="008A23A2">
        <w:rPr>
          <w:rFonts w:cs="Arial"/>
          <w:i/>
        </w:rPr>
        <w:t>C</w:t>
      </w:r>
      <w:r w:rsidRPr="008A23A2">
        <w:rPr>
          <w:rFonts w:cs="Arial"/>
        </w:rPr>
        <w:t>-4), 70.9 (</w:t>
      </w:r>
      <w:r w:rsidRPr="008A23A2">
        <w:rPr>
          <w:rFonts w:cs="Arial"/>
          <w:i/>
        </w:rPr>
        <w:t>C</w:t>
      </w:r>
      <w:r w:rsidRPr="008A23A2">
        <w:rPr>
          <w:rFonts w:cs="Arial"/>
        </w:rPr>
        <w:t>-6), 70.0 (</w:t>
      </w:r>
      <w:r w:rsidRPr="008A23A2">
        <w:rPr>
          <w:rFonts w:cs="Arial"/>
          <w:i/>
        </w:rPr>
        <w:t>C</w:t>
      </w:r>
      <w:r w:rsidRPr="008A23A2">
        <w:rPr>
          <w:rFonts w:cs="Arial"/>
        </w:rPr>
        <w:t>-1), 63.2 (</w:t>
      </w:r>
      <w:r w:rsidRPr="008A23A2">
        <w:rPr>
          <w:rFonts w:cs="Arial"/>
          <w:i/>
        </w:rPr>
        <w:t>C</w:t>
      </w:r>
      <w:r w:rsidRPr="008A23A2">
        <w:rPr>
          <w:rFonts w:cs="Arial"/>
        </w:rPr>
        <w:t>-5) ppm.</w:t>
      </w:r>
    </w:p>
    <w:p w14:paraId="7394F1A2" w14:textId="6365FA82" w:rsidR="00CA1F77" w:rsidRDefault="00CA1F77" w:rsidP="00CA1F77">
      <w:pPr>
        <w:jc w:val="both"/>
        <w:rPr>
          <w:rFonts w:cs="Arial"/>
        </w:rPr>
      </w:pPr>
      <w:r w:rsidRPr="008A23A2">
        <w:rPr>
          <w:rFonts w:cs="Arial"/>
          <w:b/>
          <w:bCs/>
        </w:rPr>
        <w:t>Sample</w:t>
      </w:r>
      <w:r w:rsidR="00A31102">
        <w:rPr>
          <w:rFonts w:cs="Arial"/>
          <w:b/>
          <w:bCs/>
        </w:rPr>
        <w:t xml:space="preserve"> for hyperpolarization: </w:t>
      </w:r>
      <w:r w:rsidRPr="004A4407">
        <w:rPr>
          <w:rFonts w:cs="Arial"/>
        </w:rPr>
        <w:t>We dissolved 261.86 mg (122 mM) of G[2.0]-OH type dendrons</w:t>
      </w:r>
      <w:r>
        <w:rPr>
          <w:rFonts w:cs="Arial"/>
        </w:rPr>
        <w:fldChar w:fldCharType="begin"/>
      </w:r>
      <w:r>
        <w:rPr>
          <w:rFonts w:cs="Arial"/>
        </w:rPr>
        <w:instrText xml:space="preserve"> ADDIN ZOTERO_ITEM CSL_CITATION {"citationID":"gnOokhzY","properties":{"unsorted":true,"formattedCitation":"({\\i{}27}\\uc0\\u8211{}{\\i{}29})","plainCitation":"(27–29)","noteIndex":0},"citationItems":[{"id":12137,"uris":["http://zotero.org/users/4549766/items/6Z2N9FF5"],"itemData":{"id":12137,"type":"article-journal","abstract":"Dendrimers are an important class of polymeric materials for a broad range of applications in which monodispersity and multivalency are of interest. Here we report on a highly efficient synthetic route towards bifunctional polyglycerol dendrons on a multigram scale. Commercially available triglycerol (1), which is highly biocompatible, was used as starting material. By applying Williamson ether synthesis followed by an ozonolysis/reduction procedure, glycerol-based dendrons up to the fourth generation were prepared. The obtained products have a reactive core, which was further functionalized to the corresponding monoazido derivatives. By applying copper(I)-catalyzed 1,3-dipolar cycloaddition, so-called “click” coupling, a library of core–shell architectures was prepared. After removal of the 1,2-diol protecting groups, water-soluble core–shell architectures 24–27 of different generations were obtained in high yields. In the structure–transport relationship with Nile red we observe a clear dependence on core size and generation of the polyglycerol dendrons.","container-title":"Chemistry – A European Journal","DOI":"10.1002/chem.200800892","ISSN":"1521-3765","issue":"30","journalAbbreviation":"Chem. Eur. J.","language":"en","license":"Copyright © 2008 WILEY-VCH Verlag GmbH &amp; Co. KGaA, Weinheim","note":"_eprint: https://onlinelibrary.wiley.com/doi/pdf/10.1002/chem.200800892","page":"9202-9214","source":"Wiley Online Library","title":"A Convergent Approach to Biocompatible Polyglycerol “Click” Dendrons for the Synthesis of Modular Core–Shell Architectures and Their Transport Behavior","volume":"14","author":[{"family":"Wyszogrodzka","given":"Monika"},{"family":"Haag","given":"Rainer"}],"issued":{"date-parts":[["2008"]]}}},{"id":12142,"uris":["http://zotero.org/users/4549766/items/2YTYF5B9"],"itemData":{"id":12142,"type":"article-journal","abstract":"We present a non-ionic water-soluble porphyrin that does not exhibit measurable aggregation even at high concentrations in water. The spin state of the corresponding nickel(II) complex changes from completely diamagnetic (low-spin) to paramagnetic (high-spin) upon addition of a strong axial ligand. This leads to a strongly reduced NMR relaxation time of the water protons even at low concentrations of the complex.","container-title":"Chemical Communications","DOI":"10.1039/C4CC05525J","ISSN":"1364-548X","issue":"83","journalAbbreviation":"Chem. Commun.","language":"en","note":"publisher: The Royal Society of Chemistry","page":"12476-12478","source":"pubs.rsc.org","title":"Coordination-Induced Spin-State-Switch (CISSS) in water","volume":"50","author":[{"family":"Dommaschk","given":"Marcel"},{"family":"Gutzeit","given":"Florian"},{"family":"Boretius","given":"Susann"},{"family":"Haag","given":"Rainer"},{"family":"Herges","given":"Rainer"}],"issued":{"date-parts":[["2014",9,23]]}}},{"id":12139,"uris":["http://zotero.org/users/4549766/items/HRNCM9ZZ"],"itemData":{"id":12139,"type":"article-journal","abstract":"Light-responsive contrast agents for magnetic resonance imaging (MRI) based on Ni(II) porphyrin molecular spin switches have recently been introduced. We present their implementation in water and methanol based gels leading to the first soft materials that are rewritable with light and readable with MRI. Light of two different wavelengths as non-invasive stimuli can be applied to switch MRI contrast on and off, with a high spatiotemporal resolution and without fatigue.","container-title":"Physical Chemistry Chemical Physics","DOI":"10.1039/C9CP04156G","ISSN":"1463-9084","issue":"44","journalAbbreviation":"Phys. Chem. Chem. Phys.","language":"en","note":"publisher: The Royal Society of Chemistry","page":"24296-24299","source":"pubs.rsc.org","title":"Dendronised Ni(II) porphyrins as photoswitchable contrast agents for MRI","volume":"21","author":[{"family":"Dommaschk","given":"Marcel"},{"family":"Gröbner","given":"Jens"},{"family":"Wellm","given":"Vanessa"},{"family":"Hövener","given":"Jan-Bernd"},{"family":"Riedel","given":"Christian"},{"family":"Herges","given":"Rainer"}],"issued":{"date-parts":[["2019",11,18]]}}}],"schema":"https://github.com/citation-style-language/schema/raw/master/csl-citation.json"} </w:instrText>
      </w:r>
      <w:r>
        <w:rPr>
          <w:rFonts w:cs="Arial"/>
        </w:rPr>
        <w:fldChar w:fldCharType="end"/>
      </w:r>
      <w:r>
        <w:rPr>
          <w:rFonts w:cs="Arial"/>
        </w:rPr>
        <w:t xml:space="preserve"> </w:t>
      </w:r>
      <w:r w:rsidRPr="004A4407">
        <w:rPr>
          <w:rFonts w:cs="Arial"/>
        </w:rPr>
        <w:t>(MW 536.57 g/mol) in 4 mL</w:t>
      </w:r>
      <w:r>
        <w:rPr>
          <w:rFonts w:cs="Arial"/>
        </w:rPr>
        <w:t xml:space="preserve"> water to yield a concentration of 128 mM and diluted the dendrons for the other experiments by 8 (15.3 mM), 16 (7.6 mM) and 48 (2.5 mM) times.</w:t>
      </w:r>
    </w:p>
    <w:p w14:paraId="53508410" w14:textId="77777777" w:rsidR="00CA1F77" w:rsidRDefault="00CA1F77">
      <w:pPr>
        <w:rPr>
          <w:rFonts w:cs="Arial"/>
        </w:rPr>
      </w:pPr>
      <w:r>
        <w:rPr>
          <w:rFonts w:cs="Arial"/>
        </w:rPr>
        <w:br w:type="page"/>
      </w:r>
    </w:p>
    <w:p w14:paraId="16ACA6D9" w14:textId="2BD08D19" w:rsidR="008A23A2" w:rsidRPr="008A23A2" w:rsidRDefault="00D646F4" w:rsidP="00730FDF">
      <w:pPr>
        <w:jc w:val="both"/>
        <w:rPr>
          <w:rFonts w:cs="Arial"/>
        </w:rPr>
      </w:pPr>
      <w:r>
        <w:rPr>
          <w:rFonts w:cs="Arial"/>
        </w:rPr>
        <w:lastRenderedPageBreak/>
        <w:object w:dxaOrig="1440" w:dyaOrig="1440" w14:anchorId="31121B39">
          <v:shape id="_x0000_s1057" type="#_x0000_t75" style="position:absolute;left:0;text-align:left;margin-left:182.95pt;margin-top:-22pt;width:153.95pt;height:69.9pt;z-index:251666432;mso-position-horizontal-relative:text;mso-position-vertical-relative:text">
            <v:imagedata r:id="rId19" o:title=""/>
          </v:shape>
          <o:OLEObject Type="Embed" ProgID="ACD.ChemSketchCDX" ShapeID="_x0000_s1057" DrawAspect="Content" ObjectID="_1781346172" r:id="rId20"/>
        </w:object>
      </w:r>
    </w:p>
    <w:p w14:paraId="0AB26F37" w14:textId="53137085" w:rsidR="008A23A2" w:rsidRDefault="008A23A2" w:rsidP="00730FDF">
      <w:pPr>
        <w:jc w:val="both"/>
        <w:rPr>
          <w:rFonts w:cs="Arial"/>
        </w:rPr>
      </w:pPr>
      <w:r w:rsidRPr="008A23A2">
        <w:rPr>
          <w:rFonts w:cs="Arial"/>
          <w:noProof/>
        </w:rPr>
        <w:drawing>
          <wp:inline distT="0" distB="0" distL="0" distR="0" wp14:anchorId="2450884C" wp14:editId="65A1076F">
            <wp:extent cx="4991100" cy="3483854"/>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21" cstate="hqprint">
                      <a:extLst>
                        <a:ext uri="{28A0092B-C50C-407E-A947-70E740481C1C}">
                          <a14:useLocalDpi xmlns:a14="http://schemas.microsoft.com/office/drawing/2010/main" val="0"/>
                        </a:ext>
                      </a:extLst>
                    </a:blip>
                    <a:srcRect/>
                    <a:stretch>
                      <a:fillRect/>
                    </a:stretch>
                  </pic:blipFill>
                  <pic:spPr bwMode="auto">
                    <a:xfrm>
                      <a:off x="0" y="0"/>
                      <a:ext cx="4998741" cy="3489187"/>
                    </a:xfrm>
                    <a:prstGeom prst="rect">
                      <a:avLst/>
                    </a:prstGeom>
                    <a:noFill/>
                    <a:ln>
                      <a:noFill/>
                    </a:ln>
                  </pic:spPr>
                </pic:pic>
              </a:graphicData>
            </a:graphic>
          </wp:inline>
        </w:drawing>
      </w:r>
    </w:p>
    <w:p w14:paraId="2F948387" w14:textId="7778DECB" w:rsidR="00CA1F77" w:rsidRPr="008A23A2" w:rsidRDefault="00CA1F77" w:rsidP="00CA1F77">
      <w:pPr>
        <w:jc w:val="both"/>
        <w:rPr>
          <w:rFonts w:cs="Arial"/>
        </w:rPr>
      </w:pPr>
      <w:r>
        <w:rPr>
          <w:rFonts w:cs="Arial"/>
          <w:b/>
          <w:bCs/>
        </w:rPr>
        <w:t xml:space="preserve">Figure S1: </w:t>
      </w:r>
      <w:r w:rsidRPr="008A23A2">
        <w:rPr>
          <w:rFonts w:cs="Arial"/>
          <w:vertAlign w:val="superscript"/>
        </w:rPr>
        <w:t>1</w:t>
      </w:r>
      <w:r w:rsidRPr="008A23A2">
        <w:rPr>
          <w:rFonts w:cs="Arial"/>
        </w:rPr>
        <w:t>H-NMR of G[2.0]-OH</w:t>
      </w:r>
      <w:r>
        <w:rPr>
          <w:rFonts w:cs="Arial"/>
        </w:rPr>
        <w:t>.</w:t>
      </w:r>
    </w:p>
    <w:p w14:paraId="20C0912C" w14:textId="4D6BEACF" w:rsidR="008A23A2" w:rsidRDefault="00D646F4" w:rsidP="00730FDF">
      <w:pPr>
        <w:jc w:val="both"/>
        <w:rPr>
          <w:rFonts w:cs="Arial"/>
        </w:rPr>
      </w:pPr>
      <w:r>
        <w:rPr>
          <w:rFonts w:cs="Arial"/>
        </w:rPr>
        <w:object w:dxaOrig="1440" w:dyaOrig="1440" w14:anchorId="1EAB14FA">
          <v:shape id="_x0000_s1056" type="#_x0000_t75" style="position:absolute;left:0;text-align:left;margin-left:71.9pt;margin-top:146.2pt;width:153.95pt;height:69.9pt;z-index:251665408;mso-position-horizontal-relative:text;mso-position-vertical-relative:text">
            <v:imagedata r:id="rId19" o:title=""/>
          </v:shape>
          <o:OLEObject Type="Embed" ProgID="ACD.ChemSketchCDX" ShapeID="_x0000_s1056" DrawAspect="Content" ObjectID="_1781346173" r:id="rId22"/>
        </w:object>
      </w:r>
      <w:r w:rsidR="00CA1F77" w:rsidRPr="008A23A2">
        <w:rPr>
          <w:rFonts w:cs="Arial"/>
          <w:noProof/>
        </w:rPr>
        <w:drawing>
          <wp:inline distT="0" distB="0" distL="0" distR="0" wp14:anchorId="536298E1" wp14:editId="4F751711">
            <wp:extent cx="5092700" cy="3554772"/>
            <wp:effectExtent l="0" t="0" r="0" b="7620"/>
            <wp:docPr id="7" name="Picture 7" descr="A graph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graph of a person&#10;&#10;Description automatically generated"/>
                    <pic:cNvPicPr>
                      <a:picLocks noChangeAspect="1" noChangeArrowheads="1"/>
                    </pic:cNvPicPr>
                  </pic:nvPicPr>
                  <pic:blipFill>
                    <a:blip r:embed="rId23" cstate="hqprint">
                      <a:extLst>
                        <a:ext uri="{28A0092B-C50C-407E-A947-70E740481C1C}">
                          <a14:useLocalDpi xmlns:a14="http://schemas.microsoft.com/office/drawing/2010/main" val="0"/>
                        </a:ext>
                      </a:extLst>
                    </a:blip>
                    <a:srcRect/>
                    <a:stretch>
                      <a:fillRect/>
                    </a:stretch>
                  </pic:blipFill>
                  <pic:spPr bwMode="auto">
                    <a:xfrm>
                      <a:off x="0" y="0"/>
                      <a:ext cx="5107293" cy="3564958"/>
                    </a:xfrm>
                    <a:prstGeom prst="rect">
                      <a:avLst/>
                    </a:prstGeom>
                    <a:noFill/>
                    <a:ln>
                      <a:noFill/>
                    </a:ln>
                  </pic:spPr>
                </pic:pic>
              </a:graphicData>
            </a:graphic>
          </wp:inline>
        </w:drawing>
      </w:r>
    </w:p>
    <w:p w14:paraId="76440ADE" w14:textId="1F0513B2" w:rsidR="004A595B" w:rsidRDefault="00CA1F77" w:rsidP="00730FDF">
      <w:pPr>
        <w:jc w:val="both"/>
        <w:rPr>
          <w:rFonts w:cs="Arial"/>
        </w:rPr>
      </w:pPr>
      <w:r w:rsidRPr="00CA1F77">
        <w:rPr>
          <w:rFonts w:cs="Arial"/>
          <w:b/>
          <w:bCs/>
        </w:rPr>
        <w:t>Figure S2.</w:t>
      </w:r>
      <w:r>
        <w:rPr>
          <w:rFonts w:cs="Arial"/>
        </w:rPr>
        <w:t xml:space="preserve"> </w:t>
      </w:r>
      <w:r w:rsidR="008A23A2" w:rsidRPr="008A23A2">
        <w:rPr>
          <w:rFonts w:cs="Arial"/>
          <w:vertAlign w:val="superscript"/>
        </w:rPr>
        <w:t>13</w:t>
      </w:r>
      <w:r w:rsidR="008A23A2" w:rsidRPr="008A23A2">
        <w:rPr>
          <w:rFonts w:cs="Arial"/>
        </w:rPr>
        <w:t>C-NMR of G[2.0]-OH</w:t>
      </w:r>
      <w:r>
        <w:rPr>
          <w:rFonts w:cs="Arial"/>
        </w:rPr>
        <w:t>.</w:t>
      </w:r>
      <w:r w:rsidR="004A595B">
        <w:rPr>
          <w:rFonts w:cs="Arial"/>
        </w:rPr>
        <w:br w:type="page"/>
      </w:r>
    </w:p>
    <w:p w14:paraId="63136B46" w14:textId="18C69A95" w:rsidR="004A595B" w:rsidRPr="004A595B" w:rsidRDefault="004A595B" w:rsidP="00730FDF">
      <w:pPr>
        <w:pStyle w:val="Listenabsatz"/>
        <w:numPr>
          <w:ilvl w:val="0"/>
          <w:numId w:val="20"/>
        </w:numPr>
        <w:jc w:val="both"/>
        <w:rPr>
          <w:b/>
          <w:bCs/>
          <w:sz w:val="24"/>
          <w:szCs w:val="24"/>
        </w:rPr>
      </w:pPr>
      <w:r w:rsidRPr="004A595B">
        <w:rPr>
          <w:b/>
          <w:bCs/>
          <w:sz w:val="24"/>
          <w:szCs w:val="24"/>
        </w:rPr>
        <w:lastRenderedPageBreak/>
        <w:t xml:space="preserve">Spectra of </w:t>
      </w:r>
      <w:r w:rsidRPr="00170B34">
        <w:rPr>
          <w:b/>
          <w:bCs/>
          <w:sz w:val="24"/>
          <w:szCs w:val="24"/>
          <w:vertAlign w:val="superscript"/>
        </w:rPr>
        <w:t>15</w:t>
      </w:r>
      <w:r w:rsidRPr="004A595B">
        <w:rPr>
          <w:b/>
          <w:bCs/>
          <w:sz w:val="24"/>
          <w:szCs w:val="24"/>
        </w:rPr>
        <w:t>N tracers</w:t>
      </w:r>
    </w:p>
    <w:p w14:paraId="720E7A71" w14:textId="255DC57F" w:rsidR="002B21CC" w:rsidRDefault="002B21CC" w:rsidP="00730FDF">
      <w:pPr>
        <w:jc w:val="both"/>
      </w:pPr>
      <w:r>
        <w:rPr>
          <w:noProof/>
        </w:rPr>
        <w:drawing>
          <wp:inline distT="0" distB="0" distL="0" distR="0" wp14:anchorId="196E4F8A" wp14:editId="7E5C0497">
            <wp:extent cx="3600000" cy="2511923"/>
            <wp:effectExtent l="0" t="0" r="635" b="3175"/>
            <wp:docPr id="1293831222" name="Picture 2" descr="A graph of a chemical shif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831222" name="Picture 2" descr="A graph of a chemical shift&#10;&#10;Description automatically generated"/>
                    <pic:cNvPicPr>
                      <a:picLocks noChangeAspect="1" noChangeArrowheads="1"/>
                    </pic:cNvPicPr>
                  </pic:nvPicPr>
                  <pic:blipFill>
                    <a:blip r:embed="rId24" cstate="screen">
                      <a:extLst>
                        <a:ext uri="{28A0092B-C50C-407E-A947-70E740481C1C}">
                          <a14:useLocalDpi xmlns:a14="http://schemas.microsoft.com/office/drawing/2010/main"/>
                        </a:ext>
                      </a:extLst>
                    </a:blip>
                    <a:srcRect/>
                    <a:stretch>
                      <a:fillRect/>
                    </a:stretch>
                  </pic:blipFill>
                  <pic:spPr bwMode="auto">
                    <a:xfrm>
                      <a:off x="0" y="0"/>
                      <a:ext cx="3600000" cy="2511923"/>
                    </a:xfrm>
                    <a:prstGeom prst="rect">
                      <a:avLst/>
                    </a:prstGeom>
                    <a:noFill/>
                    <a:ln>
                      <a:noFill/>
                    </a:ln>
                  </pic:spPr>
                </pic:pic>
              </a:graphicData>
            </a:graphic>
          </wp:inline>
        </w:drawing>
      </w:r>
    </w:p>
    <w:p w14:paraId="5618AA19" w14:textId="19410F59" w:rsidR="002B21CC" w:rsidRDefault="002B21CC" w:rsidP="00730FDF">
      <w:pPr>
        <w:jc w:val="both"/>
      </w:pPr>
      <w:r w:rsidRPr="00A61137">
        <w:rPr>
          <w:b/>
          <w:bCs/>
        </w:rPr>
        <w:t>Figure S</w:t>
      </w:r>
      <w:r w:rsidR="00CA1F77">
        <w:rPr>
          <w:b/>
          <w:bCs/>
        </w:rPr>
        <w:t>3</w:t>
      </w:r>
      <w:r w:rsidRPr="00A61137">
        <w:rPr>
          <w:b/>
          <w:bCs/>
        </w:rPr>
        <w:t>:</w:t>
      </w:r>
      <w:r>
        <w:t xml:space="preserve"> Spectrum of hyperpolarized to </w:t>
      </w:r>
      <w:r w:rsidR="000B218F">
        <w:t xml:space="preserve">24.6% </w:t>
      </w:r>
      <w:r>
        <w:t>1-</w:t>
      </w:r>
      <w:r w:rsidRPr="000B218F">
        <w:rPr>
          <w:vertAlign w:val="superscript"/>
        </w:rPr>
        <w:t>15</w:t>
      </w:r>
      <w:r>
        <w:t>N-nicotinamide</w:t>
      </w:r>
      <w:r w:rsidR="000B218F">
        <w:t>, acquired with a 5° flip</w:t>
      </w:r>
      <w:r w:rsidR="00170B34">
        <w:t xml:space="preserve"> </w:t>
      </w:r>
      <w:r w:rsidR="000B218F">
        <w:t>angle</w:t>
      </w:r>
      <w:r w:rsidR="00091C7C" w:rsidRPr="00091C7C">
        <w:t xml:space="preserve"> </w:t>
      </w:r>
      <w:r w:rsidR="00091C7C">
        <w:t>and receiver gain 10</w:t>
      </w:r>
      <w:r w:rsidR="000B218F">
        <w:t>.</w:t>
      </w:r>
    </w:p>
    <w:p w14:paraId="1BE11A1A" w14:textId="77777777" w:rsidR="00A61137" w:rsidRDefault="00A61137" w:rsidP="00730FDF">
      <w:pPr>
        <w:jc w:val="both"/>
      </w:pPr>
    </w:p>
    <w:p w14:paraId="059F8DF2" w14:textId="269526A0" w:rsidR="000B218F" w:rsidRDefault="000B218F" w:rsidP="00730FDF">
      <w:pPr>
        <w:jc w:val="both"/>
      </w:pPr>
      <w:r>
        <w:rPr>
          <w:noProof/>
        </w:rPr>
        <w:drawing>
          <wp:inline distT="0" distB="0" distL="0" distR="0" wp14:anchorId="42F7857E" wp14:editId="2C539144">
            <wp:extent cx="3600000" cy="2511923"/>
            <wp:effectExtent l="0" t="0" r="635" b="3175"/>
            <wp:docPr id="671089032" name="Picture 3" descr="A graph of a chemical shif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089032" name="Picture 3" descr="A graph of a chemical shift&#10;&#10;Description automatically generated"/>
                    <pic:cNvPicPr>
                      <a:picLocks noChangeAspect="1" noChangeArrowheads="1"/>
                    </pic:cNvPicPr>
                  </pic:nvPicPr>
                  <pic:blipFill>
                    <a:blip r:embed="rId25" cstate="screen">
                      <a:extLst>
                        <a:ext uri="{28A0092B-C50C-407E-A947-70E740481C1C}">
                          <a14:useLocalDpi xmlns:a14="http://schemas.microsoft.com/office/drawing/2010/main"/>
                        </a:ext>
                      </a:extLst>
                    </a:blip>
                    <a:srcRect/>
                    <a:stretch>
                      <a:fillRect/>
                    </a:stretch>
                  </pic:blipFill>
                  <pic:spPr bwMode="auto">
                    <a:xfrm>
                      <a:off x="0" y="0"/>
                      <a:ext cx="3600000" cy="2511923"/>
                    </a:xfrm>
                    <a:prstGeom prst="rect">
                      <a:avLst/>
                    </a:prstGeom>
                    <a:noFill/>
                    <a:ln>
                      <a:noFill/>
                    </a:ln>
                  </pic:spPr>
                </pic:pic>
              </a:graphicData>
            </a:graphic>
          </wp:inline>
        </w:drawing>
      </w:r>
    </w:p>
    <w:p w14:paraId="23652E08" w14:textId="5D7B0A3E" w:rsidR="000B218F" w:rsidRDefault="000B218F" w:rsidP="00730FDF">
      <w:pPr>
        <w:jc w:val="both"/>
      </w:pPr>
      <w:r w:rsidRPr="00A61137">
        <w:rPr>
          <w:b/>
          <w:bCs/>
        </w:rPr>
        <w:t>Figure S</w:t>
      </w:r>
      <w:r w:rsidR="00CA1F77">
        <w:rPr>
          <w:b/>
          <w:bCs/>
        </w:rPr>
        <w:t>4</w:t>
      </w:r>
      <w:r w:rsidRPr="00A61137">
        <w:rPr>
          <w:b/>
          <w:bCs/>
        </w:rPr>
        <w:t>:</w:t>
      </w:r>
      <w:r>
        <w:t xml:space="preserve"> Spectrum of hyperpolarized to 21.1% </w:t>
      </w:r>
      <w:r w:rsidRPr="000B218F">
        <w:rPr>
          <w:vertAlign w:val="superscript"/>
        </w:rPr>
        <w:t>15</w:t>
      </w:r>
      <w:r>
        <w:t>N-pyridine, acquired with a 5° flip</w:t>
      </w:r>
      <w:r w:rsidR="00170B34">
        <w:t xml:space="preserve"> </w:t>
      </w:r>
      <w:r>
        <w:t>angle</w:t>
      </w:r>
      <w:r w:rsidR="00091C7C" w:rsidRPr="00091C7C">
        <w:t xml:space="preserve"> </w:t>
      </w:r>
      <w:r w:rsidR="00091C7C">
        <w:t>and receiver gain 10.</w:t>
      </w:r>
    </w:p>
    <w:p w14:paraId="66F6C15E" w14:textId="33F56927" w:rsidR="00CA1F77" w:rsidRDefault="00CA1F77">
      <w:r>
        <w:br w:type="page"/>
      </w:r>
    </w:p>
    <w:p w14:paraId="19D60D3D" w14:textId="77777777" w:rsidR="002B21CC" w:rsidRDefault="002B21CC" w:rsidP="00730FDF">
      <w:pPr>
        <w:jc w:val="both"/>
      </w:pPr>
      <w:r>
        <w:rPr>
          <w:noProof/>
        </w:rPr>
        <w:lastRenderedPageBreak/>
        <w:drawing>
          <wp:inline distT="0" distB="0" distL="0" distR="0" wp14:anchorId="3464257B" wp14:editId="12209FDB">
            <wp:extent cx="3600000" cy="2511923"/>
            <wp:effectExtent l="0" t="0" r="635" b="3175"/>
            <wp:docPr id="662550833" name="Picture 5" descr="A graph of a chemical shif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550833" name="Picture 5" descr="A graph of a chemical shift&#10;&#10;Description automatically generated"/>
                    <pic:cNvPicPr>
                      <a:picLocks noChangeAspect="1" noChangeArrowheads="1"/>
                    </pic:cNvPicPr>
                  </pic:nvPicPr>
                  <pic:blipFill>
                    <a:blip r:embed="rId26" cstate="screen">
                      <a:extLst>
                        <a:ext uri="{28A0092B-C50C-407E-A947-70E740481C1C}">
                          <a14:useLocalDpi xmlns:a14="http://schemas.microsoft.com/office/drawing/2010/main"/>
                        </a:ext>
                      </a:extLst>
                    </a:blip>
                    <a:srcRect/>
                    <a:stretch>
                      <a:fillRect/>
                    </a:stretch>
                  </pic:blipFill>
                  <pic:spPr bwMode="auto">
                    <a:xfrm>
                      <a:off x="0" y="0"/>
                      <a:ext cx="3600000" cy="2511923"/>
                    </a:xfrm>
                    <a:prstGeom prst="rect">
                      <a:avLst/>
                    </a:prstGeom>
                    <a:noFill/>
                    <a:ln>
                      <a:noFill/>
                    </a:ln>
                  </pic:spPr>
                </pic:pic>
              </a:graphicData>
            </a:graphic>
          </wp:inline>
        </w:drawing>
      </w:r>
    </w:p>
    <w:p w14:paraId="7FE4235F" w14:textId="6E2167F4" w:rsidR="000B218F" w:rsidRDefault="000B218F" w:rsidP="00730FDF">
      <w:pPr>
        <w:jc w:val="both"/>
      </w:pPr>
      <w:r w:rsidRPr="00A61137">
        <w:rPr>
          <w:b/>
          <w:bCs/>
        </w:rPr>
        <w:t>Figure S</w:t>
      </w:r>
      <w:r w:rsidR="00CA1F77">
        <w:rPr>
          <w:b/>
          <w:bCs/>
        </w:rPr>
        <w:t>5</w:t>
      </w:r>
      <w:r w:rsidRPr="00A61137">
        <w:rPr>
          <w:b/>
          <w:bCs/>
        </w:rPr>
        <w:t>:</w:t>
      </w:r>
      <w:r>
        <w:t xml:space="preserve"> Spectrum of hyperpolarized to 13.7% </w:t>
      </w:r>
      <w:r w:rsidRPr="000B218F">
        <w:rPr>
          <w:vertAlign w:val="superscript"/>
        </w:rPr>
        <w:t>15</w:t>
      </w:r>
      <w:r>
        <w:t>N</w:t>
      </w:r>
      <w:r w:rsidRPr="000B218F">
        <w:rPr>
          <w:vertAlign w:val="subscript"/>
        </w:rPr>
        <w:t>2</w:t>
      </w:r>
      <w:r>
        <w:t>-urea, acquired with a 5° flip</w:t>
      </w:r>
      <w:r w:rsidR="00170B34">
        <w:t xml:space="preserve"> </w:t>
      </w:r>
      <w:r>
        <w:t>angle</w:t>
      </w:r>
      <w:r w:rsidR="00091C7C" w:rsidRPr="00091C7C">
        <w:t xml:space="preserve"> </w:t>
      </w:r>
      <w:r w:rsidR="00091C7C">
        <w:t>and receiver gain 10</w:t>
      </w:r>
      <w:r>
        <w:t>.</w:t>
      </w:r>
    </w:p>
    <w:p w14:paraId="1BB740C8" w14:textId="77777777" w:rsidR="00A61137" w:rsidRDefault="00A61137" w:rsidP="00730FDF">
      <w:pPr>
        <w:jc w:val="both"/>
      </w:pPr>
    </w:p>
    <w:p w14:paraId="34934448" w14:textId="77777777" w:rsidR="002B21CC" w:rsidRDefault="002B21CC" w:rsidP="00730FDF">
      <w:pPr>
        <w:jc w:val="both"/>
      </w:pPr>
      <w:r>
        <w:rPr>
          <w:noProof/>
        </w:rPr>
        <w:drawing>
          <wp:inline distT="0" distB="0" distL="0" distR="0" wp14:anchorId="00FE9F01" wp14:editId="1ADDD250">
            <wp:extent cx="3600000" cy="2511923"/>
            <wp:effectExtent l="0" t="0" r="635" b="3175"/>
            <wp:docPr id="386299398" name="Picture 4" descr="A graph of a chemical shif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299398" name="Picture 4" descr="A graph of a chemical shift&#10;&#10;Description automatically generated"/>
                    <pic:cNvPicPr>
                      <a:picLocks noChangeAspect="1" noChangeArrowheads="1"/>
                    </pic:cNvPicPr>
                  </pic:nvPicPr>
                  <pic:blipFill>
                    <a:blip r:embed="rId27" cstate="screen">
                      <a:extLst>
                        <a:ext uri="{28A0092B-C50C-407E-A947-70E740481C1C}">
                          <a14:useLocalDpi xmlns:a14="http://schemas.microsoft.com/office/drawing/2010/main"/>
                        </a:ext>
                      </a:extLst>
                    </a:blip>
                    <a:srcRect/>
                    <a:stretch>
                      <a:fillRect/>
                    </a:stretch>
                  </pic:blipFill>
                  <pic:spPr bwMode="auto">
                    <a:xfrm>
                      <a:off x="0" y="0"/>
                      <a:ext cx="3600000" cy="2511923"/>
                    </a:xfrm>
                    <a:prstGeom prst="rect">
                      <a:avLst/>
                    </a:prstGeom>
                    <a:noFill/>
                    <a:ln>
                      <a:noFill/>
                    </a:ln>
                  </pic:spPr>
                </pic:pic>
              </a:graphicData>
            </a:graphic>
          </wp:inline>
        </w:drawing>
      </w:r>
    </w:p>
    <w:p w14:paraId="45685212" w14:textId="506EEF40" w:rsidR="000B218F" w:rsidRDefault="000B218F" w:rsidP="00730FDF">
      <w:pPr>
        <w:jc w:val="both"/>
      </w:pPr>
      <w:r w:rsidRPr="00A61137">
        <w:rPr>
          <w:b/>
          <w:bCs/>
        </w:rPr>
        <w:t>Figure S</w:t>
      </w:r>
      <w:r w:rsidR="00CA1F77">
        <w:rPr>
          <w:b/>
          <w:bCs/>
        </w:rPr>
        <w:t>6</w:t>
      </w:r>
      <w:r w:rsidRPr="00A61137">
        <w:rPr>
          <w:b/>
          <w:bCs/>
        </w:rPr>
        <w:t>:</w:t>
      </w:r>
      <w:r>
        <w:t xml:space="preserve"> Spectrum of hyperpolarized natural abundant pyrimidine, acquired with a 5° flip</w:t>
      </w:r>
      <w:r w:rsidR="00170B34">
        <w:t xml:space="preserve"> </w:t>
      </w:r>
      <w:r>
        <w:t>angle</w:t>
      </w:r>
      <w:r w:rsidR="00091C7C">
        <w:t xml:space="preserve"> and receiver gain 101</w:t>
      </w:r>
      <w:r>
        <w:t>.</w:t>
      </w:r>
    </w:p>
    <w:p w14:paraId="50F2FE3C" w14:textId="304FC014" w:rsidR="00CA1F77" w:rsidRDefault="00CA1F77">
      <w:r>
        <w:br w:type="page"/>
      </w:r>
    </w:p>
    <w:p w14:paraId="00CB6855" w14:textId="77777777" w:rsidR="00A61137" w:rsidRDefault="002B21CC" w:rsidP="00730FDF">
      <w:pPr>
        <w:jc w:val="both"/>
      </w:pPr>
      <w:r>
        <w:rPr>
          <w:noProof/>
        </w:rPr>
        <w:lastRenderedPageBreak/>
        <w:drawing>
          <wp:inline distT="0" distB="0" distL="0" distR="0" wp14:anchorId="7E02AEE6" wp14:editId="56C4A9D4">
            <wp:extent cx="3600000" cy="2511923"/>
            <wp:effectExtent l="0" t="0" r="635" b="3175"/>
            <wp:docPr id="623773655" name="Picture 1" descr="A graph of a chemical shif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773655" name="Picture 1" descr="A graph of a chemical shift&#10;&#10;Description automatically generated"/>
                    <pic:cNvPicPr>
                      <a:picLocks noChangeAspect="1" noChangeArrowheads="1"/>
                    </pic:cNvPicPr>
                  </pic:nvPicPr>
                  <pic:blipFill>
                    <a:blip r:embed="rId28" cstate="screen">
                      <a:extLst>
                        <a:ext uri="{28A0092B-C50C-407E-A947-70E740481C1C}">
                          <a14:useLocalDpi xmlns:a14="http://schemas.microsoft.com/office/drawing/2010/main"/>
                        </a:ext>
                      </a:extLst>
                    </a:blip>
                    <a:srcRect/>
                    <a:stretch>
                      <a:fillRect/>
                    </a:stretch>
                  </pic:blipFill>
                  <pic:spPr bwMode="auto">
                    <a:xfrm>
                      <a:off x="0" y="0"/>
                      <a:ext cx="3600000" cy="2511923"/>
                    </a:xfrm>
                    <a:prstGeom prst="rect">
                      <a:avLst/>
                    </a:prstGeom>
                    <a:noFill/>
                    <a:ln>
                      <a:noFill/>
                    </a:ln>
                  </pic:spPr>
                </pic:pic>
              </a:graphicData>
            </a:graphic>
          </wp:inline>
        </w:drawing>
      </w:r>
    </w:p>
    <w:p w14:paraId="5DD35508" w14:textId="4A13AA8C" w:rsidR="000B218F" w:rsidRDefault="000B218F" w:rsidP="00730FDF">
      <w:pPr>
        <w:jc w:val="both"/>
      </w:pPr>
      <w:r w:rsidRPr="00A61137">
        <w:rPr>
          <w:b/>
          <w:bCs/>
        </w:rPr>
        <w:t>Figure S</w:t>
      </w:r>
      <w:r w:rsidR="00A31102">
        <w:rPr>
          <w:b/>
          <w:bCs/>
        </w:rPr>
        <w:t>7</w:t>
      </w:r>
      <w:r w:rsidRPr="00A61137">
        <w:rPr>
          <w:b/>
          <w:bCs/>
        </w:rPr>
        <w:t>:</w:t>
      </w:r>
      <w:r>
        <w:t xml:space="preserve"> Spectrum of hyperpolarized natural abundant metronidazole, acquired with a 5° flip</w:t>
      </w:r>
      <w:r w:rsidR="00170B34">
        <w:t xml:space="preserve"> </w:t>
      </w:r>
      <w:r>
        <w:t>angle</w:t>
      </w:r>
      <w:r w:rsidR="00091C7C" w:rsidRPr="00091C7C">
        <w:t xml:space="preserve"> </w:t>
      </w:r>
      <w:r w:rsidR="00091C7C">
        <w:t>and receiver gain 101</w:t>
      </w:r>
      <w:r>
        <w:t>.</w:t>
      </w:r>
    </w:p>
    <w:p w14:paraId="19188C84" w14:textId="77777777" w:rsidR="000B218F" w:rsidRDefault="000B218F" w:rsidP="00730FDF">
      <w:pPr>
        <w:jc w:val="both"/>
      </w:pPr>
    </w:p>
    <w:p w14:paraId="4D4344F7" w14:textId="28B990F9" w:rsidR="005B185B" w:rsidRDefault="005B185B" w:rsidP="00730FDF">
      <w:pPr>
        <w:jc w:val="both"/>
      </w:pPr>
      <w:r>
        <w:br w:type="page"/>
      </w:r>
    </w:p>
    <w:p w14:paraId="36936492" w14:textId="5B21B66D" w:rsidR="00A61137" w:rsidRDefault="00A61137" w:rsidP="00730FDF">
      <w:pPr>
        <w:pStyle w:val="Listenabsatz"/>
        <w:numPr>
          <w:ilvl w:val="0"/>
          <w:numId w:val="20"/>
        </w:numPr>
        <w:jc w:val="both"/>
        <w:rPr>
          <w:b/>
          <w:bCs/>
          <w:sz w:val="24"/>
          <w:szCs w:val="24"/>
        </w:rPr>
      </w:pPr>
      <w:r w:rsidRPr="00A61137">
        <w:rPr>
          <w:b/>
          <w:bCs/>
          <w:sz w:val="24"/>
          <w:szCs w:val="24"/>
        </w:rPr>
        <w:lastRenderedPageBreak/>
        <w:t>Analyzed data of figures</w:t>
      </w:r>
    </w:p>
    <w:p w14:paraId="5EE80AE7" w14:textId="727D92BD" w:rsidR="0028032A" w:rsidRDefault="0028032A" w:rsidP="00730FDF">
      <w:pPr>
        <w:spacing w:after="0"/>
        <w:jc w:val="both"/>
        <w:rPr>
          <w:rFonts w:eastAsiaTheme="minorEastAsia"/>
          <w:bCs/>
          <w:iCs/>
        </w:rPr>
      </w:pPr>
      <w:r>
        <w:rPr>
          <w:bCs/>
          <w:iCs/>
        </w:rPr>
        <w:t>The measured polarization was adjusted to the average transfer time of each table, to have a more representative</w:t>
      </w:r>
      <w:r w:rsidR="00EC6605">
        <w:rPr>
          <w:bCs/>
          <w:iCs/>
        </w:rPr>
        <w:t xml:space="preserve"> corrected</w:t>
      </w:r>
      <w:r>
        <w:rPr>
          <w:bCs/>
          <w:iCs/>
        </w:rPr>
        <w:t xml:space="preserve"> polarization value: </w:t>
      </w:r>
      <m:oMath>
        <m:sSub>
          <m:sSubPr>
            <m:ctrlPr>
              <w:rPr>
                <w:rFonts w:ascii="Cambria Math" w:hAnsi="Cambria Math"/>
                <w:bCs/>
                <w:i/>
                <w:iCs/>
              </w:rPr>
            </m:ctrlPr>
          </m:sSubPr>
          <m:e>
            <m:r>
              <w:rPr>
                <w:rFonts w:ascii="Cambria Math" w:hAnsi="Cambria Math"/>
              </w:rPr>
              <m:t>P</m:t>
            </m:r>
          </m:e>
          <m:sub>
            <m:r>
              <w:rPr>
                <w:rFonts w:ascii="Cambria Math" w:hAnsi="Cambria Math"/>
              </w:rPr>
              <m:t>corrected</m:t>
            </m:r>
          </m:sub>
        </m:sSub>
        <m:r>
          <w:rPr>
            <w:rFonts w:ascii="Cambria Math" w:hAnsi="Cambria Math"/>
          </w:rPr>
          <m:t>=P*exp</m:t>
        </m:r>
        <m:d>
          <m:dPr>
            <m:ctrlPr>
              <w:rPr>
                <w:rFonts w:ascii="Cambria Math" w:hAnsi="Cambria Math"/>
                <w:bCs/>
                <w:i/>
                <w:iCs/>
              </w:rPr>
            </m:ctrlPr>
          </m:dPr>
          <m:e>
            <m:f>
              <m:fPr>
                <m:ctrlPr>
                  <w:rPr>
                    <w:rFonts w:ascii="Cambria Math" w:hAnsi="Cambria Math"/>
                    <w:bCs/>
                    <w:i/>
                    <w:iCs/>
                  </w:rPr>
                </m:ctrlPr>
              </m:fPr>
              <m:num>
                <m:r>
                  <w:rPr>
                    <w:rFonts w:ascii="Cambria Math" w:hAnsi="Cambria Math"/>
                  </w:rPr>
                  <m:t>transfer-transfe</m:t>
                </m:r>
                <m:sSub>
                  <m:sSubPr>
                    <m:ctrlPr>
                      <w:rPr>
                        <w:rFonts w:ascii="Cambria Math" w:hAnsi="Cambria Math"/>
                        <w:bCs/>
                        <w:i/>
                        <w:iCs/>
                      </w:rPr>
                    </m:ctrlPr>
                  </m:sSubPr>
                  <m:e>
                    <m:r>
                      <w:rPr>
                        <w:rFonts w:ascii="Cambria Math" w:hAnsi="Cambria Math"/>
                      </w:rPr>
                      <m:t>r</m:t>
                    </m:r>
                  </m:e>
                  <m:sub>
                    <m:r>
                      <w:rPr>
                        <w:rFonts w:ascii="Cambria Math" w:hAnsi="Cambria Math"/>
                      </w:rPr>
                      <m:t>avg</m:t>
                    </m:r>
                  </m:sub>
                </m:sSub>
              </m:num>
              <m:den>
                <m:sSub>
                  <m:sSubPr>
                    <m:ctrlPr>
                      <w:rPr>
                        <w:rFonts w:ascii="Cambria Math" w:hAnsi="Cambria Math"/>
                        <w:bCs/>
                        <w:i/>
                        <w:iCs/>
                      </w:rPr>
                    </m:ctrlPr>
                  </m:sSubPr>
                  <m:e>
                    <m:r>
                      <w:rPr>
                        <w:rFonts w:ascii="Cambria Math" w:hAnsi="Cambria Math"/>
                      </w:rPr>
                      <m:t>T</m:t>
                    </m:r>
                  </m:e>
                  <m:sub>
                    <m:r>
                      <w:rPr>
                        <w:rFonts w:ascii="Cambria Math" w:hAnsi="Cambria Math"/>
                      </w:rPr>
                      <m:t>1</m:t>
                    </m:r>
                  </m:sub>
                </m:sSub>
              </m:den>
            </m:f>
          </m:e>
        </m:d>
      </m:oMath>
      <w:r>
        <w:rPr>
          <w:rFonts w:eastAsiaTheme="minorEastAsia"/>
          <w:bCs/>
          <w:iCs/>
        </w:rPr>
        <w:t>. In the case of Table S3 to S6</w:t>
      </w:r>
      <w:r w:rsidR="00661C26">
        <w:rPr>
          <w:rFonts w:eastAsiaTheme="minorEastAsia"/>
          <w:bCs/>
          <w:iCs/>
        </w:rPr>
        <w:t xml:space="preserve"> (Fig. 2 main text)</w:t>
      </w:r>
      <w:r>
        <w:rPr>
          <w:rFonts w:eastAsiaTheme="minorEastAsia"/>
          <w:bCs/>
          <w:iCs/>
        </w:rPr>
        <w:t xml:space="preserve"> the T</w:t>
      </w:r>
      <w:r w:rsidRPr="00EC6605">
        <w:rPr>
          <w:rFonts w:eastAsiaTheme="minorEastAsia"/>
          <w:bCs/>
          <w:iCs/>
          <w:vertAlign w:val="subscript"/>
        </w:rPr>
        <w:t>1</w:t>
      </w:r>
      <w:r>
        <w:rPr>
          <w:rFonts w:eastAsiaTheme="minorEastAsia"/>
          <w:bCs/>
          <w:iCs/>
        </w:rPr>
        <w:t xml:space="preserve"> at 0.57 T was used</w:t>
      </w:r>
      <w:r w:rsidR="00EC6605">
        <w:rPr>
          <w:rFonts w:eastAsiaTheme="minorEastAsia"/>
          <w:bCs/>
          <w:iCs/>
        </w:rPr>
        <w:t xml:space="preserve"> due to the more accurate representation of the T</w:t>
      </w:r>
      <w:r w:rsidR="00EC6605" w:rsidRPr="00EC6605">
        <w:rPr>
          <w:rFonts w:eastAsiaTheme="minorEastAsia"/>
          <w:bCs/>
          <w:iCs/>
          <w:vertAlign w:val="subscript"/>
        </w:rPr>
        <w:t>1</w:t>
      </w:r>
      <w:r w:rsidR="00EC6605">
        <w:rPr>
          <w:rFonts w:eastAsiaTheme="minorEastAsia"/>
          <w:bCs/>
          <w:iCs/>
        </w:rPr>
        <w:t xml:space="preserve"> during the transfer. However,</w:t>
      </w:r>
      <w:r>
        <w:rPr>
          <w:rFonts w:eastAsiaTheme="minorEastAsia"/>
          <w:bCs/>
          <w:iCs/>
        </w:rPr>
        <w:t xml:space="preserve"> for Table </w:t>
      </w:r>
      <w:r w:rsidR="00EC6605">
        <w:rPr>
          <w:rFonts w:eastAsiaTheme="minorEastAsia"/>
          <w:bCs/>
          <w:iCs/>
        </w:rPr>
        <w:t>S</w:t>
      </w:r>
      <w:r>
        <w:rPr>
          <w:rFonts w:eastAsiaTheme="minorEastAsia"/>
          <w:bCs/>
          <w:iCs/>
        </w:rPr>
        <w:t xml:space="preserve">7 to S12 </w:t>
      </w:r>
      <w:r w:rsidR="00661C26">
        <w:rPr>
          <w:rFonts w:eastAsiaTheme="minorEastAsia"/>
          <w:bCs/>
          <w:iCs/>
        </w:rPr>
        <w:t xml:space="preserve">(Fig. 3 main text) </w:t>
      </w:r>
      <w:r>
        <w:rPr>
          <w:rFonts w:eastAsiaTheme="minorEastAsia"/>
          <w:bCs/>
          <w:iCs/>
        </w:rPr>
        <w:t>the T</w:t>
      </w:r>
      <w:r w:rsidRPr="00EC6605">
        <w:rPr>
          <w:rFonts w:eastAsiaTheme="minorEastAsia"/>
          <w:bCs/>
          <w:iCs/>
          <w:vertAlign w:val="subscript"/>
        </w:rPr>
        <w:t>1</w:t>
      </w:r>
      <w:r>
        <w:rPr>
          <w:rFonts w:eastAsiaTheme="minorEastAsia"/>
          <w:bCs/>
          <w:iCs/>
        </w:rPr>
        <w:t xml:space="preserve"> at </w:t>
      </w:r>
      <w:r w:rsidR="00EC6605">
        <w:rPr>
          <w:rFonts w:eastAsiaTheme="minorEastAsia"/>
          <w:bCs/>
          <w:iCs/>
        </w:rPr>
        <w:t>9.4 T was used, because due several molecules at natural abundance, the 0.57 T provided too little sensitivity to reliably provide a T</w:t>
      </w:r>
      <w:r w:rsidR="00EC6605" w:rsidRPr="00EC6605">
        <w:rPr>
          <w:rFonts w:eastAsiaTheme="minorEastAsia"/>
          <w:bCs/>
          <w:iCs/>
          <w:vertAlign w:val="subscript"/>
        </w:rPr>
        <w:t>1</w:t>
      </w:r>
      <w:r w:rsidR="00EC6605">
        <w:rPr>
          <w:rFonts w:eastAsiaTheme="minorEastAsia"/>
          <w:bCs/>
          <w:iCs/>
        </w:rPr>
        <w:t>.</w:t>
      </w:r>
    </w:p>
    <w:p w14:paraId="1A2B8DC7" w14:textId="5673476F" w:rsidR="00EC6605" w:rsidRDefault="00EC6605" w:rsidP="00730FDF">
      <w:pPr>
        <w:jc w:val="both"/>
        <w:rPr>
          <w:bCs/>
        </w:rPr>
      </w:pPr>
      <w:r>
        <w:rPr>
          <w:rFonts w:eastAsiaTheme="minorEastAsia"/>
          <w:bCs/>
          <w:iCs/>
        </w:rPr>
        <w:t>Furthermore, in the case of naturaly abundant tracers</w:t>
      </w:r>
      <w:r w:rsidR="003309C5">
        <w:rPr>
          <w:rFonts w:eastAsiaTheme="minorEastAsia"/>
          <w:bCs/>
          <w:iCs/>
        </w:rPr>
        <w:t xml:space="preserve"> (Table S9 to S11)</w:t>
      </w:r>
      <w:r>
        <w:rPr>
          <w:rFonts w:eastAsiaTheme="minorEastAsia"/>
          <w:bCs/>
          <w:iCs/>
        </w:rPr>
        <w:t>, no thermal signal could be acquired with suffient SNR and hence the polarization could not be calculated. Instead, the absolute signal amplitude of the first hyperpolarized signal was taken, corrected using the equation above, and then normalized to the highest signal in the table.</w:t>
      </w:r>
    </w:p>
    <w:p w14:paraId="4B745E58" w14:textId="77777777" w:rsidR="0028032A" w:rsidRDefault="0028032A" w:rsidP="00730FDF">
      <w:pPr>
        <w:jc w:val="both"/>
      </w:pPr>
    </w:p>
    <w:p w14:paraId="4FF45BEC" w14:textId="2F82E9B2" w:rsidR="00A61137" w:rsidRPr="00A61137" w:rsidRDefault="00A61137" w:rsidP="00730FDF">
      <w:pPr>
        <w:jc w:val="both"/>
      </w:pPr>
      <w:r w:rsidRPr="00A61137">
        <w:rPr>
          <w:b/>
          <w:bCs/>
        </w:rPr>
        <w:t>Table S3:</w:t>
      </w:r>
      <w:r>
        <w:t xml:space="preserve"> Figure 2A with NAM as CIDER agent and 1-</w:t>
      </w:r>
      <w:r w:rsidRPr="00A61137">
        <w:rPr>
          <w:vertAlign w:val="superscript"/>
        </w:rPr>
        <w:t>15</w:t>
      </w:r>
      <w:r>
        <w:t>N-NAM as tracer.</w:t>
      </w:r>
    </w:p>
    <w:p w14:paraId="0FF75CA1" w14:textId="053C84C4" w:rsidR="00A61137" w:rsidRDefault="002907FE" w:rsidP="00730FDF">
      <w:pPr>
        <w:jc w:val="both"/>
      </w:pPr>
      <w:r w:rsidRPr="002907FE">
        <w:rPr>
          <w:noProof/>
        </w:rPr>
        <w:drawing>
          <wp:inline distT="0" distB="0" distL="0" distR="0" wp14:anchorId="40884585" wp14:editId="79EDEB64">
            <wp:extent cx="5943600" cy="1168400"/>
            <wp:effectExtent l="0" t="0" r="0" b="0"/>
            <wp:docPr id="3041947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1168400"/>
                    </a:xfrm>
                    <a:prstGeom prst="rect">
                      <a:avLst/>
                    </a:prstGeom>
                    <a:noFill/>
                    <a:ln>
                      <a:noFill/>
                    </a:ln>
                  </pic:spPr>
                </pic:pic>
              </a:graphicData>
            </a:graphic>
          </wp:inline>
        </w:drawing>
      </w:r>
    </w:p>
    <w:p w14:paraId="143054AB" w14:textId="77777777" w:rsidR="002907FE" w:rsidRDefault="002907FE" w:rsidP="00730FDF">
      <w:pPr>
        <w:jc w:val="both"/>
      </w:pPr>
    </w:p>
    <w:p w14:paraId="32FE1D45" w14:textId="42104688" w:rsidR="00A61137" w:rsidRDefault="00A61137" w:rsidP="00730FDF">
      <w:pPr>
        <w:jc w:val="both"/>
      </w:pPr>
      <w:r w:rsidRPr="00A61137">
        <w:rPr>
          <w:b/>
          <w:bCs/>
        </w:rPr>
        <w:t>Table S4:</w:t>
      </w:r>
      <w:r>
        <w:t xml:space="preserve"> Figure 2B with urea as CIDER agent and 1-</w:t>
      </w:r>
      <w:r w:rsidRPr="00A61137">
        <w:rPr>
          <w:vertAlign w:val="superscript"/>
        </w:rPr>
        <w:t>15</w:t>
      </w:r>
      <w:r>
        <w:t>N-NAM as tracer.</w:t>
      </w:r>
    </w:p>
    <w:p w14:paraId="3DF5987E" w14:textId="4294B254" w:rsidR="00A61137" w:rsidRDefault="002907FE" w:rsidP="00730FDF">
      <w:pPr>
        <w:jc w:val="both"/>
      </w:pPr>
      <w:r w:rsidRPr="002907FE">
        <w:rPr>
          <w:noProof/>
        </w:rPr>
        <w:drawing>
          <wp:inline distT="0" distB="0" distL="0" distR="0" wp14:anchorId="4DC00D8A" wp14:editId="35581AB0">
            <wp:extent cx="5943600" cy="1168400"/>
            <wp:effectExtent l="0" t="0" r="0" b="0"/>
            <wp:docPr id="12149341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1168400"/>
                    </a:xfrm>
                    <a:prstGeom prst="rect">
                      <a:avLst/>
                    </a:prstGeom>
                    <a:noFill/>
                    <a:ln>
                      <a:noFill/>
                    </a:ln>
                  </pic:spPr>
                </pic:pic>
              </a:graphicData>
            </a:graphic>
          </wp:inline>
        </w:drawing>
      </w:r>
    </w:p>
    <w:p w14:paraId="1B30E625" w14:textId="77777777" w:rsidR="002907FE" w:rsidRDefault="002907FE" w:rsidP="00730FDF">
      <w:pPr>
        <w:jc w:val="both"/>
      </w:pPr>
    </w:p>
    <w:p w14:paraId="21FC0064" w14:textId="2E3BD5AD" w:rsidR="00A61137" w:rsidRDefault="00A61137" w:rsidP="00730FDF">
      <w:pPr>
        <w:jc w:val="both"/>
      </w:pPr>
      <w:r w:rsidRPr="00A61137">
        <w:rPr>
          <w:b/>
          <w:bCs/>
        </w:rPr>
        <w:t>Table S</w:t>
      </w:r>
      <w:r>
        <w:rPr>
          <w:b/>
          <w:bCs/>
        </w:rPr>
        <w:t>5</w:t>
      </w:r>
      <w:r w:rsidRPr="00A61137">
        <w:rPr>
          <w:b/>
          <w:bCs/>
        </w:rPr>
        <w:t>:</w:t>
      </w:r>
      <w:r>
        <w:t xml:space="preserve"> Figure 2C</w:t>
      </w:r>
      <w:r w:rsidRPr="00A61137">
        <w:t xml:space="preserve"> </w:t>
      </w:r>
      <w:r>
        <w:t>with glycerol as CIDER agent and 1-</w:t>
      </w:r>
      <w:r w:rsidRPr="00A61137">
        <w:rPr>
          <w:vertAlign w:val="superscript"/>
        </w:rPr>
        <w:t>15</w:t>
      </w:r>
      <w:r>
        <w:t>N-NAM as tracer.</w:t>
      </w:r>
    </w:p>
    <w:p w14:paraId="2BD4E904" w14:textId="1393AB7B" w:rsidR="00A61137" w:rsidRDefault="002907FE" w:rsidP="00730FDF">
      <w:pPr>
        <w:jc w:val="both"/>
      </w:pPr>
      <w:r w:rsidRPr="002907FE">
        <w:rPr>
          <w:noProof/>
        </w:rPr>
        <w:drawing>
          <wp:inline distT="0" distB="0" distL="0" distR="0" wp14:anchorId="3BB36CBF" wp14:editId="6A5C2050">
            <wp:extent cx="5943600" cy="1602105"/>
            <wp:effectExtent l="0" t="0" r="0" b="0"/>
            <wp:docPr id="238150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1602105"/>
                    </a:xfrm>
                    <a:prstGeom prst="rect">
                      <a:avLst/>
                    </a:prstGeom>
                    <a:noFill/>
                    <a:ln>
                      <a:noFill/>
                    </a:ln>
                  </pic:spPr>
                </pic:pic>
              </a:graphicData>
            </a:graphic>
          </wp:inline>
        </w:drawing>
      </w:r>
    </w:p>
    <w:p w14:paraId="4C222749" w14:textId="2F62A410" w:rsidR="00A61137" w:rsidRDefault="00A61137" w:rsidP="00730FDF">
      <w:pPr>
        <w:jc w:val="both"/>
      </w:pPr>
      <w:r w:rsidRPr="00A61137">
        <w:rPr>
          <w:b/>
          <w:bCs/>
        </w:rPr>
        <w:lastRenderedPageBreak/>
        <w:t>Table S</w:t>
      </w:r>
      <w:r>
        <w:rPr>
          <w:b/>
          <w:bCs/>
        </w:rPr>
        <w:t>6</w:t>
      </w:r>
      <w:r w:rsidRPr="00A61137">
        <w:rPr>
          <w:b/>
          <w:bCs/>
        </w:rPr>
        <w:t>:</w:t>
      </w:r>
      <w:r>
        <w:t xml:space="preserve"> Figure 2D</w:t>
      </w:r>
      <w:r w:rsidRPr="00A61137">
        <w:t xml:space="preserve"> </w:t>
      </w:r>
      <w:r>
        <w:t>with dendrons as CIDER agent and 1-</w:t>
      </w:r>
      <w:r w:rsidRPr="00A61137">
        <w:rPr>
          <w:vertAlign w:val="superscript"/>
        </w:rPr>
        <w:t>15</w:t>
      </w:r>
      <w:r>
        <w:t>N-NAM as tracer.</w:t>
      </w:r>
    </w:p>
    <w:p w14:paraId="415DF238" w14:textId="2472FFCD" w:rsidR="00A61137" w:rsidRDefault="002907FE" w:rsidP="00730FDF">
      <w:pPr>
        <w:jc w:val="both"/>
      </w:pPr>
      <w:r w:rsidRPr="002907FE">
        <w:rPr>
          <w:noProof/>
        </w:rPr>
        <w:drawing>
          <wp:inline distT="0" distB="0" distL="0" distR="0" wp14:anchorId="0CF745D3" wp14:editId="481361E6">
            <wp:extent cx="5943600" cy="1023620"/>
            <wp:effectExtent l="0" t="0" r="0" b="5080"/>
            <wp:docPr id="8517908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3600" cy="1023620"/>
                    </a:xfrm>
                    <a:prstGeom prst="rect">
                      <a:avLst/>
                    </a:prstGeom>
                    <a:noFill/>
                    <a:ln>
                      <a:noFill/>
                    </a:ln>
                  </pic:spPr>
                </pic:pic>
              </a:graphicData>
            </a:graphic>
          </wp:inline>
        </w:drawing>
      </w:r>
    </w:p>
    <w:p w14:paraId="5315BE21" w14:textId="77777777" w:rsidR="002907FE" w:rsidRDefault="002907FE" w:rsidP="00730FDF">
      <w:pPr>
        <w:jc w:val="both"/>
      </w:pPr>
    </w:p>
    <w:p w14:paraId="36BB2F06" w14:textId="63A91EDD" w:rsidR="00A61137" w:rsidRDefault="00A61137" w:rsidP="00730FDF">
      <w:pPr>
        <w:jc w:val="both"/>
      </w:pPr>
      <w:r w:rsidRPr="00A61137">
        <w:rPr>
          <w:b/>
          <w:bCs/>
        </w:rPr>
        <w:t>Table S</w:t>
      </w:r>
      <w:r>
        <w:rPr>
          <w:b/>
          <w:bCs/>
        </w:rPr>
        <w:t>7</w:t>
      </w:r>
      <w:r w:rsidRPr="00A61137">
        <w:rPr>
          <w:b/>
          <w:bCs/>
        </w:rPr>
        <w:t>:</w:t>
      </w:r>
      <w:r>
        <w:t xml:space="preserve"> Figure 3A</w:t>
      </w:r>
      <w:r w:rsidRPr="00A61137">
        <w:t xml:space="preserve"> </w:t>
      </w:r>
      <w:r>
        <w:t>with 1-</w:t>
      </w:r>
      <w:r w:rsidRPr="00A61137">
        <w:rPr>
          <w:vertAlign w:val="superscript"/>
        </w:rPr>
        <w:t>15</w:t>
      </w:r>
      <w:r>
        <w:t>N-NAM as tracer.</w:t>
      </w:r>
    </w:p>
    <w:p w14:paraId="090C44E1" w14:textId="4EAA8756" w:rsidR="00A61137" w:rsidRDefault="002907FE" w:rsidP="00730FDF">
      <w:pPr>
        <w:jc w:val="both"/>
      </w:pPr>
      <w:r w:rsidRPr="002907FE">
        <w:rPr>
          <w:noProof/>
        </w:rPr>
        <w:drawing>
          <wp:inline distT="0" distB="0" distL="0" distR="0" wp14:anchorId="32D3E120" wp14:editId="71FF67B2">
            <wp:extent cx="5943600" cy="1144905"/>
            <wp:effectExtent l="0" t="0" r="0" b="0"/>
            <wp:docPr id="153431353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43600" cy="1144905"/>
                    </a:xfrm>
                    <a:prstGeom prst="rect">
                      <a:avLst/>
                    </a:prstGeom>
                    <a:noFill/>
                    <a:ln>
                      <a:noFill/>
                    </a:ln>
                  </pic:spPr>
                </pic:pic>
              </a:graphicData>
            </a:graphic>
          </wp:inline>
        </w:drawing>
      </w:r>
    </w:p>
    <w:p w14:paraId="4651A86C" w14:textId="77777777" w:rsidR="002907FE" w:rsidRDefault="002907FE" w:rsidP="00730FDF">
      <w:pPr>
        <w:jc w:val="both"/>
      </w:pPr>
    </w:p>
    <w:p w14:paraId="149CA567" w14:textId="7C726128" w:rsidR="00A61137" w:rsidRDefault="00A61137" w:rsidP="00730FDF">
      <w:pPr>
        <w:jc w:val="both"/>
      </w:pPr>
      <w:r w:rsidRPr="00A61137">
        <w:rPr>
          <w:b/>
          <w:bCs/>
        </w:rPr>
        <w:t>Table S</w:t>
      </w:r>
      <w:r>
        <w:rPr>
          <w:b/>
          <w:bCs/>
        </w:rPr>
        <w:t>8</w:t>
      </w:r>
      <w:r w:rsidRPr="00A61137">
        <w:rPr>
          <w:b/>
          <w:bCs/>
        </w:rPr>
        <w:t>:</w:t>
      </w:r>
      <w:r>
        <w:t xml:space="preserve"> Figure 3B</w:t>
      </w:r>
      <w:r w:rsidRPr="00A61137">
        <w:t xml:space="preserve"> </w:t>
      </w:r>
      <w:r>
        <w:t xml:space="preserve">with </w:t>
      </w:r>
      <w:r w:rsidRPr="00A61137">
        <w:rPr>
          <w:vertAlign w:val="superscript"/>
        </w:rPr>
        <w:t>15</w:t>
      </w:r>
      <w:r>
        <w:t>N</w:t>
      </w:r>
      <w:r w:rsidR="002907FE" w:rsidRPr="002907FE">
        <w:t>-pyridine</w:t>
      </w:r>
      <w:r>
        <w:t xml:space="preserve"> as tracer.</w:t>
      </w:r>
    </w:p>
    <w:p w14:paraId="2ADA8EAD" w14:textId="1545A96A" w:rsidR="00A61137" w:rsidRDefault="002907FE" w:rsidP="00730FDF">
      <w:pPr>
        <w:jc w:val="both"/>
      </w:pPr>
      <w:r w:rsidRPr="002907FE">
        <w:rPr>
          <w:noProof/>
        </w:rPr>
        <w:drawing>
          <wp:inline distT="0" distB="0" distL="0" distR="0" wp14:anchorId="7B8E526F" wp14:editId="66BA16D8">
            <wp:extent cx="5943600" cy="1365885"/>
            <wp:effectExtent l="0" t="0" r="0" b="5715"/>
            <wp:docPr id="107557213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3600" cy="1365885"/>
                    </a:xfrm>
                    <a:prstGeom prst="rect">
                      <a:avLst/>
                    </a:prstGeom>
                    <a:noFill/>
                    <a:ln>
                      <a:noFill/>
                    </a:ln>
                  </pic:spPr>
                </pic:pic>
              </a:graphicData>
            </a:graphic>
          </wp:inline>
        </w:drawing>
      </w:r>
    </w:p>
    <w:p w14:paraId="415443C7" w14:textId="77777777" w:rsidR="002907FE" w:rsidRDefault="002907FE" w:rsidP="00730FDF">
      <w:pPr>
        <w:jc w:val="both"/>
      </w:pPr>
    </w:p>
    <w:p w14:paraId="031F0447" w14:textId="11BEAC0C" w:rsidR="00A61137" w:rsidRDefault="00A61137" w:rsidP="00730FDF">
      <w:pPr>
        <w:jc w:val="both"/>
      </w:pPr>
      <w:r w:rsidRPr="00A61137">
        <w:rPr>
          <w:b/>
          <w:bCs/>
        </w:rPr>
        <w:t>Table S</w:t>
      </w:r>
      <w:r>
        <w:rPr>
          <w:b/>
          <w:bCs/>
        </w:rPr>
        <w:t>9</w:t>
      </w:r>
      <w:r w:rsidRPr="00A61137">
        <w:rPr>
          <w:b/>
          <w:bCs/>
        </w:rPr>
        <w:t>:</w:t>
      </w:r>
      <w:r>
        <w:t xml:space="preserve"> Figure 3C</w:t>
      </w:r>
      <w:r w:rsidRPr="00A61137">
        <w:t xml:space="preserve"> </w:t>
      </w:r>
      <w:r>
        <w:t>with naturally abundant MTZ</w:t>
      </w:r>
      <w:r w:rsidR="002907FE">
        <w:t xml:space="preserve"> (N3)</w:t>
      </w:r>
      <w:r>
        <w:t xml:space="preserve"> as tracer.</w:t>
      </w:r>
    </w:p>
    <w:p w14:paraId="29E2F6B3" w14:textId="4BA792BC" w:rsidR="00A61137" w:rsidRDefault="002907FE" w:rsidP="00730FDF">
      <w:pPr>
        <w:jc w:val="both"/>
      </w:pPr>
      <w:r w:rsidRPr="002907FE">
        <w:rPr>
          <w:noProof/>
        </w:rPr>
        <w:drawing>
          <wp:inline distT="0" distB="0" distL="0" distR="0" wp14:anchorId="64E772B6" wp14:editId="1D964181">
            <wp:extent cx="5943600" cy="1319530"/>
            <wp:effectExtent l="0" t="0" r="0" b="0"/>
            <wp:docPr id="169486122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3600" cy="1319530"/>
                    </a:xfrm>
                    <a:prstGeom prst="rect">
                      <a:avLst/>
                    </a:prstGeom>
                    <a:noFill/>
                    <a:ln>
                      <a:noFill/>
                    </a:ln>
                  </pic:spPr>
                </pic:pic>
              </a:graphicData>
            </a:graphic>
          </wp:inline>
        </w:drawing>
      </w:r>
    </w:p>
    <w:p w14:paraId="05BB76C7" w14:textId="77777777" w:rsidR="002907FE" w:rsidRDefault="002907FE" w:rsidP="00730FDF">
      <w:pPr>
        <w:jc w:val="both"/>
      </w:pPr>
    </w:p>
    <w:p w14:paraId="2360B300" w14:textId="77777777" w:rsidR="00730FDF" w:rsidRDefault="00730FDF" w:rsidP="00730FDF">
      <w:pPr>
        <w:jc w:val="both"/>
      </w:pPr>
    </w:p>
    <w:p w14:paraId="09B5083F" w14:textId="77777777" w:rsidR="00730FDF" w:rsidRDefault="00730FDF" w:rsidP="00730FDF">
      <w:pPr>
        <w:jc w:val="both"/>
      </w:pPr>
    </w:p>
    <w:p w14:paraId="7EF001B0" w14:textId="4DDAC040" w:rsidR="002907FE" w:rsidRDefault="002907FE" w:rsidP="00730FDF">
      <w:pPr>
        <w:jc w:val="both"/>
      </w:pPr>
      <w:r w:rsidRPr="00A61137">
        <w:rPr>
          <w:b/>
          <w:bCs/>
        </w:rPr>
        <w:lastRenderedPageBreak/>
        <w:t>Table S</w:t>
      </w:r>
      <w:r>
        <w:rPr>
          <w:b/>
          <w:bCs/>
        </w:rPr>
        <w:t>10</w:t>
      </w:r>
      <w:r w:rsidRPr="00A61137">
        <w:rPr>
          <w:b/>
          <w:bCs/>
        </w:rPr>
        <w:t>:</w:t>
      </w:r>
      <w:r>
        <w:t xml:space="preserve"> Figure 3C</w:t>
      </w:r>
      <w:r w:rsidRPr="00A61137">
        <w:t xml:space="preserve"> </w:t>
      </w:r>
      <w:r>
        <w:t>with naturally abundant MTZ (NO</w:t>
      </w:r>
      <w:r w:rsidRPr="002907FE">
        <w:rPr>
          <w:vertAlign w:val="subscript"/>
        </w:rPr>
        <w:t>2</w:t>
      </w:r>
      <w:r>
        <w:t>) as tracer.</w:t>
      </w:r>
    </w:p>
    <w:p w14:paraId="70B64C44" w14:textId="245A04BD" w:rsidR="002907FE" w:rsidRDefault="002907FE" w:rsidP="00730FDF">
      <w:pPr>
        <w:jc w:val="both"/>
      </w:pPr>
      <w:r w:rsidRPr="002907FE">
        <w:rPr>
          <w:noProof/>
        </w:rPr>
        <w:drawing>
          <wp:inline distT="0" distB="0" distL="0" distR="0" wp14:anchorId="53B175B7" wp14:editId="743226DB">
            <wp:extent cx="5943600" cy="1317625"/>
            <wp:effectExtent l="0" t="0" r="0" b="0"/>
            <wp:docPr id="50925262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43600" cy="1317625"/>
                    </a:xfrm>
                    <a:prstGeom prst="rect">
                      <a:avLst/>
                    </a:prstGeom>
                    <a:noFill/>
                    <a:ln>
                      <a:noFill/>
                    </a:ln>
                  </pic:spPr>
                </pic:pic>
              </a:graphicData>
            </a:graphic>
          </wp:inline>
        </w:drawing>
      </w:r>
    </w:p>
    <w:p w14:paraId="616F4EEB" w14:textId="77777777" w:rsidR="002907FE" w:rsidRDefault="002907FE" w:rsidP="00730FDF">
      <w:pPr>
        <w:jc w:val="both"/>
      </w:pPr>
    </w:p>
    <w:p w14:paraId="1318C71B" w14:textId="26A67ABB" w:rsidR="00A61137" w:rsidRDefault="00A61137" w:rsidP="00730FDF">
      <w:pPr>
        <w:jc w:val="both"/>
      </w:pPr>
      <w:r w:rsidRPr="00A61137">
        <w:rPr>
          <w:b/>
          <w:bCs/>
        </w:rPr>
        <w:t>Table S</w:t>
      </w:r>
      <w:r w:rsidR="002907FE">
        <w:rPr>
          <w:b/>
          <w:bCs/>
        </w:rPr>
        <w:t>11</w:t>
      </w:r>
      <w:r w:rsidRPr="00A61137">
        <w:rPr>
          <w:b/>
          <w:bCs/>
        </w:rPr>
        <w:t>:</w:t>
      </w:r>
      <w:r>
        <w:t xml:space="preserve"> Figure 3</w:t>
      </w:r>
      <w:r w:rsidR="002907FE">
        <w:t>D</w:t>
      </w:r>
      <w:r w:rsidRPr="00A61137">
        <w:t xml:space="preserve"> </w:t>
      </w:r>
      <w:r>
        <w:t xml:space="preserve">with </w:t>
      </w:r>
      <w:r w:rsidR="002907FE">
        <w:t>naturally abundant pyrimidine as tracer.</w:t>
      </w:r>
    </w:p>
    <w:p w14:paraId="30290ACA" w14:textId="76162072" w:rsidR="002907FE" w:rsidRDefault="002907FE" w:rsidP="00730FDF">
      <w:pPr>
        <w:jc w:val="both"/>
      </w:pPr>
      <w:r w:rsidRPr="002907FE">
        <w:rPr>
          <w:noProof/>
        </w:rPr>
        <w:drawing>
          <wp:inline distT="0" distB="0" distL="0" distR="0" wp14:anchorId="7D46E545" wp14:editId="6796DD6F">
            <wp:extent cx="5943600" cy="1319530"/>
            <wp:effectExtent l="0" t="0" r="0" b="0"/>
            <wp:docPr id="87451072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3600" cy="1319530"/>
                    </a:xfrm>
                    <a:prstGeom prst="rect">
                      <a:avLst/>
                    </a:prstGeom>
                    <a:noFill/>
                    <a:ln>
                      <a:noFill/>
                    </a:ln>
                  </pic:spPr>
                </pic:pic>
              </a:graphicData>
            </a:graphic>
          </wp:inline>
        </w:drawing>
      </w:r>
    </w:p>
    <w:p w14:paraId="021F1E07" w14:textId="77777777" w:rsidR="002907FE" w:rsidRDefault="002907FE" w:rsidP="00730FDF">
      <w:pPr>
        <w:jc w:val="both"/>
      </w:pPr>
    </w:p>
    <w:p w14:paraId="5DC8C898" w14:textId="4B67A9D7" w:rsidR="002907FE" w:rsidRDefault="002907FE" w:rsidP="00730FDF">
      <w:pPr>
        <w:jc w:val="both"/>
      </w:pPr>
      <w:r w:rsidRPr="00A61137">
        <w:rPr>
          <w:b/>
          <w:bCs/>
        </w:rPr>
        <w:t>Table S</w:t>
      </w:r>
      <w:r>
        <w:rPr>
          <w:b/>
          <w:bCs/>
        </w:rPr>
        <w:t>12</w:t>
      </w:r>
      <w:r w:rsidRPr="00A61137">
        <w:rPr>
          <w:b/>
          <w:bCs/>
        </w:rPr>
        <w:t>:</w:t>
      </w:r>
      <w:r>
        <w:t xml:space="preserve"> Figure 3B</w:t>
      </w:r>
      <w:r w:rsidRPr="00A61137">
        <w:t xml:space="preserve"> </w:t>
      </w:r>
      <w:r>
        <w:t xml:space="preserve">with </w:t>
      </w:r>
      <w:r w:rsidRPr="00A61137">
        <w:rPr>
          <w:vertAlign w:val="superscript"/>
        </w:rPr>
        <w:t>15</w:t>
      </w:r>
      <w:r>
        <w:t>N</w:t>
      </w:r>
      <w:r w:rsidRPr="00A61137">
        <w:rPr>
          <w:vertAlign w:val="subscript"/>
        </w:rPr>
        <w:t>2</w:t>
      </w:r>
      <w:r>
        <w:t>-urea as tracer.</w:t>
      </w:r>
    </w:p>
    <w:p w14:paraId="6E8ACC34" w14:textId="6EC351A9" w:rsidR="002907FE" w:rsidRDefault="002907FE" w:rsidP="00730FDF">
      <w:pPr>
        <w:jc w:val="both"/>
      </w:pPr>
      <w:r w:rsidRPr="002907FE">
        <w:rPr>
          <w:noProof/>
        </w:rPr>
        <w:drawing>
          <wp:inline distT="0" distB="0" distL="0" distR="0" wp14:anchorId="32B7796A" wp14:editId="1BC4D4DE">
            <wp:extent cx="5943600" cy="1365885"/>
            <wp:effectExtent l="0" t="0" r="0" b="5715"/>
            <wp:docPr id="97165891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3600" cy="1365885"/>
                    </a:xfrm>
                    <a:prstGeom prst="rect">
                      <a:avLst/>
                    </a:prstGeom>
                    <a:noFill/>
                    <a:ln>
                      <a:noFill/>
                    </a:ln>
                  </pic:spPr>
                </pic:pic>
              </a:graphicData>
            </a:graphic>
          </wp:inline>
        </w:drawing>
      </w:r>
    </w:p>
    <w:p w14:paraId="35DDF0FD" w14:textId="77777777" w:rsidR="00A61137" w:rsidRDefault="00A61137" w:rsidP="00730FDF">
      <w:pPr>
        <w:jc w:val="both"/>
      </w:pPr>
    </w:p>
    <w:p w14:paraId="5FFBF9D0" w14:textId="358E7E63" w:rsidR="00A61137" w:rsidRDefault="00A61137" w:rsidP="00730FDF">
      <w:pPr>
        <w:jc w:val="both"/>
      </w:pPr>
      <w:r>
        <w:br w:type="page"/>
      </w:r>
    </w:p>
    <w:p w14:paraId="4AEE9031" w14:textId="1F9E0818" w:rsidR="00683366" w:rsidRPr="00683366" w:rsidRDefault="00683366" w:rsidP="00730FDF">
      <w:pPr>
        <w:pStyle w:val="Listenabsatz"/>
        <w:numPr>
          <w:ilvl w:val="0"/>
          <w:numId w:val="20"/>
        </w:numPr>
        <w:spacing w:before="240" w:line="276" w:lineRule="auto"/>
        <w:jc w:val="both"/>
        <w:rPr>
          <w:rFonts w:cs="Arial"/>
          <w:b/>
          <w:bCs/>
          <w:sz w:val="24"/>
          <w:szCs w:val="24"/>
          <w:lang w:val="en-GB"/>
        </w:rPr>
      </w:pPr>
      <w:r w:rsidRPr="00683366">
        <w:rPr>
          <w:rFonts w:cs="Arial"/>
          <w:b/>
          <w:bCs/>
          <w:sz w:val="24"/>
          <w:szCs w:val="24"/>
          <w:lang w:val="en-GB"/>
        </w:rPr>
        <w:lastRenderedPageBreak/>
        <w:t>Other combinations of hyperpolarized molecules with potential CIDER agents</w:t>
      </w:r>
    </w:p>
    <w:p w14:paraId="3D1E7368" w14:textId="77777777" w:rsidR="00683366" w:rsidRPr="00B96E7F" w:rsidRDefault="00683366" w:rsidP="00730FDF">
      <w:pPr>
        <w:spacing w:line="276" w:lineRule="auto"/>
        <w:jc w:val="both"/>
        <w:rPr>
          <w:rFonts w:cs="Arial"/>
        </w:rPr>
      </w:pPr>
      <w:r w:rsidRPr="001C7F4E">
        <w:rPr>
          <w:rFonts w:cs="Arial"/>
          <w:i/>
        </w:rPr>
        <w:t>Case 1</w:t>
      </w:r>
      <w:r w:rsidRPr="00B96E7F">
        <w:rPr>
          <w:rFonts w:cs="Arial"/>
        </w:rPr>
        <w:t>. We use</w:t>
      </w:r>
      <w:r>
        <w:rPr>
          <w:rFonts w:cs="Arial"/>
        </w:rPr>
        <w:t>d</w:t>
      </w:r>
      <w:r w:rsidRPr="001C7F4E">
        <w:rPr>
          <w:rFonts w:cs="Arial"/>
        </w:rPr>
        <w:t xml:space="preserve"> </w:t>
      </w:r>
      <w:bookmarkStart w:id="3" w:name="_Hlk169709209"/>
      <w:r w:rsidRPr="001C7F4E">
        <w:rPr>
          <w:rFonts w:cs="Arial"/>
        </w:rPr>
        <w:t xml:space="preserve">2,2’-bipyridine </w:t>
      </w:r>
      <w:bookmarkEnd w:id="3"/>
      <w:r w:rsidRPr="001C7F4E">
        <w:rPr>
          <w:rFonts w:cs="Arial"/>
        </w:rPr>
        <w:t>as a CIDER agent with NAM. No significant preservation of polarization was observed. This negative result is likely due to the low solubility of 2,2’-bipyr</w:t>
      </w:r>
      <w:r w:rsidRPr="00B96E7F">
        <w:rPr>
          <w:rFonts w:cs="Arial"/>
        </w:rPr>
        <w:t>idine in water: 5.5 g/L ~ 35 mM</w:t>
      </w:r>
      <w:r>
        <w:rPr>
          <w:rFonts w:cs="Arial"/>
        </w:rPr>
        <w:t xml:space="preserve"> and that it is not a hydrogen bond donor, a</w:t>
      </w:r>
      <w:r w:rsidRPr="00B96E7F">
        <w:rPr>
          <w:rFonts w:cs="Arial"/>
        </w:rPr>
        <w:t>lthough 2,2’-bipyridine is an excellent chelating agent with two coordination sites.</w:t>
      </w:r>
    </w:p>
    <w:p w14:paraId="543E2935" w14:textId="767F5EB3" w:rsidR="00683366" w:rsidRDefault="00683366" w:rsidP="00730FDF">
      <w:pPr>
        <w:spacing w:line="276" w:lineRule="auto"/>
        <w:jc w:val="both"/>
        <w:rPr>
          <w:rFonts w:cs="Arial"/>
        </w:rPr>
      </w:pPr>
      <w:r w:rsidRPr="00295019">
        <w:rPr>
          <w:rFonts w:cs="Arial"/>
          <w:i/>
        </w:rPr>
        <w:t>Case 2</w:t>
      </w:r>
      <w:r w:rsidRPr="00295019">
        <w:rPr>
          <w:rFonts w:cs="Arial"/>
        </w:rPr>
        <w:t>. Ammonia has some loose similarities with urea and very high solubility. However, even at concentrations of 1 M (</w:t>
      </w:r>
      <w:r w:rsidR="00D46411">
        <w:rPr>
          <w:rFonts w:cs="Arial"/>
        </w:rPr>
        <w:t xml:space="preserve">dissolution medium buffered to pH 7.4, </w:t>
      </w:r>
      <w:r w:rsidRPr="00295019">
        <w:rPr>
          <w:rFonts w:cs="Arial"/>
        </w:rPr>
        <w:t>pH 6.8</w:t>
      </w:r>
      <w:r w:rsidR="00D46411">
        <w:rPr>
          <w:rFonts w:cs="Arial"/>
        </w:rPr>
        <w:t xml:space="preserve"> after dissolution</w:t>
      </w:r>
      <w:r w:rsidRPr="00295019">
        <w:rPr>
          <w:rFonts w:cs="Arial"/>
        </w:rPr>
        <w:t xml:space="preserve">), no significant effect on the preservation of </w:t>
      </w:r>
      <w:r w:rsidRPr="009706E0">
        <w:rPr>
          <w:rFonts w:cs="Arial"/>
          <w:vertAlign w:val="superscript"/>
        </w:rPr>
        <w:t>15</w:t>
      </w:r>
      <w:r w:rsidRPr="009706E0">
        <w:rPr>
          <w:rFonts w:cs="Arial"/>
        </w:rPr>
        <w:t>N-</w:t>
      </w:r>
      <w:r w:rsidR="00D46411">
        <w:rPr>
          <w:rFonts w:cs="Arial"/>
        </w:rPr>
        <w:t>pyridine</w:t>
      </w:r>
      <w:r w:rsidR="00D46411" w:rsidRPr="001D2FC4">
        <w:rPr>
          <w:rFonts w:cs="Arial"/>
        </w:rPr>
        <w:t xml:space="preserve"> </w:t>
      </w:r>
      <w:r w:rsidRPr="001D2FC4">
        <w:rPr>
          <w:rFonts w:cs="Arial"/>
        </w:rPr>
        <w:t xml:space="preserve">polarization was found. The </w:t>
      </w:r>
      <w:r>
        <w:rPr>
          <w:rFonts w:cs="Arial"/>
        </w:rPr>
        <w:t xml:space="preserve">interaction with </w:t>
      </w:r>
      <w:r w:rsidR="00D46411">
        <w:rPr>
          <w:rFonts w:cs="Arial"/>
        </w:rPr>
        <w:t xml:space="preserve">pyridine </w:t>
      </w:r>
      <w:r>
        <w:rPr>
          <w:rFonts w:cs="Arial"/>
        </w:rPr>
        <w:t>is likely</w:t>
      </w:r>
      <w:r w:rsidRPr="001D2FC4">
        <w:rPr>
          <w:rFonts w:cs="Arial"/>
        </w:rPr>
        <w:t xml:space="preserve"> too weak because amide hyd</w:t>
      </w:r>
      <w:r>
        <w:rPr>
          <w:rFonts w:cs="Arial"/>
        </w:rPr>
        <w:t>ro</w:t>
      </w:r>
      <w:r w:rsidRPr="001D2FC4">
        <w:rPr>
          <w:rFonts w:cs="Arial"/>
        </w:rPr>
        <w:t xml:space="preserve">gens </w:t>
      </w:r>
      <w:r>
        <w:rPr>
          <w:rFonts w:cs="Arial"/>
        </w:rPr>
        <w:t>of</w:t>
      </w:r>
      <w:r w:rsidRPr="001D2FC4">
        <w:rPr>
          <w:rFonts w:cs="Arial"/>
        </w:rPr>
        <w:t xml:space="preserve"> urea or NAM are much better hydrogen donors than</w:t>
      </w:r>
      <w:r w:rsidR="00C96BF2">
        <w:rPr>
          <w:rFonts w:cs="Arial"/>
        </w:rPr>
        <w:t xml:space="preserve"> protonated</w:t>
      </w:r>
      <w:r w:rsidRPr="001D2FC4">
        <w:rPr>
          <w:rFonts w:cs="Arial"/>
        </w:rPr>
        <w:t xml:space="preserve"> ammonia</w:t>
      </w:r>
      <w:r w:rsidR="00C96BF2">
        <w:rPr>
          <w:rFonts w:cs="Arial"/>
        </w:rPr>
        <w:t xml:space="preserve"> in the case of neutral pH (ammonia pKa 9.24)</w:t>
      </w:r>
      <w:r w:rsidRPr="001D2FC4">
        <w:rPr>
          <w:rFonts w:cs="Arial"/>
        </w:rPr>
        <w:t>.</w:t>
      </w:r>
      <w:r>
        <w:rPr>
          <w:rFonts w:cs="Arial"/>
        </w:rPr>
        <w:t xml:space="preserve"> </w:t>
      </w:r>
      <w:r w:rsidR="00C96BF2">
        <w:rPr>
          <w:rFonts w:cs="Arial"/>
        </w:rPr>
        <w:t xml:space="preserve">Since pH values above the pKa of ammonia are not physiological, ammonia does not present a viable CIDER agent in our case. </w:t>
      </w:r>
      <w:r w:rsidRPr="00295019">
        <w:rPr>
          <w:rFonts w:cs="Arial"/>
        </w:rPr>
        <w:t xml:space="preserve">Although varying concentrations of ammonia are produced during the heating of urea inside the </w:t>
      </w:r>
      <w:r>
        <w:rPr>
          <w:rFonts w:cs="Arial"/>
        </w:rPr>
        <w:t>dissolution media</w:t>
      </w:r>
      <w:r w:rsidRPr="00295019">
        <w:rPr>
          <w:rFonts w:cs="Arial"/>
        </w:rPr>
        <w:t xml:space="preserve">, the above findings suggest that </w:t>
      </w:r>
      <w:r w:rsidR="00C96BF2">
        <w:rPr>
          <w:rFonts w:cs="Arial"/>
        </w:rPr>
        <w:t>mostly</w:t>
      </w:r>
      <w:r w:rsidR="00C96BF2" w:rsidRPr="00295019">
        <w:rPr>
          <w:rFonts w:cs="Arial"/>
        </w:rPr>
        <w:t xml:space="preserve"> </w:t>
      </w:r>
      <w:r w:rsidRPr="00295019">
        <w:rPr>
          <w:rFonts w:cs="Arial"/>
        </w:rPr>
        <w:t>urea participates in the CIDER effect of the formed solution.</w:t>
      </w:r>
    </w:p>
    <w:p w14:paraId="6FBFBA95" w14:textId="7809F346" w:rsidR="00683366" w:rsidRPr="00295019" w:rsidRDefault="00683366" w:rsidP="00730FDF">
      <w:pPr>
        <w:spacing w:line="276" w:lineRule="auto"/>
        <w:jc w:val="both"/>
        <w:rPr>
          <w:rFonts w:cs="Arial"/>
        </w:rPr>
      </w:pPr>
      <w:r w:rsidRPr="00555A47">
        <w:rPr>
          <w:rFonts w:cs="Arial"/>
          <w:i/>
        </w:rPr>
        <w:t>Case 3</w:t>
      </w:r>
      <w:r>
        <w:rPr>
          <w:rFonts w:cs="Arial"/>
        </w:rPr>
        <w:t xml:space="preserve">. Jiang et al. reported </w:t>
      </w:r>
      <w:r w:rsidRPr="001C7F4E">
        <w:rPr>
          <w:rFonts w:cs="Arial"/>
        </w:rPr>
        <w:t>T</w:t>
      </w:r>
      <w:r w:rsidRPr="001C7F4E">
        <w:rPr>
          <w:rFonts w:cs="Arial"/>
          <w:vertAlign w:val="subscript"/>
        </w:rPr>
        <w:t>1</w:t>
      </w:r>
      <w:r w:rsidRPr="007C41E4">
        <w:rPr>
          <w:rFonts w:cs="Arial"/>
        </w:rPr>
        <w:t xml:space="preserve"> for NAM at pH 5.9 </w:t>
      </w:r>
      <w:r>
        <w:rPr>
          <w:rFonts w:cs="Arial"/>
        </w:rPr>
        <w:t xml:space="preserve">of </w:t>
      </w:r>
      <w:r w:rsidRPr="007C41E4">
        <w:rPr>
          <w:rFonts w:cs="Arial"/>
        </w:rPr>
        <w:t>around 22 s</w:t>
      </w:r>
      <w:r w:rsidRPr="00295019">
        <w:rPr>
          <w:rFonts w:cs="Arial"/>
        </w:rPr>
        <w:t>, though also with low polarization</w:t>
      </w:r>
      <w:r>
        <w:rPr>
          <w:rFonts w:cs="Arial"/>
        </w:rPr>
        <w:t xml:space="preserve"> </w:t>
      </w:r>
      <w:r w:rsidRPr="00555A47">
        <w:rPr>
          <w:rFonts w:cs="Arial"/>
        </w:rPr>
        <w:t xml:space="preserve">of about 1.2% </w:t>
      </w:r>
      <w:r w:rsidRPr="00555A47">
        <w:rPr>
          <w:rFonts w:cs="Arial"/>
        </w:rPr>
        <w:fldChar w:fldCharType="begin"/>
      </w:r>
      <w:r>
        <w:rPr>
          <w:rFonts w:cs="Arial"/>
        </w:rPr>
        <w:instrText xml:space="preserve"> ADDIN ZOTERO_ITEM CSL_CITATION {"citationID":"rn7HKFTc","properties":{"formattedCitation":"({\\i{}26})","plainCitation":"(26)","noteIndex":0},"citationItems":[{"id":4737,"uris":["http://zotero.org/users/4549766/items/FG9PNKIA"],"itemData":{"id":4737,"type":"article-journal","abstract":"Highly sensitive MR imaging agents that can accurately and rapidly monitor changes in pH would have diagnostic and prognostic value for many diseases. Here, we report an investigation of hyperpolarized 15N-pyridine derivatives as ultrasensitive pH-sensitive imaging probes. These molecules are easily polarized to high levels using standard dynamic nuclear polarization (DNP) techniques and their 15N chemical shifts were found to be highly sensitive to pH. These probes displayed sharp 15N resonances and large differences in chemical shifts (Δδ &gt;90 ppm) between their free base and protonated forms. These favorable features make these agents highly suitable candidates for the detection of small changes in tissue pH near physiological values.","container-title":"Scientific Reports","DOI":"10.1038/srep09104","ISSN":"2045-2322","journalAbbreviation":"Sci. Rep.","language":"en","license":"2015 Nature Publishing Group","page":"9104","source":"www.nature.com","title":"Hyperpolarized &lt;sup&gt;15&lt;/sup&gt;N-pyridine Derivatives as pH-Sensitive MRI Agents","volume":"5","author":[{"family":"Jiang","given":"Weina"},{"family":"Lumata","given":"Lloyd"},{"family":"Chen","given":"Wei"},{"family":"Zhang","given":"Shanrong"},{"family":"Kovacs","given":"Zoltan"},{"family":"Sherry","given":"A. Dean"},{"family":"Khemtong","given":"Chalermchai"}],"issued":{"date-parts":[["2015",3,16]]}}}],"schema":"https://github.com/citation-style-language/schema/raw/master/csl-citation.json"} </w:instrText>
      </w:r>
      <w:r w:rsidRPr="00555A47">
        <w:rPr>
          <w:rFonts w:cs="Arial"/>
        </w:rPr>
        <w:fldChar w:fldCharType="separate"/>
      </w:r>
      <w:r w:rsidRPr="00EF689C">
        <w:rPr>
          <w:rFonts w:cs="Arial"/>
          <w:szCs w:val="24"/>
        </w:rPr>
        <w:t>(</w:t>
      </w:r>
      <w:r w:rsidRPr="00EF689C">
        <w:rPr>
          <w:rFonts w:cs="Arial"/>
          <w:i/>
          <w:iCs/>
          <w:szCs w:val="24"/>
        </w:rPr>
        <w:t>26</w:t>
      </w:r>
      <w:r w:rsidRPr="00EF689C">
        <w:rPr>
          <w:rFonts w:cs="Arial"/>
          <w:szCs w:val="24"/>
        </w:rPr>
        <w:t>)</w:t>
      </w:r>
      <w:r w:rsidRPr="00555A47">
        <w:rPr>
          <w:rFonts w:cs="Arial"/>
        </w:rPr>
        <w:fldChar w:fldCharType="end"/>
      </w:r>
      <w:r w:rsidRPr="00B96E7F">
        <w:rPr>
          <w:rFonts w:cs="Arial"/>
        </w:rPr>
        <w:t>.</w:t>
      </w:r>
      <w:r>
        <w:rPr>
          <w:rFonts w:cs="Arial"/>
        </w:rPr>
        <w:t xml:space="preserve"> Previously, we could not reproduce the hyperpolarized 1-</w:t>
      </w:r>
      <w:r w:rsidRPr="00581976">
        <w:rPr>
          <w:rFonts w:cs="Arial"/>
          <w:vertAlign w:val="superscript"/>
        </w:rPr>
        <w:t>15</w:t>
      </w:r>
      <w:r>
        <w:rPr>
          <w:rFonts w:cs="Arial"/>
        </w:rPr>
        <w:t xml:space="preserve">N-NAM signal at this pH as no signal was observed </w:t>
      </w:r>
      <w:r w:rsidRPr="00581976">
        <w:rPr>
          <w:rFonts w:cs="Arial"/>
        </w:rPr>
        <w:t>(20)</w:t>
      </w:r>
      <w:r>
        <w:rPr>
          <w:rFonts w:cs="Arial"/>
        </w:rPr>
        <w:t>.</w:t>
      </w:r>
      <w:r w:rsidRPr="00581976">
        <w:rPr>
          <w:rFonts w:cs="Arial"/>
        </w:rPr>
        <w:t xml:space="preserve"> However</w:t>
      </w:r>
      <w:r>
        <w:rPr>
          <w:rFonts w:cs="Arial"/>
        </w:rPr>
        <w:t>, we suspect now that the difference in the sample composition can be the reason: Jiang et al. had about 145 mM concentration of DMSO, which can act as a CIDER agent</w:t>
      </w:r>
      <w:r w:rsidR="000D16CB">
        <w:rPr>
          <w:rFonts w:cs="Arial"/>
        </w:rPr>
        <w:t xml:space="preserve"> due to its very strong dipolmoment</w:t>
      </w:r>
      <w:r>
        <w:rPr>
          <w:rFonts w:cs="Arial"/>
        </w:rPr>
        <w:t xml:space="preserve">, possibly explaining the difference in findings: instead of DMSO, we used </w:t>
      </w:r>
      <w:r w:rsidR="000D16CB">
        <w:rPr>
          <w:rFonts w:cs="Arial"/>
        </w:rPr>
        <w:t xml:space="preserve">water </w:t>
      </w:r>
      <w:r>
        <w:rPr>
          <w:rFonts w:cs="Arial"/>
        </w:rPr>
        <w:t xml:space="preserve">as a </w:t>
      </w:r>
      <w:r w:rsidR="000D16CB">
        <w:rPr>
          <w:rFonts w:cs="Arial"/>
        </w:rPr>
        <w:t>solvent</w:t>
      </w:r>
      <w:r>
        <w:rPr>
          <w:rFonts w:cs="Arial"/>
        </w:rPr>
        <w:t xml:space="preserve">. </w:t>
      </w:r>
    </w:p>
    <w:p w14:paraId="2965C849" w14:textId="54D9C7F1" w:rsidR="00683366" w:rsidRPr="00C24941" w:rsidRDefault="00683366" w:rsidP="00730FDF">
      <w:pPr>
        <w:spacing w:line="276" w:lineRule="auto"/>
        <w:jc w:val="both"/>
        <w:rPr>
          <w:rFonts w:cs="Arial"/>
        </w:rPr>
      </w:pPr>
      <w:r w:rsidRPr="00295019">
        <w:rPr>
          <w:rFonts w:cs="Arial"/>
          <w:i/>
        </w:rPr>
        <w:t xml:space="preserve">Case </w:t>
      </w:r>
      <w:r>
        <w:rPr>
          <w:rFonts w:cs="Arial"/>
          <w:i/>
        </w:rPr>
        <w:t>4</w:t>
      </w:r>
      <w:r w:rsidRPr="00295019">
        <w:rPr>
          <w:rFonts w:cs="Arial"/>
        </w:rPr>
        <w:t xml:space="preserve">. We used 1 M NAM and urea as CIDER agents </w:t>
      </w:r>
      <w:r w:rsidR="00C96BF2">
        <w:rPr>
          <w:rFonts w:cs="Arial"/>
        </w:rPr>
        <w:t xml:space="preserve">trying </w:t>
      </w:r>
      <w:r w:rsidRPr="00295019">
        <w:rPr>
          <w:rFonts w:cs="Arial"/>
        </w:rPr>
        <w:t>to pr</w:t>
      </w:r>
      <w:r w:rsidRPr="009706E0">
        <w:rPr>
          <w:rFonts w:cs="Arial"/>
        </w:rPr>
        <w:t>eserve the hyperpolarization of 1-</w:t>
      </w:r>
      <w:r w:rsidRPr="00C24941">
        <w:rPr>
          <w:rFonts w:cs="Arial"/>
          <w:vertAlign w:val="superscript"/>
        </w:rPr>
        <w:t>13</w:t>
      </w:r>
      <w:r w:rsidRPr="00C24941">
        <w:rPr>
          <w:rFonts w:cs="Arial"/>
        </w:rPr>
        <w:t xml:space="preserve">C-pyruvate and glucose-d7 – no </w:t>
      </w:r>
      <w:r w:rsidR="00C96BF2">
        <w:rPr>
          <w:rFonts w:cs="Arial"/>
        </w:rPr>
        <w:t xml:space="preserve">significant </w:t>
      </w:r>
      <w:r w:rsidRPr="00C24941">
        <w:rPr>
          <w:rFonts w:cs="Arial"/>
        </w:rPr>
        <w:t xml:space="preserve">positive effects on the preservation of polarization were found. </w:t>
      </w:r>
      <w:r w:rsidR="005927E8">
        <w:rPr>
          <w:rFonts w:cs="Arial"/>
        </w:rPr>
        <w:t xml:space="preserve">More experiments are needed to deduct if the CIDER agents make a difference or not. </w:t>
      </w:r>
      <w:r w:rsidRPr="00C24941">
        <w:rPr>
          <w:rFonts w:cs="Arial"/>
        </w:rPr>
        <w:t>Possibly, the concentration of the CIDER agents was too high or not appropriate for these compounds</w:t>
      </w:r>
      <w:r>
        <w:rPr>
          <w:rFonts w:cs="Arial"/>
        </w:rPr>
        <w:t xml:space="preserve">: similar detrimental effects at high concentrations </w:t>
      </w:r>
      <w:r w:rsidR="00C96BF2">
        <w:rPr>
          <w:rFonts w:cs="Arial"/>
        </w:rPr>
        <w:t xml:space="preserve">were </w:t>
      </w:r>
      <w:r>
        <w:rPr>
          <w:rFonts w:cs="Arial"/>
        </w:rPr>
        <w:t>discussed for 1-</w:t>
      </w:r>
      <w:r w:rsidRPr="001E0B94">
        <w:rPr>
          <w:rFonts w:cs="Arial"/>
          <w:vertAlign w:val="superscript"/>
        </w:rPr>
        <w:t>15</w:t>
      </w:r>
      <w:r>
        <w:rPr>
          <w:rFonts w:cs="Arial"/>
        </w:rPr>
        <w:t>N-NAM (</w:t>
      </w:r>
      <w:r w:rsidRPr="00C36492">
        <w:rPr>
          <w:rFonts w:cs="Arial"/>
          <w:b/>
          <w:bCs/>
        </w:rPr>
        <w:t>Fig. 2</w:t>
      </w:r>
      <w:r w:rsidR="00C96BF2">
        <w:rPr>
          <w:rFonts w:cs="Arial"/>
        </w:rPr>
        <w:t xml:space="preserve"> main text</w:t>
      </w:r>
      <w:r>
        <w:rPr>
          <w:rFonts w:cs="Arial"/>
        </w:rPr>
        <w:t>)</w:t>
      </w:r>
      <w:r w:rsidRPr="00C24941">
        <w:rPr>
          <w:rFonts w:cs="Arial"/>
        </w:rPr>
        <w:t xml:space="preserve">. </w:t>
      </w:r>
      <w:r w:rsidRPr="00E87847">
        <w:rPr>
          <w:rFonts w:cs="Arial"/>
        </w:rPr>
        <w:t xml:space="preserve">Studies of </w:t>
      </w:r>
      <w:r>
        <w:rPr>
          <w:rFonts w:cs="Arial"/>
        </w:rPr>
        <w:t>other agents' effect on pyruvate relaxation</w:t>
      </w:r>
      <w:r w:rsidRPr="00E87847">
        <w:rPr>
          <w:rFonts w:cs="Arial"/>
        </w:rPr>
        <w:t xml:space="preserve"> are ongoing.</w:t>
      </w:r>
    </w:p>
    <w:p w14:paraId="61F27B08" w14:textId="7D383E06" w:rsidR="00E4467A" w:rsidRDefault="00E4467A" w:rsidP="00730FDF">
      <w:pPr>
        <w:jc w:val="both"/>
      </w:pPr>
      <w:r>
        <w:br w:type="page"/>
      </w:r>
    </w:p>
    <w:p w14:paraId="71B065B6" w14:textId="6FC2972D" w:rsidR="005B185B" w:rsidRDefault="00E4467A" w:rsidP="00730FDF">
      <w:pPr>
        <w:pStyle w:val="Listenabsatz"/>
        <w:numPr>
          <w:ilvl w:val="0"/>
          <w:numId w:val="20"/>
        </w:numPr>
        <w:jc w:val="both"/>
        <w:rPr>
          <w:b/>
          <w:bCs/>
          <w:sz w:val="24"/>
          <w:szCs w:val="24"/>
        </w:rPr>
      </w:pPr>
      <w:r w:rsidRPr="00E4467A">
        <w:rPr>
          <w:b/>
          <w:bCs/>
          <w:sz w:val="24"/>
          <w:szCs w:val="24"/>
        </w:rPr>
        <w:lastRenderedPageBreak/>
        <w:t>Literature</w:t>
      </w:r>
    </w:p>
    <w:p w14:paraId="29BAA8CD" w14:textId="77777777" w:rsidR="008A23A2" w:rsidRPr="008A23A2" w:rsidRDefault="008A23A2" w:rsidP="00730FDF">
      <w:pPr>
        <w:jc w:val="both"/>
        <w:rPr>
          <w:lang w:val="de-DE"/>
        </w:rPr>
      </w:pPr>
      <w:r w:rsidRPr="008A23A2">
        <w:rPr>
          <w:lang w:val="de-DE"/>
        </w:rPr>
        <w:t xml:space="preserve">[1] G. R. Fulmer, A. J. M. Miller, N. H. Sherden, H. E. Gottlieb, A. Nudelman, B. M. Stoltz, J. E. Bercaw, K. I. Goldberg, </w:t>
      </w:r>
      <w:r w:rsidRPr="008A23A2">
        <w:rPr>
          <w:i/>
          <w:lang w:val="de-DE"/>
        </w:rPr>
        <w:t>Organometallics</w:t>
      </w:r>
      <w:r w:rsidRPr="008A23A2">
        <w:rPr>
          <w:lang w:val="de-DE"/>
        </w:rPr>
        <w:t xml:space="preserve"> </w:t>
      </w:r>
      <w:r w:rsidRPr="008A23A2">
        <w:rPr>
          <w:b/>
          <w:lang w:val="de-DE"/>
        </w:rPr>
        <w:t>2010</w:t>
      </w:r>
      <w:r w:rsidRPr="008A23A2">
        <w:rPr>
          <w:lang w:val="de-DE"/>
        </w:rPr>
        <w:t xml:space="preserve">, </w:t>
      </w:r>
      <w:r w:rsidRPr="008A23A2">
        <w:rPr>
          <w:i/>
          <w:lang w:val="de-DE"/>
        </w:rPr>
        <w:t>29</w:t>
      </w:r>
      <w:r w:rsidRPr="008A23A2">
        <w:rPr>
          <w:lang w:val="de-DE"/>
        </w:rPr>
        <w:t>, 2176-2179.</w:t>
      </w:r>
    </w:p>
    <w:p w14:paraId="78EA8255" w14:textId="77777777" w:rsidR="008A23A2" w:rsidRPr="008A23A2" w:rsidRDefault="008A23A2" w:rsidP="00730FDF">
      <w:pPr>
        <w:jc w:val="both"/>
        <w:rPr>
          <w:lang w:val="de-DE"/>
        </w:rPr>
      </w:pPr>
      <w:r w:rsidRPr="008A23A2">
        <w:rPr>
          <w:lang w:val="de-DE"/>
        </w:rPr>
        <w:t>[2]</w:t>
      </w:r>
      <w:bookmarkStart w:id="4" w:name="_CTVL0016f7fc7bcbce3448db3888a6796b43c7e"/>
      <w:r w:rsidRPr="008A23A2">
        <w:rPr>
          <w:lang w:val="de-DE"/>
        </w:rPr>
        <w:t xml:space="preserve"> M. Wyszogrodzka, R. Haag, </w:t>
      </w:r>
      <w:bookmarkEnd w:id="4"/>
      <w:r w:rsidRPr="008A23A2">
        <w:rPr>
          <w:i/>
          <w:lang w:val="de-DE"/>
        </w:rPr>
        <w:t>Chem. Eur. J.</w:t>
      </w:r>
      <w:r w:rsidRPr="008A23A2">
        <w:rPr>
          <w:lang w:val="de-DE"/>
        </w:rPr>
        <w:t xml:space="preserve"> </w:t>
      </w:r>
      <w:r w:rsidRPr="008A23A2">
        <w:rPr>
          <w:b/>
          <w:lang w:val="de-DE"/>
        </w:rPr>
        <w:t>2008</w:t>
      </w:r>
      <w:r w:rsidRPr="008A23A2">
        <w:rPr>
          <w:lang w:val="de-DE"/>
        </w:rPr>
        <w:t xml:space="preserve">, </w:t>
      </w:r>
      <w:r w:rsidRPr="008A23A2">
        <w:rPr>
          <w:i/>
          <w:lang w:val="de-DE"/>
        </w:rPr>
        <w:t>14</w:t>
      </w:r>
      <w:r w:rsidRPr="008A23A2">
        <w:rPr>
          <w:lang w:val="de-DE"/>
        </w:rPr>
        <w:t>, 9202 – 9214.</w:t>
      </w:r>
    </w:p>
    <w:p w14:paraId="002A951B" w14:textId="77777777" w:rsidR="008A23A2" w:rsidRPr="008A23A2" w:rsidRDefault="008A23A2" w:rsidP="00730FDF">
      <w:pPr>
        <w:jc w:val="both"/>
        <w:rPr>
          <w:lang w:val="de-DE"/>
        </w:rPr>
      </w:pPr>
    </w:p>
    <w:sectPr w:rsidR="008A23A2" w:rsidRPr="008A23A2" w:rsidSect="00D646F4">
      <w:footerReference w:type="default" r:id="rId3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E38646" w14:textId="77777777" w:rsidR="0064113A" w:rsidRDefault="0064113A" w:rsidP="00410782">
      <w:pPr>
        <w:spacing w:after="0" w:line="240" w:lineRule="auto"/>
      </w:pPr>
      <w:r>
        <w:separator/>
      </w:r>
    </w:p>
  </w:endnote>
  <w:endnote w:type="continuationSeparator" w:id="0">
    <w:p w14:paraId="1B252437" w14:textId="77777777" w:rsidR="0064113A" w:rsidRDefault="0064113A" w:rsidP="004107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no Pro">
    <w:altName w:val="Cambria"/>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96733915"/>
      <w:docPartObj>
        <w:docPartGallery w:val="Page Numbers (Bottom of Page)"/>
        <w:docPartUnique/>
      </w:docPartObj>
    </w:sdtPr>
    <w:sdtEndPr>
      <w:rPr>
        <w:noProof/>
      </w:rPr>
    </w:sdtEndPr>
    <w:sdtContent>
      <w:p w14:paraId="0046F099" w14:textId="693AAD4A" w:rsidR="00B81525" w:rsidRDefault="00B81525">
        <w:pPr>
          <w:pStyle w:val="Fuzeile"/>
          <w:jc w:val="right"/>
        </w:pPr>
        <w:r>
          <w:fldChar w:fldCharType="begin"/>
        </w:r>
        <w:r>
          <w:instrText xml:space="preserve"> PAGE   \* MERGEFORMAT </w:instrText>
        </w:r>
        <w:r>
          <w:fldChar w:fldCharType="separate"/>
        </w:r>
        <w:r>
          <w:rPr>
            <w:noProof/>
          </w:rPr>
          <w:t>1</w:t>
        </w:r>
        <w:r>
          <w:rPr>
            <w:noProof/>
          </w:rPr>
          <w:fldChar w:fldCharType="end"/>
        </w:r>
      </w:p>
    </w:sdtContent>
  </w:sdt>
  <w:p w14:paraId="33DBA9AE" w14:textId="77777777" w:rsidR="00B81525" w:rsidRDefault="00B8152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FEB1BF" w14:textId="77777777" w:rsidR="0064113A" w:rsidRDefault="0064113A" w:rsidP="00410782">
      <w:pPr>
        <w:spacing w:after="0" w:line="240" w:lineRule="auto"/>
      </w:pPr>
      <w:r>
        <w:separator/>
      </w:r>
    </w:p>
  </w:footnote>
  <w:footnote w:type="continuationSeparator" w:id="0">
    <w:p w14:paraId="7BF6DC73" w14:textId="77777777" w:rsidR="0064113A" w:rsidRDefault="0064113A" w:rsidP="004107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EF1FBC"/>
    <w:multiLevelType w:val="hybridMultilevel"/>
    <w:tmpl w:val="3D4613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8CA3CD2"/>
    <w:multiLevelType w:val="hybridMultilevel"/>
    <w:tmpl w:val="F8766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702A5"/>
    <w:multiLevelType w:val="hybridMultilevel"/>
    <w:tmpl w:val="7DC6915A"/>
    <w:lvl w:ilvl="0" w:tplc="BFEEB2B0">
      <w:start w:val="1"/>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6D84AF9"/>
    <w:multiLevelType w:val="hybridMultilevel"/>
    <w:tmpl w:val="A34E7624"/>
    <w:lvl w:ilvl="0" w:tplc="AFF004A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776CED"/>
    <w:multiLevelType w:val="hybridMultilevel"/>
    <w:tmpl w:val="484040CE"/>
    <w:lvl w:ilvl="0" w:tplc="F0D6D036">
      <w:start w:val="4"/>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370DCC"/>
    <w:multiLevelType w:val="multilevel"/>
    <w:tmpl w:val="196EE8E6"/>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3EB147FD"/>
    <w:multiLevelType w:val="hybridMultilevel"/>
    <w:tmpl w:val="B63241F6"/>
    <w:lvl w:ilvl="0" w:tplc="F9B8B170">
      <w:start w:val="1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EB60825"/>
    <w:multiLevelType w:val="hybridMultilevel"/>
    <w:tmpl w:val="2772ACBC"/>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8" w15:restartNumberingAfterBreak="0">
    <w:nsid w:val="40151B9A"/>
    <w:multiLevelType w:val="hybridMultilevel"/>
    <w:tmpl w:val="DC265498"/>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 w15:restartNumberingAfterBreak="0">
    <w:nsid w:val="47000F1B"/>
    <w:multiLevelType w:val="multilevel"/>
    <w:tmpl w:val="40E4E1E0"/>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4ECF2AA1"/>
    <w:multiLevelType w:val="hybridMultilevel"/>
    <w:tmpl w:val="FEEC3438"/>
    <w:lvl w:ilvl="0" w:tplc="1636900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016334C"/>
    <w:multiLevelType w:val="multilevel"/>
    <w:tmpl w:val="40E4E1E0"/>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52CE7F51"/>
    <w:multiLevelType w:val="multilevel"/>
    <w:tmpl w:val="40E4E1E0"/>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5E6D49FD"/>
    <w:multiLevelType w:val="hybridMultilevel"/>
    <w:tmpl w:val="EE1431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64DA5908"/>
    <w:multiLevelType w:val="hybridMultilevel"/>
    <w:tmpl w:val="ED9AF6C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671438C7"/>
    <w:multiLevelType w:val="multilevel"/>
    <w:tmpl w:val="EC94B1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3A4941"/>
    <w:multiLevelType w:val="hybridMultilevel"/>
    <w:tmpl w:val="295C2C14"/>
    <w:lvl w:ilvl="0" w:tplc="F4560716">
      <w:numFmt w:val="bullet"/>
      <w:lvlText w:val=""/>
      <w:lvlJc w:val="left"/>
      <w:pPr>
        <w:ind w:left="720" w:hanging="360"/>
      </w:pPr>
      <w:rPr>
        <w:rFonts w:ascii="Symbol" w:eastAsiaTheme="minorHAnsi" w:hAnsi="Symbol" w:cs="Aria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7" w15:restartNumberingAfterBreak="0">
    <w:nsid w:val="6BAF55E4"/>
    <w:multiLevelType w:val="multilevel"/>
    <w:tmpl w:val="40E4E1E0"/>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72271238"/>
    <w:multiLevelType w:val="hybridMultilevel"/>
    <w:tmpl w:val="BA7A7B28"/>
    <w:lvl w:ilvl="0" w:tplc="468275C0">
      <w:start w:val="3"/>
      <w:numFmt w:val="bullet"/>
      <w:lvlText w:val=""/>
      <w:lvlJc w:val="left"/>
      <w:pPr>
        <w:ind w:left="720" w:hanging="360"/>
      </w:pPr>
      <w:rPr>
        <w:rFonts w:ascii="Symbol" w:eastAsiaTheme="minorHAnsi" w:hAnsi="Symbol" w:cs="Aria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9" w15:restartNumberingAfterBreak="0">
    <w:nsid w:val="76D87F85"/>
    <w:multiLevelType w:val="hybridMultilevel"/>
    <w:tmpl w:val="18FA7D5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2118673296">
    <w:abstractNumId w:val="8"/>
  </w:num>
  <w:num w:numId="2" w16cid:durableId="637612531">
    <w:abstractNumId w:val="4"/>
  </w:num>
  <w:num w:numId="3" w16cid:durableId="460465813">
    <w:abstractNumId w:val="5"/>
  </w:num>
  <w:num w:numId="4" w16cid:durableId="1098915335">
    <w:abstractNumId w:val="0"/>
  </w:num>
  <w:num w:numId="5" w16cid:durableId="2082831661">
    <w:abstractNumId w:val="14"/>
  </w:num>
  <w:num w:numId="6" w16cid:durableId="1730764499">
    <w:abstractNumId w:val="9"/>
  </w:num>
  <w:num w:numId="7" w16cid:durableId="1202791266">
    <w:abstractNumId w:val="11"/>
  </w:num>
  <w:num w:numId="8" w16cid:durableId="142620382">
    <w:abstractNumId w:val="18"/>
  </w:num>
  <w:num w:numId="9" w16cid:durableId="1532645106">
    <w:abstractNumId w:val="6"/>
  </w:num>
  <w:num w:numId="10" w16cid:durableId="713115611">
    <w:abstractNumId w:val="12"/>
  </w:num>
  <w:num w:numId="11" w16cid:durableId="207257089">
    <w:abstractNumId w:val="17"/>
  </w:num>
  <w:num w:numId="12" w16cid:durableId="1328897371">
    <w:abstractNumId w:val="13"/>
  </w:num>
  <w:num w:numId="13" w16cid:durableId="1526869423">
    <w:abstractNumId w:val="2"/>
  </w:num>
  <w:num w:numId="14" w16cid:durableId="1551457784">
    <w:abstractNumId w:val="16"/>
  </w:num>
  <w:num w:numId="15" w16cid:durableId="1423455810">
    <w:abstractNumId w:val="3"/>
  </w:num>
  <w:num w:numId="16" w16cid:durableId="1660814965">
    <w:abstractNumId w:val="10"/>
  </w:num>
  <w:num w:numId="17" w16cid:durableId="104808879">
    <w:abstractNumId w:val="1"/>
  </w:num>
  <w:num w:numId="18" w16cid:durableId="1491867879">
    <w:abstractNumId w:val="7"/>
  </w:num>
  <w:num w:numId="19" w16cid:durableId="1884173481">
    <w:abstractNumId w:val="15"/>
  </w:num>
  <w:num w:numId="20" w16cid:durableId="106445420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sDAyMzY3MzAzMzEwMTNV0lEKTi0uzszPAykwM6gFAAEQm68tAAAA"/>
  </w:docVars>
  <w:rsids>
    <w:rsidRoot w:val="00D2280C"/>
    <w:rsid w:val="00004433"/>
    <w:rsid w:val="00004472"/>
    <w:rsid w:val="00011AF4"/>
    <w:rsid w:val="000120B1"/>
    <w:rsid w:val="000121B4"/>
    <w:rsid w:val="0001477D"/>
    <w:rsid w:val="00016582"/>
    <w:rsid w:val="00016A1F"/>
    <w:rsid w:val="00016A74"/>
    <w:rsid w:val="00020074"/>
    <w:rsid w:val="000200B3"/>
    <w:rsid w:val="000208C6"/>
    <w:rsid w:val="00022C82"/>
    <w:rsid w:val="000247BC"/>
    <w:rsid w:val="00024819"/>
    <w:rsid w:val="00024939"/>
    <w:rsid w:val="00025942"/>
    <w:rsid w:val="0003012A"/>
    <w:rsid w:val="000362E6"/>
    <w:rsid w:val="0004140F"/>
    <w:rsid w:val="00041C89"/>
    <w:rsid w:val="00042851"/>
    <w:rsid w:val="000446EE"/>
    <w:rsid w:val="00045887"/>
    <w:rsid w:val="00047B2E"/>
    <w:rsid w:val="000509CF"/>
    <w:rsid w:val="00052814"/>
    <w:rsid w:val="00053FD6"/>
    <w:rsid w:val="00054B0B"/>
    <w:rsid w:val="00054C77"/>
    <w:rsid w:val="00055D9A"/>
    <w:rsid w:val="00057296"/>
    <w:rsid w:val="00060808"/>
    <w:rsid w:val="000612B4"/>
    <w:rsid w:val="00066395"/>
    <w:rsid w:val="00066DA5"/>
    <w:rsid w:val="00075F6D"/>
    <w:rsid w:val="00082C9D"/>
    <w:rsid w:val="00083203"/>
    <w:rsid w:val="00084F2A"/>
    <w:rsid w:val="0008512B"/>
    <w:rsid w:val="000860FC"/>
    <w:rsid w:val="000913F2"/>
    <w:rsid w:val="00091C7C"/>
    <w:rsid w:val="00095BB0"/>
    <w:rsid w:val="00096E17"/>
    <w:rsid w:val="00097564"/>
    <w:rsid w:val="000A39BB"/>
    <w:rsid w:val="000A42E5"/>
    <w:rsid w:val="000A51B2"/>
    <w:rsid w:val="000A6BCF"/>
    <w:rsid w:val="000A7C22"/>
    <w:rsid w:val="000B218F"/>
    <w:rsid w:val="000B30AD"/>
    <w:rsid w:val="000B45AC"/>
    <w:rsid w:val="000B4904"/>
    <w:rsid w:val="000B507E"/>
    <w:rsid w:val="000C0CF4"/>
    <w:rsid w:val="000C0E01"/>
    <w:rsid w:val="000C22D4"/>
    <w:rsid w:val="000C2C2C"/>
    <w:rsid w:val="000C2C5B"/>
    <w:rsid w:val="000C5042"/>
    <w:rsid w:val="000C6A0D"/>
    <w:rsid w:val="000C7621"/>
    <w:rsid w:val="000D037D"/>
    <w:rsid w:val="000D16CB"/>
    <w:rsid w:val="000D214D"/>
    <w:rsid w:val="000D31DC"/>
    <w:rsid w:val="000D44CF"/>
    <w:rsid w:val="000D4FAA"/>
    <w:rsid w:val="000D5E9F"/>
    <w:rsid w:val="000D7260"/>
    <w:rsid w:val="000E5D13"/>
    <w:rsid w:val="000E7258"/>
    <w:rsid w:val="000F098F"/>
    <w:rsid w:val="000F1257"/>
    <w:rsid w:val="000F2DC1"/>
    <w:rsid w:val="000F453B"/>
    <w:rsid w:val="00100DE2"/>
    <w:rsid w:val="00101B63"/>
    <w:rsid w:val="00101F36"/>
    <w:rsid w:val="00102A74"/>
    <w:rsid w:val="00102ABD"/>
    <w:rsid w:val="00102CB6"/>
    <w:rsid w:val="00103DE8"/>
    <w:rsid w:val="00104488"/>
    <w:rsid w:val="00105384"/>
    <w:rsid w:val="001073F4"/>
    <w:rsid w:val="00110603"/>
    <w:rsid w:val="00110F49"/>
    <w:rsid w:val="001137C5"/>
    <w:rsid w:val="00113964"/>
    <w:rsid w:val="001139C3"/>
    <w:rsid w:val="0011563A"/>
    <w:rsid w:val="00116017"/>
    <w:rsid w:val="001216D3"/>
    <w:rsid w:val="001226C0"/>
    <w:rsid w:val="001231C3"/>
    <w:rsid w:val="00123D99"/>
    <w:rsid w:val="00124163"/>
    <w:rsid w:val="00125380"/>
    <w:rsid w:val="00125A7C"/>
    <w:rsid w:val="0012604F"/>
    <w:rsid w:val="00130CD1"/>
    <w:rsid w:val="001310BC"/>
    <w:rsid w:val="001324FA"/>
    <w:rsid w:val="00134EDF"/>
    <w:rsid w:val="00135A4A"/>
    <w:rsid w:val="00137A17"/>
    <w:rsid w:val="00140837"/>
    <w:rsid w:val="0014118B"/>
    <w:rsid w:val="00141EE8"/>
    <w:rsid w:val="00141FCB"/>
    <w:rsid w:val="00143203"/>
    <w:rsid w:val="00144E85"/>
    <w:rsid w:val="00151401"/>
    <w:rsid w:val="00151F61"/>
    <w:rsid w:val="0015214E"/>
    <w:rsid w:val="00153D67"/>
    <w:rsid w:val="001544E4"/>
    <w:rsid w:val="001549CD"/>
    <w:rsid w:val="00156BBE"/>
    <w:rsid w:val="00157DD2"/>
    <w:rsid w:val="00160550"/>
    <w:rsid w:val="0016057E"/>
    <w:rsid w:val="00160928"/>
    <w:rsid w:val="0016305B"/>
    <w:rsid w:val="00164479"/>
    <w:rsid w:val="0016572C"/>
    <w:rsid w:val="00165AFE"/>
    <w:rsid w:val="00170B34"/>
    <w:rsid w:val="00172CB3"/>
    <w:rsid w:val="00173955"/>
    <w:rsid w:val="00174ECD"/>
    <w:rsid w:val="00175BD9"/>
    <w:rsid w:val="00180710"/>
    <w:rsid w:val="001811E9"/>
    <w:rsid w:val="00182163"/>
    <w:rsid w:val="001822B0"/>
    <w:rsid w:val="00182DD6"/>
    <w:rsid w:val="00186922"/>
    <w:rsid w:val="00187C58"/>
    <w:rsid w:val="0019050C"/>
    <w:rsid w:val="00190DF0"/>
    <w:rsid w:val="00190F13"/>
    <w:rsid w:val="00191CF0"/>
    <w:rsid w:val="00191D6C"/>
    <w:rsid w:val="0019247D"/>
    <w:rsid w:val="00194831"/>
    <w:rsid w:val="00195C96"/>
    <w:rsid w:val="001975ED"/>
    <w:rsid w:val="001A0C1E"/>
    <w:rsid w:val="001A1B21"/>
    <w:rsid w:val="001A4854"/>
    <w:rsid w:val="001B2840"/>
    <w:rsid w:val="001B38EF"/>
    <w:rsid w:val="001B79BF"/>
    <w:rsid w:val="001C06B2"/>
    <w:rsid w:val="001C22CE"/>
    <w:rsid w:val="001C2D5C"/>
    <w:rsid w:val="001C4637"/>
    <w:rsid w:val="001C6796"/>
    <w:rsid w:val="001C7303"/>
    <w:rsid w:val="001C7F4E"/>
    <w:rsid w:val="001D05AA"/>
    <w:rsid w:val="001D2FC4"/>
    <w:rsid w:val="001D3CBB"/>
    <w:rsid w:val="001D535C"/>
    <w:rsid w:val="001E0B94"/>
    <w:rsid w:val="001E25F0"/>
    <w:rsid w:val="001E35AA"/>
    <w:rsid w:val="001E4CD3"/>
    <w:rsid w:val="001E7953"/>
    <w:rsid w:val="001F1C40"/>
    <w:rsid w:val="001F1CE1"/>
    <w:rsid w:val="001F2D5E"/>
    <w:rsid w:val="001F5C13"/>
    <w:rsid w:val="001F7608"/>
    <w:rsid w:val="001F7756"/>
    <w:rsid w:val="002007EC"/>
    <w:rsid w:val="00201492"/>
    <w:rsid w:val="00201BA4"/>
    <w:rsid w:val="002042BE"/>
    <w:rsid w:val="00205A2E"/>
    <w:rsid w:val="002130C5"/>
    <w:rsid w:val="002131E0"/>
    <w:rsid w:val="00217B00"/>
    <w:rsid w:val="0022310A"/>
    <w:rsid w:val="002241FC"/>
    <w:rsid w:val="00224234"/>
    <w:rsid w:val="002275B0"/>
    <w:rsid w:val="00227AC0"/>
    <w:rsid w:val="002304CB"/>
    <w:rsid w:val="0023078B"/>
    <w:rsid w:val="00233062"/>
    <w:rsid w:val="00233F48"/>
    <w:rsid w:val="00236245"/>
    <w:rsid w:val="00236DC6"/>
    <w:rsid w:val="002376D9"/>
    <w:rsid w:val="00240B5A"/>
    <w:rsid w:val="002421EB"/>
    <w:rsid w:val="00242D9E"/>
    <w:rsid w:val="00243FCB"/>
    <w:rsid w:val="0024414C"/>
    <w:rsid w:val="0024523A"/>
    <w:rsid w:val="002522EE"/>
    <w:rsid w:val="00252BB8"/>
    <w:rsid w:val="00254009"/>
    <w:rsid w:val="00254B0B"/>
    <w:rsid w:val="0025575E"/>
    <w:rsid w:val="00257883"/>
    <w:rsid w:val="002612A7"/>
    <w:rsid w:val="00263CBE"/>
    <w:rsid w:val="002661CF"/>
    <w:rsid w:val="00266489"/>
    <w:rsid w:val="002672AD"/>
    <w:rsid w:val="00270276"/>
    <w:rsid w:val="0027092E"/>
    <w:rsid w:val="0027531C"/>
    <w:rsid w:val="002760C0"/>
    <w:rsid w:val="002762C5"/>
    <w:rsid w:val="002764E9"/>
    <w:rsid w:val="00277352"/>
    <w:rsid w:val="0028032A"/>
    <w:rsid w:val="00287422"/>
    <w:rsid w:val="00290404"/>
    <w:rsid w:val="002907FE"/>
    <w:rsid w:val="00294F86"/>
    <w:rsid w:val="00295019"/>
    <w:rsid w:val="00296689"/>
    <w:rsid w:val="00296810"/>
    <w:rsid w:val="00297B39"/>
    <w:rsid w:val="002A0912"/>
    <w:rsid w:val="002A1F2A"/>
    <w:rsid w:val="002A23B1"/>
    <w:rsid w:val="002A38DF"/>
    <w:rsid w:val="002A4865"/>
    <w:rsid w:val="002A5338"/>
    <w:rsid w:val="002A5A82"/>
    <w:rsid w:val="002A6451"/>
    <w:rsid w:val="002A733D"/>
    <w:rsid w:val="002A78DB"/>
    <w:rsid w:val="002A7B93"/>
    <w:rsid w:val="002A7B9D"/>
    <w:rsid w:val="002B0646"/>
    <w:rsid w:val="002B1CA4"/>
    <w:rsid w:val="002B21CC"/>
    <w:rsid w:val="002B290A"/>
    <w:rsid w:val="002B3112"/>
    <w:rsid w:val="002B325D"/>
    <w:rsid w:val="002B4ADD"/>
    <w:rsid w:val="002B559D"/>
    <w:rsid w:val="002B56E2"/>
    <w:rsid w:val="002B5F05"/>
    <w:rsid w:val="002C0FB6"/>
    <w:rsid w:val="002C27FD"/>
    <w:rsid w:val="002C2ACC"/>
    <w:rsid w:val="002C3946"/>
    <w:rsid w:val="002C3A42"/>
    <w:rsid w:val="002C42DF"/>
    <w:rsid w:val="002C5A9B"/>
    <w:rsid w:val="002C73D8"/>
    <w:rsid w:val="002C73DD"/>
    <w:rsid w:val="002C7468"/>
    <w:rsid w:val="002C780D"/>
    <w:rsid w:val="002D1873"/>
    <w:rsid w:val="002E3338"/>
    <w:rsid w:val="002F130A"/>
    <w:rsid w:val="002F26FC"/>
    <w:rsid w:val="002F3BB3"/>
    <w:rsid w:val="002F5F88"/>
    <w:rsid w:val="00300737"/>
    <w:rsid w:val="00300EF9"/>
    <w:rsid w:val="003023A0"/>
    <w:rsid w:val="00304362"/>
    <w:rsid w:val="00306ADA"/>
    <w:rsid w:val="00306E36"/>
    <w:rsid w:val="00307452"/>
    <w:rsid w:val="00310FFB"/>
    <w:rsid w:val="00311091"/>
    <w:rsid w:val="00314183"/>
    <w:rsid w:val="00315021"/>
    <w:rsid w:val="00317C11"/>
    <w:rsid w:val="00322131"/>
    <w:rsid w:val="00324491"/>
    <w:rsid w:val="00325D67"/>
    <w:rsid w:val="003261D2"/>
    <w:rsid w:val="003263B1"/>
    <w:rsid w:val="003309C5"/>
    <w:rsid w:val="003331D0"/>
    <w:rsid w:val="00334E2C"/>
    <w:rsid w:val="00335242"/>
    <w:rsid w:val="00335472"/>
    <w:rsid w:val="0033679C"/>
    <w:rsid w:val="0034103C"/>
    <w:rsid w:val="003422D5"/>
    <w:rsid w:val="003423F0"/>
    <w:rsid w:val="003441AD"/>
    <w:rsid w:val="003443E4"/>
    <w:rsid w:val="003457D0"/>
    <w:rsid w:val="003501A3"/>
    <w:rsid w:val="00350741"/>
    <w:rsid w:val="00353C7A"/>
    <w:rsid w:val="00353D2F"/>
    <w:rsid w:val="003547F7"/>
    <w:rsid w:val="00355339"/>
    <w:rsid w:val="00356548"/>
    <w:rsid w:val="00357B79"/>
    <w:rsid w:val="00357CBA"/>
    <w:rsid w:val="0036250A"/>
    <w:rsid w:val="00362853"/>
    <w:rsid w:val="00363C17"/>
    <w:rsid w:val="003651AC"/>
    <w:rsid w:val="00366DC2"/>
    <w:rsid w:val="00371760"/>
    <w:rsid w:val="00372156"/>
    <w:rsid w:val="00373AEE"/>
    <w:rsid w:val="00373E40"/>
    <w:rsid w:val="0037477B"/>
    <w:rsid w:val="00377019"/>
    <w:rsid w:val="00377742"/>
    <w:rsid w:val="00377B1B"/>
    <w:rsid w:val="003810B9"/>
    <w:rsid w:val="003819D2"/>
    <w:rsid w:val="00382D05"/>
    <w:rsid w:val="00383D8E"/>
    <w:rsid w:val="00390CA9"/>
    <w:rsid w:val="0039133F"/>
    <w:rsid w:val="00392614"/>
    <w:rsid w:val="0039399E"/>
    <w:rsid w:val="00394454"/>
    <w:rsid w:val="003951B7"/>
    <w:rsid w:val="003954E5"/>
    <w:rsid w:val="0039592D"/>
    <w:rsid w:val="003A0800"/>
    <w:rsid w:val="003A09C7"/>
    <w:rsid w:val="003A0D38"/>
    <w:rsid w:val="003A1571"/>
    <w:rsid w:val="003A1D06"/>
    <w:rsid w:val="003A283B"/>
    <w:rsid w:val="003A2F69"/>
    <w:rsid w:val="003A48C3"/>
    <w:rsid w:val="003A4F18"/>
    <w:rsid w:val="003A5889"/>
    <w:rsid w:val="003B3E5E"/>
    <w:rsid w:val="003B3FF9"/>
    <w:rsid w:val="003B67A3"/>
    <w:rsid w:val="003B6BC2"/>
    <w:rsid w:val="003B7297"/>
    <w:rsid w:val="003C0C63"/>
    <w:rsid w:val="003C3655"/>
    <w:rsid w:val="003C4D59"/>
    <w:rsid w:val="003D07D6"/>
    <w:rsid w:val="003D3221"/>
    <w:rsid w:val="003D7A5C"/>
    <w:rsid w:val="003E0741"/>
    <w:rsid w:val="003E0E14"/>
    <w:rsid w:val="003E19C7"/>
    <w:rsid w:val="003E2C55"/>
    <w:rsid w:val="003E2CED"/>
    <w:rsid w:val="003E5216"/>
    <w:rsid w:val="003E5A42"/>
    <w:rsid w:val="003E60A6"/>
    <w:rsid w:val="003E6113"/>
    <w:rsid w:val="003E6635"/>
    <w:rsid w:val="003E7BC8"/>
    <w:rsid w:val="003F0E16"/>
    <w:rsid w:val="003F261E"/>
    <w:rsid w:val="003F28FB"/>
    <w:rsid w:val="003F3747"/>
    <w:rsid w:val="003F431E"/>
    <w:rsid w:val="00403F48"/>
    <w:rsid w:val="00403FFF"/>
    <w:rsid w:val="00404408"/>
    <w:rsid w:val="00407CF1"/>
    <w:rsid w:val="00407F82"/>
    <w:rsid w:val="00410782"/>
    <w:rsid w:val="004110C2"/>
    <w:rsid w:val="004111A5"/>
    <w:rsid w:val="00412F80"/>
    <w:rsid w:val="00415FB0"/>
    <w:rsid w:val="004170AA"/>
    <w:rsid w:val="00417A71"/>
    <w:rsid w:val="00421AAF"/>
    <w:rsid w:val="004241D4"/>
    <w:rsid w:val="00431DFB"/>
    <w:rsid w:val="004402D4"/>
    <w:rsid w:val="0044168F"/>
    <w:rsid w:val="00443A09"/>
    <w:rsid w:val="00443ACD"/>
    <w:rsid w:val="00446993"/>
    <w:rsid w:val="004473D5"/>
    <w:rsid w:val="00450A25"/>
    <w:rsid w:val="00452BF3"/>
    <w:rsid w:val="004543C2"/>
    <w:rsid w:val="00454568"/>
    <w:rsid w:val="00454988"/>
    <w:rsid w:val="004578C1"/>
    <w:rsid w:val="004614F2"/>
    <w:rsid w:val="00462618"/>
    <w:rsid w:val="0046276B"/>
    <w:rsid w:val="00462A51"/>
    <w:rsid w:val="00464C3B"/>
    <w:rsid w:val="0046658A"/>
    <w:rsid w:val="004677C0"/>
    <w:rsid w:val="00470B48"/>
    <w:rsid w:val="00471056"/>
    <w:rsid w:val="0047167C"/>
    <w:rsid w:val="004759D8"/>
    <w:rsid w:val="00483668"/>
    <w:rsid w:val="00486AEE"/>
    <w:rsid w:val="00491474"/>
    <w:rsid w:val="00493A64"/>
    <w:rsid w:val="00495D43"/>
    <w:rsid w:val="004A07B2"/>
    <w:rsid w:val="004A0890"/>
    <w:rsid w:val="004A13C7"/>
    <w:rsid w:val="004A3507"/>
    <w:rsid w:val="004A3C1E"/>
    <w:rsid w:val="004A4407"/>
    <w:rsid w:val="004A595B"/>
    <w:rsid w:val="004B355B"/>
    <w:rsid w:val="004B5F46"/>
    <w:rsid w:val="004C1840"/>
    <w:rsid w:val="004C1FD3"/>
    <w:rsid w:val="004C479D"/>
    <w:rsid w:val="004C5AA0"/>
    <w:rsid w:val="004C6BEF"/>
    <w:rsid w:val="004D03F5"/>
    <w:rsid w:val="004D0FF8"/>
    <w:rsid w:val="004D10C3"/>
    <w:rsid w:val="004D385F"/>
    <w:rsid w:val="004D4E4E"/>
    <w:rsid w:val="004D63D6"/>
    <w:rsid w:val="004E3632"/>
    <w:rsid w:val="004E5E45"/>
    <w:rsid w:val="004E6227"/>
    <w:rsid w:val="004E660E"/>
    <w:rsid w:val="004F5BFC"/>
    <w:rsid w:val="004F5D6D"/>
    <w:rsid w:val="004F758E"/>
    <w:rsid w:val="00500B61"/>
    <w:rsid w:val="005019D8"/>
    <w:rsid w:val="00502014"/>
    <w:rsid w:val="00504DE9"/>
    <w:rsid w:val="005057DF"/>
    <w:rsid w:val="005148CC"/>
    <w:rsid w:val="00516234"/>
    <w:rsid w:val="005172BE"/>
    <w:rsid w:val="00521BFE"/>
    <w:rsid w:val="005225DF"/>
    <w:rsid w:val="00522B1F"/>
    <w:rsid w:val="00527E7B"/>
    <w:rsid w:val="00530477"/>
    <w:rsid w:val="00532C2E"/>
    <w:rsid w:val="00533C90"/>
    <w:rsid w:val="00535217"/>
    <w:rsid w:val="005359E4"/>
    <w:rsid w:val="00535C32"/>
    <w:rsid w:val="005377CA"/>
    <w:rsid w:val="00540958"/>
    <w:rsid w:val="00543F44"/>
    <w:rsid w:val="00546906"/>
    <w:rsid w:val="00550C56"/>
    <w:rsid w:val="00551B35"/>
    <w:rsid w:val="00553669"/>
    <w:rsid w:val="005556BE"/>
    <w:rsid w:val="00555A47"/>
    <w:rsid w:val="005561E7"/>
    <w:rsid w:val="005576F7"/>
    <w:rsid w:val="005617F2"/>
    <w:rsid w:val="00562F25"/>
    <w:rsid w:val="0056347B"/>
    <w:rsid w:val="00563F3B"/>
    <w:rsid w:val="00563F8D"/>
    <w:rsid w:val="00564716"/>
    <w:rsid w:val="00564C72"/>
    <w:rsid w:val="00565EC3"/>
    <w:rsid w:val="0056681E"/>
    <w:rsid w:val="005704C3"/>
    <w:rsid w:val="00571AE1"/>
    <w:rsid w:val="00571B0A"/>
    <w:rsid w:val="00572A2A"/>
    <w:rsid w:val="00573BB3"/>
    <w:rsid w:val="00573CEC"/>
    <w:rsid w:val="00573E79"/>
    <w:rsid w:val="005803C6"/>
    <w:rsid w:val="00581976"/>
    <w:rsid w:val="00582CE6"/>
    <w:rsid w:val="00583359"/>
    <w:rsid w:val="005868B4"/>
    <w:rsid w:val="0058698D"/>
    <w:rsid w:val="00590CEA"/>
    <w:rsid w:val="0059174B"/>
    <w:rsid w:val="005927E8"/>
    <w:rsid w:val="005939DE"/>
    <w:rsid w:val="00594AC0"/>
    <w:rsid w:val="00596740"/>
    <w:rsid w:val="005977F0"/>
    <w:rsid w:val="005A2BD1"/>
    <w:rsid w:val="005A449D"/>
    <w:rsid w:val="005A66D0"/>
    <w:rsid w:val="005A6B90"/>
    <w:rsid w:val="005A7861"/>
    <w:rsid w:val="005B185B"/>
    <w:rsid w:val="005B1CF8"/>
    <w:rsid w:val="005B5250"/>
    <w:rsid w:val="005B52EF"/>
    <w:rsid w:val="005B63B2"/>
    <w:rsid w:val="005B6B3B"/>
    <w:rsid w:val="005B7E42"/>
    <w:rsid w:val="005C068C"/>
    <w:rsid w:val="005C07AB"/>
    <w:rsid w:val="005C08AE"/>
    <w:rsid w:val="005C16F6"/>
    <w:rsid w:val="005C5297"/>
    <w:rsid w:val="005C5ACC"/>
    <w:rsid w:val="005C6547"/>
    <w:rsid w:val="005C67E1"/>
    <w:rsid w:val="005C74C3"/>
    <w:rsid w:val="005D0B46"/>
    <w:rsid w:val="005D2A80"/>
    <w:rsid w:val="005D5A31"/>
    <w:rsid w:val="005D7A07"/>
    <w:rsid w:val="005E032D"/>
    <w:rsid w:val="005E1F04"/>
    <w:rsid w:val="005E1F90"/>
    <w:rsid w:val="005E2181"/>
    <w:rsid w:val="005E3791"/>
    <w:rsid w:val="005E5091"/>
    <w:rsid w:val="005E5326"/>
    <w:rsid w:val="005E697B"/>
    <w:rsid w:val="005E71EA"/>
    <w:rsid w:val="005E7E7A"/>
    <w:rsid w:val="005F15C6"/>
    <w:rsid w:val="005F1BC0"/>
    <w:rsid w:val="005F21E4"/>
    <w:rsid w:val="005F36A0"/>
    <w:rsid w:val="0060023D"/>
    <w:rsid w:val="0060072F"/>
    <w:rsid w:val="00601D98"/>
    <w:rsid w:val="0060312C"/>
    <w:rsid w:val="006035AF"/>
    <w:rsid w:val="00604DA5"/>
    <w:rsid w:val="006060F3"/>
    <w:rsid w:val="0060744B"/>
    <w:rsid w:val="0061067A"/>
    <w:rsid w:val="00611B83"/>
    <w:rsid w:val="00612B2A"/>
    <w:rsid w:val="0061373B"/>
    <w:rsid w:val="006138F9"/>
    <w:rsid w:val="006154EC"/>
    <w:rsid w:val="00615C5D"/>
    <w:rsid w:val="00616FD0"/>
    <w:rsid w:val="00617BA5"/>
    <w:rsid w:val="0062084E"/>
    <w:rsid w:val="00627309"/>
    <w:rsid w:val="006278C6"/>
    <w:rsid w:val="006278D7"/>
    <w:rsid w:val="006305A0"/>
    <w:rsid w:val="00634361"/>
    <w:rsid w:val="0064113A"/>
    <w:rsid w:val="00643B8C"/>
    <w:rsid w:val="00644012"/>
    <w:rsid w:val="00644BB1"/>
    <w:rsid w:val="00644CF6"/>
    <w:rsid w:val="0064620C"/>
    <w:rsid w:val="0065228F"/>
    <w:rsid w:val="006527C1"/>
    <w:rsid w:val="00653002"/>
    <w:rsid w:val="006535D3"/>
    <w:rsid w:val="00653723"/>
    <w:rsid w:val="00654A2F"/>
    <w:rsid w:val="0065522B"/>
    <w:rsid w:val="00655D6E"/>
    <w:rsid w:val="00655E8A"/>
    <w:rsid w:val="00657F70"/>
    <w:rsid w:val="00661204"/>
    <w:rsid w:val="00661825"/>
    <w:rsid w:val="00661C26"/>
    <w:rsid w:val="006620FF"/>
    <w:rsid w:val="00664D4F"/>
    <w:rsid w:val="00665AC0"/>
    <w:rsid w:val="00667390"/>
    <w:rsid w:val="00667F8E"/>
    <w:rsid w:val="00673F87"/>
    <w:rsid w:val="006767BE"/>
    <w:rsid w:val="006816D5"/>
    <w:rsid w:val="00681906"/>
    <w:rsid w:val="006827BA"/>
    <w:rsid w:val="00682ED8"/>
    <w:rsid w:val="00683366"/>
    <w:rsid w:val="00683444"/>
    <w:rsid w:val="006843BC"/>
    <w:rsid w:val="00684ACE"/>
    <w:rsid w:val="00686D06"/>
    <w:rsid w:val="006912EF"/>
    <w:rsid w:val="00694841"/>
    <w:rsid w:val="0069512C"/>
    <w:rsid w:val="0069679B"/>
    <w:rsid w:val="00696D05"/>
    <w:rsid w:val="00696FB1"/>
    <w:rsid w:val="006971E7"/>
    <w:rsid w:val="006A1282"/>
    <w:rsid w:val="006A2837"/>
    <w:rsid w:val="006A49A3"/>
    <w:rsid w:val="006A59A0"/>
    <w:rsid w:val="006A68E8"/>
    <w:rsid w:val="006B4A50"/>
    <w:rsid w:val="006B6DB1"/>
    <w:rsid w:val="006B77BC"/>
    <w:rsid w:val="006B79C7"/>
    <w:rsid w:val="006B7A8B"/>
    <w:rsid w:val="006C062B"/>
    <w:rsid w:val="006C0A8E"/>
    <w:rsid w:val="006C208C"/>
    <w:rsid w:val="006C3AB1"/>
    <w:rsid w:val="006C46F1"/>
    <w:rsid w:val="006C7B29"/>
    <w:rsid w:val="006C7FCE"/>
    <w:rsid w:val="006D07FD"/>
    <w:rsid w:val="006D3177"/>
    <w:rsid w:val="006D78F2"/>
    <w:rsid w:val="006E3791"/>
    <w:rsid w:val="006E7B38"/>
    <w:rsid w:val="006F1CC1"/>
    <w:rsid w:val="006F29B4"/>
    <w:rsid w:val="006F2B33"/>
    <w:rsid w:val="006F2FD4"/>
    <w:rsid w:val="006F6106"/>
    <w:rsid w:val="006F7286"/>
    <w:rsid w:val="006F7506"/>
    <w:rsid w:val="006F7B5D"/>
    <w:rsid w:val="006F7DBE"/>
    <w:rsid w:val="00701038"/>
    <w:rsid w:val="00702A39"/>
    <w:rsid w:val="00704A29"/>
    <w:rsid w:val="007053C9"/>
    <w:rsid w:val="00705BA0"/>
    <w:rsid w:val="00705C7D"/>
    <w:rsid w:val="0070794B"/>
    <w:rsid w:val="00711C18"/>
    <w:rsid w:val="00712865"/>
    <w:rsid w:val="0071541A"/>
    <w:rsid w:val="00716B7B"/>
    <w:rsid w:val="00720815"/>
    <w:rsid w:val="00721734"/>
    <w:rsid w:val="00721CB6"/>
    <w:rsid w:val="007234BC"/>
    <w:rsid w:val="007238D5"/>
    <w:rsid w:val="00725A18"/>
    <w:rsid w:val="00727620"/>
    <w:rsid w:val="00730FDF"/>
    <w:rsid w:val="007369D3"/>
    <w:rsid w:val="00741C52"/>
    <w:rsid w:val="00741FB5"/>
    <w:rsid w:val="00743775"/>
    <w:rsid w:val="00744600"/>
    <w:rsid w:val="00745490"/>
    <w:rsid w:val="007455CF"/>
    <w:rsid w:val="0074780B"/>
    <w:rsid w:val="00747F2B"/>
    <w:rsid w:val="00753643"/>
    <w:rsid w:val="00754DDC"/>
    <w:rsid w:val="00756742"/>
    <w:rsid w:val="00761F48"/>
    <w:rsid w:val="00771FC5"/>
    <w:rsid w:val="0077338C"/>
    <w:rsid w:val="007736D4"/>
    <w:rsid w:val="00774FE4"/>
    <w:rsid w:val="00776286"/>
    <w:rsid w:val="00777075"/>
    <w:rsid w:val="00782802"/>
    <w:rsid w:val="00782D12"/>
    <w:rsid w:val="00784C8D"/>
    <w:rsid w:val="007855B4"/>
    <w:rsid w:val="0078775C"/>
    <w:rsid w:val="00787860"/>
    <w:rsid w:val="00787BBC"/>
    <w:rsid w:val="00787D19"/>
    <w:rsid w:val="007939F6"/>
    <w:rsid w:val="007940BD"/>
    <w:rsid w:val="00794EB9"/>
    <w:rsid w:val="00795CA0"/>
    <w:rsid w:val="007960BE"/>
    <w:rsid w:val="007965E2"/>
    <w:rsid w:val="0079789E"/>
    <w:rsid w:val="007A0566"/>
    <w:rsid w:val="007A0BAA"/>
    <w:rsid w:val="007A2E9B"/>
    <w:rsid w:val="007A43D6"/>
    <w:rsid w:val="007A468D"/>
    <w:rsid w:val="007B031C"/>
    <w:rsid w:val="007B0533"/>
    <w:rsid w:val="007B0ED2"/>
    <w:rsid w:val="007B6B2C"/>
    <w:rsid w:val="007C364C"/>
    <w:rsid w:val="007C41E4"/>
    <w:rsid w:val="007C4899"/>
    <w:rsid w:val="007D0A0C"/>
    <w:rsid w:val="007D0DF8"/>
    <w:rsid w:val="007D1445"/>
    <w:rsid w:val="007D1FCC"/>
    <w:rsid w:val="007D2F07"/>
    <w:rsid w:val="007D3FEE"/>
    <w:rsid w:val="007D4EF9"/>
    <w:rsid w:val="007E0E83"/>
    <w:rsid w:val="007E1D37"/>
    <w:rsid w:val="007E2287"/>
    <w:rsid w:val="007E61CE"/>
    <w:rsid w:val="007E6476"/>
    <w:rsid w:val="007F05FA"/>
    <w:rsid w:val="007F3482"/>
    <w:rsid w:val="007F587A"/>
    <w:rsid w:val="007F5DEF"/>
    <w:rsid w:val="007F6708"/>
    <w:rsid w:val="007F7E4F"/>
    <w:rsid w:val="007F7FBF"/>
    <w:rsid w:val="00800692"/>
    <w:rsid w:val="008009AA"/>
    <w:rsid w:val="00806143"/>
    <w:rsid w:val="00806720"/>
    <w:rsid w:val="00811637"/>
    <w:rsid w:val="00811DCA"/>
    <w:rsid w:val="0081702C"/>
    <w:rsid w:val="008206B3"/>
    <w:rsid w:val="00820C58"/>
    <w:rsid w:val="00821D9C"/>
    <w:rsid w:val="00823D45"/>
    <w:rsid w:val="008269F1"/>
    <w:rsid w:val="00832118"/>
    <w:rsid w:val="00832CA5"/>
    <w:rsid w:val="0083557D"/>
    <w:rsid w:val="00836489"/>
    <w:rsid w:val="008377E1"/>
    <w:rsid w:val="008415CB"/>
    <w:rsid w:val="008430EC"/>
    <w:rsid w:val="008439D8"/>
    <w:rsid w:val="00845C9C"/>
    <w:rsid w:val="00846155"/>
    <w:rsid w:val="008464FB"/>
    <w:rsid w:val="008506CC"/>
    <w:rsid w:val="00850774"/>
    <w:rsid w:val="00850922"/>
    <w:rsid w:val="00851699"/>
    <w:rsid w:val="00852A58"/>
    <w:rsid w:val="00852DB6"/>
    <w:rsid w:val="00853BFA"/>
    <w:rsid w:val="008550DE"/>
    <w:rsid w:val="008561BB"/>
    <w:rsid w:val="00860FAE"/>
    <w:rsid w:val="0086106C"/>
    <w:rsid w:val="00862B69"/>
    <w:rsid w:val="008675D5"/>
    <w:rsid w:val="00871D97"/>
    <w:rsid w:val="00871E99"/>
    <w:rsid w:val="00874754"/>
    <w:rsid w:val="00874971"/>
    <w:rsid w:val="00876A2F"/>
    <w:rsid w:val="00877F55"/>
    <w:rsid w:val="008813CB"/>
    <w:rsid w:val="0088178A"/>
    <w:rsid w:val="00881A19"/>
    <w:rsid w:val="00882FE6"/>
    <w:rsid w:val="00884A18"/>
    <w:rsid w:val="008855BF"/>
    <w:rsid w:val="00885A02"/>
    <w:rsid w:val="00886A57"/>
    <w:rsid w:val="00887626"/>
    <w:rsid w:val="00890872"/>
    <w:rsid w:val="0089230F"/>
    <w:rsid w:val="0089354D"/>
    <w:rsid w:val="008938E3"/>
    <w:rsid w:val="00894143"/>
    <w:rsid w:val="008950DE"/>
    <w:rsid w:val="00895AF4"/>
    <w:rsid w:val="00895E83"/>
    <w:rsid w:val="008962D6"/>
    <w:rsid w:val="00896BC3"/>
    <w:rsid w:val="008A0487"/>
    <w:rsid w:val="008A1C46"/>
    <w:rsid w:val="008A23A2"/>
    <w:rsid w:val="008A3225"/>
    <w:rsid w:val="008A37F1"/>
    <w:rsid w:val="008A7C5D"/>
    <w:rsid w:val="008B1C8A"/>
    <w:rsid w:val="008B3269"/>
    <w:rsid w:val="008B3FBB"/>
    <w:rsid w:val="008B4885"/>
    <w:rsid w:val="008B538D"/>
    <w:rsid w:val="008C03C9"/>
    <w:rsid w:val="008C375D"/>
    <w:rsid w:val="008C3D7E"/>
    <w:rsid w:val="008C478D"/>
    <w:rsid w:val="008C4E76"/>
    <w:rsid w:val="008C5DEF"/>
    <w:rsid w:val="008C6F90"/>
    <w:rsid w:val="008D0767"/>
    <w:rsid w:val="008D2AF4"/>
    <w:rsid w:val="008D3A91"/>
    <w:rsid w:val="008D3B8F"/>
    <w:rsid w:val="008D3DDA"/>
    <w:rsid w:val="008D5C2E"/>
    <w:rsid w:val="008D6EEF"/>
    <w:rsid w:val="008D7C35"/>
    <w:rsid w:val="008E04F0"/>
    <w:rsid w:val="008E1709"/>
    <w:rsid w:val="008E4530"/>
    <w:rsid w:val="008F0989"/>
    <w:rsid w:val="008F4413"/>
    <w:rsid w:val="008F58DD"/>
    <w:rsid w:val="008F67AC"/>
    <w:rsid w:val="00900038"/>
    <w:rsid w:val="009018BB"/>
    <w:rsid w:val="00901C15"/>
    <w:rsid w:val="00902D12"/>
    <w:rsid w:val="00904071"/>
    <w:rsid w:val="00904C2C"/>
    <w:rsid w:val="0090663C"/>
    <w:rsid w:val="009079EA"/>
    <w:rsid w:val="00910C98"/>
    <w:rsid w:val="00914663"/>
    <w:rsid w:val="00914AF5"/>
    <w:rsid w:val="00915A6C"/>
    <w:rsid w:val="009168DD"/>
    <w:rsid w:val="009172F5"/>
    <w:rsid w:val="00921F74"/>
    <w:rsid w:val="00922686"/>
    <w:rsid w:val="00923633"/>
    <w:rsid w:val="00923C53"/>
    <w:rsid w:val="009243C2"/>
    <w:rsid w:val="009259DF"/>
    <w:rsid w:val="00930909"/>
    <w:rsid w:val="0093227A"/>
    <w:rsid w:val="00935CEF"/>
    <w:rsid w:val="00944A8A"/>
    <w:rsid w:val="00945005"/>
    <w:rsid w:val="0094596E"/>
    <w:rsid w:val="009468C1"/>
    <w:rsid w:val="009500B0"/>
    <w:rsid w:val="00950380"/>
    <w:rsid w:val="0095140D"/>
    <w:rsid w:val="009542A9"/>
    <w:rsid w:val="00954DB2"/>
    <w:rsid w:val="00961850"/>
    <w:rsid w:val="00963580"/>
    <w:rsid w:val="0097003B"/>
    <w:rsid w:val="009706E0"/>
    <w:rsid w:val="009756C8"/>
    <w:rsid w:val="009758D1"/>
    <w:rsid w:val="00976E29"/>
    <w:rsid w:val="009805A9"/>
    <w:rsid w:val="00980F46"/>
    <w:rsid w:val="00982667"/>
    <w:rsid w:val="00985660"/>
    <w:rsid w:val="00985D25"/>
    <w:rsid w:val="00990771"/>
    <w:rsid w:val="00990D51"/>
    <w:rsid w:val="009911C5"/>
    <w:rsid w:val="00991B4B"/>
    <w:rsid w:val="00997346"/>
    <w:rsid w:val="009A29DA"/>
    <w:rsid w:val="009A2E31"/>
    <w:rsid w:val="009A3FDB"/>
    <w:rsid w:val="009A469E"/>
    <w:rsid w:val="009A575F"/>
    <w:rsid w:val="009B1583"/>
    <w:rsid w:val="009B3FB6"/>
    <w:rsid w:val="009B47E9"/>
    <w:rsid w:val="009B5467"/>
    <w:rsid w:val="009B677D"/>
    <w:rsid w:val="009B7DB0"/>
    <w:rsid w:val="009C000C"/>
    <w:rsid w:val="009C1FC2"/>
    <w:rsid w:val="009C2EC7"/>
    <w:rsid w:val="009C3313"/>
    <w:rsid w:val="009C599D"/>
    <w:rsid w:val="009C5E8E"/>
    <w:rsid w:val="009D03BE"/>
    <w:rsid w:val="009D2B73"/>
    <w:rsid w:val="009D38B5"/>
    <w:rsid w:val="009D5344"/>
    <w:rsid w:val="009D739D"/>
    <w:rsid w:val="009E057D"/>
    <w:rsid w:val="009E0893"/>
    <w:rsid w:val="009E2078"/>
    <w:rsid w:val="009E42E5"/>
    <w:rsid w:val="009E628F"/>
    <w:rsid w:val="009F151E"/>
    <w:rsid w:val="009F198F"/>
    <w:rsid w:val="009F36CF"/>
    <w:rsid w:val="009F39AA"/>
    <w:rsid w:val="009F3E1C"/>
    <w:rsid w:val="009F5D11"/>
    <w:rsid w:val="009F65C0"/>
    <w:rsid w:val="009F7E03"/>
    <w:rsid w:val="00A00691"/>
    <w:rsid w:val="00A008C5"/>
    <w:rsid w:val="00A04213"/>
    <w:rsid w:val="00A0467A"/>
    <w:rsid w:val="00A05904"/>
    <w:rsid w:val="00A12D7E"/>
    <w:rsid w:val="00A14763"/>
    <w:rsid w:val="00A15909"/>
    <w:rsid w:val="00A16EB6"/>
    <w:rsid w:val="00A22DCF"/>
    <w:rsid w:val="00A22DD7"/>
    <w:rsid w:val="00A2467E"/>
    <w:rsid w:val="00A26A94"/>
    <w:rsid w:val="00A27B7F"/>
    <w:rsid w:val="00A27D2E"/>
    <w:rsid w:val="00A303B5"/>
    <w:rsid w:val="00A31102"/>
    <w:rsid w:val="00A3221A"/>
    <w:rsid w:val="00A4117D"/>
    <w:rsid w:val="00A4199D"/>
    <w:rsid w:val="00A42213"/>
    <w:rsid w:val="00A46E63"/>
    <w:rsid w:val="00A46FD6"/>
    <w:rsid w:val="00A47140"/>
    <w:rsid w:val="00A503AE"/>
    <w:rsid w:val="00A50C8F"/>
    <w:rsid w:val="00A51CF0"/>
    <w:rsid w:val="00A545DA"/>
    <w:rsid w:val="00A56C17"/>
    <w:rsid w:val="00A61137"/>
    <w:rsid w:val="00A61E96"/>
    <w:rsid w:val="00A64A4B"/>
    <w:rsid w:val="00A66137"/>
    <w:rsid w:val="00A67365"/>
    <w:rsid w:val="00A70C51"/>
    <w:rsid w:val="00A711AB"/>
    <w:rsid w:val="00A71989"/>
    <w:rsid w:val="00A72FCE"/>
    <w:rsid w:val="00A741E2"/>
    <w:rsid w:val="00A74DCD"/>
    <w:rsid w:val="00A805EA"/>
    <w:rsid w:val="00A830FA"/>
    <w:rsid w:val="00A859B3"/>
    <w:rsid w:val="00A863F2"/>
    <w:rsid w:val="00A87590"/>
    <w:rsid w:val="00A91B9C"/>
    <w:rsid w:val="00A960DA"/>
    <w:rsid w:val="00A96EDC"/>
    <w:rsid w:val="00AA0AEE"/>
    <w:rsid w:val="00AA199E"/>
    <w:rsid w:val="00AA21D8"/>
    <w:rsid w:val="00AA226F"/>
    <w:rsid w:val="00AA5221"/>
    <w:rsid w:val="00AB315B"/>
    <w:rsid w:val="00AB6A05"/>
    <w:rsid w:val="00AB722A"/>
    <w:rsid w:val="00AC1AB7"/>
    <w:rsid w:val="00AC3D47"/>
    <w:rsid w:val="00AC5964"/>
    <w:rsid w:val="00AC5A86"/>
    <w:rsid w:val="00AC5B56"/>
    <w:rsid w:val="00AC67FF"/>
    <w:rsid w:val="00AD3E82"/>
    <w:rsid w:val="00AD65C1"/>
    <w:rsid w:val="00AD6EAA"/>
    <w:rsid w:val="00AE1E43"/>
    <w:rsid w:val="00AE5479"/>
    <w:rsid w:val="00AE6B37"/>
    <w:rsid w:val="00AE7DC1"/>
    <w:rsid w:val="00AF0B0E"/>
    <w:rsid w:val="00AF2859"/>
    <w:rsid w:val="00AF4D6F"/>
    <w:rsid w:val="00AF5FB1"/>
    <w:rsid w:val="00AF6AC1"/>
    <w:rsid w:val="00AF7ADA"/>
    <w:rsid w:val="00B0059A"/>
    <w:rsid w:val="00B0112B"/>
    <w:rsid w:val="00B0732E"/>
    <w:rsid w:val="00B07406"/>
    <w:rsid w:val="00B106DA"/>
    <w:rsid w:val="00B1199F"/>
    <w:rsid w:val="00B12A5D"/>
    <w:rsid w:val="00B13223"/>
    <w:rsid w:val="00B1336B"/>
    <w:rsid w:val="00B13A42"/>
    <w:rsid w:val="00B13F86"/>
    <w:rsid w:val="00B14729"/>
    <w:rsid w:val="00B1552B"/>
    <w:rsid w:val="00B165B9"/>
    <w:rsid w:val="00B16F1C"/>
    <w:rsid w:val="00B174E3"/>
    <w:rsid w:val="00B202F9"/>
    <w:rsid w:val="00B22508"/>
    <w:rsid w:val="00B23EA4"/>
    <w:rsid w:val="00B24E0E"/>
    <w:rsid w:val="00B2666D"/>
    <w:rsid w:val="00B30B6F"/>
    <w:rsid w:val="00B310FB"/>
    <w:rsid w:val="00B32F54"/>
    <w:rsid w:val="00B33E4E"/>
    <w:rsid w:val="00B352A7"/>
    <w:rsid w:val="00B368C4"/>
    <w:rsid w:val="00B40A4B"/>
    <w:rsid w:val="00B47A4C"/>
    <w:rsid w:val="00B51650"/>
    <w:rsid w:val="00B517F9"/>
    <w:rsid w:val="00B52DBB"/>
    <w:rsid w:val="00B55A2B"/>
    <w:rsid w:val="00B564DB"/>
    <w:rsid w:val="00B56A48"/>
    <w:rsid w:val="00B56DB1"/>
    <w:rsid w:val="00B61AA1"/>
    <w:rsid w:val="00B62E2B"/>
    <w:rsid w:val="00B6329A"/>
    <w:rsid w:val="00B64693"/>
    <w:rsid w:val="00B66906"/>
    <w:rsid w:val="00B70242"/>
    <w:rsid w:val="00B71F1A"/>
    <w:rsid w:val="00B73CD5"/>
    <w:rsid w:val="00B806BD"/>
    <w:rsid w:val="00B81525"/>
    <w:rsid w:val="00B83392"/>
    <w:rsid w:val="00B83C5C"/>
    <w:rsid w:val="00B83D9C"/>
    <w:rsid w:val="00B866BC"/>
    <w:rsid w:val="00B87ADD"/>
    <w:rsid w:val="00B9031C"/>
    <w:rsid w:val="00B904DC"/>
    <w:rsid w:val="00B932F6"/>
    <w:rsid w:val="00B93C7F"/>
    <w:rsid w:val="00B96E7F"/>
    <w:rsid w:val="00B9775B"/>
    <w:rsid w:val="00BA014B"/>
    <w:rsid w:val="00BA0243"/>
    <w:rsid w:val="00BA0E46"/>
    <w:rsid w:val="00BA35DD"/>
    <w:rsid w:val="00BA6BF1"/>
    <w:rsid w:val="00BB124D"/>
    <w:rsid w:val="00BB2C8F"/>
    <w:rsid w:val="00BB36FF"/>
    <w:rsid w:val="00BB54BB"/>
    <w:rsid w:val="00BB5C73"/>
    <w:rsid w:val="00BB7544"/>
    <w:rsid w:val="00BC235D"/>
    <w:rsid w:val="00BC3542"/>
    <w:rsid w:val="00BC4E7A"/>
    <w:rsid w:val="00BC59F3"/>
    <w:rsid w:val="00BC649D"/>
    <w:rsid w:val="00BD0B7D"/>
    <w:rsid w:val="00BD16BB"/>
    <w:rsid w:val="00BD2C3E"/>
    <w:rsid w:val="00BD4163"/>
    <w:rsid w:val="00BD45D0"/>
    <w:rsid w:val="00BD510B"/>
    <w:rsid w:val="00BD5198"/>
    <w:rsid w:val="00BD715B"/>
    <w:rsid w:val="00BE010E"/>
    <w:rsid w:val="00BE028F"/>
    <w:rsid w:val="00BE12CD"/>
    <w:rsid w:val="00BE14FE"/>
    <w:rsid w:val="00BE25B6"/>
    <w:rsid w:val="00BE2677"/>
    <w:rsid w:val="00BE35B3"/>
    <w:rsid w:val="00BE3939"/>
    <w:rsid w:val="00BE46A9"/>
    <w:rsid w:val="00BE782B"/>
    <w:rsid w:val="00BE782F"/>
    <w:rsid w:val="00BF1BF6"/>
    <w:rsid w:val="00BF2CA6"/>
    <w:rsid w:val="00BF2D77"/>
    <w:rsid w:val="00BF338F"/>
    <w:rsid w:val="00BF75F0"/>
    <w:rsid w:val="00C026AF"/>
    <w:rsid w:val="00C06398"/>
    <w:rsid w:val="00C068EF"/>
    <w:rsid w:val="00C07443"/>
    <w:rsid w:val="00C1343E"/>
    <w:rsid w:val="00C14EA1"/>
    <w:rsid w:val="00C15131"/>
    <w:rsid w:val="00C15B27"/>
    <w:rsid w:val="00C17E2F"/>
    <w:rsid w:val="00C20974"/>
    <w:rsid w:val="00C21015"/>
    <w:rsid w:val="00C22445"/>
    <w:rsid w:val="00C23564"/>
    <w:rsid w:val="00C24941"/>
    <w:rsid w:val="00C275E3"/>
    <w:rsid w:val="00C27E7E"/>
    <w:rsid w:val="00C3101A"/>
    <w:rsid w:val="00C31055"/>
    <w:rsid w:val="00C31636"/>
    <w:rsid w:val="00C31ABC"/>
    <w:rsid w:val="00C349C3"/>
    <w:rsid w:val="00C352C1"/>
    <w:rsid w:val="00C35C0B"/>
    <w:rsid w:val="00C36492"/>
    <w:rsid w:val="00C40FEC"/>
    <w:rsid w:val="00C43D1A"/>
    <w:rsid w:val="00C528F6"/>
    <w:rsid w:val="00C53708"/>
    <w:rsid w:val="00C54279"/>
    <w:rsid w:val="00C575F3"/>
    <w:rsid w:val="00C60853"/>
    <w:rsid w:val="00C60CBE"/>
    <w:rsid w:val="00C614D8"/>
    <w:rsid w:val="00C61A86"/>
    <w:rsid w:val="00C65366"/>
    <w:rsid w:val="00C6581A"/>
    <w:rsid w:val="00C662DF"/>
    <w:rsid w:val="00C70450"/>
    <w:rsid w:val="00C70919"/>
    <w:rsid w:val="00C716FD"/>
    <w:rsid w:val="00C7232F"/>
    <w:rsid w:val="00C73244"/>
    <w:rsid w:val="00C7549A"/>
    <w:rsid w:val="00C818F4"/>
    <w:rsid w:val="00C81EE3"/>
    <w:rsid w:val="00C85BCE"/>
    <w:rsid w:val="00C8629D"/>
    <w:rsid w:val="00C92825"/>
    <w:rsid w:val="00C929DE"/>
    <w:rsid w:val="00C945B0"/>
    <w:rsid w:val="00C96BF2"/>
    <w:rsid w:val="00C9763A"/>
    <w:rsid w:val="00C97694"/>
    <w:rsid w:val="00CA0262"/>
    <w:rsid w:val="00CA1109"/>
    <w:rsid w:val="00CA17F3"/>
    <w:rsid w:val="00CA1F77"/>
    <w:rsid w:val="00CA2161"/>
    <w:rsid w:val="00CA28C4"/>
    <w:rsid w:val="00CA533E"/>
    <w:rsid w:val="00CA71CB"/>
    <w:rsid w:val="00CB146A"/>
    <w:rsid w:val="00CB2015"/>
    <w:rsid w:val="00CB2062"/>
    <w:rsid w:val="00CB2885"/>
    <w:rsid w:val="00CB58A6"/>
    <w:rsid w:val="00CB66A5"/>
    <w:rsid w:val="00CB730F"/>
    <w:rsid w:val="00CB7BD4"/>
    <w:rsid w:val="00CC0793"/>
    <w:rsid w:val="00CC0E57"/>
    <w:rsid w:val="00CC14FF"/>
    <w:rsid w:val="00CC1FF9"/>
    <w:rsid w:val="00CC33A1"/>
    <w:rsid w:val="00CC3C68"/>
    <w:rsid w:val="00CC3CCD"/>
    <w:rsid w:val="00CC3ED1"/>
    <w:rsid w:val="00CC520D"/>
    <w:rsid w:val="00CC6895"/>
    <w:rsid w:val="00CC6B06"/>
    <w:rsid w:val="00CC6CC6"/>
    <w:rsid w:val="00CD17F6"/>
    <w:rsid w:val="00CD20A5"/>
    <w:rsid w:val="00CD30C6"/>
    <w:rsid w:val="00CD383A"/>
    <w:rsid w:val="00CD42C3"/>
    <w:rsid w:val="00CD6FA0"/>
    <w:rsid w:val="00CE1D34"/>
    <w:rsid w:val="00CE312F"/>
    <w:rsid w:val="00CE3B92"/>
    <w:rsid w:val="00CE4A41"/>
    <w:rsid w:val="00CE5DA6"/>
    <w:rsid w:val="00CE6522"/>
    <w:rsid w:val="00CF099C"/>
    <w:rsid w:val="00CF1F92"/>
    <w:rsid w:val="00D01193"/>
    <w:rsid w:val="00D03248"/>
    <w:rsid w:val="00D03696"/>
    <w:rsid w:val="00D0709F"/>
    <w:rsid w:val="00D07BD5"/>
    <w:rsid w:val="00D121DC"/>
    <w:rsid w:val="00D13E1F"/>
    <w:rsid w:val="00D15A70"/>
    <w:rsid w:val="00D1667C"/>
    <w:rsid w:val="00D2280C"/>
    <w:rsid w:val="00D2319E"/>
    <w:rsid w:val="00D23B5A"/>
    <w:rsid w:val="00D246E0"/>
    <w:rsid w:val="00D3438F"/>
    <w:rsid w:val="00D34FF9"/>
    <w:rsid w:val="00D37AEA"/>
    <w:rsid w:val="00D438D7"/>
    <w:rsid w:val="00D443A3"/>
    <w:rsid w:val="00D462DB"/>
    <w:rsid w:val="00D46411"/>
    <w:rsid w:val="00D467C7"/>
    <w:rsid w:val="00D50774"/>
    <w:rsid w:val="00D5114F"/>
    <w:rsid w:val="00D526A3"/>
    <w:rsid w:val="00D541C5"/>
    <w:rsid w:val="00D5433B"/>
    <w:rsid w:val="00D559F5"/>
    <w:rsid w:val="00D55D98"/>
    <w:rsid w:val="00D57210"/>
    <w:rsid w:val="00D606A0"/>
    <w:rsid w:val="00D60811"/>
    <w:rsid w:val="00D612DF"/>
    <w:rsid w:val="00D62734"/>
    <w:rsid w:val="00D646F4"/>
    <w:rsid w:val="00D6550C"/>
    <w:rsid w:val="00D65F6F"/>
    <w:rsid w:val="00D664A3"/>
    <w:rsid w:val="00D66685"/>
    <w:rsid w:val="00D74D8B"/>
    <w:rsid w:val="00D76E60"/>
    <w:rsid w:val="00D76FE4"/>
    <w:rsid w:val="00D82281"/>
    <w:rsid w:val="00D87B6E"/>
    <w:rsid w:val="00D87CEA"/>
    <w:rsid w:val="00D94087"/>
    <w:rsid w:val="00D965E8"/>
    <w:rsid w:val="00D96CC0"/>
    <w:rsid w:val="00D9787F"/>
    <w:rsid w:val="00DA0B08"/>
    <w:rsid w:val="00DA2BE4"/>
    <w:rsid w:val="00DA5BDE"/>
    <w:rsid w:val="00DA5CF3"/>
    <w:rsid w:val="00DB1CF5"/>
    <w:rsid w:val="00DB253B"/>
    <w:rsid w:val="00DB33B9"/>
    <w:rsid w:val="00DB6103"/>
    <w:rsid w:val="00DB67D4"/>
    <w:rsid w:val="00DC0C91"/>
    <w:rsid w:val="00DC0F94"/>
    <w:rsid w:val="00DC634E"/>
    <w:rsid w:val="00DC6C03"/>
    <w:rsid w:val="00DC7FB3"/>
    <w:rsid w:val="00DD01C8"/>
    <w:rsid w:val="00DD147E"/>
    <w:rsid w:val="00DD2B14"/>
    <w:rsid w:val="00DD2E67"/>
    <w:rsid w:val="00DD31D8"/>
    <w:rsid w:val="00DD36B1"/>
    <w:rsid w:val="00DD41C6"/>
    <w:rsid w:val="00DD439C"/>
    <w:rsid w:val="00DD49B1"/>
    <w:rsid w:val="00DD593D"/>
    <w:rsid w:val="00DD63B3"/>
    <w:rsid w:val="00DD66A8"/>
    <w:rsid w:val="00DD6F04"/>
    <w:rsid w:val="00DD7975"/>
    <w:rsid w:val="00DE7140"/>
    <w:rsid w:val="00DF00A6"/>
    <w:rsid w:val="00DF0D28"/>
    <w:rsid w:val="00DF1E3A"/>
    <w:rsid w:val="00DF240B"/>
    <w:rsid w:val="00DF690A"/>
    <w:rsid w:val="00DF6C1D"/>
    <w:rsid w:val="00DF78FB"/>
    <w:rsid w:val="00E041D5"/>
    <w:rsid w:val="00E0568D"/>
    <w:rsid w:val="00E10002"/>
    <w:rsid w:val="00E121A5"/>
    <w:rsid w:val="00E12422"/>
    <w:rsid w:val="00E146E8"/>
    <w:rsid w:val="00E1544F"/>
    <w:rsid w:val="00E16D2E"/>
    <w:rsid w:val="00E17440"/>
    <w:rsid w:val="00E17B82"/>
    <w:rsid w:val="00E213F4"/>
    <w:rsid w:val="00E21840"/>
    <w:rsid w:val="00E23345"/>
    <w:rsid w:val="00E264F5"/>
    <w:rsid w:val="00E268A4"/>
    <w:rsid w:val="00E33DA2"/>
    <w:rsid w:val="00E33E76"/>
    <w:rsid w:val="00E3721B"/>
    <w:rsid w:val="00E424AF"/>
    <w:rsid w:val="00E43051"/>
    <w:rsid w:val="00E43265"/>
    <w:rsid w:val="00E4372C"/>
    <w:rsid w:val="00E4399C"/>
    <w:rsid w:val="00E439C8"/>
    <w:rsid w:val="00E43EAC"/>
    <w:rsid w:val="00E4414F"/>
    <w:rsid w:val="00E4467A"/>
    <w:rsid w:val="00E448A3"/>
    <w:rsid w:val="00E456EC"/>
    <w:rsid w:val="00E45C17"/>
    <w:rsid w:val="00E50F1F"/>
    <w:rsid w:val="00E52ADF"/>
    <w:rsid w:val="00E5300B"/>
    <w:rsid w:val="00E531FA"/>
    <w:rsid w:val="00E55631"/>
    <w:rsid w:val="00E557FB"/>
    <w:rsid w:val="00E5682F"/>
    <w:rsid w:val="00E579AA"/>
    <w:rsid w:val="00E6013A"/>
    <w:rsid w:val="00E602E4"/>
    <w:rsid w:val="00E6045F"/>
    <w:rsid w:val="00E60BDB"/>
    <w:rsid w:val="00E60CB1"/>
    <w:rsid w:val="00E650ED"/>
    <w:rsid w:val="00E66C27"/>
    <w:rsid w:val="00E71B42"/>
    <w:rsid w:val="00E72557"/>
    <w:rsid w:val="00E7470B"/>
    <w:rsid w:val="00E74EE9"/>
    <w:rsid w:val="00E75A10"/>
    <w:rsid w:val="00E801AC"/>
    <w:rsid w:val="00E81318"/>
    <w:rsid w:val="00E826F6"/>
    <w:rsid w:val="00E82B11"/>
    <w:rsid w:val="00E832B3"/>
    <w:rsid w:val="00E8478A"/>
    <w:rsid w:val="00E86250"/>
    <w:rsid w:val="00E86D87"/>
    <w:rsid w:val="00E87847"/>
    <w:rsid w:val="00E91EBB"/>
    <w:rsid w:val="00E922DB"/>
    <w:rsid w:val="00E92906"/>
    <w:rsid w:val="00E95CF9"/>
    <w:rsid w:val="00E95E7A"/>
    <w:rsid w:val="00E96300"/>
    <w:rsid w:val="00E97012"/>
    <w:rsid w:val="00E9791D"/>
    <w:rsid w:val="00EA0216"/>
    <w:rsid w:val="00EA4CB4"/>
    <w:rsid w:val="00EA4FCE"/>
    <w:rsid w:val="00EA6ED1"/>
    <w:rsid w:val="00EB01F0"/>
    <w:rsid w:val="00EB073C"/>
    <w:rsid w:val="00EB0909"/>
    <w:rsid w:val="00EB11B8"/>
    <w:rsid w:val="00EB242C"/>
    <w:rsid w:val="00EB26CC"/>
    <w:rsid w:val="00EB27A0"/>
    <w:rsid w:val="00EB2BD7"/>
    <w:rsid w:val="00EB322B"/>
    <w:rsid w:val="00EB5A48"/>
    <w:rsid w:val="00EB7CD5"/>
    <w:rsid w:val="00EB7DB4"/>
    <w:rsid w:val="00EC1CDA"/>
    <w:rsid w:val="00EC2942"/>
    <w:rsid w:val="00EC2B9A"/>
    <w:rsid w:val="00EC3D35"/>
    <w:rsid w:val="00EC3E0A"/>
    <w:rsid w:val="00EC5849"/>
    <w:rsid w:val="00EC5E84"/>
    <w:rsid w:val="00EC6605"/>
    <w:rsid w:val="00EC7B3E"/>
    <w:rsid w:val="00ED34AF"/>
    <w:rsid w:val="00ED478A"/>
    <w:rsid w:val="00ED4C58"/>
    <w:rsid w:val="00ED656B"/>
    <w:rsid w:val="00ED6AB1"/>
    <w:rsid w:val="00EE069F"/>
    <w:rsid w:val="00EE338B"/>
    <w:rsid w:val="00EE49AB"/>
    <w:rsid w:val="00EE53CB"/>
    <w:rsid w:val="00EE5E4A"/>
    <w:rsid w:val="00EE745E"/>
    <w:rsid w:val="00EF01CA"/>
    <w:rsid w:val="00EF0255"/>
    <w:rsid w:val="00EF689C"/>
    <w:rsid w:val="00EF74E7"/>
    <w:rsid w:val="00EF753E"/>
    <w:rsid w:val="00EF784E"/>
    <w:rsid w:val="00F009DD"/>
    <w:rsid w:val="00F01071"/>
    <w:rsid w:val="00F02D1F"/>
    <w:rsid w:val="00F03D91"/>
    <w:rsid w:val="00F0443D"/>
    <w:rsid w:val="00F064D9"/>
    <w:rsid w:val="00F07387"/>
    <w:rsid w:val="00F11000"/>
    <w:rsid w:val="00F111CC"/>
    <w:rsid w:val="00F11B53"/>
    <w:rsid w:val="00F12618"/>
    <w:rsid w:val="00F12F85"/>
    <w:rsid w:val="00F135AC"/>
    <w:rsid w:val="00F15ED3"/>
    <w:rsid w:val="00F165E2"/>
    <w:rsid w:val="00F22CB2"/>
    <w:rsid w:val="00F23C4F"/>
    <w:rsid w:val="00F25C15"/>
    <w:rsid w:val="00F2715D"/>
    <w:rsid w:val="00F274A7"/>
    <w:rsid w:val="00F32E4D"/>
    <w:rsid w:val="00F34402"/>
    <w:rsid w:val="00F34736"/>
    <w:rsid w:val="00F36227"/>
    <w:rsid w:val="00F42585"/>
    <w:rsid w:val="00F42624"/>
    <w:rsid w:val="00F43924"/>
    <w:rsid w:val="00F45591"/>
    <w:rsid w:val="00F47D78"/>
    <w:rsid w:val="00F52606"/>
    <w:rsid w:val="00F54244"/>
    <w:rsid w:val="00F54E9A"/>
    <w:rsid w:val="00F54EC3"/>
    <w:rsid w:val="00F554D4"/>
    <w:rsid w:val="00F55CE6"/>
    <w:rsid w:val="00F56FBE"/>
    <w:rsid w:val="00F610BF"/>
    <w:rsid w:val="00F64A92"/>
    <w:rsid w:val="00F65F2F"/>
    <w:rsid w:val="00F6672F"/>
    <w:rsid w:val="00F678DA"/>
    <w:rsid w:val="00F717E3"/>
    <w:rsid w:val="00F74043"/>
    <w:rsid w:val="00F777CD"/>
    <w:rsid w:val="00F779AC"/>
    <w:rsid w:val="00F81825"/>
    <w:rsid w:val="00F81CD8"/>
    <w:rsid w:val="00F8438A"/>
    <w:rsid w:val="00F84A6E"/>
    <w:rsid w:val="00F85D72"/>
    <w:rsid w:val="00F8680C"/>
    <w:rsid w:val="00F87035"/>
    <w:rsid w:val="00F91682"/>
    <w:rsid w:val="00F91761"/>
    <w:rsid w:val="00FA094A"/>
    <w:rsid w:val="00FA107E"/>
    <w:rsid w:val="00FA3C18"/>
    <w:rsid w:val="00FA6CB6"/>
    <w:rsid w:val="00FB12F8"/>
    <w:rsid w:val="00FB2D3A"/>
    <w:rsid w:val="00FB2D87"/>
    <w:rsid w:val="00FB4C8F"/>
    <w:rsid w:val="00FB6517"/>
    <w:rsid w:val="00FB6F07"/>
    <w:rsid w:val="00FB774A"/>
    <w:rsid w:val="00FB7974"/>
    <w:rsid w:val="00FC0092"/>
    <w:rsid w:val="00FC0650"/>
    <w:rsid w:val="00FC1815"/>
    <w:rsid w:val="00FC1E0F"/>
    <w:rsid w:val="00FC3F16"/>
    <w:rsid w:val="00FC4C40"/>
    <w:rsid w:val="00FC5532"/>
    <w:rsid w:val="00FC5BE9"/>
    <w:rsid w:val="00FC6DF4"/>
    <w:rsid w:val="00FC7162"/>
    <w:rsid w:val="00FD1018"/>
    <w:rsid w:val="00FD2232"/>
    <w:rsid w:val="00FE2710"/>
    <w:rsid w:val="00FE2962"/>
    <w:rsid w:val="00FF0DAF"/>
    <w:rsid w:val="00FF1373"/>
    <w:rsid w:val="00FF1950"/>
    <w:rsid w:val="00FF19ED"/>
    <w:rsid w:val="00FF1ABD"/>
    <w:rsid w:val="00FF66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8"/>
    <o:shapelayout v:ext="edit">
      <o:idmap v:ext="edit" data="1"/>
    </o:shapelayout>
  </w:shapeDefaults>
  <w:decimalSymbol w:val=","/>
  <w:listSeparator w:val=","/>
  <w14:docId w14:val="0E8CA37E"/>
  <w14:defaultImageDpi w14:val="330"/>
  <w15:chartTrackingRefBased/>
  <w15:docId w15:val="{3AE0FEBB-F862-45E1-BA9A-5CEC460AE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86D87"/>
    <w:rPr>
      <w:rFonts w:ascii="Arial" w:hAnsi="Arial"/>
    </w:rPr>
  </w:style>
  <w:style w:type="paragraph" w:styleId="berschrift1">
    <w:name w:val="heading 1"/>
    <w:basedOn w:val="Standard"/>
    <w:next w:val="Standard"/>
    <w:link w:val="berschrift1Zchn"/>
    <w:uiPriority w:val="9"/>
    <w:qFormat/>
    <w:rsid w:val="00B12A5D"/>
    <w:pPr>
      <w:keepNext/>
      <w:keepLines/>
      <w:spacing w:before="240" w:after="0"/>
      <w:outlineLvl w:val="0"/>
    </w:pPr>
    <w:rPr>
      <w:rFonts w:eastAsiaTheme="majorEastAsia" w:cstheme="majorBidi"/>
      <w:sz w:val="32"/>
      <w:szCs w:val="32"/>
    </w:rPr>
  </w:style>
  <w:style w:type="paragraph" w:styleId="berschrift2">
    <w:name w:val="heading 2"/>
    <w:basedOn w:val="Standard"/>
    <w:next w:val="Standard"/>
    <w:link w:val="berschrift2Zchn"/>
    <w:uiPriority w:val="9"/>
    <w:unhideWhenUsed/>
    <w:qFormat/>
    <w:rsid w:val="00EC294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unhideWhenUsed/>
    <w:qFormat/>
    <w:rsid w:val="005C16F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teraturverzeichnis">
    <w:name w:val="Bibliography"/>
    <w:basedOn w:val="Standard"/>
    <w:next w:val="Standard"/>
    <w:uiPriority w:val="37"/>
    <w:unhideWhenUsed/>
    <w:rsid w:val="002241FC"/>
    <w:pPr>
      <w:tabs>
        <w:tab w:val="left" w:pos="504"/>
      </w:tabs>
      <w:spacing w:after="240" w:line="240" w:lineRule="auto"/>
      <w:ind w:left="504" w:hanging="504"/>
    </w:pPr>
  </w:style>
  <w:style w:type="table" w:styleId="Tabellenraster">
    <w:name w:val="Table Grid"/>
    <w:basedOn w:val="NormaleTabelle"/>
    <w:uiPriority w:val="39"/>
    <w:rsid w:val="00483668"/>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483668"/>
    <w:pPr>
      <w:ind w:left="720"/>
      <w:contextualSpacing/>
    </w:pPr>
    <w:rPr>
      <w:lang w:val="de-DE"/>
    </w:rPr>
  </w:style>
  <w:style w:type="character" w:customStyle="1" w:styleId="berschrift1Zchn">
    <w:name w:val="Überschrift 1 Zchn"/>
    <w:basedOn w:val="Absatz-Standardschriftart"/>
    <w:link w:val="berschrift1"/>
    <w:uiPriority w:val="9"/>
    <w:rsid w:val="00B12A5D"/>
    <w:rPr>
      <w:rFonts w:ascii="Arial" w:eastAsiaTheme="majorEastAsia" w:hAnsi="Arial" w:cstheme="majorBidi"/>
      <w:sz w:val="32"/>
      <w:szCs w:val="32"/>
    </w:rPr>
  </w:style>
  <w:style w:type="character" w:styleId="Kommentarzeichen">
    <w:name w:val="annotation reference"/>
    <w:basedOn w:val="Absatz-Standardschriftart"/>
    <w:uiPriority w:val="99"/>
    <w:semiHidden/>
    <w:unhideWhenUsed/>
    <w:rsid w:val="00483668"/>
    <w:rPr>
      <w:sz w:val="16"/>
      <w:szCs w:val="16"/>
    </w:rPr>
  </w:style>
  <w:style w:type="paragraph" w:styleId="Kommentartext">
    <w:name w:val="annotation text"/>
    <w:basedOn w:val="Standard"/>
    <w:link w:val="KommentartextZchn"/>
    <w:uiPriority w:val="99"/>
    <w:unhideWhenUsed/>
    <w:rsid w:val="00483668"/>
    <w:pPr>
      <w:spacing w:line="240" w:lineRule="auto"/>
    </w:pPr>
    <w:rPr>
      <w:sz w:val="20"/>
      <w:szCs w:val="20"/>
      <w:lang w:val="de-DE"/>
    </w:rPr>
  </w:style>
  <w:style w:type="character" w:customStyle="1" w:styleId="KommentartextZchn">
    <w:name w:val="Kommentartext Zchn"/>
    <w:basedOn w:val="Absatz-Standardschriftart"/>
    <w:link w:val="Kommentartext"/>
    <w:uiPriority w:val="99"/>
    <w:rsid w:val="00483668"/>
    <w:rPr>
      <w:sz w:val="20"/>
      <w:szCs w:val="20"/>
      <w:lang w:val="de-DE"/>
    </w:rPr>
  </w:style>
  <w:style w:type="paragraph" w:styleId="Titel">
    <w:name w:val="Title"/>
    <w:basedOn w:val="Standard"/>
    <w:next w:val="Standard"/>
    <w:link w:val="TitelZchn"/>
    <w:uiPriority w:val="10"/>
    <w:qFormat/>
    <w:rsid w:val="00EC294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EC2942"/>
    <w:rPr>
      <w:rFonts w:asciiTheme="majorHAnsi" w:eastAsiaTheme="majorEastAsia" w:hAnsiTheme="majorHAnsi" w:cstheme="majorBidi"/>
      <w:spacing w:val="-10"/>
      <w:kern w:val="28"/>
      <w:sz w:val="56"/>
      <w:szCs w:val="56"/>
    </w:rPr>
  </w:style>
  <w:style w:type="character" w:customStyle="1" w:styleId="berschrift2Zchn">
    <w:name w:val="Überschrift 2 Zchn"/>
    <w:basedOn w:val="Absatz-Standardschriftart"/>
    <w:link w:val="berschrift2"/>
    <w:uiPriority w:val="9"/>
    <w:rsid w:val="00EC2942"/>
    <w:rPr>
      <w:rFonts w:asciiTheme="majorHAnsi" w:eastAsiaTheme="majorEastAsia" w:hAnsiTheme="majorHAnsi" w:cstheme="majorBidi"/>
      <w:color w:val="2E74B5" w:themeColor="accent1" w:themeShade="BF"/>
      <w:sz w:val="26"/>
      <w:szCs w:val="26"/>
    </w:rPr>
  </w:style>
  <w:style w:type="paragraph" w:customStyle="1" w:styleId="BGKeywords">
    <w:name w:val="BG_Keywords"/>
    <w:basedOn w:val="Standard"/>
    <w:next w:val="Standard"/>
    <w:autoRedefine/>
    <w:rsid w:val="00195C96"/>
    <w:pPr>
      <w:spacing w:after="220" w:line="240" w:lineRule="auto"/>
      <w:jc w:val="both"/>
    </w:pPr>
    <w:rPr>
      <w:rFonts w:ascii="Arno Pro" w:eastAsia="Arial" w:hAnsi="Arno Pro" w:cs="Times New Roman"/>
      <w:b/>
      <w:i/>
      <w:kern w:val="22"/>
      <w:sz w:val="18"/>
      <w:szCs w:val="18"/>
    </w:rPr>
  </w:style>
  <w:style w:type="paragraph" w:styleId="Sprechblasentext">
    <w:name w:val="Balloon Text"/>
    <w:basedOn w:val="Standard"/>
    <w:link w:val="SprechblasentextZchn"/>
    <w:uiPriority w:val="99"/>
    <w:semiHidden/>
    <w:unhideWhenUsed/>
    <w:rsid w:val="002A7B9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A7B93"/>
    <w:rPr>
      <w:rFonts w:ascii="Segoe UI" w:hAnsi="Segoe UI" w:cs="Segoe UI"/>
      <w:sz w:val="18"/>
      <w:szCs w:val="18"/>
    </w:rPr>
  </w:style>
  <w:style w:type="paragraph" w:styleId="Kopfzeile">
    <w:name w:val="header"/>
    <w:basedOn w:val="Standard"/>
    <w:link w:val="KopfzeileZchn"/>
    <w:uiPriority w:val="99"/>
    <w:unhideWhenUsed/>
    <w:rsid w:val="00410782"/>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410782"/>
  </w:style>
  <w:style w:type="paragraph" w:styleId="Fuzeile">
    <w:name w:val="footer"/>
    <w:basedOn w:val="Standard"/>
    <w:link w:val="FuzeileZchn"/>
    <w:uiPriority w:val="99"/>
    <w:unhideWhenUsed/>
    <w:rsid w:val="00410782"/>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410782"/>
  </w:style>
  <w:style w:type="paragraph" w:styleId="Kommentarthema">
    <w:name w:val="annotation subject"/>
    <w:basedOn w:val="Kommentartext"/>
    <w:next w:val="Kommentartext"/>
    <w:link w:val="KommentarthemaZchn"/>
    <w:uiPriority w:val="99"/>
    <w:semiHidden/>
    <w:unhideWhenUsed/>
    <w:rsid w:val="00CA0262"/>
    <w:rPr>
      <w:b/>
      <w:bCs/>
      <w:lang w:val="en-US"/>
    </w:rPr>
  </w:style>
  <w:style w:type="character" w:customStyle="1" w:styleId="KommentarthemaZchn">
    <w:name w:val="Kommentarthema Zchn"/>
    <w:basedOn w:val="KommentartextZchn"/>
    <w:link w:val="Kommentarthema"/>
    <w:uiPriority w:val="99"/>
    <w:semiHidden/>
    <w:rsid w:val="00CA0262"/>
    <w:rPr>
      <w:b/>
      <w:bCs/>
      <w:sz w:val="20"/>
      <w:szCs w:val="20"/>
      <w:lang w:val="de-DE"/>
    </w:rPr>
  </w:style>
  <w:style w:type="character" w:styleId="Platzhaltertext">
    <w:name w:val="Placeholder Text"/>
    <w:basedOn w:val="Absatz-Standardschriftart"/>
    <w:uiPriority w:val="99"/>
    <w:semiHidden/>
    <w:rsid w:val="00A15909"/>
    <w:rPr>
      <w:color w:val="808080"/>
    </w:rPr>
  </w:style>
  <w:style w:type="character" w:styleId="Hyperlink">
    <w:name w:val="Hyperlink"/>
    <w:basedOn w:val="Absatz-Standardschriftart"/>
    <w:uiPriority w:val="99"/>
    <w:unhideWhenUsed/>
    <w:rsid w:val="00551B35"/>
    <w:rPr>
      <w:color w:val="0563C1" w:themeColor="hyperlink"/>
      <w:u w:val="single"/>
    </w:rPr>
  </w:style>
  <w:style w:type="character" w:customStyle="1" w:styleId="NichtaufgelsteErwhnung1">
    <w:name w:val="Nicht aufgelöste Erwähnung1"/>
    <w:basedOn w:val="Absatz-Standardschriftart"/>
    <w:uiPriority w:val="99"/>
    <w:semiHidden/>
    <w:unhideWhenUsed/>
    <w:rsid w:val="00551B35"/>
    <w:rPr>
      <w:color w:val="605E5C"/>
      <w:shd w:val="clear" w:color="auto" w:fill="E1DFDD"/>
    </w:rPr>
  </w:style>
  <w:style w:type="character" w:customStyle="1" w:styleId="berschrift3Zchn">
    <w:name w:val="Überschrift 3 Zchn"/>
    <w:basedOn w:val="Absatz-Standardschriftart"/>
    <w:link w:val="berschrift3"/>
    <w:uiPriority w:val="9"/>
    <w:rsid w:val="005C16F6"/>
    <w:rPr>
      <w:rFonts w:asciiTheme="majorHAnsi" w:eastAsiaTheme="majorEastAsia" w:hAnsiTheme="majorHAnsi" w:cstheme="majorBidi"/>
      <w:color w:val="1F4D78" w:themeColor="accent1" w:themeShade="7F"/>
      <w:sz w:val="24"/>
      <w:szCs w:val="24"/>
    </w:rPr>
  </w:style>
  <w:style w:type="paragraph" w:styleId="berarbeitung">
    <w:name w:val="Revision"/>
    <w:hidden/>
    <w:uiPriority w:val="99"/>
    <w:semiHidden/>
    <w:rsid w:val="00E33E76"/>
    <w:pPr>
      <w:spacing w:after="0" w:line="240" w:lineRule="auto"/>
    </w:pPr>
  </w:style>
  <w:style w:type="character" w:customStyle="1" w:styleId="NichtaufgelsteErwhnung2">
    <w:name w:val="Nicht aufgelöste Erwähnung2"/>
    <w:basedOn w:val="Absatz-Standardschriftart"/>
    <w:uiPriority w:val="99"/>
    <w:semiHidden/>
    <w:unhideWhenUsed/>
    <w:rsid w:val="003A283B"/>
    <w:rPr>
      <w:color w:val="605E5C"/>
      <w:shd w:val="clear" w:color="auto" w:fill="E1DFDD"/>
    </w:rPr>
  </w:style>
  <w:style w:type="character" w:styleId="BesuchterLink">
    <w:name w:val="FollowedHyperlink"/>
    <w:basedOn w:val="Absatz-Standardschriftart"/>
    <w:uiPriority w:val="99"/>
    <w:semiHidden/>
    <w:unhideWhenUsed/>
    <w:rsid w:val="00E4414F"/>
    <w:rPr>
      <w:color w:val="954F72" w:themeColor="followedHyperlink"/>
      <w:u w:val="single"/>
    </w:rPr>
  </w:style>
  <w:style w:type="character" w:customStyle="1" w:styleId="NichtaufgelsteErwhnung3">
    <w:name w:val="Nicht aufgelöste Erwähnung3"/>
    <w:basedOn w:val="Absatz-Standardschriftart"/>
    <w:uiPriority w:val="99"/>
    <w:semiHidden/>
    <w:unhideWhenUsed/>
    <w:rsid w:val="00712865"/>
    <w:rPr>
      <w:color w:val="605E5C"/>
      <w:shd w:val="clear" w:color="auto" w:fill="E1DFDD"/>
    </w:rPr>
  </w:style>
  <w:style w:type="character" w:customStyle="1" w:styleId="UnresolvedMention1">
    <w:name w:val="Unresolved Mention1"/>
    <w:basedOn w:val="Absatz-Standardschriftart"/>
    <w:uiPriority w:val="99"/>
    <w:semiHidden/>
    <w:unhideWhenUsed/>
    <w:rsid w:val="00EE745E"/>
    <w:rPr>
      <w:color w:val="605E5C"/>
      <w:shd w:val="clear" w:color="auto" w:fill="E1DFDD"/>
    </w:rPr>
  </w:style>
  <w:style w:type="character" w:customStyle="1" w:styleId="anchor-text">
    <w:name w:val="anchor-text"/>
    <w:basedOn w:val="Absatz-Standardschriftart"/>
    <w:rsid w:val="002A78DB"/>
  </w:style>
  <w:style w:type="character" w:customStyle="1" w:styleId="UnresolvedMention2">
    <w:name w:val="Unresolved Mention2"/>
    <w:basedOn w:val="Absatz-Standardschriftart"/>
    <w:uiPriority w:val="99"/>
    <w:semiHidden/>
    <w:unhideWhenUsed/>
    <w:rsid w:val="0046658A"/>
    <w:rPr>
      <w:color w:val="605E5C"/>
      <w:shd w:val="clear" w:color="auto" w:fill="E1DFDD"/>
    </w:rPr>
  </w:style>
  <w:style w:type="character" w:styleId="Hervorhebung">
    <w:name w:val="Emphasis"/>
    <w:basedOn w:val="Absatz-Standardschriftart"/>
    <w:uiPriority w:val="20"/>
    <w:qFormat/>
    <w:rsid w:val="00AE7DC1"/>
    <w:rPr>
      <w:rFonts w:ascii="Arial" w:hAnsi="Arial"/>
      <w:i/>
      <w:iCs/>
    </w:rPr>
  </w:style>
  <w:style w:type="paragraph" w:styleId="StandardWeb">
    <w:name w:val="Normal (Web)"/>
    <w:basedOn w:val="Standard"/>
    <w:uiPriority w:val="99"/>
    <w:semiHidden/>
    <w:unhideWhenUsed/>
    <w:rsid w:val="004A07B2"/>
    <w:pPr>
      <w:spacing w:before="100" w:beforeAutospacing="1" w:after="100" w:afterAutospacing="1" w:line="240" w:lineRule="auto"/>
    </w:pPr>
    <w:rPr>
      <w:rFonts w:ascii="Times New Roman" w:hAnsi="Times New Roman" w:cs="Times New Roman"/>
      <w:sz w:val="24"/>
      <w:szCs w:val="24"/>
    </w:rPr>
  </w:style>
  <w:style w:type="character" w:customStyle="1" w:styleId="UnresolvedMention3">
    <w:name w:val="Unresolved Mention3"/>
    <w:basedOn w:val="Absatz-Standardschriftart"/>
    <w:uiPriority w:val="99"/>
    <w:semiHidden/>
    <w:unhideWhenUsed/>
    <w:rsid w:val="00CD6FA0"/>
    <w:rPr>
      <w:color w:val="605E5C"/>
      <w:shd w:val="clear" w:color="auto" w:fill="E1DFDD"/>
    </w:rPr>
  </w:style>
  <w:style w:type="character" w:customStyle="1" w:styleId="UnresolvedMention4">
    <w:name w:val="Unresolved Mention4"/>
    <w:basedOn w:val="Absatz-Standardschriftart"/>
    <w:uiPriority w:val="99"/>
    <w:semiHidden/>
    <w:unhideWhenUsed/>
    <w:rsid w:val="00895E83"/>
    <w:rPr>
      <w:color w:val="605E5C"/>
      <w:shd w:val="clear" w:color="auto" w:fill="E1DFDD"/>
    </w:rPr>
  </w:style>
  <w:style w:type="character" w:styleId="Zeilennummer">
    <w:name w:val="line number"/>
    <w:basedOn w:val="Absatz-Standardschriftart"/>
    <w:uiPriority w:val="99"/>
    <w:semiHidden/>
    <w:unhideWhenUsed/>
    <w:rsid w:val="00D646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31261">
      <w:bodyDiv w:val="1"/>
      <w:marLeft w:val="0"/>
      <w:marRight w:val="0"/>
      <w:marTop w:val="0"/>
      <w:marBottom w:val="0"/>
      <w:divBdr>
        <w:top w:val="none" w:sz="0" w:space="0" w:color="auto"/>
        <w:left w:val="none" w:sz="0" w:space="0" w:color="auto"/>
        <w:bottom w:val="none" w:sz="0" w:space="0" w:color="auto"/>
        <w:right w:val="none" w:sz="0" w:space="0" w:color="auto"/>
      </w:divBdr>
    </w:div>
    <w:div w:id="13388884">
      <w:bodyDiv w:val="1"/>
      <w:marLeft w:val="0"/>
      <w:marRight w:val="0"/>
      <w:marTop w:val="0"/>
      <w:marBottom w:val="0"/>
      <w:divBdr>
        <w:top w:val="none" w:sz="0" w:space="0" w:color="auto"/>
        <w:left w:val="none" w:sz="0" w:space="0" w:color="auto"/>
        <w:bottom w:val="none" w:sz="0" w:space="0" w:color="auto"/>
        <w:right w:val="none" w:sz="0" w:space="0" w:color="auto"/>
      </w:divBdr>
    </w:div>
    <w:div w:id="15739875">
      <w:bodyDiv w:val="1"/>
      <w:marLeft w:val="0"/>
      <w:marRight w:val="0"/>
      <w:marTop w:val="0"/>
      <w:marBottom w:val="0"/>
      <w:divBdr>
        <w:top w:val="none" w:sz="0" w:space="0" w:color="auto"/>
        <w:left w:val="none" w:sz="0" w:space="0" w:color="auto"/>
        <w:bottom w:val="none" w:sz="0" w:space="0" w:color="auto"/>
        <w:right w:val="none" w:sz="0" w:space="0" w:color="auto"/>
      </w:divBdr>
      <w:divsChild>
        <w:div w:id="494617014">
          <w:marLeft w:val="0"/>
          <w:marRight w:val="0"/>
          <w:marTop w:val="0"/>
          <w:marBottom w:val="0"/>
          <w:divBdr>
            <w:top w:val="none" w:sz="0" w:space="0" w:color="auto"/>
            <w:left w:val="none" w:sz="0" w:space="0" w:color="auto"/>
            <w:bottom w:val="none" w:sz="0" w:space="0" w:color="auto"/>
            <w:right w:val="none" w:sz="0" w:space="0" w:color="auto"/>
          </w:divBdr>
          <w:divsChild>
            <w:div w:id="1732649990">
              <w:marLeft w:val="0"/>
              <w:marRight w:val="0"/>
              <w:marTop w:val="0"/>
              <w:marBottom w:val="0"/>
              <w:divBdr>
                <w:top w:val="none" w:sz="0" w:space="0" w:color="auto"/>
                <w:left w:val="none" w:sz="0" w:space="0" w:color="auto"/>
                <w:bottom w:val="none" w:sz="0" w:space="0" w:color="auto"/>
                <w:right w:val="none" w:sz="0" w:space="0" w:color="auto"/>
              </w:divBdr>
              <w:divsChild>
                <w:div w:id="867180055">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30496564">
      <w:bodyDiv w:val="1"/>
      <w:marLeft w:val="0"/>
      <w:marRight w:val="0"/>
      <w:marTop w:val="0"/>
      <w:marBottom w:val="0"/>
      <w:divBdr>
        <w:top w:val="none" w:sz="0" w:space="0" w:color="auto"/>
        <w:left w:val="none" w:sz="0" w:space="0" w:color="auto"/>
        <w:bottom w:val="none" w:sz="0" w:space="0" w:color="auto"/>
        <w:right w:val="none" w:sz="0" w:space="0" w:color="auto"/>
      </w:divBdr>
    </w:div>
    <w:div w:id="49308978">
      <w:bodyDiv w:val="1"/>
      <w:marLeft w:val="0"/>
      <w:marRight w:val="0"/>
      <w:marTop w:val="0"/>
      <w:marBottom w:val="0"/>
      <w:divBdr>
        <w:top w:val="none" w:sz="0" w:space="0" w:color="auto"/>
        <w:left w:val="none" w:sz="0" w:space="0" w:color="auto"/>
        <w:bottom w:val="none" w:sz="0" w:space="0" w:color="auto"/>
        <w:right w:val="none" w:sz="0" w:space="0" w:color="auto"/>
      </w:divBdr>
    </w:div>
    <w:div w:id="68237285">
      <w:bodyDiv w:val="1"/>
      <w:marLeft w:val="0"/>
      <w:marRight w:val="0"/>
      <w:marTop w:val="0"/>
      <w:marBottom w:val="0"/>
      <w:divBdr>
        <w:top w:val="none" w:sz="0" w:space="0" w:color="auto"/>
        <w:left w:val="none" w:sz="0" w:space="0" w:color="auto"/>
        <w:bottom w:val="none" w:sz="0" w:space="0" w:color="auto"/>
        <w:right w:val="none" w:sz="0" w:space="0" w:color="auto"/>
      </w:divBdr>
    </w:div>
    <w:div w:id="81878509">
      <w:bodyDiv w:val="1"/>
      <w:marLeft w:val="0"/>
      <w:marRight w:val="0"/>
      <w:marTop w:val="0"/>
      <w:marBottom w:val="0"/>
      <w:divBdr>
        <w:top w:val="none" w:sz="0" w:space="0" w:color="auto"/>
        <w:left w:val="none" w:sz="0" w:space="0" w:color="auto"/>
        <w:bottom w:val="none" w:sz="0" w:space="0" w:color="auto"/>
        <w:right w:val="none" w:sz="0" w:space="0" w:color="auto"/>
      </w:divBdr>
    </w:div>
    <w:div w:id="106588228">
      <w:bodyDiv w:val="1"/>
      <w:marLeft w:val="0"/>
      <w:marRight w:val="0"/>
      <w:marTop w:val="0"/>
      <w:marBottom w:val="0"/>
      <w:divBdr>
        <w:top w:val="none" w:sz="0" w:space="0" w:color="auto"/>
        <w:left w:val="none" w:sz="0" w:space="0" w:color="auto"/>
        <w:bottom w:val="none" w:sz="0" w:space="0" w:color="auto"/>
        <w:right w:val="none" w:sz="0" w:space="0" w:color="auto"/>
      </w:divBdr>
      <w:divsChild>
        <w:div w:id="2083527488">
          <w:marLeft w:val="0"/>
          <w:marRight w:val="0"/>
          <w:marTop w:val="0"/>
          <w:marBottom w:val="0"/>
          <w:divBdr>
            <w:top w:val="none" w:sz="0" w:space="0" w:color="auto"/>
            <w:left w:val="none" w:sz="0" w:space="0" w:color="auto"/>
            <w:bottom w:val="none" w:sz="0" w:space="0" w:color="auto"/>
            <w:right w:val="none" w:sz="0" w:space="0" w:color="auto"/>
          </w:divBdr>
          <w:divsChild>
            <w:div w:id="112604667">
              <w:marLeft w:val="0"/>
              <w:marRight w:val="0"/>
              <w:marTop w:val="0"/>
              <w:marBottom w:val="0"/>
              <w:divBdr>
                <w:top w:val="none" w:sz="0" w:space="0" w:color="auto"/>
                <w:left w:val="none" w:sz="0" w:space="0" w:color="auto"/>
                <w:bottom w:val="none" w:sz="0" w:space="0" w:color="auto"/>
                <w:right w:val="none" w:sz="0" w:space="0" w:color="auto"/>
              </w:divBdr>
              <w:divsChild>
                <w:div w:id="1756127903">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10324487">
      <w:bodyDiv w:val="1"/>
      <w:marLeft w:val="0"/>
      <w:marRight w:val="0"/>
      <w:marTop w:val="0"/>
      <w:marBottom w:val="0"/>
      <w:divBdr>
        <w:top w:val="none" w:sz="0" w:space="0" w:color="auto"/>
        <w:left w:val="none" w:sz="0" w:space="0" w:color="auto"/>
        <w:bottom w:val="none" w:sz="0" w:space="0" w:color="auto"/>
        <w:right w:val="none" w:sz="0" w:space="0" w:color="auto"/>
      </w:divBdr>
    </w:div>
    <w:div w:id="151409145">
      <w:bodyDiv w:val="1"/>
      <w:marLeft w:val="0"/>
      <w:marRight w:val="0"/>
      <w:marTop w:val="0"/>
      <w:marBottom w:val="0"/>
      <w:divBdr>
        <w:top w:val="none" w:sz="0" w:space="0" w:color="auto"/>
        <w:left w:val="none" w:sz="0" w:space="0" w:color="auto"/>
        <w:bottom w:val="none" w:sz="0" w:space="0" w:color="auto"/>
        <w:right w:val="none" w:sz="0" w:space="0" w:color="auto"/>
      </w:divBdr>
    </w:div>
    <w:div w:id="185564284">
      <w:bodyDiv w:val="1"/>
      <w:marLeft w:val="0"/>
      <w:marRight w:val="0"/>
      <w:marTop w:val="0"/>
      <w:marBottom w:val="0"/>
      <w:divBdr>
        <w:top w:val="none" w:sz="0" w:space="0" w:color="auto"/>
        <w:left w:val="none" w:sz="0" w:space="0" w:color="auto"/>
        <w:bottom w:val="none" w:sz="0" w:space="0" w:color="auto"/>
        <w:right w:val="none" w:sz="0" w:space="0" w:color="auto"/>
      </w:divBdr>
    </w:div>
    <w:div w:id="233124915">
      <w:bodyDiv w:val="1"/>
      <w:marLeft w:val="0"/>
      <w:marRight w:val="0"/>
      <w:marTop w:val="0"/>
      <w:marBottom w:val="0"/>
      <w:divBdr>
        <w:top w:val="none" w:sz="0" w:space="0" w:color="auto"/>
        <w:left w:val="none" w:sz="0" w:space="0" w:color="auto"/>
        <w:bottom w:val="none" w:sz="0" w:space="0" w:color="auto"/>
        <w:right w:val="none" w:sz="0" w:space="0" w:color="auto"/>
      </w:divBdr>
    </w:div>
    <w:div w:id="281692735">
      <w:bodyDiv w:val="1"/>
      <w:marLeft w:val="0"/>
      <w:marRight w:val="0"/>
      <w:marTop w:val="0"/>
      <w:marBottom w:val="0"/>
      <w:divBdr>
        <w:top w:val="none" w:sz="0" w:space="0" w:color="auto"/>
        <w:left w:val="none" w:sz="0" w:space="0" w:color="auto"/>
        <w:bottom w:val="none" w:sz="0" w:space="0" w:color="auto"/>
        <w:right w:val="none" w:sz="0" w:space="0" w:color="auto"/>
      </w:divBdr>
    </w:div>
    <w:div w:id="284123705">
      <w:bodyDiv w:val="1"/>
      <w:marLeft w:val="0"/>
      <w:marRight w:val="0"/>
      <w:marTop w:val="0"/>
      <w:marBottom w:val="0"/>
      <w:divBdr>
        <w:top w:val="none" w:sz="0" w:space="0" w:color="auto"/>
        <w:left w:val="none" w:sz="0" w:space="0" w:color="auto"/>
        <w:bottom w:val="none" w:sz="0" w:space="0" w:color="auto"/>
        <w:right w:val="none" w:sz="0" w:space="0" w:color="auto"/>
      </w:divBdr>
      <w:divsChild>
        <w:div w:id="959607479">
          <w:marLeft w:val="0"/>
          <w:marRight w:val="0"/>
          <w:marTop w:val="0"/>
          <w:marBottom w:val="0"/>
          <w:divBdr>
            <w:top w:val="none" w:sz="0" w:space="0" w:color="auto"/>
            <w:left w:val="none" w:sz="0" w:space="0" w:color="auto"/>
            <w:bottom w:val="none" w:sz="0" w:space="0" w:color="auto"/>
            <w:right w:val="none" w:sz="0" w:space="0" w:color="auto"/>
          </w:divBdr>
          <w:divsChild>
            <w:div w:id="614217737">
              <w:marLeft w:val="0"/>
              <w:marRight w:val="0"/>
              <w:marTop w:val="0"/>
              <w:marBottom w:val="0"/>
              <w:divBdr>
                <w:top w:val="none" w:sz="0" w:space="0" w:color="auto"/>
                <w:left w:val="none" w:sz="0" w:space="0" w:color="auto"/>
                <w:bottom w:val="none" w:sz="0" w:space="0" w:color="auto"/>
                <w:right w:val="none" w:sz="0" w:space="0" w:color="auto"/>
              </w:divBdr>
              <w:divsChild>
                <w:div w:id="1253970883">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285159969">
      <w:bodyDiv w:val="1"/>
      <w:marLeft w:val="0"/>
      <w:marRight w:val="0"/>
      <w:marTop w:val="0"/>
      <w:marBottom w:val="0"/>
      <w:divBdr>
        <w:top w:val="none" w:sz="0" w:space="0" w:color="auto"/>
        <w:left w:val="none" w:sz="0" w:space="0" w:color="auto"/>
        <w:bottom w:val="none" w:sz="0" w:space="0" w:color="auto"/>
        <w:right w:val="none" w:sz="0" w:space="0" w:color="auto"/>
      </w:divBdr>
    </w:div>
    <w:div w:id="335234655">
      <w:bodyDiv w:val="1"/>
      <w:marLeft w:val="0"/>
      <w:marRight w:val="0"/>
      <w:marTop w:val="0"/>
      <w:marBottom w:val="0"/>
      <w:divBdr>
        <w:top w:val="none" w:sz="0" w:space="0" w:color="auto"/>
        <w:left w:val="none" w:sz="0" w:space="0" w:color="auto"/>
        <w:bottom w:val="none" w:sz="0" w:space="0" w:color="auto"/>
        <w:right w:val="none" w:sz="0" w:space="0" w:color="auto"/>
      </w:divBdr>
      <w:divsChild>
        <w:div w:id="787621177">
          <w:marLeft w:val="0"/>
          <w:marRight w:val="0"/>
          <w:marTop w:val="0"/>
          <w:marBottom w:val="0"/>
          <w:divBdr>
            <w:top w:val="none" w:sz="0" w:space="0" w:color="auto"/>
            <w:left w:val="none" w:sz="0" w:space="0" w:color="auto"/>
            <w:bottom w:val="none" w:sz="0" w:space="0" w:color="auto"/>
            <w:right w:val="none" w:sz="0" w:space="0" w:color="auto"/>
          </w:divBdr>
          <w:divsChild>
            <w:div w:id="1978413524">
              <w:marLeft w:val="0"/>
              <w:marRight w:val="0"/>
              <w:marTop w:val="0"/>
              <w:marBottom w:val="0"/>
              <w:divBdr>
                <w:top w:val="none" w:sz="0" w:space="0" w:color="auto"/>
                <w:left w:val="none" w:sz="0" w:space="0" w:color="auto"/>
                <w:bottom w:val="none" w:sz="0" w:space="0" w:color="auto"/>
                <w:right w:val="none" w:sz="0" w:space="0" w:color="auto"/>
              </w:divBdr>
              <w:divsChild>
                <w:div w:id="725377828">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372729141">
      <w:bodyDiv w:val="1"/>
      <w:marLeft w:val="0"/>
      <w:marRight w:val="0"/>
      <w:marTop w:val="0"/>
      <w:marBottom w:val="0"/>
      <w:divBdr>
        <w:top w:val="none" w:sz="0" w:space="0" w:color="auto"/>
        <w:left w:val="none" w:sz="0" w:space="0" w:color="auto"/>
        <w:bottom w:val="none" w:sz="0" w:space="0" w:color="auto"/>
        <w:right w:val="none" w:sz="0" w:space="0" w:color="auto"/>
      </w:divBdr>
      <w:divsChild>
        <w:div w:id="289745286">
          <w:marLeft w:val="480"/>
          <w:marRight w:val="0"/>
          <w:marTop w:val="0"/>
          <w:marBottom w:val="0"/>
          <w:divBdr>
            <w:top w:val="none" w:sz="0" w:space="0" w:color="auto"/>
            <w:left w:val="none" w:sz="0" w:space="0" w:color="auto"/>
            <w:bottom w:val="none" w:sz="0" w:space="0" w:color="auto"/>
            <w:right w:val="none" w:sz="0" w:space="0" w:color="auto"/>
          </w:divBdr>
          <w:divsChild>
            <w:div w:id="130353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051238">
      <w:bodyDiv w:val="1"/>
      <w:marLeft w:val="0"/>
      <w:marRight w:val="0"/>
      <w:marTop w:val="0"/>
      <w:marBottom w:val="0"/>
      <w:divBdr>
        <w:top w:val="none" w:sz="0" w:space="0" w:color="auto"/>
        <w:left w:val="none" w:sz="0" w:space="0" w:color="auto"/>
        <w:bottom w:val="none" w:sz="0" w:space="0" w:color="auto"/>
        <w:right w:val="none" w:sz="0" w:space="0" w:color="auto"/>
      </w:divBdr>
    </w:div>
    <w:div w:id="380522784">
      <w:bodyDiv w:val="1"/>
      <w:marLeft w:val="0"/>
      <w:marRight w:val="0"/>
      <w:marTop w:val="0"/>
      <w:marBottom w:val="0"/>
      <w:divBdr>
        <w:top w:val="none" w:sz="0" w:space="0" w:color="auto"/>
        <w:left w:val="none" w:sz="0" w:space="0" w:color="auto"/>
        <w:bottom w:val="none" w:sz="0" w:space="0" w:color="auto"/>
        <w:right w:val="none" w:sz="0" w:space="0" w:color="auto"/>
      </w:divBdr>
      <w:divsChild>
        <w:div w:id="1534264971">
          <w:marLeft w:val="0"/>
          <w:marRight w:val="0"/>
          <w:marTop w:val="0"/>
          <w:marBottom w:val="0"/>
          <w:divBdr>
            <w:top w:val="none" w:sz="0" w:space="0" w:color="auto"/>
            <w:left w:val="none" w:sz="0" w:space="0" w:color="auto"/>
            <w:bottom w:val="none" w:sz="0" w:space="0" w:color="auto"/>
            <w:right w:val="none" w:sz="0" w:space="0" w:color="auto"/>
          </w:divBdr>
          <w:divsChild>
            <w:div w:id="695428759">
              <w:marLeft w:val="0"/>
              <w:marRight w:val="0"/>
              <w:marTop w:val="0"/>
              <w:marBottom w:val="0"/>
              <w:divBdr>
                <w:top w:val="none" w:sz="0" w:space="0" w:color="auto"/>
                <w:left w:val="none" w:sz="0" w:space="0" w:color="auto"/>
                <w:bottom w:val="none" w:sz="0" w:space="0" w:color="auto"/>
                <w:right w:val="none" w:sz="0" w:space="0" w:color="auto"/>
              </w:divBdr>
              <w:divsChild>
                <w:div w:id="242835741">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453250095">
      <w:bodyDiv w:val="1"/>
      <w:marLeft w:val="0"/>
      <w:marRight w:val="0"/>
      <w:marTop w:val="0"/>
      <w:marBottom w:val="0"/>
      <w:divBdr>
        <w:top w:val="none" w:sz="0" w:space="0" w:color="auto"/>
        <w:left w:val="none" w:sz="0" w:space="0" w:color="auto"/>
        <w:bottom w:val="none" w:sz="0" w:space="0" w:color="auto"/>
        <w:right w:val="none" w:sz="0" w:space="0" w:color="auto"/>
      </w:divBdr>
      <w:divsChild>
        <w:div w:id="1503815004">
          <w:marLeft w:val="0"/>
          <w:marRight w:val="0"/>
          <w:marTop w:val="0"/>
          <w:marBottom w:val="0"/>
          <w:divBdr>
            <w:top w:val="none" w:sz="0" w:space="0" w:color="auto"/>
            <w:left w:val="none" w:sz="0" w:space="0" w:color="auto"/>
            <w:bottom w:val="none" w:sz="0" w:space="0" w:color="auto"/>
            <w:right w:val="none" w:sz="0" w:space="0" w:color="auto"/>
          </w:divBdr>
          <w:divsChild>
            <w:div w:id="1288660728">
              <w:marLeft w:val="0"/>
              <w:marRight w:val="0"/>
              <w:marTop w:val="0"/>
              <w:marBottom w:val="0"/>
              <w:divBdr>
                <w:top w:val="none" w:sz="0" w:space="0" w:color="auto"/>
                <w:left w:val="none" w:sz="0" w:space="0" w:color="auto"/>
                <w:bottom w:val="none" w:sz="0" w:space="0" w:color="auto"/>
                <w:right w:val="none" w:sz="0" w:space="0" w:color="auto"/>
              </w:divBdr>
              <w:divsChild>
                <w:div w:id="146172329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472528586">
      <w:bodyDiv w:val="1"/>
      <w:marLeft w:val="0"/>
      <w:marRight w:val="0"/>
      <w:marTop w:val="0"/>
      <w:marBottom w:val="0"/>
      <w:divBdr>
        <w:top w:val="none" w:sz="0" w:space="0" w:color="auto"/>
        <w:left w:val="none" w:sz="0" w:space="0" w:color="auto"/>
        <w:bottom w:val="none" w:sz="0" w:space="0" w:color="auto"/>
        <w:right w:val="none" w:sz="0" w:space="0" w:color="auto"/>
      </w:divBdr>
    </w:div>
    <w:div w:id="497890707">
      <w:bodyDiv w:val="1"/>
      <w:marLeft w:val="0"/>
      <w:marRight w:val="0"/>
      <w:marTop w:val="0"/>
      <w:marBottom w:val="0"/>
      <w:divBdr>
        <w:top w:val="none" w:sz="0" w:space="0" w:color="auto"/>
        <w:left w:val="none" w:sz="0" w:space="0" w:color="auto"/>
        <w:bottom w:val="none" w:sz="0" w:space="0" w:color="auto"/>
        <w:right w:val="none" w:sz="0" w:space="0" w:color="auto"/>
      </w:divBdr>
      <w:divsChild>
        <w:div w:id="1890066822">
          <w:marLeft w:val="0"/>
          <w:marRight w:val="0"/>
          <w:marTop w:val="0"/>
          <w:marBottom w:val="0"/>
          <w:divBdr>
            <w:top w:val="none" w:sz="0" w:space="0" w:color="auto"/>
            <w:left w:val="none" w:sz="0" w:space="0" w:color="auto"/>
            <w:bottom w:val="none" w:sz="0" w:space="0" w:color="auto"/>
            <w:right w:val="none" w:sz="0" w:space="0" w:color="auto"/>
          </w:divBdr>
          <w:divsChild>
            <w:div w:id="41254717">
              <w:marLeft w:val="0"/>
              <w:marRight w:val="0"/>
              <w:marTop w:val="0"/>
              <w:marBottom w:val="0"/>
              <w:divBdr>
                <w:top w:val="none" w:sz="0" w:space="0" w:color="auto"/>
                <w:left w:val="none" w:sz="0" w:space="0" w:color="auto"/>
                <w:bottom w:val="none" w:sz="0" w:space="0" w:color="auto"/>
                <w:right w:val="none" w:sz="0" w:space="0" w:color="auto"/>
              </w:divBdr>
              <w:divsChild>
                <w:div w:id="150693775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501621961">
      <w:bodyDiv w:val="1"/>
      <w:marLeft w:val="0"/>
      <w:marRight w:val="0"/>
      <w:marTop w:val="0"/>
      <w:marBottom w:val="0"/>
      <w:divBdr>
        <w:top w:val="none" w:sz="0" w:space="0" w:color="auto"/>
        <w:left w:val="none" w:sz="0" w:space="0" w:color="auto"/>
        <w:bottom w:val="none" w:sz="0" w:space="0" w:color="auto"/>
        <w:right w:val="none" w:sz="0" w:space="0" w:color="auto"/>
      </w:divBdr>
      <w:divsChild>
        <w:div w:id="454370310">
          <w:marLeft w:val="0"/>
          <w:marRight w:val="0"/>
          <w:marTop w:val="0"/>
          <w:marBottom w:val="0"/>
          <w:divBdr>
            <w:top w:val="none" w:sz="0" w:space="0" w:color="auto"/>
            <w:left w:val="none" w:sz="0" w:space="0" w:color="auto"/>
            <w:bottom w:val="none" w:sz="0" w:space="0" w:color="auto"/>
            <w:right w:val="none" w:sz="0" w:space="0" w:color="auto"/>
          </w:divBdr>
          <w:divsChild>
            <w:div w:id="696976725">
              <w:marLeft w:val="0"/>
              <w:marRight w:val="0"/>
              <w:marTop w:val="0"/>
              <w:marBottom w:val="0"/>
              <w:divBdr>
                <w:top w:val="none" w:sz="0" w:space="0" w:color="auto"/>
                <w:left w:val="none" w:sz="0" w:space="0" w:color="auto"/>
                <w:bottom w:val="none" w:sz="0" w:space="0" w:color="auto"/>
                <w:right w:val="none" w:sz="0" w:space="0" w:color="auto"/>
              </w:divBdr>
              <w:divsChild>
                <w:div w:id="584387422">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530730757">
      <w:bodyDiv w:val="1"/>
      <w:marLeft w:val="0"/>
      <w:marRight w:val="0"/>
      <w:marTop w:val="0"/>
      <w:marBottom w:val="0"/>
      <w:divBdr>
        <w:top w:val="none" w:sz="0" w:space="0" w:color="auto"/>
        <w:left w:val="none" w:sz="0" w:space="0" w:color="auto"/>
        <w:bottom w:val="none" w:sz="0" w:space="0" w:color="auto"/>
        <w:right w:val="none" w:sz="0" w:space="0" w:color="auto"/>
      </w:divBdr>
    </w:div>
    <w:div w:id="563641919">
      <w:bodyDiv w:val="1"/>
      <w:marLeft w:val="0"/>
      <w:marRight w:val="0"/>
      <w:marTop w:val="0"/>
      <w:marBottom w:val="0"/>
      <w:divBdr>
        <w:top w:val="none" w:sz="0" w:space="0" w:color="auto"/>
        <w:left w:val="none" w:sz="0" w:space="0" w:color="auto"/>
        <w:bottom w:val="none" w:sz="0" w:space="0" w:color="auto"/>
        <w:right w:val="none" w:sz="0" w:space="0" w:color="auto"/>
      </w:divBdr>
    </w:div>
    <w:div w:id="576742701">
      <w:bodyDiv w:val="1"/>
      <w:marLeft w:val="0"/>
      <w:marRight w:val="0"/>
      <w:marTop w:val="0"/>
      <w:marBottom w:val="0"/>
      <w:divBdr>
        <w:top w:val="none" w:sz="0" w:space="0" w:color="auto"/>
        <w:left w:val="none" w:sz="0" w:space="0" w:color="auto"/>
        <w:bottom w:val="none" w:sz="0" w:space="0" w:color="auto"/>
        <w:right w:val="none" w:sz="0" w:space="0" w:color="auto"/>
      </w:divBdr>
    </w:div>
    <w:div w:id="576861245">
      <w:bodyDiv w:val="1"/>
      <w:marLeft w:val="0"/>
      <w:marRight w:val="0"/>
      <w:marTop w:val="0"/>
      <w:marBottom w:val="0"/>
      <w:divBdr>
        <w:top w:val="none" w:sz="0" w:space="0" w:color="auto"/>
        <w:left w:val="none" w:sz="0" w:space="0" w:color="auto"/>
        <w:bottom w:val="none" w:sz="0" w:space="0" w:color="auto"/>
        <w:right w:val="none" w:sz="0" w:space="0" w:color="auto"/>
      </w:divBdr>
    </w:div>
    <w:div w:id="605120710">
      <w:bodyDiv w:val="1"/>
      <w:marLeft w:val="0"/>
      <w:marRight w:val="0"/>
      <w:marTop w:val="0"/>
      <w:marBottom w:val="0"/>
      <w:divBdr>
        <w:top w:val="none" w:sz="0" w:space="0" w:color="auto"/>
        <w:left w:val="none" w:sz="0" w:space="0" w:color="auto"/>
        <w:bottom w:val="none" w:sz="0" w:space="0" w:color="auto"/>
        <w:right w:val="none" w:sz="0" w:space="0" w:color="auto"/>
      </w:divBdr>
    </w:div>
    <w:div w:id="616522693">
      <w:bodyDiv w:val="1"/>
      <w:marLeft w:val="0"/>
      <w:marRight w:val="0"/>
      <w:marTop w:val="0"/>
      <w:marBottom w:val="0"/>
      <w:divBdr>
        <w:top w:val="none" w:sz="0" w:space="0" w:color="auto"/>
        <w:left w:val="none" w:sz="0" w:space="0" w:color="auto"/>
        <w:bottom w:val="none" w:sz="0" w:space="0" w:color="auto"/>
        <w:right w:val="none" w:sz="0" w:space="0" w:color="auto"/>
      </w:divBdr>
    </w:div>
    <w:div w:id="618756862">
      <w:bodyDiv w:val="1"/>
      <w:marLeft w:val="0"/>
      <w:marRight w:val="0"/>
      <w:marTop w:val="0"/>
      <w:marBottom w:val="0"/>
      <w:divBdr>
        <w:top w:val="none" w:sz="0" w:space="0" w:color="auto"/>
        <w:left w:val="none" w:sz="0" w:space="0" w:color="auto"/>
        <w:bottom w:val="none" w:sz="0" w:space="0" w:color="auto"/>
        <w:right w:val="none" w:sz="0" w:space="0" w:color="auto"/>
      </w:divBdr>
      <w:divsChild>
        <w:div w:id="245311011">
          <w:marLeft w:val="0"/>
          <w:marRight w:val="0"/>
          <w:marTop w:val="0"/>
          <w:marBottom w:val="0"/>
          <w:divBdr>
            <w:top w:val="none" w:sz="0" w:space="0" w:color="auto"/>
            <w:left w:val="none" w:sz="0" w:space="0" w:color="auto"/>
            <w:bottom w:val="none" w:sz="0" w:space="0" w:color="auto"/>
            <w:right w:val="none" w:sz="0" w:space="0" w:color="auto"/>
          </w:divBdr>
          <w:divsChild>
            <w:div w:id="379473622">
              <w:marLeft w:val="0"/>
              <w:marRight w:val="0"/>
              <w:marTop w:val="0"/>
              <w:marBottom w:val="0"/>
              <w:divBdr>
                <w:top w:val="none" w:sz="0" w:space="0" w:color="auto"/>
                <w:left w:val="none" w:sz="0" w:space="0" w:color="auto"/>
                <w:bottom w:val="none" w:sz="0" w:space="0" w:color="auto"/>
                <w:right w:val="none" w:sz="0" w:space="0" w:color="auto"/>
              </w:divBdr>
              <w:divsChild>
                <w:div w:id="353655351">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632948415">
      <w:bodyDiv w:val="1"/>
      <w:marLeft w:val="0"/>
      <w:marRight w:val="0"/>
      <w:marTop w:val="0"/>
      <w:marBottom w:val="0"/>
      <w:divBdr>
        <w:top w:val="none" w:sz="0" w:space="0" w:color="auto"/>
        <w:left w:val="none" w:sz="0" w:space="0" w:color="auto"/>
        <w:bottom w:val="none" w:sz="0" w:space="0" w:color="auto"/>
        <w:right w:val="none" w:sz="0" w:space="0" w:color="auto"/>
      </w:divBdr>
    </w:div>
    <w:div w:id="638925916">
      <w:bodyDiv w:val="1"/>
      <w:marLeft w:val="0"/>
      <w:marRight w:val="0"/>
      <w:marTop w:val="0"/>
      <w:marBottom w:val="0"/>
      <w:divBdr>
        <w:top w:val="none" w:sz="0" w:space="0" w:color="auto"/>
        <w:left w:val="none" w:sz="0" w:space="0" w:color="auto"/>
        <w:bottom w:val="none" w:sz="0" w:space="0" w:color="auto"/>
        <w:right w:val="none" w:sz="0" w:space="0" w:color="auto"/>
      </w:divBdr>
      <w:divsChild>
        <w:div w:id="58788085">
          <w:marLeft w:val="0"/>
          <w:marRight w:val="0"/>
          <w:marTop w:val="0"/>
          <w:marBottom w:val="0"/>
          <w:divBdr>
            <w:top w:val="none" w:sz="0" w:space="0" w:color="auto"/>
            <w:left w:val="none" w:sz="0" w:space="0" w:color="auto"/>
            <w:bottom w:val="none" w:sz="0" w:space="0" w:color="auto"/>
            <w:right w:val="none" w:sz="0" w:space="0" w:color="auto"/>
          </w:divBdr>
          <w:divsChild>
            <w:div w:id="243338911">
              <w:marLeft w:val="0"/>
              <w:marRight w:val="0"/>
              <w:marTop w:val="0"/>
              <w:marBottom w:val="0"/>
              <w:divBdr>
                <w:top w:val="none" w:sz="0" w:space="0" w:color="auto"/>
                <w:left w:val="none" w:sz="0" w:space="0" w:color="auto"/>
                <w:bottom w:val="none" w:sz="0" w:space="0" w:color="auto"/>
                <w:right w:val="none" w:sz="0" w:space="0" w:color="auto"/>
              </w:divBdr>
              <w:divsChild>
                <w:div w:id="1917740616">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655841414">
      <w:bodyDiv w:val="1"/>
      <w:marLeft w:val="0"/>
      <w:marRight w:val="0"/>
      <w:marTop w:val="0"/>
      <w:marBottom w:val="0"/>
      <w:divBdr>
        <w:top w:val="none" w:sz="0" w:space="0" w:color="auto"/>
        <w:left w:val="none" w:sz="0" w:space="0" w:color="auto"/>
        <w:bottom w:val="none" w:sz="0" w:space="0" w:color="auto"/>
        <w:right w:val="none" w:sz="0" w:space="0" w:color="auto"/>
      </w:divBdr>
    </w:div>
    <w:div w:id="683169134">
      <w:bodyDiv w:val="1"/>
      <w:marLeft w:val="0"/>
      <w:marRight w:val="0"/>
      <w:marTop w:val="0"/>
      <w:marBottom w:val="0"/>
      <w:divBdr>
        <w:top w:val="none" w:sz="0" w:space="0" w:color="auto"/>
        <w:left w:val="none" w:sz="0" w:space="0" w:color="auto"/>
        <w:bottom w:val="none" w:sz="0" w:space="0" w:color="auto"/>
        <w:right w:val="none" w:sz="0" w:space="0" w:color="auto"/>
      </w:divBdr>
    </w:div>
    <w:div w:id="693116782">
      <w:bodyDiv w:val="1"/>
      <w:marLeft w:val="0"/>
      <w:marRight w:val="0"/>
      <w:marTop w:val="0"/>
      <w:marBottom w:val="0"/>
      <w:divBdr>
        <w:top w:val="none" w:sz="0" w:space="0" w:color="auto"/>
        <w:left w:val="none" w:sz="0" w:space="0" w:color="auto"/>
        <w:bottom w:val="none" w:sz="0" w:space="0" w:color="auto"/>
        <w:right w:val="none" w:sz="0" w:space="0" w:color="auto"/>
      </w:divBdr>
    </w:div>
    <w:div w:id="728384313">
      <w:bodyDiv w:val="1"/>
      <w:marLeft w:val="0"/>
      <w:marRight w:val="0"/>
      <w:marTop w:val="0"/>
      <w:marBottom w:val="0"/>
      <w:divBdr>
        <w:top w:val="none" w:sz="0" w:space="0" w:color="auto"/>
        <w:left w:val="none" w:sz="0" w:space="0" w:color="auto"/>
        <w:bottom w:val="none" w:sz="0" w:space="0" w:color="auto"/>
        <w:right w:val="none" w:sz="0" w:space="0" w:color="auto"/>
      </w:divBdr>
    </w:div>
    <w:div w:id="768820832">
      <w:bodyDiv w:val="1"/>
      <w:marLeft w:val="0"/>
      <w:marRight w:val="0"/>
      <w:marTop w:val="0"/>
      <w:marBottom w:val="0"/>
      <w:divBdr>
        <w:top w:val="none" w:sz="0" w:space="0" w:color="auto"/>
        <w:left w:val="none" w:sz="0" w:space="0" w:color="auto"/>
        <w:bottom w:val="none" w:sz="0" w:space="0" w:color="auto"/>
        <w:right w:val="none" w:sz="0" w:space="0" w:color="auto"/>
      </w:divBdr>
    </w:div>
    <w:div w:id="818424888">
      <w:bodyDiv w:val="1"/>
      <w:marLeft w:val="0"/>
      <w:marRight w:val="0"/>
      <w:marTop w:val="0"/>
      <w:marBottom w:val="0"/>
      <w:divBdr>
        <w:top w:val="none" w:sz="0" w:space="0" w:color="auto"/>
        <w:left w:val="none" w:sz="0" w:space="0" w:color="auto"/>
        <w:bottom w:val="none" w:sz="0" w:space="0" w:color="auto"/>
        <w:right w:val="none" w:sz="0" w:space="0" w:color="auto"/>
      </w:divBdr>
      <w:divsChild>
        <w:div w:id="910844045">
          <w:marLeft w:val="0"/>
          <w:marRight w:val="0"/>
          <w:marTop w:val="0"/>
          <w:marBottom w:val="0"/>
          <w:divBdr>
            <w:top w:val="none" w:sz="0" w:space="0" w:color="auto"/>
            <w:left w:val="none" w:sz="0" w:space="0" w:color="auto"/>
            <w:bottom w:val="none" w:sz="0" w:space="0" w:color="auto"/>
            <w:right w:val="none" w:sz="0" w:space="0" w:color="auto"/>
          </w:divBdr>
          <w:divsChild>
            <w:div w:id="1315143086">
              <w:marLeft w:val="0"/>
              <w:marRight w:val="0"/>
              <w:marTop w:val="0"/>
              <w:marBottom w:val="0"/>
              <w:divBdr>
                <w:top w:val="none" w:sz="0" w:space="0" w:color="auto"/>
                <w:left w:val="none" w:sz="0" w:space="0" w:color="auto"/>
                <w:bottom w:val="none" w:sz="0" w:space="0" w:color="auto"/>
                <w:right w:val="none" w:sz="0" w:space="0" w:color="auto"/>
              </w:divBdr>
              <w:divsChild>
                <w:div w:id="1336541539">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854081011">
      <w:bodyDiv w:val="1"/>
      <w:marLeft w:val="0"/>
      <w:marRight w:val="0"/>
      <w:marTop w:val="0"/>
      <w:marBottom w:val="0"/>
      <w:divBdr>
        <w:top w:val="none" w:sz="0" w:space="0" w:color="auto"/>
        <w:left w:val="none" w:sz="0" w:space="0" w:color="auto"/>
        <w:bottom w:val="none" w:sz="0" w:space="0" w:color="auto"/>
        <w:right w:val="none" w:sz="0" w:space="0" w:color="auto"/>
      </w:divBdr>
    </w:div>
    <w:div w:id="858276876">
      <w:bodyDiv w:val="1"/>
      <w:marLeft w:val="0"/>
      <w:marRight w:val="0"/>
      <w:marTop w:val="0"/>
      <w:marBottom w:val="0"/>
      <w:divBdr>
        <w:top w:val="none" w:sz="0" w:space="0" w:color="auto"/>
        <w:left w:val="none" w:sz="0" w:space="0" w:color="auto"/>
        <w:bottom w:val="none" w:sz="0" w:space="0" w:color="auto"/>
        <w:right w:val="none" w:sz="0" w:space="0" w:color="auto"/>
      </w:divBdr>
      <w:divsChild>
        <w:div w:id="272515705">
          <w:marLeft w:val="0"/>
          <w:marRight w:val="0"/>
          <w:marTop w:val="0"/>
          <w:marBottom w:val="0"/>
          <w:divBdr>
            <w:top w:val="none" w:sz="0" w:space="0" w:color="auto"/>
            <w:left w:val="none" w:sz="0" w:space="0" w:color="auto"/>
            <w:bottom w:val="none" w:sz="0" w:space="0" w:color="auto"/>
            <w:right w:val="none" w:sz="0" w:space="0" w:color="auto"/>
          </w:divBdr>
          <w:divsChild>
            <w:div w:id="1004627565">
              <w:marLeft w:val="0"/>
              <w:marRight w:val="0"/>
              <w:marTop w:val="0"/>
              <w:marBottom w:val="0"/>
              <w:divBdr>
                <w:top w:val="none" w:sz="0" w:space="0" w:color="auto"/>
                <w:left w:val="none" w:sz="0" w:space="0" w:color="auto"/>
                <w:bottom w:val="none" w:sz="0" w:space="0" w:color="auto"/>
                <w:right w:val="none" w:sz="0" w:space="0" w:color="auto"/>
              </w:divBdr>
              <w:divsChild>
                <w:div w:id="1834444612">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927956640">
      <w:bodyDiv w:val="1"/>
      <w:marLeft w:val="0"/>
      <w:marRight w:val="0"/>
      <w:marTop w:val="0"/>
      <w:marBottom w:val="0"/>
      <w:divBdr>
        <w:top w:val="none" w:sz="0" w:space="0" w:color="auto"/>
        <w:left w:val="none" w:sz="0" w:space="0" w:color="auto"/>
        <w:bottom w:val="none" w:sz="0" w:space="0" w:color="auto"/>
        <w:right w:val="none" w:sz="0" w:space="0" w:color="auto"/>
      </w:divBdr>
      <w:divsChild>
        <w:div w:id="977609852">
          <w:marLeft w:val="0"/>
          <w:marRight w:val="0"/>
          <w:marTop w:val="0"/>
          <w:marBottom w:val="0"/>
          <w:divBdr>
            <w:top w:val="none" w:sz="0" w:space="0" w:color="auto"/>
            <w:left w:val="none" w:sz="0" w:space="0" w:color="auto"/>
            <w:bottom w:val="none" w:sz="0" w:space="0" w:color="auto"/>
            <w:right w:val="none" w:sz="0" w:space="0" w:color="auto"/>
          </w:divBdr>
          <w:divsChild>
            <w:div w:id="616450134">
              <w:marLeft w:val="0"/>
              <w:marRight w:val="0"/>
              <w:marTop w:val="0"/>
              <w:marBottom w:val="0"/>
              <w:divBdr>
                <w:top w:val="none" w:sz="0" w:space="0" w:color="auto"/>
                <w:left w:val="none" w:sz="0" w:space="0" w:color="auto"/>
                <w:bottom w:val="none" w:sz="0" w:space="0" w:color="auto"/>
                <w:right w:val="none" w:sz="0" w:space="0" w:color="auto"/>
              </w:divBdr>
              <w:divsChild>
                <w:div w:id="562520569">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949555994">
      <w:bodyDiv w:val="1"/>
      <w:marLeft w:val="0"/>
      <w:marRight w:val="0"/>
      <w:marTop w:val="0"/>
      <w:marBottom w:val="0"/>
      <w:divBdr>
        <w:top w:val="none" w:sz="0" w:space="0" w:color="auto"/>
        <w:left w:val="none" w:sz="0" w:space="0" w:color="auto"/>
        <w:bottom w:val="none" w:sz="0" w:space="0" w:color="auto"/>
        <w:right w:val="none" w:sz="0" w:space="0" w:color="auto"/>
      </w:divBdr>
      <w:divsChild>
        <w:div w:id="2058435706">
          <w:marLeft w:val="0"/>
          <w:marRight w:val="0"/>
          <w:marTop w:val="0"/>
          <w:marBottom w:val="0"/>
          <w:divBdr>
            <w:top w:val="none" w:sz="0" w:space="0" w:color="auto"/>
            <w:left w:val="none" w:sz="0" w:space="0" w:color="auto"/>
            <w:bottom w:val="none" w:sz="0" w:space="0" w:color="auto"/>
            <w:right w:val="none" w:sz="0" w:space="0" w:color="auto"/>
          </w:divBdr>
          <w:divsChild>
            <w:div w:id="505099521">
              <w:marLeft w:val="0"/>
              <w:marRight w:val="0"/>
              <w:marTop w:val="0"/>
              <w:marBottom w:val="0"/>
              <w:divBdr>
                <w:top w:val="none" w:sz="0" w:space="0" w:color="auto"/>
                <w:left w:val="none" w:sz="0" w:space="0" w:color="auto"/>
                <w:bottom w:val="none" w:sz="0" w:space="0" w:color="auto"/>
                <w:right w:val="none" w:sz="0" w:space="0" w:color="auto"/>
              </w:divBdr>
              <w:divsChild>
                <w:div w:id="995762292">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990256621">
      <w:bodyDiv w:val="1"/>
      <w:marLeft w:val="0"/>
      <w:marRight w:val="0"/>
      <w:marTop w:val="0"/>
      <w:marBottom w:val="0"/>
      <w:divBdr>
        <w:top w:val="none" w:sz="0" w:space="0" w:color="auto"/>
        <w:left w:val="none" w:sz="0" w:space="0" w:color="auto"/>
        <w:bottom w:val="none" w:sz="0" w:space="0" w:color="auto"/>
        <w:right w:val="none" w:sz="0" w:space="0" w:color="auto"/>
      </w:divBdr>
    </w:div>
    <w:div w:id="1002314836">
      <w:bodyDiv w:val="1"/>
      <w:marLeft w:val="0"/>
      <w:marRight w:val="0"/>
      <w:marTop w:val="0"/>
      <w:marBottom w:val="0"/>
      <w:divBdr>
        <w:top w:val="none" w:sz="0" w:space="0" w:color="auto"/>
        <w:left w:val="none" w:sz="0" w:space="0" w:color="auto"/>
        <w:bottom w:val="none" w:sz="0" w:space="0" w:color="auto"/>
        <w:right w:val="none" w:sz="0" w:space="0" w:color="auto"/>
      </w:divBdr>
    </w:div>
    <w:div w:id="1102216829">
      <w:bodyDiv w:val="1"/>
      <w:marLeft w:val="0"/>
      <w:marRight w:val="0"/>
      <w:marTop w:val="0"/>
      <w:marBottom w:val="0"/>
      <w:divBdr>
        <w:top w:val="none" w:sz="0" w:space="0" w:color="auto"/>
        <w:left w:val="none" w:sz="0" w:space="0" w:color="auto"/>
        <w:bottom w:val="none" w:sz="0" w:space="0" w:color="auto"/>
        <w:right w:val="none" w:sz="0" w:space="0" w:color="auto"/>
      </w:divBdr>
    </w:div>
    <w:div w:id="1103111436">
      <w:bodyDiv w:val="1"/>
      <w:marLeft w:val="0"/>
      <w:marRight w:val="0"/>
      <w:marTop w:val="0"/>
      <w:marBottom w:val="0"/>
      <w:divBdr>
        <w:top w:val="none" w:sz="0" w:space="0" w:color="auto"/>
        <w:left w:val="none" w:sz="0" w:space="0" w:color="auto"/>
        <w:bottom w:val="none" w:sz="0" w:space="0" w:color="auto"/>
        <w:right w:val="none" w:sz="0" w:space="0" w:color="auto"/>
      </w:divBdr>
      <w:divsChild>
        <w:div w:id="790364966">
          <w:marLeft w:val="0"/>
          <w:marRight w:val="0"/>
          <w:marTop w:val="0"/>
          <w:marBottom w:val="0"/>
          <w:divBdr>
            <w:top w:val="none" w:sz="0" w:space="0" w:color="auto"/>
            <w:left w:val="none" w:sz="0" w:space="0" w:color="auto"/>
            <w:bottom w:val="none" w:sz="0" w:space="0" w:color="auto"/>
            <w:right w:val="none" w:sz="0" w:space="0" w:color="auto"/>
          </w:divBdr>
          <w:divsChild>
            <w:div w:id="519397300">
              <w:marLeft w:val="0"/>
              <w:marRight w:val="0"/>
              <w:marTop w:val="0"/>
              <w:marBottom w:val="0"/>
              <w:divBdr>
                <w:top w:val="none" w:sz="0" w:space="0" w:color="auto"/>
                <w:left w:val="none" w:sz="0" w:space="0" w:color="auto"/>
                <w:bottom w:val="none" w:sz="0" w:space="0" w:color="auto"/>
                <w:right w:val="none" w:sz="0" w:space="0" w:color="auto"/>
              </w:divBdr>
              <w:divsChild>
                <w:div w:id="1616249273">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145849695">
      <w:bodyDiv w:val="1"/>
      <w:marLeft w:val="0"/>
      <w:marRight w:val="0"/>
      <w:marTop w:val="0"/>
      <w:marBottom w:val="0"/>
      <w:divBdr>
        <w:top w:val="none" w:sz="0" w:space="0" w:color="auto"/>
        <w:left w:val="none" w:sz="0" w:space="0" w:color="auto"/>
        <w:bottom w:val="none" w:sz="0" w:space="0" w:color="auto"/>
        <w:right w:val="none" w:sz="0" w:space="0" w:color="auto"/>
      </w:divBdr>
      <w:divsChild>
        <w:div w:id="1685983815">
          <w:marLeft w:val="0"/>
          <w:marRight w:val="0"/>
          <w:marTop w:val="0"/>
          <w:marBottom w:val="0"/>
          <w:divBdr>
            <w:top w:val="none" w:sz="0" w:space="0" w:color="auto"/>
            <w:left w:val="none" w:sz="0" w:space="0" w:color="auto"/>
            <w:bottom w:val="none" w:sz="0" w:space="0" w:color="auto"/>
            <w:right w:val="none" w:sz="0" w:space="0" w:color="auto"/>
          </w:divBdr>
          <w:divsChild>
            <w:div w:id="156270116">
              <w:marLeft w:val="0"/>
              <w:marRight w:val="0"/>
              <w:marTop w:val="0"/>
              <w:marBottom w:val="0"/>
              <w:divBdr>
                <w:top w:val="none" w:sz="0" w:space="0" w:color="auto"/>
                <w:left w:val="none" w:sz="0" w:space="0" w:color="auto"/>
                <w:bottom w:val="none" w:sz="0" w:space="0" w:color="auto"/>
                <w:right w:val="none" w:sz="0" w:space="0" w:color="auto"/>
              </w:divBdr>
              <w:divsChild>
                <w:div w:id="796527463">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149980940">
      <w:bodyDiv w:val="1"/>
      <w:marLeft w:val="0"/>
      <w:marRight w:val="0"/>
      <w:marTop w:val="0"/>
      <w:marBottom w:val="0"/>
      <w:divBdr>
        <w:top w:val="none" w:sz="0" w:space="0" w:color="auto"/>
        <w:left w:val="none" w:sz="0" w:space="0" w:color="auto"/>
        <w:bottom w:val="none" w:sz="0" w:space="0" w:color="auto"/>
        <w:right w:val="none" w:sz="0" w:space="0" w:color="auto"/>
      </w:divBdr>
    </w:div>
    <w:div w:id="1177575491">
      <w:bodyDiv w:val="1"/>
      <w:marLeft w:val="0"/>
      <w:marRight w:val="0"/>
      <w:marTop w:val="0"/>
      <w:marBottom w:val="0"/>
      <w:divBdr>
        <w:top w:val="none" w:sz="0" w:space="0" w:color="auto"/>
        <w:left w:val="none" w:sz="0" w:space="0" w:color="auto"/>
        <w:bottom w:val="none" w:sz="0" w:space="0" w:color="auto"/>
        <w:right w:val="none" w:sz="0" w:space="0" w:color="auto"/>
      </w:divBdr>
    </w:div>
    <w:div w:id="1212882387">
      <w:bodyDiv w:val="1"/>
      <w:marLeft w:val="0"/>
      <w:marRight w:val="0"/>
      <w:marTop w:val="0"/>
      <w:marBottom w:val="0"/>
      <w:divBdr>
        <w:top w:val="none" w:sz="0" w:space="0" w:color="auto"/>
        <w:left w:val="none" w:sz="0" w:space="0" w:color="auto"/>
        <w:bottom w:val="none" w:sz="0" w:space="0" w:color="auto"/>
        <w:right w:val="none" w:sz="0" w:space="0" w:color="auto"/>
      </w:divBdr>
    </w:div>
    <w:div w:id="1219441058">
      <w:bodyDiv w:val="1"/>
      <w:marLeft w:val="0"/>
      <w:marRight w:val="0"/>
      <w:marTop w:val="0"/>
      <w:marBottom w:val="0"/>
      <w:divBdr>
        <w:top w:val="none" w:sz="0" w:space="0" w:color="auto"/>
        <w:left w:val="none" w:sz="0" w:space="0" w:color="auto"/>
        <w:bottom w:val="none" w:sz="0" w:space="0" w:color="auto"/>
        <w:right w:val="none" w:sz="0" w:space="0" w:color="auto"/>
      </w:divBdr>
      <w:divsChild>
        <w:div w:id="1978489367">
          <w:marLeft w:val="0"/>
          <w:marRight w:val="0"/>
          <w:marTop w:val="0"/>
          <w:marBottom w:val="0"/>
          <w:divBdr>
            <w:top w:val="none" w:sz="0" w:space="0" w:color="auto"/>
            <w:left w:val="none" w:sz="0" w:space="0" w:color="auto"/>
            <w:bottom w:val="none" w:sz="0" w:space="0" w:color="auto"/>
            <w:right w:val="none" w:sz="0" w:space="0" w:color="auto"/>
          </w:divBdr>
          <w:divsChild>
            <w:div w:id="373623004">
              <w:marLeft w:val="0"/>
              <w:marRight w:val="0"/>
              <w:marTop w:val="0"/>
              <w:marBottom w:val="0"/>
              <w:divBdr>
                <w:top w:val="none" w:sz="0" w:space="0" w:color="auto"/>
                <w:left w:val="none" w:sz="0" w:space="0" w:color="auto"/>
                <w:bottom w:val="none" w:sz="0" w:space="0" w:color="auto"/>
                <w:right w:val="none" w:sz="0" w:space="0" w:color="auto"/>
              </w:divBdr>
              <w:divsChild>
                <w:div w:id="2079475284">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228800548">
      <w:bodyDiv w:val="1"/>
      <w:marLeft w:val="0"/>
      <w:marRight w:val="0"/>
      <w:marTop w:val="0"/>
      <w:marBottom w:val="0"/>
      <w:divBdr>
        <w:top w:val="none" w:sz="0" w:space="0" w:color="auto"/>
        <w:left w:val="none" w:sz="0" w:space="0" w:color="auto"/>
        <w:bottom w:val="none" w:sz="0" w:space="0" w:color="auto"/>
        <w:right w:val="none" w:sz="0" w:space="0" w:color="auto"/>
      </w:divBdr>
    </w:div>
    <w:div w:id="1256211811">
      <w:bodyDiv w:val="1"/>
      <w:marLeft w:val="0"/>
      <w:marRight w:val="0"/>
      <w:marTop w:val="0"/>
      <w:marBottom w:val="0"/>
      <w:divBdr>
        <w:top w:val="none" w:sz="0" w:space="0" w:color="auto"/>
        <w:left w:val="none" w:sz="0" w:space="0" w:color="auto"/>
        <w:bottom w:val="none" w:sz="0" w:space="0" w:color="auto"/>
        <w:right w:val="none" w:sz="0" w:space="0" w:color="auto"/>
      </w:divBdr>
    </w:div>
    <w:div w:id="1264194366">
      <w:bodyDiv w:val="1"/>
      <w:marLeft w:val="0"/>
      <w:marRight w:val="0"/>
      <w:marTop w:val="0"/>
      <w:marBottom w:val="0"/>
      <w:divBdr>
        <w:top w:val="none" w:sz="0" w:space="0" w:color="auto"/>
        <w:left w:val="none" w:sz="0" w:space="0" w:color="auto"/>
        <w:bottom w:val="none" w:sz="0" w:space="0" w:color="auto"/>
        <w:right w:val="none" w:sz="0" w:space="0" w:color="auto"/>
      </w:divBdr>
    </w:div>
    <w:div w:id="1315061541">
      <w:bodyDiv w:val="1"/>
      <w:marLeft w:val="0"/>
      <w:marRight w:val="0"/>
      <w:marTop w:val="0"/>
      <w:marBottom w:val="0"/>
      <w:divBdr>
        <w:top w:val="none" w:sz="0" w:space="0" w:color="auto"/>
        <w:left w:val="none" w:sz="0" w:space="0" w:color="auto"/>
        <w:bottom w:val="none" w:sz="0" w:space="0" w:color="auto"/>
        <w:right w:val="none" w:sz="0" w:space="0" w:color="auto"/>
      </w:divBdr>
    </w:div>
    <w:div w:id="1315138692">
      <w:bodyDiv w:val="1"/>
      <w:marLeft w:val="0"/>
      <w:marRight w:val="0"/>
      <w:marTop w:val="0"/>
      <w:marBottom w:val="0"/>
      <w:divBdr>
        <w:top w:val="none" w:sz="0" w:space="0" w:color="auto"/>
        <w:left w:val="none" w:sz="0" w:space="0" w:color="auto"/>
        <w:bottom w:val="none" w:sz="0" w:space="0" w:color="auto"/>
        <w:right w:val="none" w:sz="0" w:space="0" w:color="auto"/>
      </w:divBdr>
      <w:divsChild>
        <w:div w:id="2098557161">
          <w:marLeft w:val="0"/>
          <w:marRight w:val="0"/>
          <w:marTop w:val="0"/>
          <w:marBottom w:val="0"/>
          <w:divBdr>
            <w:top w:val="none" w:sz="0" w:space="0" w:color="auto"/>
            <w:left w:val="none" w:sz="0" w:space="0" w:color="auto"/>
            <w:bottom w:val="none" w:sz="0" w:space="0" w:color="auto"/>
            <w:right w:val="none" w:sz="0" w:space="0" w:color="auto"/>
          </w:divBdr>
          <w:divsChild>
            <w:div w:id="1492675625">
              <w:marLeft w:val="0"/>
              <w:marRight w:val="0"/>
              <w:marTop w:val="0"/>
              <w:marBottom w:val="0"/>
              <w:divBdr>
                <w:top w:val="none" w:sz="0" w:space="0" w:color="auto"/>
                <w:left w:val="none" w:sz="0" w:space="0" w:color="auto"/>
                <w:bottom w:val="none" w:sz="0" w:space="0" w:color="auto"/>
                <w:right w:val="none" w:sz="0" w:space="0" w:color="auto"/>
              </w:divBdr>
              <w:divsChild>
                <w:div w:id="1733890151">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380518002">
      <w:bodyDiv w:val="1"/>
      <w:marLeft w:val="0"/>
      <w:marRight w:val="0"/>
      <w:marTop w:val="0"/>
      <w:marBottom w:val="0"/>
      <w:divBdr>
        <w:top w:val="none" w:sz="0" w:space="0" w:color="auto"/>
        <w:left w:val="none" w:sz="0" w:space="0" w:color="auto"/>
        <w:bottom w:val="none" w:sz="0" w:space="0" w:color="auto"/>
        <w:right w:val="none" w:sz="0" w:space="0" w:color="auto"/>
      </w:divBdr>
    </w:div>
    <w:div w:id="1410662694">
      <w:bodyDiv w:val="1"/>
      <w:marLeft w:val="0"/>
      <w:marRight w:val="0"/>
      <w:marTop w:val="0"/>
      <w:marBottom w:val="0"/>
      <w:divBdr>
        <w:top w:val="none" w:sz="0" w:space="0" w:color="auto"/>
        <w:left w:val="none" w:sz="0" w:space="0" w:color="auto"/>
        <w:bottom w:val="none" w:sz="0" w:space="0" w:color="auto"/>
        <w:right w:val="none" w:sz="0" w:space="0" w:color="auto"/>
      </w:divBdr>
    </w:div>
    <w:div w:id="1434087339">
      <w:bodyDiv w:val="1"/>
      <w:marLeft w:val="0"/>
      <w:marRight w:val="0"/>
      <w:marTop w:val="0"/>
      <w:marBottom w:val="0"/>
      <w:divBdr>
        <w:top w:val="none" w:sz="0" w:space="0" w:color="auto"/>
        <w:left w:val="none" w:sz="0" w:space="0" w:color="auto"/>
        <w:bottom w:val="none" w:sz="0" w:space="0" w:color="auto"/>
        <w:right w:val="none" w:sz="0" w:space="0" w:color="auto"/>
      </w:divBdr>
    </w:div>
    <w:div w:id="1444688318">
      <w:bodyDiv w:val="1"/>
      <w:marLeft w:val="0"/>
      <w:marRight w:val="0"/>
      <w:marTop w:val="0"/>
      <w:marBottom w:val="0"/>
      <w:divBdr>
        <w:top w:val="none" w:sz="0" w:space="0" w:color="auto"/>
        <w:left w:val="none" w:sz="0" w:space="0" w:color="auto"/>
        <w:bottom w:val="none" w:sz="0" w:space="0" w:color="auto"/>
        <w:right w:val="none" w:sz="0" w:space="0" w:color="auto"/>
      </w:divBdr>
    </w:div>
    <w:div w:id="1473401716">
      <w:bodyDiv w:val="1"/>
      <w:marLeft w:val="0"/>
      <w:marRight w:val="0"/>
      <w:marTop w:val="0"/>
      <w:marBottom w:val="0"/>
      <w:divBdr>
        <w:top w:val="none" w:sz="0" w:space="0" w:color="auto"/>
        <w:left w:val="none" w:sz="0" w:space="0" w:color="auto"/>
        <w:bottom w:val="none" w:sz="0" w:space="0" w:color="auto"/>
        <w:right w:val="none" w:sz="0" w:space="0" w:color="auto"/>
      </w:divBdr>
      <w:divsChild>
        <w:div w:id="636495280">
          <w:marLeft w:val="0"/>
          <w:marRight w:val="0"/>
          <w:marTop w:val="0"/>
          <w:marBottom w:val="0"/>
          <w:divBdr>
            <w:top w:val="none" w:sz="0" w:space="0" w:color="auto"/>
            <w:left w:val="none" w:sz="0" w:space="0" w:color="auto"/>
            <w:bottom w:val="none" w:sz="0" w:space="0" w:color="auto"/>
            <w:right w:val="none" w:sz="0" w:space="0" w:color="auto"/>
          </w:divBdr>
          <w:divsChild>
            <w:div w:id="424150628">
              <w:marLeft w:val="0"/>
              <w:marRight w:val="0"/>
              <w:marTop w:val="0"/>
              <w:marBottom w:val="0"/>
              <w:divBdr>
                <w:top w:val="none" w:sz="0" w:space="0" w:color="auto"/>
                <w:left w:val="none" w:sz="0" w:space="0" w:color="auto"/>
                <w:bottom w:val="none" w:sz="0" w:space="0" w:color="auto"/>
                <w:right w:val="none" w:sz="0" w:space="0" w:color="auto"/>
              </w:divBdr>
              <w:divsChild>
                <w:div w:id="136362728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482038554">
      <w:bodyDiv w:val="1"/>
      <w:marLeft w:val="0"/>
      <w:marRight w:val="0"/>
      <w:marTop w:val="0"/>
      <w:marBottom w:val="0"/>
      <w:divBdr>
        <w:top w:val="none" w:sz="0" w:space="0" w:color="auto"/>
        <w:left w:val="none" w:sz="0" w:space="0" w:color="auto"/>
        <w:bottom w:val="none" w:sz="0" w:space="0" w:color="auto"/>
        <w:right w:val="none" w:sz="0" w:space="0" w:color="auto"/>
      </w:divBdr>
    </w:div>
    <w:div w:id="1506479616">
      <w:bodyDiv w:val="1"/>
      <w:marLeft w:val="0"/>
      <w:marRight w:val="0"/>
      <w:marTop w:val="0"/>
      <w:marBottom w:val="0"/>
      <w:divBdr>
        <w:top w:val="none" w:sz="0" w:space="0" w:color="auto"/>
        <w:left w:val="none" w:sz="0" w:space="0" w:color="auto"/>
        <w:bottom w:val="none" w:sz="0" w:space="0" w:color="auto"/>
        <w:right w:val="none" w:sz="0" w:space="0" w:color="auto"/>
      </w:divBdr>
    </w:div>
    <w:div w:id="1507480621">
      <w:bodyDiv w:val="1"/>
      <w:marLeft w:val="0"/>
      <w:marRight w:val="0"/>
      <w:marTop w:val="0"/>
      <w:marBottom w:val="0"/>
      <w:divBdr>
        <w:top w:val="none" w:sz="0" w:space="0" w:color="auto"/>
        <w:left w:val="none" w:sz="0" w:space="0" w:color="auto"/>
        <w:bottom w:val="none" w:sz="0" w:space="0" w:color="auto"/>
        <w:right w:val="none" w:sz="0" w:space="0" w:color="auto"/>
      </w:divBdr>
      <w:divsChild>
        <w:div w:id="1058632598">
          <w:marLeft w:val="0"/>
          <w:marRight w:val="0"/>
          <w:marTop w:val="0"/>
          <w:marBottom w:val="0"/>
          <w:divBdr>
            <w:top w:val="none" w:sz="0" w:space="0" w:color="auto"/>
            <w:left w:val="none" w:sz="0" w:space="0" w:color="auto"/>
            <w:bottom w:val="none" w:sz="0" w:space="0" w:color="auto"/>
            <w:right w:val="none" w:sz="0" w:space="0" w:color="auto"/>
          </w:divBdr>
          <w:divsChild>
            <w:div w:id="60251678">
              <w:marLeft w:val="0"/>
              <w:marRight w:val="0"/>
              <w:marTop w:val="0"/>
              <w:marBottom w:val="0"/>
              <w:divBdr>
                <w:top w:val="none" w:sz="0" w:space="0" w:color="auto"/>
                <w:left w:val="none" w:sz="0" w:space="0" w:color="auto"/>
                <w:bottom w:val="none" w:sz="0" w:space="0" w:color="auto"/>
                <w:right w:val="none" w:sz="0" w:space="0" w:color="auto"/>
              </w:divBdr>
              <w:divsChild>
                <w:div w:id="1630359341">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529683928">
      <w:bodyDiv w:val="1"/>
      <w:marLeft w:val="0"/>
      <w:marRight w:val="0"/>
      <w:marTop w:val="0"/>
      <w:marBottom w:val="0"/>
      <w:divBdr>
        <w:top w:val="none" w:sz="0" w:space="0" w:color="auto"/>
        <w:left w:val="none" w:sz="0" w:space="0" w:color="auto"/>
        <w:bottom w:val="none" w:sz="0" w:space="0" w:color="auto"/>
        <w:right w:val="none" w:sz="0" w:space="0" w:color="auto"/>
      </w:divBdr>
    </w:div>
    <w:div w:id="1554581295">
      <w:bodyDiv w:val="1"/>
      <w:marLeft w:val="0"/>
      <w:marRight w:val="0"/>
      <w:marTop w:val="0"/>
      <w:marBottom w:val="0"/>
      <w:divBdr>
        <w:top w:val="none" w:sz="0" w:space="0" w:color="auto"/>
        <w:left w:val="none" w:sz="0" w:space="0" w:color="auto"/>
        <w:bottom w:val="none" w:sz="0" w:space="0" w:color="auto"/>
        <w:right w:val="none" w:sz="0" w:space="0" w:color="auto"/>
      </w:divBdr>
    </w:div>
    <w:div w:id="1562517818">
      <w:bodyDiv w:val="1"/>
      <w:marLeft w:val="0"/>
      <w:marRight w:val="0"/>
      <w:marTop w:val="0"/>
      <w:marBottom w:val="0"/>
      <w:divBdr>
        <w:top w:val="none" w:sz="0" w:space="0" w:color="auto"/>
        <w:left w:val="none" w:sz="0" w:space="0" w:color="auto"/>
        <w:bottom w:val="none" w:sz="0" w:space="0" w:color="auto"/>
        <w:right w:val="none" w:sz="0" w:space="0" w:color="auto"/>
      </w:divBdr>
    </w:div>
    <w:div w:id="1586722564">
      <w:bodyDiv w:val="1"/>
      <w:marLeft w:val="0"/>
      <w:marRight w:val="0"/>
      <w:marTop w:val="0"/>
      <w:marBottom w:val="0"/>
      <w:divBdr>
        <w:top w:val="none" w:sz="0" w:space="0" w:color="auto"/>
        <w:left w:val="none" w:sz="0" w:space="0" w:color="auto"/>
        <w:bottom w:val="none" w:sz="0" w:space="0" w:color="auto"/>
        <w:right w:val="none" w:sz="0" w:space="0" w:color="auto"/>
      </w:divBdr>
      <w:divsChild>
        <w:div w:id="689335700">
          <w:marLeft w:val="480"/>
          <w:marRight w:val="0"/>
          <w:marTop w:val="0"/>
          <w:marBottom w:val="0"/>
          <w:divBdr>
            <w:top w:val="none" w:sz="0" w:space="0" w:color="auto"/>
            <w:left w:val="none" w:sz="0" w:space="0" w:color="auto"/>
            <w:bottom w:val="none" w:sz="0" w:space="0" w:color="auto"/>
            <w:right w:val="none" w:sz="0" w:space="0" w:color="auto"/>
          </w:divBdr>
          <w:divsChild>
            <w:div w:id="201236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441356">
      <w:bodyDiv w:val="1"/>
      <w:marLeft w:val="0"/>
      <w:marRight w:val="0"/>
      <w:marTop w:val="0"/>
      <w:marBottom w:val="0"/>
      <w:divBdr>
        <w:top w:val="none" w:sz="0" w:space="0" w:color="auto"/>
        <w:left w:val="none" w:sz="0" w:space="0" w:color="auto"/>
        <w:bottom w:val="none" w:sz="0" w:space="0" w:color="auto"/>
        <w:right w:val="none" w:sz="0" w:space="0" w:color="auto"/>
      </w:divBdr>
    </w:div>
    <w:div w:id="1604416732">
      <w:bodyDiv w:val="1"/>
      <w:marLeft w:val="0"/>
      <w:marRight w:val="0"/>
      <w:marTop w:val="0"/>
      <w:marBottom w:val="0"/>
      <w:divBdr>
        <w:top w:val="none" w:sz="0" w:space="0" w:color="auto"/>
        <w:left w:val="none" w:sz="0" w:space="0" w:color="auto"/>
        <w:bottom w:val="none" w:sz="0" w:space="0" w:color="auto"/>
        <w:right w:val="none" w:sz="0" w:space="0" w:color="auto"/>
      </w:divBdr>
    </w:div>
    <w:div w:id="1642152201">
      <w:bodyDiv w:val="1"/>
      <w:marLeft w:val="0"/>
      <w:marRight w:val="0"/>
      <w:marTop w:val="0"/>
      <w:marBottom w:val="0"/>
      <w:divBdr>
        <w:top w:val="none" w:sz="0" w:space="0" w:color="auto"/>
        <w:left w:val="none" w:sz="0" w:space="0" w:color="auto"/>
        <w:bottom w:val="none" w:sz="0" w:space="0" w:color="auto"/>
        <w:right w:val="none" w:sz="0" w:space="0" w:color="auto"/>
      </w:divBdr>
    </w:div>
    <w:div w:id="1646856998">
      <w:bodyDiv w:val="1"/>
      <w:marLeft w:val="0"/>
      <w:marRight w:val="0"/>
      <w:marTop w:val="0"/>
      <w:marBottom w:val="0"/>
      <w:divBdr>
        <w:top w:val="none" w:sz="0" w:space="0" w:color="auto"/>
        <w:left w:val="none" w:sz="0" w:space="0" w:color="auto"/>
        <w:bottom w:val="none" w:sz="0" w:space="0" w:color="auto"/>
        <w:right w:val="none" w:sz="0" w:space="0" w:color="auto"/>
      </w:divBdr>
    </w:div>
    <w:div w:id="1681001488">
      <w:bodyDiv w:val="1"/>
      <w:marLeft w:val="0"/>
      <w:marRight w:val="0"/>
      <w:marTop w:val="0"/>
      <w:marBottom w:val="0"/>
      <w:divBdr>
        <w:top w:val="none" w:sz="0" w:space="0" w:color="auto"/>
        <w:left w:val="none" w:sz="0" w:space="0" w:color="auto"/>
        <w:bottom w:val="none" w:sz="0" w:space="0" w:color="auto"/>
        <w:right w:val="none" w:sz="0" w:space="0" w:color="auto"/>
      </w:divBdr>
    </w:div>
    <w:div w:id="1718578535">
      <w:bodyDiv w:val="1"/>
      <w:marLeft w:val="0"/>
      <w:marRight w:val="0"/>
      <w:marTop w:val="0"/>
      <w:marBottom w:val="0"/>
      <w:divBdr>
        <w:top w:val="none" w:sz="0" w:space="0" w:color="auto"/>
        <w:left w:val="none" w:sz="0" w:space="0" w:color="auto"/>
        <w:bottom w:val="none" w:sz="0" w:space="0" w:color="auto"/>
        <w:right w:val="none" w:sz="0" w:space="0" w:color="auto"/>
      </w:divBdr>
      <w:divsChild>
        <w:div w:id="1135027185">
          <w:marLeft w:val="0"/>
          <w:marRight w:val="0"/>
          <w:marTop w:val="0"/>
          <w:marBottom w:val="0"/>
          <w:divBdr>
            <w:top w:val="none" w:sz="0" w:space="0" w:color="auto"/>
            <w:left w:val="none" w:sz="0" w:space="0" w:color="auto"/>
            <w:bottom w:val="none" w:sz="0" w:space="0" w:color="auto"/>
            <w:right w:val="none" w:sz="0" w:space="0" w:color="auto"/>
          </w:divBdr>
          <w:divsChild>
            <w:div w:id="1330215349">
              <w:marLeft w:val="0"/>
              <w:marRight w:val="0"/>
              <w:marTop w:val="0"/>
              <w:marBottom w:val="0"/>
              <w:divBdr>
                <w:top w:val="none" w:sz="0" w:space="0" w:color="auto"/>
                <w:left w:val="none" w:sz="0" w:space="0" w:color="auto"/>
                <w:bottom w:val="none" w:sz="0" w:space="0" w:color="auto"/>
                <w:right w:val="none" w:sz="0" w:space="0" w:color="auto"/>
              </w:divBdr>
              <w:divsChild>
                <w:div w:id="740099785">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726952800">
      <w:bodyDiv w:val="1"/>
      <w:marLeft w:val="0"/>
      <w:marRight w:val="0"/>
      <w:marTop w:val="0"/>
      <w:marBottom w:val="0"/>
      <w:divBdr>
        <w:top w:val="none" w:sz="0" w:space="0" w:color="auto"/>
        <w:left w:val="none" w:sz="0" w:space="0" w:color="auto"/>
        <w:bottom w:val="none" w:sz="0" w:space="0" w:color="auto"/>
        <w:right w:val="none" w:sz="0" w:space="0" w:color="auto"/>
      </w:divBdr>
    </w:div>
    <w:div w:id="1755083940">
      <w:bodyDiv w:val="1"/>
      <w:marLeft w:val="0"/>
      <w:marRight w:val="0"/>
      <w:marTop w:val="0"/>
      <w:marBottom w:val="0"/>
      <w:divBdr>
        <w:top w:val="none" w:sz="0" w:space="0" w:color="auto"/>
        <w:left w:val="none" w:sz="0" w:space="0" w:color="auto"/>
        <w:bottom w:val="none" w:sz="0" w:space="0" w:color="auto"/>
        <w:right w:val="none" w:sz="0" w:space="0" w:color="auto"/>
      </w:divBdr>
    </w:div>
    <w:div w:id="1758939654">
      <w:bodyDiv w:val="1"/>
      <w:marLeft w:val="0"/>
      <w:marRight w:val="0"/>
      <w:marTop w:val="0"/>
      <w:marBottom w:val="0"/>
      <w:divBdr>
        <w:top w:val="none" w:sz="0" w:space="0" w:color="auto"/>
        <w:left w:val="none" w:sz="0" w:space="0" w:color="auto"/>
        <w:bottom w:val="none" w:sz="0" w:space="0" w:color="auto"/>
        <w:right w:val="none" w:sz="0" w:space="0" w:color="auto"/>
      </w:divBdr>
      <w:divsChild>
        <w:div w:id="1875803544">
          <w:marLeft w:val="0"/>
          <w:marRight w:val="0"/>
          <w:marTop w:val="0"/>
          <w:marBottom w:val="0"/>
          <w:divBdr>
            <w:top w:val="none" w:sz="0" w:space="0" w:color="auto"/>
            <w:left w:val="none" w:sz="0" w:space="0" w:color="auto"/>
            <w:bottom w:val="none" w:sz="0" w:space="0" w:color="auto"/>
            <w:right w:val="none" w:sz="0" w:space="0" w:color="auto"/>
          </w:divBdr>
          <w:divsChild>
            <w:div w:id="1952205829">
              <w:marLeft w:val="0"/>
              <w:marRight w:val="0"/>
              <w:marTop w:val="0"/>
              <w:marBottom w:val="0"/>
              <w:divBdr>
                <w:top w:val="none" w:sz="0" w:space="0" w:color="auto"/>
                <w:left w:val="none" w:sz="0" w:space="0" w:color="auto"/>
                <w:bottom w:val="none" w:sz="0" w:space="0" w:color="auto"/>
                <w:right w:val="none" w:sz="0" w:space="0" w:color="auto"/>
              </w:divBdr>
              <w:divsChild>
                <w:div w:id="1616138042">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761441858">
      <w:bodyDiv w:val="1"/>
      <w:marLeft w:val="0"/>
      <w:marRight w:val="0"/>
      <w:marTop w:val="0"/>
      <w:marBottom w:val="0"/>
      <w:divBdr>
        <w:top w:val="none" w:sz="0" w:space="0" w:color="auto"/>
        <w:left w:val="none" w:sz="0" w:space="0" w:color="auto"/>
        <w:bottom w:val="none" w:sz="0" w:space="0" w:color="auto"/>
        <w:right w:val="none" w:sz="0" w:space="0" w:color="auto"/>
      </w:divBdr>
    </w:div>
    <w:div w:id="1779325206">
      <w:bodyDiv w:val="1"/>
      <w:marLeft w:val="0"/>
      <w:marRight w:val="0"/>
      <w:marTop w:val="0"/>
      <w:marBottom w:val="0"/>
      <w:divBdr>
        <w:top w:val="none" w:sz="0" w:space="0" w:color="auto"/>
        <w:left w:val="none" w:sz="0" w:space="0" w:color="auto"/>
        <w:bottom w:val="none" w:sz="0" w:space="0" w:color="auto"/>
        <w:right w:val="none" w:sz="0" w:space="0" w:color="auto"/>
      </w:divBdr>
    </w:div>
    <w:div w:id="1816068423">
      <w:bodyDiv w:val="1"/>
      <w:marLeft w:val="0"/>
      <w:marRight w:val="0"/>
      <w:marTop w:val="0"/>
      <w:marBottom w:val="0"/>
      <w:divBdr>
        <w:top w:val="none" w:sz="0" w:space="0" w:color="auto"/>
        <w:left w:val="none" w:sz="0" w:space="0" w:color="auto"/>
        <w:bottom w:val="none" w:sz="0" w:space="0" w:color="auto"/>
        <w:right w:val="none" w:sz="0" w:space="0" w:color="auto"/>
      </w:divBdr>
    </w:div>
    <w:div w:id="1863859213">
      <w:bodyDiv w:val="1"/>
      <w:marLeft w:val="0"/>
      <w:marRight w:val="0"/>
      <w:marTop w:val="0"/>
      <w:marBottom w:val="0"/>
      <w:divBdr>
        <w:top w:val="none" w:sz="0" w:space="0" w:color="auto"/>
        <w:left w:val="none" w:sz="0" w:space="0" w:color="auto"/>
        <w:bottom w:val="none" w:sz="0" w:space="0" w:color="auto"/>
        <w:right w:val="none" w:sz="0" w:space="0" w:color="auto"/>
      </w:divBdr>
    </w:div>
    <w:div w:id="1866746216">
      <w:bodyDiv w:val="1"/>
      <w:marLeft w:val="0"/>
      <w:marRight w:val="0"/>
      <w:marTop w:val="0"/>
      <w:marBottom w:val="0"/>
      <w:divBdr>
        <w:top w:val="none" w:sz="0" w:space="0" w:color="auto"/>
        <w:left w:val="none" w:sz="0" w:space="0" w:color="auto"/>
        <w:bottom w:val="none" w:sz="0" w:space="0" w:color="auto"/>
        <w:right w:val="none" w:sz="0" w:space="0" w:color="auto"/>
      </w:divBdr>
    </w:div>
    <w:div w:id="1931351721">
      <w:bodyDiv w:val="1"/>
      <w:marLeft w:val="0"/>
      <w:marRight w:val="0"/>
      <w:marTop w:val="0"/>
      <w:marBottom w:val="0"/>
      <w:divBdr>
        <w:top w:val="none" w:sz="0" w:space="0" w:color="auto"/>
        <w:left w:val="none" w:sz="0" w:space="0" w:color="auto"/>
        <w:bottom w:val="none" w:sz="0" w:space="0" w:color="auto"/>
        <w:right w:val="none" w:sz="0" w:space="0" w:color="auto"/>
      </w:divBdr>
    </w:div>
    <w:div w:id="1932658397">
      <w:bodyDiv w:val="1"/>
      <w:marLeft w:val="0"/>
      <w:marRight w:val="0"/>
      <w:marTop w:val="0"/>
      <w:marBottom w:val="0"/>
      <w:divBdr>
        <w:top w:val="none" w:sz="0" w:space="0" w:color="auto"/>
        <w:left w:val="none" w:sz="0" w:space="0" w:color="auto"/>
        <w:bottom w:val="none" w:sz="0" w:space="0" w:color="auto"/>
        <w:right w:val="none" w:sz="0" w:space="0" w:color="auto"/>
      </w:divBdr>
    </w:div>
    <w:div w:id="1943411178">
      <w:bodyDiv w:val="1"/>
      <w:marLeft w:val="0"/>
      <w:marRight w:val="0"/>
      <w:marTop w:val="0"/>
      <w:marBottom w:val="0"/>
      <w:divBdr>
        <w:top w:val="none" w:sz="0" w:space="0" w:color="auto"/>
        <w:left w:val="none" w:sz="0" w:space="0" w:color="auto"/>
        <w:bottom w:val="none" w:sz="0" w:space="0" w:color="auto"/>
        <w:right w:val="none" w:sz="0" w:space="0" w:color="auto"/>
      </w:divBdr>
    </w:div>
    <w:div w:id="1993363170">
      <w:bodyDiv w:val="1"/>
      <w:marLeft w:val="0"/>
      <w:marRight w:val="0"/>
      <w:marTop w:val="0"/>
      <w:marBottom w:val="0"/>
      <w:divBdr>
        <w:top w:val="none" w:sz="0" w:space="0" w:color="auto"/>
        <w:left w:val="none" w:sz="0" w:space="0" w:color="auto"/>
        <w:bottom w:val="none" w:sz="0" w:space="0" w:color="auto"/>
        <w:right w:val="none" w:sz="0" w:space="0" w:color="auto"/>
      </w:divBdr>
    </w:div>
    <w:div w:id="1995603450">
      <w:bodyDiv w:val="1"/>
      <w:marLeft w:val="0"/>
      <w:marRight w:val="0"/>
      <w:marTop w:val="0"/>
      <w:marBottom w:val="0"/>
      <w:divBdr>
        <w:top w:val="none" w:sz="0" w:space="0" w:color="auto"/>
        <w:left w:val="none" w:sz="0" w:space="0" w:color="auto"/>
        <w:bottom w:val="none" w:sz="0" w:space="0" w:color="auto"/>
        <w:right w:val="none" w:sz="0" w:space="0" w:color="auto"/>
      </w:divBdr>
    </w:div>
    <w:div w:id="2029871753">
      <w:bodyDiv w:val="1"/>
      <w:marLeft w:val="0"/>
      <w:marRight w:val="0"/>
      <w:marTop w:val="0"/>
      <w:marBottom w:val="0"/>
      <w:divBdr>
        <w:top w:val="none" w:sz="0" w:space="0" w:color="auto"/>
        <w:left w:val="none" w:sz="0" w:space="0" w:color="auto"/>
        <w:bottom w:val="none" w:sz="0" w:space="0" w:color="auto"/>
        <w:right w:val="none" w:sz="0" w:space="0" w:color="auto"/>
      </w:divBdr>
    </w:div>
    <w:div w:id="2044014096">
      <w:bodyDiv w:val="1"/>
      <w:marLeft w:val="0"/>
      <w:marRight w:val="0"/>
      <w:marTop w:val="0"/>
      <w:marBottom w:val="0"/>
      <w:divBdr>
        <w:top w:val="none" w:sz="0" w:space="0" w:color="auto"/>
        <w:left w:val="none" w:sz="0" w:space="0" w:color="auto"/>
        <w:bottom w:val="none" w:sz="0" w:space="0" w:color="auto"/>
        <w:right w:val="none" w:sz="0" w:space="0" w:color="auto"/>
      </w:divBdr>
    </w:div>
    <w:div w:id="2045784568">
      <w:bodyDiv w:val="1"/>
      <w:marLeft w:val="0"/>
      <w:marRight w:val="0"/>
      <w:marTop w:val="0"/>
      <w:marBottom w:val="0"/>
      <w:divBdr>
        <w:top w:val="none" w:sz="0" w:space="0" w:color="auto"/>
        <w:left w:val="none" w:sz="0" w:space="0" w:color="auto"/>
        <w:bottom w:val="none" w:sz="0" w:space="0" w:color="auto"/>
        <w:right w:val="none" w:sz="0" w:space="0" w:color="auto"/>
      </w:divBdr>
    </w:div>
    <w:div w:id="2061246457">
      <w:bodyDiv w:val="1"/>
      <w:marLeft w:val="0"/>
      <w:marRight w:val="0"/>
      <w:marTop w:val="0"/>
      <w:marBottom w:val="0"/>
      <w:divBdr>
        <w:top w:val="none" w:sz="0" w:space="0" w:color="auto"/>
        <w:left w:val="none" w:sz="0" w:space="0" w:color="auto"/>
        <w:bottom w:val="none" w:sz="0" w:space="0" w:color="auto"/>
        <w:right w:val="none" w:sz="0" w:space="0" w:color="auto"/>
      </w:divBdr>
      <w:divsChild>
        <w:div w:id="425074516">
          <w:marLeft w:val="480"/>
          <w:marRight w:val="0"/>
          <w:marTop w:val="0"/>
          <w:marBottom w:val="0"/>
          <w:divBdr>
            <w:top w:val="none" w:sz="0" w:space="0" w:color="auto"/>
            <w:left w:val="none" w:sz="0" w:space="0" w:color="auto"/>
            <w:bottom w:val="none" w:sz="0" w:space="0" w:color="auto"/>
            <w:right w:val="none" w:sz="0" w:space="0" w:color="auto"/>
          </w:divBdr>
          <w:divsChild>
            <w:div w:id="31183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056538">
      <w:bodyDiv w:val="1"/>
      <w:marLeft w:val="0"/>
      <w:marRight w:val="0"/>
      <w:marTop w:val="0"/>
      <w:marBottom w:val="0"/>
      <w:divBdr>
        <w:top w:val="none" w:sz="0" w:space="0" w:color="auto"/>
        <w:left w:val="none" w:sz="0" w:space="0" w:color="auto"/>
        <w:bottom w:val="none" w:sz="0" w:space="0" w:color="auto"/>
        <w:right w:val="none" w:sz="0" w:space="0" w:color="auto"/>
      </w:divBdr>
    </w:div>
    <w:div w:id="2127188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18" Type="http://schemas.openxmlformats.org/officeDocument/2006/relationships/oleObject" Target="embeddings/oleObject5.bin"/><Relationship Id="rId26" Type="http://schemas.openxmlformats.org/officeDocument/2006/relationships/image" Target="media/image12.png"/><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image" Target="media/image20.emf"/><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6.emf"/><Relationship Id="rId25" Type="http://schemas.openxmlformats.org/officeDocument/2006/relationships/image" Target="media/image11.png"/><Relationship Id="rId33" Type="http://schemas.openxmlformats.org/officeDocument/2006/relationships/image" Target="media/image19.emf"/><Relationship Id="rId38" Type="http://schemas.openxmlformats.org/officeDocument/2006/relationships/image" Target="media/image24.emf"/><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5.em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0.png"/><Relationship Id="rId32" Type="http://schemas.openxmlformats.org/officeDocument/2006/relationships/image" Target="media/image18.emf"/><Relationship Id="rId37" Type="http://schemas.openxmlformats.org/officeDocument/2006/relationships/image" Target="media/image23.emf"/><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emf"/><Relationship Id="rId10" Type="http://schemas.openxmlformats.org/officeDocument/2006/relationships/oleObject" Target="embeddings/oleObject1.bin"/><Relationship Id="rId19" Type="http://schemas.openxmlformats.org/officeDocument/2006/relationships/image" Target="media/image7.emf"/><Relationship Id="rId31" Type="http://schemas.openxmlformats.org/officeDocument/2006/relationships/image" Target="media/image17.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3.png"/><Relationship Id="rId30" Type="http://schemas.openxmlformats.org/officeDocument/2006/relationships/image" Target="media/image16.emf"/><Relationship Id="rId35" Type="http://schemas.openxmlformats.org/officeDocument/2006/relationships/image" Target="media/image2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874DA2-5332-4905-A5BE-FC3161766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2796</Words>
  <Characters>17615</Characters>
  <Application>Microsoft Office Word</Application>
  <DocSecurity>0</DocSecurity>
  <Lines>146</Lines>
  <Paragraphs>40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20371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Andrey Pravdivtsev</dc:creator>
  <cp:keywords/>
  <dc:description/>
  <cp:lastModifiedBy>Josh Philipp Peters</cp:lastModifiedBy>
  <cp:revision>226</cp:revision>
  <cp:lastPrinted>2024-07-01T11:30:00Z</cp:lastPrinted>
  <dcterms:created xsi:type="dcterms:W3CDTF">2024-01-09T12:04:00Z</dcterms:created>
  <dcterms:modified xsi:type="dcterms:W3CDTF">2024-07-01T11:36:00Z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id="SosknNAK"/&gt;&lt;style id="http://www.zotero.org/styles/science-advances" hasBibliography="1" bibliographyStyleHasBeenSet="1"/&gt;&lt;prefs&gt;&lt;pref name="fieldType" value="Field"/&gt;&lt;/prefs&gt;&lt;/data&gt;</vt:lpwstr>
  </property>
</Properties>
</file>