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9255E" w14:textId="77777777" w:rsidR="001F3ACD" w:rsidRDefault="00AE6E78">
      <w:pPr>
        <w:ind w:left="562" w:hangingChars="200" w:hanging="562"/>
        <w:jc w:val="center"/>
        <w:rPr>
          <w:rFonts w:ascii="Times New Roman" w:hAnsi="Times New Roman" w:cs="Times New Roman"/>
          <w:b/>
          <w:sz w:val="28"/>
          <w:szCs w:val="28"/>
        </w:rPr>
      </w:pPr>
      <w:r>
        <w:rPr>
          <w:rFonts w:ascii="Times New Roman" w:hAnsi="Times New Roman" w:cs="Times New Roman" w:hint="eastAsia"/>
          <w:b/>
          <w:sz w:val="28"/>
          <w:szCs w:val="28"/>
        </w:rPr>
        <w:t>S</w:t>
      </w:r>
      <w:r>
        <w:rPr>
          <w:rFonts w:ascii="Times New Roman" w:hAnsi="Times New Roman" w:cs="Times New Roman"/>
          <w:b/>
          <w:sz w:val="28"/>
          <w:szCs w:val="28"/>
        </w:rPr>
        <w:t>upporting Information</w:t>
      </w:r>
    </w:p>
    <w:p w14:paraId="68DB7E5B" w14:textId="4A0AB85E" w:rsidR="001F3ACD" w:rsidRDefault="009C64E2" w:rsidP="00962DDE">
      <w:pPr>
        <w:ind w:leftChars="-200" w:left="-420"/>
        <w:rPr>
          <w:rFonts w:ascii="Times New Roman" w:hAnsi="Times New Roman" w:cs="Times New Roman"/>
          <w:b/>
          <w:color w:val="000000" w:themeColor="text1"/>
        </w:rPr>
      </w:pPr>
      <w:r w:rsidRPr="009C64E2">
        <w:rPr>
          <w:rFonts w:ascii="Times New Roman" w:hAnsi="Times New Roman" w:cs="Times New Roman"/>
          <w:b/>
          <w:sz w:val="28"/>
          <w:szCs w:val="28"/>
        </w:rPr>
        <w:t xml:space="preserve">On-chip graphene photodetectors with a nonvolatile </w:t>
      </w:r>
      <w:r w:rsidRPr="00363411">
        <w:rPr>
          <w:rFonts w:ascii="Times New Roman" w:hAnsi="Times New Roman" w:cs="Times New Roman"/>
          <w:b/>
          <w:i/>
          <w:sz w:val="28"/>
          <w:szCs w:val="28"/>
        </w:rPr>
        <w:t>p</w:t>
      </w:r>
      <w:r w:rsidRPr="009C64E2">
        <w:rPr>
          <w:rFonts w:ascii="Times New Roman" w:hAnsi="Times New Roman" w:cs="Times New Roman"/>
          <w:b/>
          <w:sz w:val="28"/>
          <w:szCs w:val="28"/>
        </w:rPr>
        <w:t>−</w:t>
      </w:r>
      <w:r w:rsidRPr="00363411">
        <w:rPr>
          <w:rFonts w:ascii="Times New Roman" w:hAnsi="Times New Roman" w:cs="Times New Roman"/>
          <w:b/>
          <w:i/>
          <w:sz w:val="28"/>
          <w:szCs w:val="28"/>
        </w:rPr>
        <w:t>i</w:t>
      </w:r>
      <w:r w:rsidRPr="009C64E2">
        <w:rPr>
          <w:rFonts w:ascii="Times New Roman" w:hAnsi="Times New Roman" w:cs="Times New Roman"/>
          <w:b/>
          <w:sz w:val="28"/>
          <w:szCs w:val="28"/>
        </w:rPr>
        <w:t>−</w:t>
      </w:r>
      <w:r w:rsidRPr="00363411">
        <w:rPr>
          <w:rFonts w:ascii="Times New Roman" w:hAnsi="Times New Roman" w:cs="Times New Roman"/>
          <w:b/>
          <w:i/>
          <w:sz w:val="28"/>
          <w:szCs w:val="28"/>
        </w:rPr>
        <w:t>n</w:t>
      </w:r>
      <w:r w:rsidRPr="009C64E2">
        <w:rPr>
          <w:rFonts w:ascii="Times New Roman" w:hAnsi="Times New Roman" w:cs="Times New Roman"/>
          <w:b/>
          <w:sz w:val="28"/>
          <w:szCs w:val="28"/>
        </w:rPr>
        <w:t xml:space="preserve"> homojunction</w:t>
      </w:r>
    </w:p>
    <w:p w14:paraId="3FD03FA7" w14:textId="47A3AC31" w:rsidR="00B67B68" w:rsidRDefault="00B67B68" w:rsidP="00B67B68">
      <w:pPr>
        <w:jc w:val="center"/>
        <w:rPr>
          <w:rFonts w:ascii="Times New Roman" w:hAnsi="Times New Roman" w:cs="Times New Roman"/>
          <w:sz w:val="22"/>
          <w:szCs w:val="24"/>
        </w:rPr>
      </w:pPr>
      <w:r>
        <w:rPr>
          <w:rFonts w:ascii="Times New Roman" w:hAnsi="Times New Roman" w:cs="Times New Roman"/>
          <w:sz w:val="22"/>
          <w:szCs w:val="24"/>
        </w:rPr>
        <w:t>Ruijuan Tian</w:t>
      </w:r>
      <w:r>
        <w:rPr>
          <w:rFonts w:ascii="Times New Roman" w:hAnsi="Times New Roman" w:cs="Times New Roman"/>
          <w:sz w:val="22"/>
          <w:szCs w:val="24"/>
          <w:vertAlign w:val="superscript"/>
        </w:rPr>
        <w:t>1</w:t>
      </w:r>
      <w:r>
        <w:rPr>
          <w:rFonts w:ascii="Times New Roman" w:hAnsi="Times New Roman" w:cs="Times New Roman"/>
          <w:sz w:val="22"/>
          <w:szCs w:val="24"/>
        </w:rPr>
        <w:t>, Yingke Ji</w:t>
      </w:r>
      <w:r>
        <w:rPr>
          <w:rFonts w:ascii="Times New Roman" w:hAnsi="Times New Roman" w:cs="Times New Roman"/>
          <w:sz w:val="22"/>
          <w:szCs w:val="24"/>
          <w:vertAlign w:val="superscript"/>
        </w:rPr>
        <w:t>1</w:t>
      </w:r>
      <w:r>
        <w:rPr>
          <w:rFonts w:ascii="Times New Roman" w:hAnsi="Times New Roman" w:cs="Times New Roman"/>
          <w:sz w:val="22"/>
          <w:szCs w:val="24"/>
        </w:rPr>
        <w:t>, Chen Li</w:t>
      </w:r>
      <w:r>
        <w:rPr>
          <w:rFonts w:ascii="Times New Roman" w:hAnsi="Times New Roman" w:cs="Times New Roman"/>
          <w:sz w:val="22"/>
          <w:szCs w:val="24"/>
          <w:vertAlign w:val="superscript"/>
        </w:rPr>
        <w:t>1</w:t>
      </w:r>
      <w:r>
        <w:rPr>
          <w:rFonts w:ascii="Times New Roman" w:hAnsi="Times New Roman" w:cs="Times New Roman"/>
          <w:sz w:val="22"/>
          <w:szCs w:val="24"/>
        </w:rPr>
        <w:t>, Yong</w:t>
      </w:r>
      <w:r>
        <w:rPr>
          <w:rFonts w:ascii="Times New Roman" w:hAnsi="Times New Roman" w:cs="Times New Roman" w:hint="eastAsia"/>
          <w:sz w:val="22"/>
          <w:szCs w:val="24"/>
        </w:rPr>
        <w:t xml:space="preserve"> </w:t>
      </w:r>
      <w:r>
        <w:rPr>
          <w:rFonts w:ascii="Times New Roman" w:hAnsi="Times New Roman" w:cs="Times New Roman"/>
          <w:sz w:val="22"/>
          <w:szCs w:val="24"/>
        </w:rPr>
        <w:t>Zhang</w:t>
      </w:r>
      <w:r>
        <w:rPr>
          <w:rFonts w:ascii="Times New Roman" w:hAnsi="Times New Roman" w:cs="Times New Roman"/>
          <w:sz w:val="22"/>
          <w:szCs w:val="24"/>
          <w:vertAlign w:val="superscript"/>
        </w:rPr>
        <w:t>2</w:t>
      </w:r>
      <w:r>
        <w:rPr>
          <w:rFonts w:ascii="Times New Roman" w:hAnsi="Times New Roman" w:cs="Times New Roman"/>
          <w:sz w:val="22"/>
          <w:szCs w:val="24"/>
        </w:rPr>
        <w:t>, Xianghu Wu</w:t>
      </w:r>
      <w:r>
        <w:rPr>
          <w:rFonts w:ascii="Times New Roman" w:hAnsi="Times New Roman" w:cs="Times New Roman"/>
          <w:sz w:val="22"/>
          <w:szCs w:val="24"/>
          <w:vertAlign w:val="superscript"/>
        </w:rPr>
        <w:t>1</w:t>
      </w:r>
      <w:r>
        <w:rPr>
          <w:rFonts w:ascii="Times New Roman" w:hAnsi="Times New Roman" w:cs="Times New Roman"/>
          <w:sz w:val="22"/>
          <w:szCs w:val="24"/>
        </w:rPr>
        <w:t>, Jianguo Wang</w:t>
      </w:r>
      <w:r>
        <w:rPr>
          <w:rFonts w:ascii="Times New Roman" w:hAnsi="Times New Roman" w:cs="Times New Roman"/>
          <w:sz w:val="22"/>
          <w:szCs w:val="24"/>
          <w:vertAlign w:val="superscript"/>
        </w:rPr>
        <w:t>1</w:t>
      </w:r>
      <w:r>
        <w:rPr>
          <w:rFonts w:ascii="Times New Roman" w:hAnsi="Times New Roman" w:cs="Times New Roman"/>
          <w:sz w:val="22"/>
          <w:szCs w:val="24"/>
        </w:rPr>
        <w:t>, Shu</w:t>
      </w:r>
      <w:r w:rsidR="008306FD">
        <w:rPr>
          <w:rFonts w:ascii="Times New Roman" w:hAnsi="Times New Roman" w:cs="Times New Roman"/>
          <w:sz w:val="22"/>
          <w:szCs w:val="24"/>
        </w:rPr>
        <w:t>a</w:t>
      </w:r>
      <w:r>
        <w:rPr>
          <w:rFonts w:ascii="Times New Roman" w:hAnsi="Times New Roman" w:cs="Times New Roman"/>
          <w:sz w:val="22"/>
          <w:szCs w:val="24"/>
        </w:rPr>
        <w:t>iwei Jia</w:t>
      </w:r>
      <w:r>
        <w:rPr>
          <w:rFonts w:ascii="Times New Roman" w:hAnsi="Times New Roman" w:cs="Times New Roman"/>
          <w:sz w:val="22"/>
          <w:szCs w:val="24"/>
          <w:vertAlign w:val="superscript"/>
        </w:rPr>
        <w:t>3</w:t>
      </w:r>
      <w:r>
        <w:rPr>
          <w:rFonts w:ascii="Times New Roman" w:hAnsi="Times New Roman" w:cs="Times New Roman"/>
          <w:sz w:val="22"/>
          <w:szCs w:val="24"/>
        </w:rPr>
        <w:t>, Liang Liu</w:t>
      </w:r>
      <w:r>
        <w:rPr>
          <w:rFonts w:ascii="Times New Roman" w:hAnsi="Times New Roman" w:cs="Times New Roman"/>
          <w:sz w:val="22"/>
          <w:szCs w:val="24"/>
          <w:vertAlign w:val="superscript"/>
        </w:rPr>
        <w:t>4</w:t>
      </w:r>
      <w:r>
        <w:rPr>
          <w:rFonts w:ascii="Times New Roman" w:hAnsi="Times New Roman" w:cs="Times New Roman"/>
          <w:sz w:val="22"/>
          <w:szCs w:val="24"/>
        </w:rPr>
        <w:t>, Mingwen Zhang</w:t>
      </w:r>
      <w:r>
        <w:rPr>
          <w:rFonts w:ascii="Times New Roman" w:hAnsi="Times New Roman" w:cs="Times New Roman"/>
          <w:sz w:val="22"/>
          <w:szCs w:val="24"/>
          <w:vertAlign w:val="superscript"/>
        </w:rPr>
        <w:t>1</w:t>
      </w:r>
      <w:r>
        <w:rPr>
          <w:rFonts w:ascii="Times New Roman" w:hAnsi="Times New Roman" w:cs="Times New Roman"/>
          <w:sz w:val="22"/>
          <w:szCs w:val="24"/>
        </w:rPr>
        <w:t>, Yu Zhang</w:t>
      </w:r>
      <w:r>
        <w:rPr>
          <w:rFonts w:ascii="Times New Roman" w:hAnsi="Times New Roman" w:cs="Times New Roman"/>
          <w:sz w:val="22"/>
          <w:szCs w:val="24"/>
          <w:vertAlign w:val="superscript"/>
        </w:rPr>
        <w:t>1</w:t>
      </w:r>
      <w:r>
        <w:rPr>
          <w:rFonts w:ascii="Times New Roman" w:hAnsi="Times New Roman" w:cs="Times New Roman"/>
          <w:sz w:val="22"/>
          <w:szCs w:val="24"/>
        </w:rPr>
        <w:t>, Qiao Zhang</w:t>
      </w:r>
      <w:r>
        <w:rPr>
          <w:rFonts w:ascii="Times New Roman" w:hAnsi="Times New Roman" w:cs="Times New Roman"/>
          <w:sz w:val="22"/>
          <w:szCs w:val="24"/>
          <w:vertAlign w:val="superscript"/>
        </w:rPr>
        <w:t>1</w:t>
      </w:r>
      <w:r>
        <w:rPr>
          <w:rFonts w:ascii="Times New Roman" w:hAnsi="Times New Roman" w:cs="Times New Roman"/>
          <w:sz w:val="22"/>
          <w:szCs w:val="24"/>
        </w:rPr>
        <w:t>, Zhuang Xie</w:t>
      </w:r>
      <w:r>
        <w:rPr>
          <w:rFonts w:ascii="Times New Roman" w:hAnsi="Times New Roman" w:cs="Times New Roman"/>
          <w:sz w:val="22"/>
          <w:szCs w:val="24"/>
          <w:vertAlign w:val="superscript"/>
        </w:rPr>
        <w:t>3</w:t>
      </w:r>
      <w:r>
        <w:rPr>
          <w:rFonts w:ascii="Times New Roman" w:hAnsi="Times New Roman" w:cs="Times New Roman"/>
          <w:sz w:val="22"/>
          <w:szCs w:val="24"/>
        </w:rPr>
        <w:t>, Duorui Gao</w:t>
      </w:r>
      <w:r>
        <w:rPr>
          <w:rFonts w:ascii="Times New Roman" w:hAnsi="Times New Roman" w:cs="Times New Roman"/>
          <w:sz w:val="22"/>
          <w:szCs w:val="24"/>
          <w:vertAlign w:val="superscript"/>
        </w:rPr>
        <w:t>3</w:t>
      </w:r>
      <w:r>
        <w:rPr>
          <w:rFonts w:ascii="Times New Roman" w:hAnsi="Times New Roman" w:cs="Times New Roman"/>
          <w:sz w:val="22"/>
          <w:szCs w:val="24"/>
        </w:rPr>
        <w:t>, Yan Liu</w:t>
      </w:r>
      <w:r>
        <w:rPr>
          <w:rFonts w:ascii="Times New Roman" w:hAnsi="Times New Roman" w:cs="Times New Roman"/>
          <w:sz w:val="22"/>
          <w:szCs w:val="24"/>
          <w:vertAlign w:val="superscript"/>
        </w:rPr>
        <w:t>2</w:t>
      </w:r>
      <w:r>
        <w:rPr>
          <w:rFonts w:ascii="Times New Roman" w:hAnsi="Times New Roman" w:cs="Times New Roman"/>
          <w:sz w:val="22"/>
          <w:szCs w:val="24"/>
        </w:rPr>
        <w:t>, Jianlin Zhao</w:t>
      </w:r>
      <w:r>
        <w:rPr>
          <w:rFonts w:ascii="Times New Roman" w:hAnsi="Times New Roman" w:cs="Times New Roman"/>
          <w:sz w:val="22"/>
          <w:szCs w:val="24"/>
          <w:vertAlign w:val="superscript"/>
        </w:rPr>
        <w:t>1</w:t>
      </w:r>
      <w:r>
        <w:rPr>
          <w:rFonts w:ascii="Times New Roman" w:hAnsi="Times New Roman" w:cs="Times New Roman"/>
          <w:sz w:val="22"/>
          <w:szCs w:val="24"/>
        </w:rPr>
        <w:t>, Zhipei Sun</w:t>
      </w:r>
      <w:r>
        <w:rPr>
          <w:rFonts w:ascii="Times New Roman" w:hAnsi="Times New Roman" w:cs="Times New Roman"/>
          <w:sz w:val="22"/>
          <w:szCs w:val="24"/>
          <w:vertAlign w:val="superscript"/>
        </w:rPr>
        <w:t>5,</w:t>
      </w:r>
      <w:r>
        <w:rPr>
          <w:rFonts w:ascii="Times New Roman" w:hAnsi="Times New Roman" w:cs="Times New Roman"/>
          <w:sz w:val="22"/>
          <w:szCs w:val="24"/>
        </w:rPr>
        <w:t>*, Xuetao Gan</w:t>
      </w:r>
      <w:r>
        <w:rPr>
          <w:rFonts w:ascii="Times New Roman" w:hAnsi="Times New Roman" w:cs="Times New Roman"/>
          <w:sz w:val="22"/>
          <w:szCs w:val="24"/>
          <w:vertAlign w:val="superscript"/>
        </w:rPr>
        <w:t>1,4,</w:t>
      </w:r>
      <w:r>
        <w:rPr>
          <w:rFonts w:ascii="Times New Roman" w:hAnsi="Times New Roman" w:cs="Times New Roman"/>
          <w:sz w:val="22"/>
          <w:szCs w:val="24"/>
        </w:rPr>
        <w:t>*</w:t>
      </w:r>
    </w:p>
    <w:p w14:paraId="3326C947" w14:textId="77777777" w:rsidR="00B67B68" w:rsidRDefault="00B67B68" w:rsidP="00B67B68">
      <w:pPr>
        <w:numPr>
          <w:ilvl w:val="0"/>
          <w:numId w:val="1"/>
        </w:numPr>
        <w:adjustRightInd w:val="0"/>
        <w:snapToGrid w:val="0"/>
        <w:spacing w:line="260" w:lineRule="auto"/>
        <w:jc w:val="center"/>
        <w:rPr>
          <w:rFonts w:ascii="Times New Roman" w:hAnsi="Times New Roman" w:cs="Times New Roman"/>
        </w:rPr>
      </w:pPr>
      <w:r>
        <w:rPr>
          <w:rFonts w:ascii="Times New Roman" w:hAnsi="Times New Roman" w:cs="Times New Roman"/>
          <w:color w:val="000000"/>
        </w:rPr>
        <w:t xml:space="preserve">Key Laboratory of Light Field Manipulation and Information Acquisition, </w:t>
      </w:r>
      <w:r>
        <w:rPr>
          <w:rFonts w:ascii="Times New Roman" w:hAnsi="Times New Roman" w:cs="Times New Roman"/>
        </w:rPr>
        <w:t>and Shaanxi Key Laboratory of Optical Information Technology, School of Physical Science and Technology, Northwestern Polytechnical University, 710129 Xi’an, P. R. China</w:t>
      </w:r>
    </w:p>
    <w:p w14:paraId="720479F0" w14:textId="77777777" w:rsidR="00B67B68" w:rsidRDefault="00B67B68" w:rsidP="00B67B68">
      <w:pPr>
        <w:numPr>
          <w:ilvl w:val="0"/>
          <w:numId w:val="1"/>
        </w:numPr>
        <w:adjustRightInd w:val="0"/>
        <w:snapToGrid w:val="0"/>
        <w:spacing w:line="260" w:lineRule="auto"/>
        <w:jc w:val="center"/>
        <w:rPr>
          <w:rFonts w:ascii="Times New Roman" w:hAnsi="Times New Roman" w:cs="Times New Roman"/>
        </w:rPr>
      </w:pPr>
      <w:r>
        <w:rPr>
          <w:rFonts w:ascii="Times New Roman" w:hAnsi="Times New Roman" w:cs="Times New Roman"/>
        </w:rPr>
        <w:t>State Key Discipline Laboratory of Wide Band Gap Semiconductor Technology, School of Microelectronics, Xi dian University, Xi’an 710071, P. R. China</w:t>
      </w:r>
    </w:p>
    <w:p w14:paraId="30C6E187" w14:textId="77777777" w:rsidR="00B67B68" w:rsidRDefault="00B67B68" w:rsidP="00B67B68">
      <w:pPr>
        <w:numPr>
          <w:ilvl w:val="0"/>
          <w:numId w:val="1"/>
        </w:numPr>
        <w:adjustRightInd w:val="0"/>
        <w:snapToGrid w:val="0"/>
        <w:spacing w:line="260" w:lineRule="auto"/>
        <w:jc w:val="center"/>
        <w:rPr>
          <w:rFonts w:ascii="Times New Roman" w:hAnsi="Times New Roman" w:cs="Times New Roman"/>
        </w:rPr>
      </w:pPr>
      <w:r>
        <w:rPr>
          <w:rFonts w:ascii="Times New Roman" w:hAnsi="Times New Roman" w:cs="Times New Roman"/>
        </w:rPr>
        <w:t>State Key Laboratory of Transient Optics and Photonics, Xi’an Institute of Optics and Precision Mechanics, Chinese Academy of Sciences, Xi’an 710119, P. R. China</w:t>
      </w:r>
    </w:p>
    <w:p w14:paraId="58C6BCE7" w14:textId="77777777" w:rsidR="00B67B68" w:rsidRDefault="00B67B68" w:rsidP="00B67B68">
      <w:pPr>
        <w:numPr>
          <w:ilvl w:val="0"/>
          <w:numId w:val="1"/>
        </w:numPr>
        <w:adjustRightInd w:val="0"/>
        <w:snapToGrid w:val="0"/>
        <w:spacing w:line="260" w:lineRule="auto"/>
        <w:jc w:val="center"/>
        <w:rPr>
          <w:rFonts w:ascii="Times New Roman" w:hAnsi="Times New Roman" w:cs="Times New Roman"/>
        </w:rPr>
      </w:pPr>
      <w:r>
        <w:rPr>
          <w:rFonts w:ascii="Times New Roman" w:hAnsi="Times New Roman" w:cs="Times New Roman"/>
        </w:rPr>
        <w:t>School of Microelectronics, Northwestern Polytechnical University, 710129 Xi’an, P. R. China</w:t>
      </w:r>
    </w:p>
    <w:p w14:paraId="5B49C0FC" w14:textId="77777777" w:rsidR="00B67B68" w:rsidRDefault="00B67B68" w:rsidP="00B67B68">
      <w:pPr>
        <w:pStyle w:val="a8"/>
        <w:numPr>
          <w:ilvl w:val="0"/>
          <w:numId w:val="1"/>
        </w:numPr>
        <w:ind w:firstLineChars="0"/>
        <w:jc w:val="center"/>
        <w:rPr>
          <w:rFonts w:ascii="Times New Roman" w:hAnsi="Times New Roman" w:cs="Times New Roman"/>
        </w:rPr>
      </w:pPr>
      <w:r>
        <w:rPr>
          <w:rFonts w:ascii="Times New Roman" w:hAnsi="Times New Roman" w:cs="Times New Roman"/>
        </w:rPr>
        <w:t>Department of Electronics and Nanoengineering, Aalto University, Tietotie 3, FI-00076 Espoo, Finland</w:t>
      </w:r>
    </w:p>
    <w:p w14:paraId="377D5FEF" w14:textId="77777777" w:rsidR="00B67B68" w:rsidRDefault="00B67B68" w:rsidP="00B67B68">
      <w:pPr>
        <w:ind w:left="420" w:hangingChars="200" w:hanging="420"/>
        <w:jc w:val="center"/>
        <w:rPr>
          <w:rStyle w:val="a6"/>
          <w:rFonts w:ascii="Times New Roman" w:hAnsi="Times New Roman" w:cs="Times New Roman"/>
        </w:rPr>
      </w:pPr>
      <w:r>
        <w:rPr>
          <w:rFonts w:ascii="Times New Roman" w:hAnsi="Times New Roman" w:cs="Times New Roman"/>
        </w:rPr>
        <w:t>*</w:t>
      </w:r>
      <w:r>
        <w:rPr>
          <w:rFonts w:ascii="Times New Roman" w:hAnsi="Times New Roman" w:cs="Times New Roman"/>
          <w:i/>
          <w:iCs/>
        </w:rPr>
        <w:t>Email:</w:t>
      </w:r>
      <w:r>
        <w:rPr>
          <w:rFonts w:ascii="Times New Roman" w:hAnsi="Times New Roman" w:cs="Times New Roman"/>
        </w:rPr>
        <w:t xml:space="preserve"> </w:t>
      </w:r>
      <w:hyperlink r:id="rId7" w:history="1">
        <w:r>
          <w:rPr>
            <w:rStyle w:val="a6"/>
            <w:rFonts w:ascii="Times New Roman" w:hAnsi="Times New Roman" w:cs="Times New Roman"/>
          </w:rPr>
          <w:t>xuetaogan@nwpu.edu.cn</w:t>
        </w:r>
      </w:hyperlink>
      <w:r>
        <w:rPr>
          <w:rStyle w:val="a6"/>
          <w:rFonts w:ascii="Times New Roman" w:hAnsi="Times New Roman" w:cs="Times New Roman"/>
        </w:rPr>
        <w:t>; zhipei.sun@aalto.fi</w:t>
      </w:r>
    </w:p>
    <w:p w14:paraId="1A63BEC3" w14:textId="77777777" w:rsidR="001F3ACD" w:rsidRPr="00B67B68" w:rsidRDefault="001F3ACD">
      <w:pPr>
        <w:rPr>
          <w:rFonts w:ascii="Times New Roman" w:hAnsi="Times New Roman" w:cs="Times New Roman"/>
          <w:b/>
        </w:rPr>
      </w:pPr>
    </w:p>
    <w:p w14:paraId="7F99F010" w14:textId="77777777" w:rsidR="001F3ACD" w:rsidRDefault="001F3ACD">
      <w:pPr>
        <w:rPr>
          <w:rFonts w:ascii="Times New Roman" w:hAnsi="Times New Roman" w:cs="Times New Roman"/>
          <w:b/>
        </w:rPr>
      </w:pPr>
    </w:p>
    <w:p w14:paraId="4F9BA2FA" w14:textId="02EBE993" w:rsidR="001F3ACD" w:rsidRDefault="004E4BCD">
      <w:pPr>
        <w:jc w:val="center"/>
        <w:rPr>
          <w:rFonts w:ascii="Times New Roman" w:hAnsi="Times New Roman" w:cs="Times New Roman"/>
          <w:b/>
        </w:rPr>
      </w:pPr>
      <w:r w:rsidRPr="007C1B27">
        <w:rPr>
          <w:rFonts w:ascii="Times New Roman" w:hAnsi="Times New Roman" w:cs="Times New Roman"/>
          <w:b/>
          <w:noProof/>
        </w:rPr>
        <w:drawing>
          <wp:inline distT="0" distB="0" distL="0" distR="0" wp14:anchorId="58D58B19" wp14:editId="13461095">
            <wp:extent cx="5274310" cy="2326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326005"/>
                    </a:xfrm>
                    <a:prstGeom prst="rect">
                      <a:avLst/>
                    </a:prstGeom>
                  </pic:spPr>
                </pic:pic>
              </a:graphicData>
            </a:graphic>
          </wp:inline>
        </w:drawing>
      </w:r>
    </w:p>
    <w:p w14:paraId="20C832C1" w14:textId="78F82076" w:rsidR="001F3ACD" w:rsidRDefault="00A32D31">
      <w:pPr>
        <w:spacing w:afterLines="50" w:after="156" w:line="360" w:lineRule="auto"/>
        <w:rPr>
          <w:rFonts w:ascii="Times New Roman" w:hAnsi="Times New Roman" w:cs="Times New Roman"/>
          <w:color w:val="000000" w:themeColor="text1"/>
        </w:rPr>
      </w:pPr>
      <w:r>
        <w:rPr>
          <w:rFonts w:ascii="Times New Roman" w:hAnsi="Times New Roman" w:cs="Times New Roman"/>
          <w:b/>
          <w:color w:val="000000" w:themeColor="text1"/>
        </w:rPr>
        <w:t>Figure S1</w:t>
      </w:r>
      <w:r w:rsidR="00AE6E78">
        <w:rPr>
          <w:rFonts w:ascii="Times New Roman" w:hAnsi="Times New Roman" w:cs="Times New Roman"/>
          <w:color w:val="000000" w:themeColor="text1"/>
        </w:rPr>
        <w:t xml:space="preserve"> Fabrication flow and structure parameters of the device. </w:t>
      </w:r>
      <w:r w:rsidR="00AE6E78">
        <w:rPr>
          <w:rFonts w:ascii="Times New Roman" w:hAnsi="Times New Roman" w:cs="Times New Roman"/>
          <w:b/>
          <w:color w:val="000000" w:themeColor="text1"/>
        </w:rPr>
        <w:t>a</w:t>
      </w:r>
      <w:r w:rsidR="00AE6E78">
        <w:rPr>
          <w:rFonts w:ascii="Times New Roman" w:hAnsi="Times New Roman" w:cs="Times New Roman"/>
          <w:color w:val="000000" w:themeColor="text1"/>
        </w:rPr>
        <w:t xml:space="preserve"> A 220 nm thick silicon-on-insulator wafer was prepared for device fabrication. </w:t>
      </w:r>
      <w:r w:rsidR="00AE6E78">
        <w:rPr>
          <w:rFonts w:ascii="Times New Roman" w:hAnsi="Times New Roman" w:cs="Times New Roman"/>
          <w:b/>
          <w:color w:val="000000" w:themeColor="text1"/>
        </w:rPr>
        <w:t>b</w:t>
      </w:r>
      <w:r w:rsidR="00AE6E78">
        <w:rPr>
          <w:rFonts w:ascii="Times New Roman" w:hAnsi="Times New Roman" w:cs="Times New Roman"/>
          <w:color w:val="000000" w:themeColor="text1"/>
        </w:rPr>
        <w:t xml:space="preserve"> PC waveguide is fabricated on </w:t>
      </w:r>
      <w:r w:rsidR="00AE6E78">
        <w:rPr>
          <w:rFonts w:ascii="Times New Roman" w:hAnsi="Times New Roman" w:cs="Times New Roman" w:hint="eastAsia"/>
          <w:color w:val="000000" w:themeColor="text1"/>
        </w:rPr>
        <w:t>the</w:t>
      </w:r>
      <w:r w:rsidR="00AE6E78">
        <w:rPr>
          <w:rFonts w:ascii="Times New Roman" w:hAnsi="Times New Roman" w:cs="Times New Roman"/>
          <w:color w:val="000000" w:themeColor="text1"/>
        </w:rPr>
        <w:t xml:space="preserve"> 220 nm thick silicon-on-insulator wafer using the techniques of electron beam lithography and inductively coupled plasma etching. The air-holes of the PC pattern have a lattice constant of </w:t>
      </w:r>
      <w:r w:rsidR="00617DEC">
        <w:rPr>
          <w:rFonts w:ascii="Times New Roman" w:hAnsi="Times New Roman" w:cs="Times New Roman"/>
          <w:color w:val="000000" w:themeColor="text1"/>
        </w:rPr>
        <w:t>42</w:t>
      </w:r>
      <w:r w:rsidR="00AE6E78">
        <w:rPr>
          <w:rFonts w:ascii="Times New Roman" w:hAnsi="Times New Roman" w:cs="Times New Roman"/>
          <w:color w:val="000000" w:themeColor="text1"/>
        </w:rPr>
        <w:t xml:space="preserve">0 nm and a radius of </w:t>
      </w:r>
      <w:r w:rsidR="00617DEC">
        <w:rPr>
          <w:rFonts w:ascii="Times New Roman" w:hAnsi="Times New Roman" w:cs="Times New Roman"/>
          <w:color w:val="000000" w:themeColor="text1"/>
        </w:rPr>
        <w:t>11</w:t>
      </w:r>
      <w:r w:rsidR="00AE6E78">
        <w:rPr>
          <w:rFonts w:ascii="Times New Roman" w:hAnsi="Times New Roman" w:cs="Times New Roman"/>
          <w:color w:val="000000" w:themeColor="text1"/>
        </w:rPr>
        <w:t xml:space="preserve">0 nm. The waveguide is formed by missing one line of air-holes. At the boundary between the air-hole region and the central line-defect, there are two 100 nm wide air-slots, which leave the middle waveguide with a width of 520 nm. </w:t>
      </w:r>
      <w:r w:rsidR="00AE6E78">
        <w:rPr>
          <w:rFonts w:ascii="Times New Roman" w:hAnsi="Times New Roman" w:cs="Times New Roman"/>
          <w:b/>
          <w:color w:val="000000" w:themeColor="text1"/>
        </w:rPr>
        <w:t>c</w:t>
      </w:r>
      <w:r w:rsidR="00AE6E78">
        <w:rPr>
          <w:rFonts w:ascii="Times New Roman" w:hAnsi="Times New Roman" w:cs="Times New Roman"/>
          <w:color w:val="000000" w:themeColor="text1"/>
        </w:rPr>
        <w:t xml:space="preserve"> D, S, G1, and G2 electrodes are respectively defined in the four electrically independent parts of the silicon slab divided by the electrically isolated air-slots. </w:t>
      </w:r>
      <w:r w:rsidR="00AE6E78">
        <w:rPr>
          <w:rFonts w:ascii="Times New Roman" w:hAnsi="Times New Roman" w:cs="Times New Roman"/>
          <w:b/>
          <w:color w:val="000000" w:themeColor="text1"/>
        </w:rPr>
        <w:t>d</w:t>
      </w:r>
      <w:r w:rsidR="00AE6E78">
        <w:rPr>
          <w:rFonts w:ascii="Times New Roman" w:hAnsi="Times New Roman" w:cs="Times New Roman"/>
          <w:color w:val="000000" w:themeColor="text1"/>
        </w:rPr>
        <w:t xml:space="preserve"> P(VDF-TrFE) (70:30 mol%) ferroelectric polymer was prepared by spin coating </w:t>
      </w:r>
      <w:r w:rsidR="00AE6E78">
        <w:rPr>
          <w:rFonts w:ascii="Times New Roman" w:hAnsi="Times New Roman" w:cs="Times New Roman"/>
          <w:color w:val="000000" w:themeColor="text1"/>
        </w:rPr>
        <w:lastRenderedPageBreak/>
        <w:t xml:space="preserve">on the top of the silicon slab. After that, the P(VDF-TrFE) films were annealed at 135 °C for four hours to improve the crystallinity. </w:t>
      </w:r>
      <w:r w:rsidR="00AE6E78">
        <w:rPr>
          <w:rFonts w:ascii="Times New Roman" w:hAnsi="Times New Roman" w:cs="Times New Roman"/>
          <w:b/>
          <w:color w:val="000000" w:themeColor="text1"/>
        </w:rPr>
        <w:t>e</w:t>
      </w:r>
      <w:r w:rsidR="00AE6E78">
        <w:rPr>
          <w:rFonts w:ascii="Times New Roman" w:hAnsi="Times New Roman" w:cs="Times New Roman"/>
          <w:color w:val="000000" w:themeColor="text1"/>
        </w:rPr>
        <w:t xml:space="preserve"> Few-layer graphene was exfoliated and then transferred on the</w:t>
      </w:r>
      <w:r w:rsidR="00AE6E78">
        <w:rPr>
          <w:rFonts w:ascii="Times New Roman" w:hAnsi="Times New Roman" w:cs="Times New Roman" w:hint="eastAsia"/>
          <w:color w:val="000000" w:themeColor="text1"/>
        </w:rPr>
        <w:t xml:space="preserve"> </w:t>
      </w:r>
      <w:r w:rsidR="00AE6E78">
        <w:rPr>
          <w:rFonts w:ascii="Times New Roman" w:hAnsi="Times New Roman" w:cs="Times New Roman"/>
          <w:color w:val="000000" w:themeColor="text1"/>
        </w:rPr>
        <w:t xml:space="preserve">P(VDF-TrFE) film </w:t>
      </w:r>
      <w:r w:rsidR="008D69E3">
        <w:rPr>
          <w:rFonts w:ascii="Times New Roman" w:hAnsi="Times New Roman" w:cs="Times New Roman" w:hint="eastAsia"/>
          <w:color w:val="000000" w:themeColor="text1"/>
        </w:rPr>
        <w:t>c</w:t>
      </w:r>
      <w:r w:rsidR="008D69E3">
        <w:rPr>
          <w:rFonts w:ascii="Times New Roman" w:hAnsi="Times New Roman" w:cs="Times New Roman"/>
          <w:color w:val="000000" w:themeColor="text1"/>
        </w:rPr>
        <w:t>oa</w:t>
      </w:r>
      <w:r w:rsidR="00AE6E78">
        <w:rPr>
          <w:rFonts w:ascii="Times New Roman" w:hAnsi="Times New Roman" w:cs="Times New Roman" w:hint="eastAsia"/>
          <w:color w:val="000000" w:themeColor="text1"/>
        </w:rPr>
        <w:t>ted</w:t>
      </w:r>
      <w:r w:rsidR="00AE6E78">
        <w:rPr>
          <w:rFonts w:ascii="Times New Roman" w:hAnsi="Times New Roman" w:cs="Times New Roman"/>
          <w:color w:val="000000" w:themeColor="text1"/>
        </w:rPr>
        <w:t xml:space="preserve"> on the electrically isolated air-slots PC waveguide. The thickness of the graphene layer was roughly identified by optical contrast, and later confirmed using atomic force microscopy and Raman spectrum. </w:t>
      </w:r>
      <w:r w:rsidR="00AE6E78">
        <w:rPr>
          <w:rFonts w:ascii="Times New Roman" w:hAnsi="Times New Roman" w:cs="Times New Roman"/>
          <w:b/>
          <w:color w:val="000000" w:themeColor="text1"/>
        </w:rPr>
        <w:t>f</w:t>
      </w:r>
      <w:r w:rsidR="00AE6E78">
        <w:rPr>
          <w:rFonts w:ascii="Times New Roman" w:hAnsi="Times New Roman" w:cs="Times New Roman"/>
          <w:color w:val="000000" w:themeColor="text1"/>
        </w:rPr>
        <w:t xml:space="preserve"> Finally, Au electrodes with photolithography-defined shape were transferred on both sides of the graphene for drain and source contact. </w:t>
      </w:r>
    </w:p>
    <w:p w14:paraId="3B4FD91A" w14:textId="77777777" w:rsidR="001F3ACD" w:rsidRDefault="00AE6E78">
      <w:pPr>
        <w:spacing w:afterLines="50" w:after="156"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1F6D716" wp14:editId="75A607E2">
            <wp:extent cx="2438400" cy="1835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438408" cy="1836000"/>
                    </a:xfrm>
                    <a:prstGeom prst="rect">
                      <a:avLst/>
                    </a:prstGeom>
                  </pic:spPr>
                </pic:pic>
              </a:graphicData>
            </a:graphic>
          </wp:inline>
        </w:drawing>
      </w:r>
    </w:p>
    <w:p w14:paraId="01487CC3" w14:textId="6202427B" w:rsidR="001F3ACD" w:rsidRDefault="00AE6E78">
      <w:pPr>
        <w:spacing w:afterLines="50" w:after="156" w:line="360" w:lineRule="auto"/>
        <w:rPr>
          <w:rFonts w:ascii="Times New Roman" w:hAnsi="Times New Roman" w:cs="Times New Roman"/>
        </w:rPr>
      </w:pPr>
      <w:r>
        <w:rPr>
          <w:rFonts w:ascii="Times New Roman" w:hAnsi="Times New Roman" w:cs="Times New Roman"/>
          <w:b/>
        </w:rPr>
        <w:t>Figure S2</w:t>
      </w:r>
      <w:r>
        <w:rPr>
          <w:rFonts w:ascii="Times New Roman" w:hAnsi="Times New Roman" w:cs="Times New Roman"/>
        </w:rPr>
        <w:t xml:space="preserve"> Output characteristic (</w:t>
      </w:r>
      <w:r>
        <w:rPr>
          <w:rFonts w:ascii="Times New Roman" w:hAnsi="Times New Roman" w:cs="Times New Roman"/>
          <w:i/>
        </w:rPr>
        <w:t>I</w:t>
      </w:r>
      <w:r>
        <w:rPr>
          <w:rFonts w:ascii="Times New Roman" w:hAnsi="Times New Roman" w:cs="Times New Roman"/>
          <w:vertAlign w:val="subscript"/>
        </w:rPr>
        <w:t>DS</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DS</w:t>
      </w:r>
      <w:r>
        <w:rPr>
          <w:rFonts w:ascii="Times New Roman" w:hAnsi="Times New Roman" w:cs="Times New Roman"/>
        </w:rPr>
        <w:t xml:space="preserve">) curve of waveguide-integrated nonvolatile graphene </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 xml:space="preserve"> junction at </w:t>
      </w:r>
      <w:r>
        <w:rPr>
          <w:rFonts w:ascii="Times New Roman" w:hAnsi="Times New Roman" w:cs="Times New Roman"/>
          <w:i/>
        </w:rPr>
        <w:t>V</w:t>
      </w:r>
      <w:r>
        <w:rPr>
          <w:rFonts w:ascii="Times New Roman" w:hAnsi="Times New Roman" w:cs="Times New Roman"/>
          <w:vertAlign w:val="subscript"/>
        </w:rPr>
        <w:t>G1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G2</w:t>
      </w:r>
      <w:r>
        <w:rPr>
          <w:rFonts w:ascii="Times New Roman" w:hAnsi="Times New Roman" w:cs="Times New Roman"/>
        </w:rPr>
        <w:t>=0 V.</w:t>
      </w:r>
    </w:p>
    <w:p w14:paraId="54E6EECC" w14:textId="4CE21FAF" w:rsidR="001F3ACD" w:rsidRDefault="00FC2F6C">
      <w:pPr>
        <w:rPr>
          <w:rFonts w:ascii="Times New Roman" w:hAnsi="Times New Roman" w:cs="Times New Roman"/>
          <w:b/>
        </w:rPr>
      </w:pPr>
      <w:r w:rsidRPr="007C1B27">
        <w:rPr>
          <w:rFonts w:ascii="Times New Roman" w:hAnsi="Times New Roman" w:cs="Times New Roman"/>
          <w:b/>
          <w:noProof/>
        </w:rPr>
        <w:drawing>
          <wp:inline distT="0" distB="0" distL="0" distR="0" wp14:anchorId="55024379" wp14:editId="29A2155E">
            <wp:extent cx="5274310" cy="19742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74215"/>
                    </a:xfrm>
                    <a:prstGeom prst="rect">
                      <a:avLst/>
                    </a:prstGeom>
                  </pic:spPr>
                </pic:pic>
              </a:graphicData>
            </a:graphic>
          </wp:inline>
        </w:drawing>
      </w:r>
    </w:p>
    <w:p w14:paraId="3A63FD86" w14:textId="78404E3E" w:rsidR="001F3ACD" w:rsidRDefault="00A32D31">
      <w:pPr>
        <w:spacing w:afterLines="50" w:after="156" w:line="360" w:lineRule="auto"/>
        <w:rPr>
          <w:rFonts w:ascii="Times New Roman" w:hAnsi="Times New Roman" w:cs="Times New Roman"/>
        </w:rPr>
      </w:pPr>
      <w:r>
        <w:rPr>
          <w:rFonts w:ascii="Times New Roman" w:hAnsi="Times New Roman" w:cs="Times New Roman"/>
          <w:b/>
        </w:rPr>
        <w:t>Figure S3</w:t>
      </w:r>
      <w:r w:rsidR="00AE6E78">
        <w:rPr>
          <w:rFonts w:ascii="Times New Roman" w:hAnsi="Times New Roman" w:cs="Times New Roman"/>
        </w:rPr>
        <w:t xml:space="preserve"> Doping configuration of the device controlled by ferroelectric polarization field. </w:t>
      </w:r>
      <w:r w:rsidR="00AE6E78">
        <w:rPr>
          <w:rFonts w:ascii="Times New Roman" w:hAnsi="Times New Roman" w:cs="Times New Roman"/>
          <w:b/>
        </w:rPr>
        <w:t>a</w:t>
      </w:r>
      <w:r w:rsidR="00AE6E78">
        <w:rPr>
          <w:rFonts w:ascii="Times New Roman" w:hAnsi="Times New Roman" w:cs="Times New Roman"/>
        </w:rPr>
        <w:t xml:space="preserve"> Schematic of waveguide-integrated nonvolatile graphene </w:t>
      </w:r>
      <w:r w:rsidR="00AE6E78">
        <w:rPr>
          <w:rFonts w:ascii="Times New Roman" w:hAnsi="Times New Roman" w:cs="Times New Roman"/>
          <w:i/>
        </w:rPr>
        <w:t>p</w:t>
      </w:r>
      <w:r w:rsidR="00AE6E78">
        <w:rPr>
          <w:rFonts w:ascii="Times New Roman" w:hAnsi="Times New Roman" w:cs="Times New Roman"/>
        </w:rPr>
        <w:t>–</w:t>
      </w:r>
      <w:r w:rsidR="00AE6E78" w:rsidRPr="00C83627">
        <w:rPr>
          <w:rFonts w:ascii="Times New Roman" w:hAnsi="Times New Roman" w:cs="Times New Roman"/>
          <w:i/>
        </w:rPr>
        <w:t>i</w:t>
      </w:r>
      <w:r w:rsidR="00AE6E78">
        <w:rPr>
          <w:rFonts w:ascii="Times New Roman" w:hAnsi="Times New Roman" w:cs="Times New Roman"/>
        </w:rPr>
        <w:t>–</w:t>
      </w:r>
      <w:r w:rsidR="00AE6E78" w:rsidRPr="00C83627">
        <w:rPr>
          <w:rFonts w:ascii="Times New Roman" w:hAnsi="Times New Roman" w:cs="Times New Roman"/>
          <w:i/>
        </w:rPr>
        <w:t>n</w:t>
      </w:r>
      <w:r w:rsidR="00AE6E78">
        <w:rPr>
          <w:rFonts w:ascii="Times New Roman" w:hAnsi="Times New Roman" w:cs="Times New Roman"/>
        </w:rPr>
        <w:t xml:space="preserve"> homojunction </w:t>
      </w:r>
      <w:r w:rsidR="00AE6E78">
        <w:rPr>
          <w:rFonts w:ascii="Times New Roman" w:hAnsi="Times New Roman" w:cs="Times New Roman" w:hint="eastAsia"/>
        </w:rPr>
        <w:t>configur</w:t>
      </w:r>
      <w:r w:rsidR="00AE6E78">
        <w:rPr>
          <w:rFonts w:ascii="Times New Roman" w:hAnsi="Times New Roman" w:cs="Times New Roman"/>
        </w:rPr>
        <w:t xml:space="preserve">ed by the ferroelectric field provided by the P(VDF-TrFE) film. </w:t>
      </w:r>
      <w:r w:rsidR="00AE6E78">
        <w:rPr>
          <w:rFonts w:ascii="Times New Roman" w:hAnsi="Times New Roman" w:cs="Times New Roman"/>
          <w:b/>
        </w:rPr>
        <w:t>b</w:t>
      </w:r>
      <w:r w:rsidR="00AE6E78">
        <w:rPr>
          <w:rFonts w:ascii="Times New Roman" w:hAnsi="Times New Roman" w:cs="Times New Roman"/>
        </w:rPr>
        <w:t xml:space="preserve"> Four different doping situations of the device. (i) </w:t>
      </w:r>
      <w:r w:rsidR="00AE6E78">
        <w:rPr>
          <w:rFonts w:ascii="Times New Roman" w:hAnsi="Times New Roman" w:cs="Times New Roman"/>
          <w:i/>
        </w:rPr>
        <w:t>p</w:t>
      </w:r>
      <w:r w:rsidR="00AE6E78">
        <w:rPr>
          <w:rFonts w:ascii="Times New Roman" w:hAnsi="Times New Roman" w:cs="Times New Roman"/>
        </w:rPr>
        <w:t>–</w:t>
      </w:r>
      <w:r w:rsidR="00AE6E78">
        <w:rPr>
          <w:rFonts w:ascii="Times New Roman" w:hAnsi="Times New Roman" w:cs="Times New Roman"/>
          <w:i/>
        </w:rPr>
        <w:t>i</w:t>
      </w:r>
      <w:r w:rsidR="00AE6E78">
        <w:rPr>
          <w:rFonts w:ascii="Times New Roman" w:hAnsi="Times New Roman" w:cs="Times New Roman"/>
        </w:rPr>
        <w:t>–</w:t>
      </w:r>
      <w:r w:rsidR="00AE6E78">
        <w:rPr>
          <w:rFonts w:ascii="Times New Roman" w:hAnsi="Times New Roman" w:cs="Times New Roman"/>
          <w:i/>
        </w:rPr>
        <w:t>n</w:t>
      </w:r>
      <w:r w:rsidR="00AE6E78">
        <w:rPr>
          <w:rFonts w:ascii="Times New Roman" w:hAnsi="Times New Roman" w:cs="Times New Roman"/>
        </w:rPr>
        <w:t xml:space="preserve"> configuration, (ii) </w:t>
      </w:r>
      <w:r w:rsidR="00AE6E78">
        <w:rPr>
          <w:rFonts w:ascii="Times New Roman" w:hAnsi="Times New Roman" w:cs="Times New Roman"/>
          <w:i/>
        </w:rPr>
        <w:t>n</w:t>
      </w:r>
      <w:r w:rsidR="00AE6E78">
        <w:rPr>
          <w:rFonts w:ascii="Times New Roman" w:hAnsi="Times New Roman" w:cs="Times New Roman"/>
        </w:rPr>
        <w:t>–</w:t>
      </w:r>
      <w:r w:rsidR="00AE6E78">
        <w:rPr>
          <w:rFonts w:ascii="Times New Roman" w:hAnsi="Times New Roman" w:cs="Times New Roman"/>
          <w:i/>
        </w:rPr>
        <w:t>i</w:t>
      </w:r>
      <w:r w:rsidR="00AE6E78">
        <w:rPr>
          <w:rFonts w:ascii="Times New Roman" w:hAnsi="Times New Roman" w:cs="Times New Roman"/>
        </w:rPr>
        <w:t>–</w:t>
      </w:r>
      <w:r w:rsidR="00AE6E78">
        <w:rPr>
          <w:rFonts w:ascii="Times New Roman" w:hAnsi="Times New Roman" w:cs="Times New Roman"/>
          <w:i/>
        </w:rPr>
        <w:t>p</w:t>
      </w:r>
      <w:r w:rsidR="00AE6E78">
        <w:rPr>
          <w:rFonts w:ascii="Times New Roman" w:hAnsi="Times New Roman" w:cs="Times New Roman"/>
        </w:rPr>
        <w:t xml:space="preserve"> configuration, (iii) </w:t>
      </w:r>
      <w:r w:rsidR="00AE6E78">
        <w:rPr>
          <w:rFonts w:ascii="Times New Roman" w:hAnsi="Times New Roman" w:cs="Times New Roman"/>
          <w:i/>
        </w:rPr>
        <w:t>p</w:t>
      </w:r>
      <w:r w:rsidR="00AE6E78">
        <w:rPr>
          <w:rFonts w:ascii="Times New Roman" w:hAnsi="Times New Roman" w:cs="Times New Roman"/>
        </w:rPr>
        <w:t>–</w:t>
      </w:r>
      <w:r w:rsidR="00AE6E78">
        <w:rPr>
          <w:rFonts w:ascii="Times New Roman" w:hAnsi="Times New Roman" w:cs="Times New Roman"/>
          <w:i/>
        </w:rPr>
        <w:t>i</w:t>
      </w:r>
      <w:r w:rsidR="00AE6E78">
        <w:rPr>
          <w:rFonts w:ascii="Times New Roman" w:hAnsi="Times New Roman" w:cs="Times New Roman"/>
        </w:rPr>
        <w:t>–</w:t>
      </w:r>
      <w:r w:rsidR="00AE6E78">
        <w:rPr>
          <w:rFonts w:ascii="Times New Roman" w:hAnsi="Times New Roman" w:cs="Times New Roman"/>
          <w:i/>
        </w:rPr>
        <w:t>p</w:t>
      </w:r>
      <w:r w:rsidR="00AE6E78">
        <w:rPr>
          <w:rFonts w:ascii="Times New Roman" w:hAnsi="Times New Roman" w:cs="Times New Roman"/>
        </w:rPr>
        <w:t xml:space="preserve"> configuration, (iv) </w:t>
      </w:r>
      <w:r w:rsidR="00AE6E78">
        <w:rPr>
          <w:rFonts w:ascii="Times New Roman" w:hAnsi="Times New Roman" w:cs="Times New Roman"/>
          <w:i/>
        </w:rPr>
        <w:t>n</w:t>
      </w:r>
      <w:r w:rsidR="00AE6E78">
        <w:rPr>
          <w:rFonts w:ascii="Times New Roman" w:hAnsi="Times New Roman" w:cs="Times New Roman"/>
        </w:rPr>
        <w:t>–</w:t>
      </w:r>
      <w:r w:rsidR="00AE6E78">
        <w:rPr>
          <w:rFonts w:ascii="Times New Roman" w:hAnsi="Times New Roman" w:cs="Times New Roman"/>
          <w:i/>
        </w:rPr>
        <w:t>i</w:t>
      </w:r>
      <w:r w:rsidR="00AE6E78">
        <w:rPr>
          <w:rFonts w:ascii="Times New Roman" w:hAnsi="Times New Roman" w:cs="Times New Roman"/>
        </w:rPr>
        <w:t>–</w:t>
      </w:r>
      <w:r w:rsidR="00AE6E78">
        <w:rPr>
          <w:rFonts w:ascii="Times New Roman" w:hAnsi="Times New Roman" w:cs="Times New Roman"/>
          <w:i/>
        </w:rPr>
        <w:t>n</w:t>
      </w:r>
      <w:r w:rsidR="00AE6E78">
        <w:rPr>
          <w:rFonts w:ascii="Times New Roman" w:hAnsi="Times New Roman" w:cs="Times New Roman"/>
        </w:rPr>
        <w:t xml:space="preserve"> configuration.</w:t>
      </w:r>
    </w:p>
    <w:p w14:paraId="2901D4D3" w14:textId="77777777" w:rsidR="001F3ACD" w:rsidRDefault="00AE6E78">
      <w:pPr>
        <w:rPr>
          <w:rFonts w:ascii="Times New Roman" w:hAnsi="Times New Roman" w:cs="Times New Roman"/>
        </w:rPr>
      </w:pPr>
      <w:r>
        <w:rPr>
          <w:rFonts w:ascii="Times New Roman" w:hAnsi="Times New Roman" w:cs="Times New Roman"/>
          <w:noProof/>
        </w:rPr>
        <w:drawing>
          <wp:inline distT="0" distB="0" distL="0" distR="0" wp14:anchorId="298925E7" wp14:editId="0D7FD55B">
            <wp:extent cx="5274310" cy="12871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1287145"/>
                    </a:xfrm>
                    <a:prstGeom prst="rect">
                      <a:avLst/>
                    </a:prstGeom>
                  </pic:spPr>
                </pic:pic>
              </a:graphicData>
            </a:graphic>
          </wp:inline>
        </w:drawing>
      </w:r>
    </w:p>
    <w:p w14:paraId="464E5FA5" w14:textId="56069EC7" w:rsidR="001F3ACD" w:rsidRDefault="00AE6E78">
      <w:pPr>
        <w:spacing w:afterLines="50" w:after="156" w:line="360" w:lineRule="auto"/>
        <w:rPr>
          <w:rFonts w:ascii="Times New Roman" w:hAnsi="Times New Roman" w:cs="Times New Roman"/>
        </w:rPr>
      </w:pPr>
      <w:r>
        <w:rPr>
          <w:rFonts w:ascii="Times New Roman" w:hAnsi="Times New Roman" w:cs="Times New Roman"/>
          <w:b/>
        </w:rPr>
        <w:t>Figure S4</w:t>
      </w:r>
      <w:r>
        <w:rPr>
          <w:rFonts w:ascii="Times New Roman" w:hAnsi="Times New Roman" w:cs="Times New Roman"/>
        </w:rPr>
        <w:t xml:space="preserve"> Electrical characteristics of another waveguide-integrated graphene </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 xml:space="preserve"> </w:t>
      </w:r>
      <w:r w:rsidRPr="00050C3B">
        <w:rPr>
          <w:rFonts w:ascii="Times New Roman" w:hAnsi="Times New Roman" w:cs="Times New Roman"/>
        </w:rPr>
        <w:t>homoju</w:t>
      </w:r>
      <w:r w:rsidR="000051A1" w:rsidRPr="00050C3B">
        <w:rPr>
          <w:rFonts w:ascii="Times New Roman" w:hAnsi="Times New Roman" w:cs="Times New Roman"/>
        </w:rPr>
        <w:t>n</w:t>
      </w:r>
      <w:r w:rsidRPr="00050C3B">
        <w:rPr>
          <w:rFonts w:ascii="Times New Roman" w:hAnsi="Times New Roman" w:cs="Times New Roman"/>
        </w:rPr>
        <w:t>ction</w:t>
      </w:r>
      <w:r>
        <w:rPr>
          <w:rFonts w:ascii="Times New Roman" w:hAnsi="Times New Roman" w:cs="Times New Roman"/>
        </w:rPr>
        <w:t xml:space="preserve"> photodetector (marked as Device B). </w:t>
      </w:r>
      <w:r>
        <w:rPr>
          <w:rFonts w:ascii="Times New Roman" w:hAnsi="Times New Roman" w:cs="Times New Roman"/>
          <w:b/>
        </w:rPr>
        <w:t>a</w:t>
      </w:r>
      <w:r>
        <w:rPr>
          <w:rFonts w:ascii="Times New Roman" w:hAnsi="Times New Roman" w:cs="Times New Roman"/>
        </w:rPr>
        <w:t xml:space="preserve"> Optical micrograph of the device. </w:t>
      </w:r>
      <w:r>
        <w:rPr>
          <w:rFonts w:ascii="Times New Roman" w:hAnsi="Times New Roman" w:cs="Times New Roman"/>
          <w:b/>
        </w:rPr>
        <w:t>b</w:t>
      </w:r>
      <w:r>
        <w:rPr>
          <w:rFonts w:ascii="Times New Roman" w:hAnsi="Times New Roman" w:cs="Times New Roman"/>
        </w:rPr>
        <w:t xml:space="preserve"> </w:t>
      </w:r>
      <w:r>
        <w:rPr>
          <w:rFonts w:ascii="Times New Roman" w:hAnsi="Times New Roman" w:cs="Times New Roman"/>
          <w:i/>
        </w:rPr>
        <w:t>I</w:t>
      </w:r>
      <w:r>
        <w:rPr>
          <w:rFonts w:ascii="Times New Roman" w:hAnsi="Times New Roman" w:cs="Times New Roman"/>
          <w:vertAlign w:val="subscript"/>
        </w:rPr>
        <w:t>DS</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DS</w:t>
      </w:r>
      <w:r>
        <w:rPr>
          <w:rFonts w:ascii="Times New Roman" w:hAnsi="Times New Roman" w:cs="Times New Roman"/>
        </w:rPr>
        <w:t xml:space="preserve"> curve with </w:t>
      </w:r>
      <w:r>
        <w:rPr>
          <w:rFonts w:ascii="Times New Roman" w:hAnsi="Times New Roman" w:cs="Times New Roman"/>
          <w:i/>
        </w:rPr>
        <w:t>V</w:t>
      </w:r>
      <w:r>
        <w:rPr>
          <w:rFonts w:ascii="Times New Roman" w:hAnsi="Times New Roman" w:cs="Times New Roman"/>
          <w:vertAlign w:val="subscript"/>
        </w:rPr>
        <w:t>G1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G2</w:t>
      </w:r>
      <w:r>
        <w:rPr>
          <w:rFonts w:ascii="Times New Roman" w:hAnsi="Times New Roman" w:cs="Times New Roman"/>
        </w:rPr>
        <w:t xml:space="preserve">=0 V. </w:t>
      </w:r>
      <w:r>
        <w:rPr>
          <w:rFonts w:ascii="Times New Roman" w:hAnsi="Times New Roman" w:cs="Times New Roman"/>
          <w:b/>
        </w:rPr>
        <w:t>c</w:t>
      </w:r>
      <w:r>
        <w:rPr>
          <w:rFonts w:ascii="Times New Roman" w:hAnsi="Times New Roman" w:cs="Times New Roman"/>
        </w:rPr>
        <w:t xml:space="preserve"> </w:t>
      </w:r>
      <w:r>
        <w:rPr>
          <w:rFonts w:ascii="Times New Roman" w:hAnsi="Times New Roman" w:cs="Times New Roman"/>
          <w:i/>
        </w:rPr>
        <w:t>I</w:t>
      </w:r>
      <w:r>
        <w:rPr>
          <w:rFonts w:ascii="Times New Roman" w:hAnsi="Times New Roman" w:cs="Times New Roman"/>
          <w:vertAlign w:val="subscript"/>
        </w:rPr>
        <w:t>DS</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GS</w:t>
      </w:r>
      <w:r>
        <w:rPr>
          <w:rFonts w:ascii="Times New Roman" w:hAnsi="Times New Roman" w:cs="Times New Roman"/>
        </w:rPr>
        <w:t xml:space="preserve"> and </w:t>
      </w:r>
      <w:r>
        <w:rPr>
          <w:rFonts w:ascii="Times New Roman" w:hAnsi="Times New Roman" w:cs="Times New Roman"/>
          <w:i/>
        </w:rPr>
        <w:t>I</w:t>
      </w:r>
      <w:r>
        <w:rPr>
          <w:rFonts w:ascii="Times New Roman" w:hAnsi="Times New Roman" w:cs="Times New Roman"/>
          <w:vertAlign w:val="subscript"/>
        </w:rPr>
        <w:t>GS</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GS</w:t>
      </w:r>
      <w:r>
        <w:rPr>
          <w:rFonts w:ascii="Times New Roman" w:hAnsi="Times New Roman" w:cs="Times New Roman"/>
        </w:rPr>
        <w:t xml:space="preserve"> curves when the bottom gates are connected. It has similar symmetrical memory windows with the device of the main text.</w:t>
      </w:r>
    </w:p>
    <w:p w14:paraId="47B8113C" w14:textId="646E9C08" w:rsidR="001F3ACD" w:rsidRDefault="00C54277">
      <w:pPr>
        <w:spacing w:line="360" w:lineRule="auto"/>
        <w:rPr>
          <w:rFonts w:ascii="Times New Roman" w:hAnsi="Times New Roman" w:cs="Times New Roman"/>
        </w:rPr>
      </w:pPr>
      <w:r w:rsidRPr="00C54277">
        <w:rPr>
          <w:rFonts w:ascii="Times New Roman" w:hAnsi="Times New Roman" w:cs="Times New Roman"/>
          <w:noProof/>
        </w:rPr>
        <w:drawing>
          <wp:inline distT="0" distB="0" distL="0" distR="0" wp14:anchorId="0264BE72" wp14:editId="757663F8">
            <wp:extent cx="5274310" cy="13881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388110"/>
                    </a:xfrm>
                    <a:prstGeom prst="rect">
                      <a:avLst/>
                    </a:prstGeom>
                  </pic:spPr>
                </pic:pic>
              </a:graphicData>
            </a:graphic>
          </wp:inline>
        </w:drawing>
      </w:r>
    </w:p>
    <w:p w14:paraId="7B7A11E5" w14:textId="1F542FA1" w:rsidR="001F3ACD" w:rsidRDefault="00A32D31">
      <w:pPr>
        <w:spacing w:afterLines="50" w:after="156" w:line="360" w:lineRule="auto"/>
        <w:rPr>
          <w:rFonts w:ascii="Times New Roman" w:hAnsi="Times New Roman" w:cs="Times New Roman"/>
        </w:rPr>
      </w:pPr>
      <w:r>
        <w:rPr>
          <w:rFonts w:ascii="Times New Roman" w:hAnsi="Times New Roman" w:cs="Times New Roman"/>
          <w:b/>
        </w:rPr>
        <w:t>Figure S5</w:t>
      </w:r>
      <w:r w:rsidR="00AE6E78">
        <w:rPr>
          <w:rFonts w:ascii="Times New Roman" w:hAnsi="Times New Roman" w:cs="Times New Roman"/>
        </w:rPr>
        <w:t xml:space="preserve"> Source-drain current </w:t>
      </w:r>
      <w:r w:rsidR="00AE6E78">
        <w:rPr>
          <w:rFonts w:ascii="Times New Roman" w:hAnsi="Times New Roman" w:cs="Times New Roman"/>
          <w:i/>
        </w:rPr>
        <w:t>I</w:t>
      </w:r>
      <w:r w:rsidR="00AE6E78">
        <w:rPr>
          <w:rFonts w:ascii="Times New Roman" w:hAnsi="Times New Roman" w:cs="Times New Roman"/>
          <w:vertAlign w:val="subscript"/>
        </w:rPr>
        <w:t>DS</w:t>
      </w:r>
      <w:r w:rsidR="00AE6E78">
        <w:rPr>
          <w:rFonts w:ascii="Times New Roman" w:hAnsi="Times New Roman" w:cs="Times New Roman"/>
        </w:rPr>
        <w:t xml:space="preserve"> as a function of two independent gate voltages </w:t>
      </w:r>
      <w:r w:rsidR="00AE6E78">
        <w:rPr>
          <w:rFonts w:ascii="Times New Roman" w:hAnsi="Times New Roman" w:cs="Times New Roman"/>
          <w:i/>
        </w:rPr>
        <w:t>V</w:t>
      </w:r>
      <w:r w:rsidR="00AE6E78">
        <w:rPr>
          <w:rFonts w:ascii="Times New Roman" w:hAnsi="Times New Roman" w:cs="Times New Roman"/>
          <w:vertAlign w:val="subscript"/>
        </w:rPr>
        <w:t>G1</w:t>
      </w:r>
      <w:r w:rsidR="00AE6E78">
        <w:rPr>
          <w:rFonts w:ascii="Times New Roman" w:hAnsi="Times New Roman" w:cs="Times New Roman"/>
        </w:rPr>
        <w:t xml:space="preserve"> and </w:t>
      </w:r>
      <w:r w:rsidR="00AE6E78">
        <w:rPr>
          <w:rFonts w:ascii="Times New Roman" w:hAnsi="Times New Roman" w:cs="Times New Roman"/>
          <w:i/>
        </w:rPr>
        <w:t>V</w:t>
      </w:r>
      <w:r w:rsidR="00AE6E78">
        <w:rPr>
          <w:rFonts w:ascii="Times New Roman" w:hAnsi="Times New Roman" w:cs="Times New Roman"/>
          <w:vertAlign w:val="subscript"/>
        </w:rPr>
        <w:t>G2</w:t>
      </w:r>
      <w:r w:rsidR="00AE6E78">
        <w:rPr>
          <w:rFonts w:ascii="Times New Roman" w:hAnsi="Times New Roman" w:cs="Times New Roman"/>
        </w:rPr>
        <w:t xml:space="preserve"> at a fixed source-drain bias </w:t>
      </w:r>
      <w:r w:rsidR="00AE6E78">
        <w:rPr>
          <w:rFonts w:ascii="Times New Roman" w:hAnsi="Times New Roman" w:cs="Times New Roman"/>
          <w:i/>
        </w:rPr>
        <w:t>V</w:t>
      </w:r>
      <w:r w:rsidR="00AE6E78">
        <w:rPr>
          <w:rFonts w:ascii="Times New Roman" w:hAnsi="Times New Roman" w:cs="Times New Roman"/>
          <w:vertAlign w:val="subscript"/>
        </w:rPr>
        <w:t>DS</w:t>
      </w:r>
      <w:r w:rsidR="00AE6E78">
        <w:rPr>
          <w:rFonts w:ascii="Times New Roman" w:hAnsi="Times New Roman" w:cs="Times New Roman"/>
        </w:rPr>
        <w:t xml:space="preserve"> of 0.01 V of Device B. The sweep direction of gate voltage is indicated by the arrows. </w:t>
      </w:r>
      <w:r w:rsidR="00AE6E78">
        <w:rPr>
          <w:rFonts w:ascii="Times New Roman" w:hAnsi="Times New Roman" w:cs="Times New Roman"/>
          <w:b/>
        </w:rPr>
        <w:t>a</w:t>
      </w:r>
      <w:r w:rsidR="00AE6E78">
        <w:rPr>
          <w:rFonts w:ascii="Times New Roman" w:hAnsi="Times New Roman" w:cs="Times New Roman"/>
        </w:rPr>
        <w:t xml:space="preserve"> Sweep direction of </w:t>
      </w:r>
      <w:r w:rsidR="00AE6E78">
        <w:rPr>
          <w:rFonts w:ascii="Times New Roman" w:hAnsi="Times New Roman" w:cs="Times New Roman"/>
          <w:i/>
        </w:rPr>
        <w:t>V</w:t>
      </w:r>
      <w:r w:rsidR="00AE6E78">
        <w:rPr>
          <w:rFonts w:ascii="Times New Roman" w:hAnsi="Times New Roman" w:cs="Times New Roman"/>
          <w:vertAlign w:val="subscript"/>
        </w:rPr>
        <w:t>G2</w:t>
      </w:r>
      <w:r w:rsidR="00AE6E78">
        <w:rPr>
          <w:rFonts w:ascii="Times New Roman" w:hAnsi="Times New Roman" w:cs="Times New Roman"/>
        </w:rPr>
        <w:t xml:space="preserve"> is from –20 V to 20 V while </w:t>
      </w:r>
      <w:r w:rsidR="00AE6E78">
        <w:rPr>
          <w:rFonts w:ascii="Times New Roman" w:hAnsi="Times New Roman" w:cs="Times New Roman"/>
          <w:i/>
        </w:rPr>
        <w:t>V</w:t>
      </w:r>
      <w:r w:rsidR="00AE6E78">
        <w:rPr>
          <w:rFonts w:ascii="Times New Roman" w:hAnsi="Times New Roman" w:cs="Times New Roman"/>
          <w:vertAlign w:val="subscript"/>
        </w:rPr>
        <w:t xml:space="preserve">G1 </w:t>
      </w:r>
      <w:r w:rsidR="00AE6E78">
        <w:rPr>
          <w:rFonts w:ascii="Times New Roman" w:hAnsi="Times New Roman" w:cs="Times New Roman"/>
        </w:rPr>
        <w:t xml:space="preserve">sweeps from –20 V to 20 V. </w:t>
      </w:r>
      <w:r w:rsidR="00AE6E78">
        <w:rPr>
          <w:rFonts w:ascii="Times New Roman" w:hAnsi="Times New Roman" w:cs="Times New Roman"/>
          <w:b/>
        </w:rPr>
        <w:t xml:space="preserve">b </w:t>
      </w:r>
      <w:r w:rsidR="00AE6E78">
        <w:rPr>
          <w:rFonts w:ascii="Times New Roman" w:hAnsi="Times New Roman" w:cs="Times New Roman"/>
        </w:rPr>
        <w:t xml:space="preserve">Sweep direction of </w:t>
      </w:r>
      <w:r w:rsidR="00AE6E78">
        <w:rPr>
          <w:rFonts w:ascii="Times New Roman" w:hAnsi="Times New Roman" w:cs="Times New Roman"/>
          <w:i/>
        </w:rPr>
        <w:t>V</w:t>
      </w:r>
      <w:r w:rsidR="00AE6E78">
        <w:rPr>
          <w:rFonts w:ascii="Times New Roman" w:hAnsi="Times New Roman" w:cs="Times New Roman"/>
          <w:vertAlign w:val="subscript"/>
        </w:rPr>
        <w:t>G2</w:t>
      </w:r>
      <w:r w:rsidR="00AE6E78">
        <w:rPr>
          <w:rFonts w:ascii="Times New Roman" w:hAnsi="Times New Roman" w:cs="Times New Roman"/>
        </w:rPr>
        <w:t xml:space="preserve"> is from</w:t>
      </w:r>
      <w:r w:rsidR="00C54277">
        <w:rPr>
          <w:rFonts w:ascii="Times New Roman" w:hAnsi="Times New Roman" w:cs="Times New Roman"/>
        </w:rPr>
        <w:t xml:space="preserve"> –20 V to 20 V</w:t>
      </w:r>
      <w:r w:rsidR="00AE6E78">
        <w:rPr>
          <w:rFonts w:ascii="Times New Roman" w:hAnsi="Times New Roman" w:cs="Times New Roman"/>
        </w:rPr>
        <w:t xml:space="preserve"> while </w:t>
      </w:r>
      <w:r w:rsidR="00AE6E78">
        <w:rPr>
          <w:rFonts w:ascii="Times New Roman" w:hAnsi="Times New Roman" w:cs="Times New Roman"/>
          <w:i/>
        </w:rPr>
        <w:t>V</w:t>
      </w:r>
      <w:r w:rsidR="00AE6E78">
        <w:rPr>
          <w:rFonts w:ascii="Times New Roman" w:hAnsi="Times New Roman" w:cs="Times New Roman"/>
          <w:vertAlign w:val="subscript"/>
        </w:rPr>
        <w:t xml:space="preserve">G1 </w:t>
      </w:r>
      <w:r w:rsidR="00AE6E78">
        <w:rPr>
          <w:rFonts w:ascii="Times New Roman" w:hAnsi="Times New Roman" w:cs="Times New Roman"/>
        </w:rPr>
        <w:t xml:space="preserve">sweeps from </w:t>
      </w:r>
      <w:r w:rsidR="00C54277">
        <w:rPr>
          <w:rFonts w:ascii="Times New Roman" w:hAnsi="Times New Roman" w:cs="Times New Roman"/>
        </w:rPr>
        <w:t>20 V to –20 V</w:t>
      </w:r>
      <w:r w:rsidR="00AE6E78">
        <w:rPr>
          <w:rFonts w:ascii="Times New Roman" w:hAnsi="Times New Roman" w:cs="Times New Roman"/>
        </w:rPr>
        <w:t xml:space="preserve">. </w:t>
      </w:r>
      <w:r w:rsidR="00AE6E78">
        <w:rPr>
          <w:rFonts w:ascii="Times New Roman" w:hAnsi="Times New Roman" w:cs="Times New Roman"/>
          <w:b/>
        </w:rPr>
        <w:t>c</w:t>
      </w:r>
      <w:r w:rsidR="00AE6E78">
        <w:rPr>
          <w:rFonts w:ascii="Times New Roman" w:hAnsi="Times New Roman" w:cs="Times New Roman"/>
        </w:rPr>
        <w:t xml:space="preserve"> Sweep direction of </w:t>
      </w:r>
      <w:r w:rsidR="00AE6E78">
        <w:rPr>
          <w:rFonts w:ascii="Times New Roman" w:hAnsi="Times New Roman" w:cs="Times New Roman"/>
          <w:i/>
        </w:rPr>
        <w:t>V</w:t>
      </w:r>
      <w:r w:rsidR="00AE6E78">
        <w:rPr>
          <w:rFonts w:ascii="Times New Roman" w:hAnsi="Times New Roman" w:cs="Times New Roman"/>
          <w:vertAlign w:val="subscript"/>
        </w:rPr>
        <w:t>G2</w:t>
      </w:r>
      <w:r w:rsidR="00AE6E78">
        <w:rPr>
          <w:rFonts w:ascii="Times New Roman" w:hAnsi="Times New Roman" w:cs="Times New Roman"/>
        </w:rPr>
        <w:t xml:space="preserve"> is from –20 V to 20 V while </w:t>
      </w:r>
      <w:r w:rsidR="00AE6E78">
        <w:rPr>
          <w:rFonts w:ascii="Times New Roman" w:hAnsi="Times New Roman" w:cs="Times New Roman"/>
          <w:i/>
        </w:rPr>
        <w:t>V</w:t>
      </w:r>
      <w:r w:rsidR="00AE6E78">
        <w:rPr>
          <w:rFonts w:ascii="Times New Roman" w:hAnsi="Times New Roman" w:cs="Times New Roman"/>
          <w:vertAlign w:val="subscript"/>
        </w:rPr>
        <w:t xml:space="preserve">G1 </w:t>
      </w:r>
      <w:r w:rsidR="00AE6E78">
        <w:rPr>
          <w:rFonts w:ascii="Times New Roman" w:hAnsi="Times New Roman" w:cs="Times New Roman"/>
        </w:rPr>
        <w:t>sweeps from –20 V to 20 V</w:t>
      </w:r>
      <w:r w:rsidR="00C54277">
        <w:rPr>
          <w:rFonts w:ascii="Times New Roman" w:hAnsi="Times New Roman" w:cs="Times New Roman"/>
        </w:rPr>
        <w:t xml:space="preserve"> again</w:t>
      </w:r>
      <w:r w:rsidR="00AE6E78">
        <w:rPr>
          <w:rFonts w:ascii="Times New Roman" w:hAnsi="Times New Roman" w:cs="Times New Roman"/>
        </w:rPr>
        <w:t>. Those three current mapping figures with similar on- and off-current states contain more than 9</w:t>
      </w:r>
      <w:r w:rsidR="00AE6E78">
        <w:rPr>
          <w:rFonts w:ascii="Times New Roman" w:hAnsi="Times New Roman" w:cs="Times New Roman"/>
        </w:rPr>
        <w:sym w:font="Symbol" w:char="F0B4"/>
      </w:r>
      <w:r w:rsidR="00AE6E78">
        <w:rPr>
          <w:rFonts w:ascii="Times New Roman" w:hAnsi="Times New Roman" w:cs="Times New Roman"/>
        </w:rPr>
        <w:t>10</w:t>
      </w:r>
      <w:r w:rsidR="00AE6E78">
        <w:rPr>
          <w:rFonts w:ascii="Times New Roman" w:hAnsi="Times New Roman" w:cs="Times New Roman"/>
          <w:vertAlign w:val="superscript"/>
        </w:rPr>
        <w:t>4</w:t>
      </w:r>
      <w:r w:rsidR="00AE6E78">
        <w:rPr>
          <w:rFonts w:ascii="Times New Roman" w:hAnsi="Times New Roman" w:cs="Times New Roman"/>
        </w:rPr>
        <w:t xml:space="preserve"> voltage operations, demonstrating excellent endurance property of the device.</w:t>
      </w:r>
    </w:p>
    <w:p w14:paraId="150D7C00" w14:textId="77777777" w:rsidR="001F3ACD" w:rsidRDefault="00AE6E78">
      <w:pPr>
        <w:spacing w:afterLines="50" w:after="156" w:line="360" w:lineRule="auto"/>
        <w:jc w:val="center"/>
        <w:rPr>
          <w:rFonts w:ascii="Times New Roman" w:hAnsi="Times New Roman" w:cs="Times New Roman"/>
        </w:rPr>
      </w:pPr>
      <w:r>
        <w:rPr>
          <w:rFonts w:ascii="Times New Roman" w:hAnsi="Times New Roman" w:cs="Times New Roman"/>
          <w:noProof/>
        </w:rPr>
        <w:drawing>
          <wp:inline distT="0" distB="0" distL="0" distR="0" wp14:anchorId="21353306" wp14:editId="10F33E41">
            <wp:extent cx="4638675" cy="28435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639091" cy="2844000"/>
                    </a:xfrm>
                    <a:prstGeom prst="rect">
                      <a:avLst/>
                    </a:prstGeom>
                  </pic:spPr>
                </pic:pic>
              </a:graphicData>
            </a:graphic>
          </wp:inline>
        </w:drawing>
      </w:r>
    </w:p>
    <w:p w14:paraId="415ABE94" w14:textId="419ECD29" w:rsidR="001F3ACD" w:rsidRDefault="00A32D31">
      <w:pPr>
        <w:spacing w:afterLines="50" w:after="156" w:line="360" w:lineRule="auto"/>
        <w:rPr>
          <w:rFonts w:ascii="Times New Roman" w:hAnsi="Times New Roman" w:cs="Times New Roman"/>
        </w:rPr>
      </w:pPr>
      <w:r>
        <w:rPr>
          <w:rFonts w:ascii="Times New Roman" w:hAnsi="Times New Roman" w:cs="Times New Roman"/>
          <w:b/>
        </w:rPr>
        <w:t>Figure S6</w:t>
      </w:r>
      <w:r w:rsidR="00AE6E78">
        <w:rPr>
          <w:rFonts w:ascii="Times New Roman" w:hAnsi="Times New Roman" w:cs="Times New Roman"/>
        </w:rPr>
        <w:t xml:space="preserve"> Optical characterizations of the PC waveguide. </w:t>
      </w:r>
      <w:r w:rsidR="00AE6E78">
        <w:rPr>
          <w:rFonts w:ascii="Times New Roman" w:hAnsi="Times New Roman" w:cs="Times New Roman"/>
          <w:b/>
        </w:rPr>
        <w:t>a</w:t>
      </w:r>
      <w:r w:rsidR="00AE6E78">
        <w:rPr>
          <w:rFonts w:ascii="Times New Roman" w:hAnsi="Times New Roman" w:cs="Times New Roman"/>
        </w:rPr>
        <w:t xml:space="preserve"> Schematic diagram of the proposed waveguide-integrated nonvolatile graphene </w:t>
      </w:r>
      <w:r w:rsidR="00AE6E78">
        <w:rPr>
          <w:rFonts w:ascii="Times New Roman" w:hAnsi="Times New Roman" w:cs="Times New Roman"/>
          <w:i/>
          <w:color w:val="000000" w:themeColor="text1"/>
        </w:rPr>
        <w:t>p−i−n</w:t>
      </w:r>
      <w:r w:rsidR="00AE6E78">
        <w:rPr>
          <w:rFonts w:ascii="Times New Roman" w:hAnsi="Times New Roman" w:cs="Times New Roman"/>
        </w:rPr>
        <w:t xml:space="preserve"> homojunction photodetector under the testing system. The grating couplers were employed for coupling light to one side of the PC waveguide and collecting light from the other side of the PC waveguide. </w:t>
      </w:r>
      <w:r w:rsidR="00AE6E78">
        <w:rPr>
          <w:rFonts w:ascii="Times New Roman" w:hAnsi="Times New Roman" w:cs="Times New Roman"/>
          <w:b/>
        </w:rPr>
        <w:t>b</w:t>
      </w:r>
      <w:r w:rsidR="00AE6E78">
        <w:rPr>
          <w:rFonts w:ascii="Times New Roman" w:hAnsi="Times New Roman" w:cs="Times New Roman"/>
        </w:rPr>
        <w:t xml:space="preserve"> Transmission spectra of the PC waveguide covered by P(VDF-TrFE) layers before (black line) and after (red line) transferring graphene and h-BN layers. </w:t>
      </w:r>
      <w:r w:rsidR="00AE6E78">
        <w:rPr>
          <w:rFonts w:ascii="Times New Roman" w:hAnsi="Times New Roman" w:cs="Times New Roman"/>
          <w:b/>
        </w:rPr>
        <w:t>c</w:t>
      </w:r>
      <w:r w:rsidR="00AE6E78">
        <w:rPr>
          <w:rFonts w:ascii="Times New Roman" w:hAnsi="Times New Roman" w:cs="Times New Roman"/>
        </w:rPr>
        <w:t xml:space="preserve"> Cross-sectional view </w:t>
      </w:r>
      <w:r w:rsidR="00AE6E78">
        <w:rPr>
          <w:rFonts w:ascii="Times New Roman" w:hAnsi="Times New Roman" w:cs="Times New Roman" w:hint="eastAsia"/>
        </w:rPr>
        <w:t>o</w:t>
      </w:r>
      <w:r w:rsidR="00AE6E78">
        <w:rPr>
          <w:rFonts w:ascii="Times New Roman" w:hAnsi="Times New Roman" w:cs="Times New Roman"/>
        </w:rPr>
        <w:t>f simulated electric field distributions of the guided mode in the PC waveguide integrated with the P(VDF-TrFE) and graphene layer.</w:t>
      </w:r>
    </w:p>
    <w:p w14:paraId="514DFE8B" w14:textId="2774E11D" w:rsidR="001F3ACD" w:rsidRDefault="00AE6E78">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measure the optical absorption of the integrated graphene on the PC waveguide, the transmission spectra are measured before and after the graphene integration. The schematic diagram of the proposed device is shown in Fig. S6a. There are two grating couplers at the two ends of the PC waveguide. The transmission spectra are measured by sending the laser light from a tunable laser into one grating coupler and collecting the transmission power from the other grating coupler. Figure S6b shows the transmission spectra of the fabricated silicon PC waveguide covered by P(VDF-TrFE) layer before (black line) and after (red line) graphene device preparation. After the device fabrication is finished, the power of transmission spectrum decreases due to the absorption of the few-layer graphene. Here, we calculate the absorption power of graphene by the following method, which is confirmed by our previous work</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10.1021/acsnano.2c08549","ISSN":"1936-0851","author":[{"dropping-particle":"","family":"Li","given":"Chen","non-dropping-particle":"","parse-names":false,"suffix":""},{"dropping-particle":"","family":"Tian","given":"Ruijuan","non-dropping-particle":"","parse-names":false,"suffix":""},{"dropping-particle":"","family":"Chen","given":"Xiaoqing","non-dropping-particle":"","parse-names":false,"suffix":""},{"dropping-particle":"","family":"Gu","given":"Linpeng","non-dropping-particle":"","parse-names":false,"suffix":""},{"dropping-particle":"","family":"Luo","given":"Zhengdong","non-dropping-particle":"","parse-names":false,"suffix":""},{"dropping-particle":"","family":"Zhang","given":"Qiao","non-dropping-particle":"","parse-names":false,"suffix":""},{"dropping-particle":"","family":"Yi","given":"Ruixuan","non-dropping-particle":"","parse-names":false,"suffix":""},{"dropping-particle":"","family":"Li","given":"Zhiwen","non-dropping-particle":"","parse-names":false,"suffix":""},{"dropping-particle":"","family":"Jiang","given":"Biqiang","non-dropping-particle":"","parse-names":false,"suffix":""},{"dropping-particle":"","family":"Liu","given":"Yan","non-dropping-particle":"","parse-names":false,"suffix":""},{"dropping-particle":"","family":"Castellanos-Gomez","given":"Andres","non-dropping-particle":"","parse-names":false,"suffix":""},{"dropping-particle":"","family":"Chua","given":"Soo-Jin","non-dropping-particle":"","parse-names":false,"suffix":""},{"dropping-particle":"","family":"Wang","given":"Xiaomu","non-dropping-particle":"","parse-names":false,"suffix":""},{"dropping-particle":"","family":"Sun","given":"Zhipei","non-dropping-particle":"","parse-names":false,"suffix":""},{"dropping-particle":"","family":"Zhao","given":"Jianlin","non-dropping-particle":"","parse-names":false,"suffix":""},{"dropping-particle":"","family":"Gan","given":"Xuetao","non-dropping-particle":"","parse-names":false,"suffix":""}],"container-title":"ACS Nano","id":"ITEM-1","issue":"12","issued":{"date-parts":[["2022","12","27"]]},"note":"doi: 10.1021/acsnano.2c08549","page":"20946-20955","publisher":"American Chemical Society","title":"Waveguide-integrated MoTe2 p–i–n homojunction photodetector","type":"article-journal","volume":"16"},"uris":["http://www.mendeley.com/documents/?uuid=4b630afa-9f54-46af-b33d-b1719c536fe9"]}],"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382AFEFA" w14:textId="77777777" w:rsidR="001F3ACD" w:rsidRDefault="00AE6E78">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output power of the waveguide coated with P(VDF-TrFE) film can be defined as</w:t>
      </w:r>
    </w:p>
    <w:p w14:paraId="6484868C" w14:textId="6D95B7AD" w:rsidR="001F3ACD" w:rsidRDefault="00AE6E78" w:rsidP="00415534">
      <w:pPr>
        <w:spacing w:line="360" w:lineRule="auto"/>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out1</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in</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8"/>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8"/>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sym w:font="Symbol" w:char="F0B4"/>
      </w:r>
      <w:r>
        <w:rPr>
          <w:rFonts w:ascii="Times New Roman" w:hAnsi="Times New Roman" w:cs="Times New Roman"/>
          <w:color w:val="000000" w:themeColor="text1"/>
          <w:sz w:val="24"/>
          <w:szCs w:val="24"/>
        </w:rPr>
        <w:t>(1-</w:t>
      </w:r>
      <w:r>
        <w:rPr>
          <w:rFonts w:ascii="Times New Roman" w:hAnsi="Times New Roman" w:cs="Times New Roman"/>
          <w:i/>
          <w:color w:val="000000" w:themeColor="text1"/>
          <w:sz w:val="24"/>
          <w:szCs w:val="24"/>
        </w:rPr>
        <w:sym w:font="Symbol" w:char="F061"/>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sidR="004155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 </w:t>
      </w:r>
    </w:p>
    <w:p w14:paraId="4B2A9EDF" w14:textId="77777777" w:rsidR="001F3ACD" w:rsidRDefault="00AE6E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in</w:t>
      </w:r>
      <w:r>
        <w:rPr>
          <w:rFonts w:ascii="Times New Roman" w:hAnsi="Times New Roman" w:cs="Times New Roman"/>
          <w:color w:val="000000" w:themeColor="text1"/>
          <w:sz w:val="24"/>
          <w:szCs w:val="24"/>
        </w:rPr>
        <w:t xml:space="preserve"> is the power of incident laser light and </w:t>
      </w:r>
      <w:r>
        <w:rPr>
          <w:rFonts w:ascii="Times New Roman" w:hAnsi="Times New Roman" w:cs="Times New Roman"/>
          <w:i/>
          <w:color w:val="000000" w:themeColor="text1"/>
          <w:sz w:val="24"/>
          <w:szCs w:val="24"/>
        </w:rPr>
        <w:t>η</w:t>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t xml:space="preserve"> is the grating coupler efficiency. </w:t>
      </w:r>
    </w:p>
    <w:p w14:paraId="3D1DAE13" w14:textId="77777777" w:rsidR="001F3ACD" w:rsidRDefault="00AE6E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output power of the finished device can be defined as</w:t>
      </w:r>
    </w:p>
    <w:p w14:paraId="36ABD94F" w14:textId="35E6AD5E" w:rsidR="001F3ACD" w:rsidRDefault="00AE6E78" w:rsidP="00415534">
      <w:pPr>
        <w:spacing w:line="360" w:lineRule="auto"/>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out2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in</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8"/>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8"/>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sym w:font="Symbol" w:char="F0B4"/>
      </w:r>
      <w:r>
        <w:rPr>
          <w:rFonts w:ascii="Times New Roman" w:hAnsi="Times New Roman" w:cs="Times New Roman"/>
          <w:color w:val="000000" w:themeColor="text1"/>
          <w:sz w:val="24"/>
          <w:szCs w:val="24"/>
        </w:rPr>
        <w:t>(1-</w:t>
      </w:r>
      <w:r>
        <w:rPr>
          <w:rFonts w:ascii="Times New Roman" w:hAnsi="Times New Roman" w:cs="Times New Roman"/>
          <w:i/>
          <w:color w:val="000000" w:themeColor="text1"/>
          <w:sz w:val="24"/>
          <w:szCs w:val="24"/>
        </w:rPr>
        <w:sym w:font="Symbol" w:char="F061"/>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(2)</w:t>
      </w:r>
    </w:p>
    <w:p w14:paraId="79BC6D55" w14:textId="77777777" w:rsidR="001F3ACD" w:rsidRDefault="00AE6E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Pr>
          <w:rFonts w:ascii="Times New Roman" w:hAnsi="Times New Roman" w:cs="Times New Roman"/>
          <w:i/>
          <w:color w:val="000000" w:themeColor="text1"/>
          <w:sz w:val="24"/>
          <w:szCs w:val="24"/>
        </w:rPr>
        <w:t>α</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is the waveguide and P(VDF-TrFE) film loss efficiency, </w:t>
      </w:r>
      <w:r>
        <w:rPr>
          <w:rFonts w:ascii="Times New Roman" w:hAnsi="Times New Roman" w:cs="Times New Roman"/>
          <w:i/>
          <w:color w:val="000000" w:themeColor="text1"/>
          <w:sz w:val="24"/>
          <w:szCs w:val="24"/>
        </w:rPr>
        <w:t>α</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is waveguide, P(VDF-TrFE) film and graphene absorption efficiency. Thus, the absorption power of graphene can be expressed as</w:t>
      </w:r>
    </w:p>
    <w:p w14:paraId="4CBB5A94" w14:textId="77777777" w:rsidR="001F3ACD" w:rsidRDefault="00AE6E78" w:rsidP="00415534">
      <w:pPr>
        <w:spacing w:line="360" w:lineRule="auto"/>
        <w:ind w:firstLineChars="1300" w:firstLine="3120"/>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abs</w:t>
      </w:r>
      <w:r>
        <w:rPr>
          <w:rFonts w:ascii="Times New Roman" w:hAnsi="Times New Roman" w:cs="Times New Roman"/>
          <w:color w:val="000000" w:themeColor="text1"/>
          <w:sz w:val="24"/>
          <w:szCs w:val="24"/>
        </w:rPr>
        <w:t xml:space="preserve"> = </w:t>
      </w:r>
      <w:r>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vertAlign w:val="subscript"/>
        </w:rPr>
        <w:t>in</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8"/>
      </w:r>
      <w:r>
        <w:rPr>
          <w:rFonts w:ascii="Times New Roman" w:hAnsi="Times New Roman" w:cs="Times New Roman"/>
          <w:color w:val="000000" w:themeColor="text1"/>
          <w:sz w:val="24"/>
          <w:szCs w:val="24"/>
          <w:vertAlign w:val="subscript"/>
        </w:rPr>
        <w:t>g</w:t>
      </w:r>
      <w:r>
        <w:rPr>
          <w:rFonts w:ascii="Times New Roman" w:hAnsi="Times New Roman" w:cs="Times New Roman"/>
          <w:color w:val="000000" w:themeColor="text1"/>
          <w:sz w:val="24"/>
          <w:szCs w:val="24"/>
        </w:rPr>
        <w:sym w:font="Symbol" w:char="F0B4"/>
      </w:r>
      <w:r>
        <w:rPr>
          <w:rFonts w:ascii="Times New Roman" w:hAnsi="Times New Roman" w:cs="Times New Roman"/>
          <w:i/>
          <w:color w:val="000000" w:themeColor="text1"/>
          <w:sz w:val="24"/>
          <w:szCs w:val="24"/>
        </w:rPr>
        <w:sym w:font="Symbol" w:char="F061"/>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xml:space="preserve"> (3)</w:t>
      </w:r>
    </w:p>
    <w:p w14:paraId="4A8EAD9E" w14:textId="77777777" w:rsidR="001F3ACD" w:rsidRDefault="00AE6E7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Pr>
          <w:rFonts w:ascii="Times New Roman" w:hAnsi="Times New Roman" w:cs="Times New Roman"/>
          <w:i/>
          <w:color w:val="000000" w:themeColor="text1"/>
          <w:sz w:val="24"/>
          <w:szCs w:val="24"/>
        </w:rPr>
        <w:t>α</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is the graphene loss efficiency obtained by the difference of </w:t>
      </w:r>
      <w:r>
        <w:rPr>
          <w:rFonts w:ascii="Times New Roman" w:hAnsi="Times New Roman" w:cs="Times New Roman"/>
          <w:i/>
          <w:color w:val="000000" w:themeColor="text1"/>
          <w:sz w:val="24"/>
          <w:szCs w:val="24"/>
        </w:rPr>
        <w:sym w:font="Symbol" w:char="F061"/>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sym w:font="Symbol" w:char="F061"/>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p>
    <w:p w14:paraId="5EA755AC" w14:textId="75ACAC12" w:rsidR="001F3ACD" w:rsidRDefault="00AE6E78">
      <w:pPr>
        <w:spacing w:line="360" w:lineRule="auto"/>
        <w:ind w:firstLineChars="200" w:firstLine="480"/>
        <w:rPr>
          <w:rFonts w:ascii="Times New Roman" w:hAnsi="Times New Roman" w:cs="Times New Roman"/>
          <w:sz w:val="24"/>
          <w:szCs w:val="24"/>
        </w:rPr>
      </w:pPr>
      <w:r>
        <w:rPr>
          <w:rFonts w:ascii="Times New Roman" w:hAnsi="Times New Roman" w:cs="Times New Roman"/>
          <w:color w:val="000000" w:themeColor="text1"/>
          <w:sz w:val="24"/>
          <w:szCs w:val="24"/>
        </w:rPr>
        <w:t>In order to obtain the coupling efficiency of the grating coupler, the transmission spectra before and after transferring graphene device are overlapped, and the coupling efficiency of the grating with spin-coated P(VDF-TrFE) is extracted as 22.4% at the wavelength of 1620 nm. The absorption coefficient of the graphene layer on the waveguid</w:t>
      </w:r>
      <w:r w:rsidR="007B4580">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mode is obtained as ~0.23 dB/μm at the wavelength of 1620 nm.</w:t>
      </w:r>
      <w:r>
        <w:rPr>
          <w:rFonts w:ascii="Times New Roman" w:hAnsi="Times New Roman" w:cs="Times New Roman"/>
          <w:sz w:val="24"/>
          <w:szCs w:val="24"/>
        </w:rPr>
        <w:t xml:space="preserve"> </w:t>
      </w:r>
    </w:p>
    <w:p w14:paraId="548E8811" w14:textId="56DB1C3C" w:rsidR="001F3ACD" w:rsidRDefault="00AE6E78">
      <w:pPr>
        <w:spacing w:afterLines="50" w:after="156"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theoretically anticipated absorption coefficient of graphene on the waveguide is also calculated using FEM software COMSOL. The waveguide supports a single, quasi-TE mode as expected, with the maximum electric field in </w:t>
      </w:r>
      <w:r>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rPr>
        <w:t xml:space="preserve">-direction. The mode profile is shown in Fig. S6c and the theoretically anticipated absorption of 0.17 dB </w:t>
      </w:r>
      <w:r>
        <w:rPr>
          <w:rFonts w:ascii="Times New Roman" w:hAnsi="Times New Roman" w:cs="Times New Roman"/>
          <w:color w:val="000000" w:themeColor="text1"/>
          <w:sz w:val="24"/>
          <w:szCs w:val="24"/>
        </w:rPr>
        <w:sym w:font="Symbol" w:char="F06D"/>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is consistent with the experimentally extracted absorption of 0.23 dB </w:t>
      </w:r>
      <w:r>
        <w:rPr>
          <w:rFonts w:ascii="Times New Roman" w:hAnsi="Times New Roman" w:cs="Times New Roman"/>
          <w:color w:val="000000" w:themeColor="text1"/>
          <w:sz w:val="24"/>
          <w:szCs w:val="24"/>
        </w:rPr>
        <w:sym w:font="Symbol" w:char="F06D"/>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for the few-layer graphene.</w:t>
      </w:r>
    </w:p>
    <w:p w14:paraId="362FA12C" w14:textId="77777777" w:rsidR="003B1998" w:rsidRDefault="003B1998">
      <w:pPr>
        <w:spacing w:afterLines="50" w:after="156" w:line="360" w:lineRule="auto"/>
        <w:ind w:firstLineChars="200" w:firstLine="480"/>
        <w:rPr>
          <w:rFonts w:ascii="Times New Roman" w:hAnsi="Times New Roman" w:cs="Times New Roman"/>
          <w:color w:val="000000" w:themeColor="text1"/>
          <w:sz w:val="24"/>
          <w:szCs w:val="24"/>
        </w:rPr>
      </w:pPr>
    </w:p>
    <w:p w14:paraId="5C46EDC6" w14:textId="77777777" w:rsidR="003B1998" w:rsidRDefault="003B1998">
      <w:pPr>
        <w:spacing w:afterLines="50" w:after="156" w:line="360" w:lineRule="auto"/>
        <w:ind w:firstLineChars="200" w:firstLine="480"/>
        <w:rPr>
          <w:rFonts w:ascii="Times New Roman" w:hAnsi="Times New Roman" w:cs="Times New Roman"/>
          <w:color w:val="000000" w:themeColor="text1"/>
          <w:sz w:val="24"/>
          <w:szCs w:val="24"/>
        </w:rPr>
      </w:pPr>
    </w:p>
    <w:p w14:paraId="281CA823" w14:textId="77777777" w:rsidR="003B1998" w:rsidRDefault="003B1998">
      <w:pPr>
        <w:spacing w:afterLines="50" w:after="156" w:line="360" w:lineRule="auto"/>
        <w:ind w:firstLineChars="200" w:firstLine="480"/>
        <w:rPr>
          <w:rFonts w:ascii="Times New Roman" w:hAnsi="Times New Roman" w:cs="Times New Roman"/>
          <w:color w:val="000000" w:themeColor="text1"/>
          <w:sz w:val="24"/>
          <w:szCs w:val="24"/>
        </w:rPr>
      </w:pPr>
    </w:p>
    <w:p w14:paraId="7B06D32E" w14:textId="77777777" w:rsidR="001F3ACD" w:rsidRDefault="00AE6E78">
      <w:pPr>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5EA80B9E" wp14:editId="6FD29B97">
            <wp:extent cx="2106930" cy="1655445"/>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107047" cy="1656000"/>
                    </a:xfrm>
                    <a:prstGeom prst="rect">
                      <a:avLst/>
                    </a:prstGeom>
                  </pic:spPr>
                </pic:pic>
              </a:graphicData>
            </a:graphic>
          </wp:inline>
        </w:drawing>
      </w:r>
    </w:p>
    <w:p w14:paraId="4FE09833" w14:textId="7602590A" w:rsidR="001F3ACD" w:rsidRDefault="00AE6E78">
      <w:pPr>
        <w:spacing w:afterLines="50" w:after="156" w:line="360" w:lineRule="auto"/>
        <w:rPr>
          <w:rFonts w:ascii="Times New Roman" w:hAnsi="Times New Roman" w:cs="Times New Roman"/>
        </w:rPr>
      </w:pPr>
      <w:r>
        <w:rPr>
          <w:rFonts w:ascii="Times New Roman" w:hAnsi="Times New Roman" w:cs="Times New Roman"/>
          <w:b/>
        </w:rPr>
        <w:t>Figure S</w:t>
      </w:r>
      <w:r w:rsidR="00A32D31">
        <w:rPr>
          <w:rFonts w:ascii="Times New Roman" w:hAnsi="Times New Roman" w:cs="Times New Roman"/>
          <w:b/>
        </w:rPr>
        <w:t>7</w:t>
      </w:r>
      <w:r>
        <w:rPr>
          <w:rFonts w:ascii="Times New Roman" w:hAnsi="Times New Roman" w:cs="Times New Roman"/>
        </w:rPr>
        <w:t xml:space="preserve"> SEM image and simulated electric field distribution of the PC waveguide. </w:t>
      </w:r>
      <w:r>
        <w:rPr>
          <w:rFonts w:ascii="Times New Roman" w:hAnsi="Times New Roman" w:cs="Times New Roman"/>
          <w:b/>
        </w:rPr>
        <w:t>a</w:t>
      </w:r>
      <w:r>
        <w:rPr>
          <w:rFonts w:ascii="Times New Roman" w:hAnsi="Times New Roman" w:cs="Times New Roman"/>
        </w:rPr>
        <w:t xml:space="preserve"> SEM image of the PC waveguide with two air-slots. Scare bar, 5 </w:t>
      </w:r>
      <w:r>
        <w:rPr>
          <w:rFonts w:ascii="Times New Roman" w:hAnsi="Times New Roman" w:cs="Times New Roman"/>
        </w:rPr>
        <w:sym w:font="Symbol" w:char="F06D"/>
      </w:r>
      <w:r>
        <w:rPr>
          <w:rFonts w:ascii="Times New Roman" w:hAnsi="Times New Roman" w:cs="Times New Roman"/>
        </w:rPr>
        <w:t xml:space="preserve">m. </w:t>
      </w:r>
      <w:r>
        <w:rPr>
          <w:rFonts w:ascii="Times New Roman" w:hAnsi="Times New Roman" w:cs="Times New Roman"/>
          <w:b/>
        </w:rPr>
        <w:t>b</w:t>
      </w:r>
      <w:r>
        <w:rPr>
          <w:rFonts w:ascii="Times New Roman" w:hAnsi="Times New Roman" w:cs="Times New Roman"/>
        </w:rPr>
        <w:t xml:space="preserve"> Simulated electric field distributions of the guided mode in the PC waveguide.</w:t>
      </w:r>
    </w:p>
    <w:p w14:paraId="763BCC8B" w14:textId="77777777" w:rsidR="001F3ACD" w:rsidRDefault="00AE6E78">
      <w:pPr>
        <w:spacing w:afterLines="50" w:after="156"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7DA7DEF8" wp14:editId="2C21DEAF">
            <wp:extent cx="4403090" cy="19075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403404" cy="1908000"/>
                    </a:xfrm>
                    <a:prstGeom prst="rect">
                      <a:avLst/>
                    </a:prstGeom>
                  </pic:spPr>
                </pic:pic>
              </a:graphicData>
            </a:graphic>
          </wp:inline>
        </w:drawing>
      </w:r>
    </w:p>
    <w:p w14:paraId="6F22DF8A" w14:textId="531EC699" w:rsidR="001F3ACD" w:rsidRDefault="00AE6E78">
      <w:pPr>
        <w:spacing w:afterLines="50" w:after="156" w:line="360" w:lineRule="auto"/>
        <w:rPr>
          <w:rFonts w:ascii="Times New Roman" w:hAnsi="Times New Roman" w:cs="Times New Roman"/>
          <w:b/>
        </w:rPr>
      </w:pPr>
      <w:r>
        <w:rPr>
          <w:rFonts w:ascii="Times New Roman" w:hAnsi="Times New Roman" w:cs="Times New Roman"/>
          <w:b/>
          <w:color w:val="000000" w:themeColor="text1"/>
        </w:rPr>
        <w:t>Figure S8</w:t>
      </w:r>
      <w:r>
        <w:rPr>
          <w:rFonts w:ascii="Times New Roman" w:hAnsi="Times New Roman" w:cs="Times New Roman"/>
          <w:color w:val="000000" w:themeColor="text1"/>
        </w:rPr>
        <w:t xml:space="preserve"> Raman spectra and AFM images of the fabricated device in the maintext. </w:t>
      </w:r>
      <w:r>
        <w:rPr>
          <w:rFonts w:ascii="Times New Roman" w:hAnsi="Times New Roman" w:cs="Times New Roman"/>
          <w:b/>
          <w:color w:val="000000" w:themeColor="text1"/>
        </w:rPr>
        <w:t>a</w:t>
      </w:r>
      <w:r>
        <w:rPr>
          <w:rFonts w:ascii="Times New Roman" w:hAnsi="Times New Roman" w:cs="Times New Roman"/>
          <w:color w:val="000000" w:themeColor="text1"/>
        </w:rPr>
        <w:t xml:space="preserve"> Raman spectrum of the graphene shows two characteristic peaks: the G peak at ~1582.7 cm</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w:t>
      </w:r>
      <w:r w:rsidR="00C36A14">
        <w:rPr>
          <w:rFonts w:ascii="Times New Roman" w:hAnsi="Times New Roman" w:cs="Times New Roman"/>
          <w:color w:val="000000" w:themeColor="text1"/>
        </w:rPr>
        <w:t xml:space="preserve">and </w:t>
      </w:r>
      <w:r>
        <w:rPr>
          <w:rFonts w:ascii="Times New Roman" w:hAnsi="Times New Roman" w:cs="Times New Roman"/>
          <w:color w:val="000000" w:themeColor="text1"/>
        </w:rPr>
        <w:t>the 2D peak at ~2703.8 cm</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It shows the bilayer graphene thickness, which is comprehensively determined by the Raman characteristic of G peak intensity, G and 2D peak intensity ratios and 2D peak type</w:t>
      </w:r>
      <w:r>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{"citationItems":[{"id":"ITEM-1","itemData":{"DOI":"10.6023/A13090936","ISSN":"05677351","abstract":"Graphene, a monolayer of carbon atoms packed into a two-dimensional crystal structure, attracted intense attention owing to its unique structure and optical, electronic properties. Raman spectroscopy is a quick and precise method in material science and has been employed for many years to investigate material properties. It can be used to investigate the electronic band structure, the phonon energy dispersion and the electron-phonon interaction in graphene systems. In probing graphene's properties, Raman spectroscopy is considered to be a reliable method. In this review, we highlight recent progress of studying graphene structure using Raman spectroscopy. First, on the basis of systematically analyzing the phonon dispersion of graphene, the typical Raman scattering features of graphene, such as G band, G' band, and D band, and the basic physical process are introduced. Using these Raman fingerprints, we can quickly and directly distinguish the layer thickness of graphene, determine the edge chirality and monitor the type and density of defects in graphene. Second, stacking disorder will significantly modify the optical properties and interlayer coupling stretch of few-layer graphene so that the Raman features of graphene will be strongly influenced not only in the G band intensity but also in the intensity, lineshape and the frequency of G' band. According to the peak position, width, and intensity of the Raman G band and G' band in graphene, we also discuss the influence of doping, substrate, temperature, and strain on the electronic structure of graphene. Finally, we introduce the second order overtone and combination Raman modes and the low frequency Raman feature (shear and layer breathing mode) in graphene, and discuss the dependence of these peaks on the structure of graphene.","author":[{"dropping-particle":"","family":"Wu","given":"Juanxia","non-dropping-particle":"","parse-names":false,"suffix":""},{"dropping-particle":"","family":"Xu","given":"Hua","non-dropping-particle":"","parse-names":false,"suffix":""},{"dropping-particle":"","family":"Zhang","given":"Jin","non-dropping-particle":"","parse-names":false,"suffix":""}],"container-title":"Acta Chimica Sinica","id":"ITEM-1","issue":"3","issued":{"date-parts":[["2014"]]},"page":"301-318","title":"Raman spectroscopy of graphene","type":"article-journal","volume":"72"},"uris":["http://www.mendeley.com/documents/?uuid=d3253243-ddf0-4575-a5e7-b26819ec6509"]}],"mendeley":{"formattedCitation":"&lt;sup&gt;2&lt;/sup&gt;","plainTextFormattedCitation":"2"},"properties":{"noteIndex":0},"schema":"https://github.com/citation-style-language/schema/raw/master/csl-citation.json"}</w:instrText>
      </w:r>
      <w:r>
        <w:rPr>
          <w:rFonts w:ascii="Times New Roman" w:hAnsi="Times New Roman" w:cs="Times New Roman"/>
          <w:color w:val="000000" w:themeColor="text1"/>
        </w:rPr>
        <w:fldChar w:fldCharType="separate"/>
      </w:r>
      <w:r>
        <w:rPr>
          <w:rFonts w:ascii="Times New Roman" w:hAnsi="Times New Roman" w:cs="Times New Roman"/>
          <w:color w:val="000000" w:themeColor="text1"/>
          <w:vertAlign w:val="superscript"/>
        </w:rPr>
        <w:t>2</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Pr>
          <w:rFonts w:ascii="Times New Roman" w:hAnsi="Times New Roman" w:cs="Times New Roman"/>
          <w:b/>
          <w:color w:val="000000" w:themeColor="text1"/>
        </w:rPr>
        <w:t>b</w:t>
      </w:r>
      <w:r>
        <w:rPr>
          <w:rFonts w:ascii="Times New Roman" w:hAnsi="Times New Roman" w:cs="Times New Roman"/>
          <w:color w:val="000000" w:themeColor="text1"/>
        </w:rPr>
        <w:t xml:space="preserve"> AFM image of the top hBN flake on top of the graphene layer with a thickness of ~35 nm. Height profiles of hBN flake along the white lines </w:t>
      </w:r>
      <w:r w:rsidR="00C36A14">
        <w:rPr>
          <w:rFonts w:ascii="Times New Roman" w:hAnsi="Times New Roman" w:cs="Times New Roman"/>
          <w:color w:val="000000" w:themeColor="text1"/>
        </w:rPr>
        <w:t>are</w:t>
      </w:r>
      <w:r>
        <w:rPr>
          <w:rFonts w:ascii="Times New Roman" w:hAnsi="Times New Roman" w:cs="Times New Roman"/>
          <w:color w:val="000000" w:themeColor="text1"/>
        </w:rPr>
        <w:t xml:space="preserve"> indicated in the inset.</w:t>
      </w:r>
    </w:p>
    <w:p w14:paraId="27E69277" w14:textId="77777777" w:rsidR="001F3ACD" w:rsidRDefault="001F3ACD">
      <w:pPr>
        <w:rPr>
          <w:rFonts w:ascii="Times New Roman" w:hAnsi="Times New Roman" w:cs="Times New Roman"/>
          <w:color w:val="FF0000"/>
        </w:rPr>
      </w:pPr>
    </w:p>
    <w:p w14:paraId="538DB745" w14:textId="77777777" w:rsidR="001F3ACD" w:rsidRDefault="00AE6E78">
      <w:pPr>
        <w:spacing w:line="360" w:lineRule="auto"/>
        <w:rPr>
          <w:rFonts w:ascii="Times New Roman" w:hAnsi="Times New Roman" w:cs="Times New Roman"/>
          <w:b/>
          <w:color w:val="000000" w:themeColor="text1"/>
          <w:sz w:val="24"/>
          <w:szCs w:val="24"/>
        </w:rPr>
      </w:pPr>
      <w:r>
        <w:rPr>
          <w:rFonts w:ascii="Times New Roman" w:hAnsi="Times New Roman" w:cs="Times New Roman" w:hint="eastAsia"/>
          <w:b/>
          <w:color w:val="000000" w:themeColor="text1"/>
          <w:sz w:val="24"/>
          <w:szCs w:val="24"/>
        </w:rPr>
        <w:t>R</w:t>
      </w:r>
      <w:r>
        <w:rPr>
          <w:rFonts w:ascii="Times New Roman" w:hAnsi="Times New Roman" w:cs="Times New Roman"/>
          <w:b/>
          <w:color w:val="000000" w:themeColor="text1"/>
          <w:sz w:val="24"/>
          <w:szCs w:val="24"/>
        </w:rPr>
        <w:t>eferences</w:t>
      </w:r>
    </w:p>
    <w:p w14:paraId="7EBCBC50" w14:textId="77777777" w:rsidR="001F3ACD" w:rsidRDefault="00AE6E78">
      <w:pPr>
        <w:autoSpaceDE w:val="0"/>
        <w:autoSpaceDN w:val="0"/>
        <w:adjustRightInd w:val="0"/>
        <w:spacing w:line="360" w:lineRule="auto"/>
        <w:ind w:left="640" w:hanging="640"/>
        <w:jc w:val="left"/>
        <w:rPr>
          <w:rFonts w:ascii="Times New Roman" w:hAnsi="Times New Roman" w:cs="Times New Roman"/>
          <w:kern w:val="0"/>
          <w:sz w:val="20"/>
          <w:szCs w:val="24"/>
        </w:rPr>
      </w:pPr>
      <w:r>
        <w:rPr>
          <w:rFonts w:ascii="Times New Roman" w:hAnsi="Times New Roman" w:cs="Times New Roman"/>
          <w:color w:val="000000" w:themeColor="text1"/>
          <w:szCs w:val="21"/>
        </w:rPr>
        <w:fldChar w:fldCharType="begin" w:fldLock="1"/>
      </w:r>
      <w:r>
        <w:rPr>
          <w:rFonts w:ascii="Times New Roman" w:hAnsi="Times New Roman" w:cs="Times New Roman"/>
          <w:color w:val="000000" w:themeColor="text1"/>
          <w:szCs w:val="21"/>
        </w:rPr>
        <w:instrText xml:space="preserve">ADDIN Mendeley Bibliography CSL_BIBLIOGRAPHY </w:instrText>
      </w:r>
      <w:r>
        <w:rPr>
          <w:rFonts w:ascii="Times New Roman" w:hAnsi="Times New Roman" w:cs="Times New Roman"/>
          <w:color w:val="000000" w:themeColor="text1"/>
          <w:szCs w:val="21"/>
        </w:rPr>
        <w:fldChar w:fldCharType="separate"/>
      </w:r>
      <w:r>
        <w:rPr>
          <w:rFonts w:ascii="Times New Roman" w:hAnsi="Times New Roman" w:cs="Times New Roman"/>
          <w:kern w:val="0"/>
          <w:sz w:val="20"/>
          <w:szCs w:val="24"/>
        </w:rPr>
        <w:t>1.</w:t>
      </w:r>
      <w:r>
        <w:rPr>
          <w:rFonts w:ascii="Times New Roman" w:hAnsi="Times New Roman" w:cs="Times New Roman"/>
          <w:kern w:val="0"/>
          <w:sz w:val="20"/>
          <w:szCs w:val="24"/>
        </w:rPr>
        <w:tab/>
        <w:t xml:space="preserve">Li, C. </w:t>
      </w:r>
      <w:r>
        <w:rPr>
          <w:rFonts w:ascii="Times New Roman" w:hAnsi="Times New Roman" w:cs="Times New Roman"/>
          <w:i/>
          <w:iCs/>
          <w:kern w:val="0"/>
          <w:sz w:val="20"/>
          <w:szCs w:val="24"/>
        </w:rPr>
        <w:t>et al.</w:t>
      </w:r>
      <w:r>
        <w:rPr>
          <w:rFonts w:ascii="Times New Roman" w:hAnsi="Times New Roman" w:cs="Times New Roman"/>
          <w:kern w:val="0"/>
          <w:sz w:val="20"/>
          <w:szCs w:val="24"/>
        </w:rPr>
        <w:t xml:space="preserve"> Waveguide-integrated MoTe</w:t>
      </w:r>
      <w:r>
        <w:rPr>
          <w:rFonts w:ascii="Times New Roman" w:hAnsi="Times New Roman" w:cs="Times New Roman"/>
          <w:kern w:val="0"/>
          <w:sz w:val="20"/>
          <w:szCs w:val="24"/>
          <w:vertAlign w:val="subscript"/>
        </w:rPr>
        <w:t>2</w:t>
      </w:r>
      <w:r>
        <w:rPr>
          <w:rFonts w:ascii="Times New Roman" w:hAnsi="Times New Roman" w:cs="Times New Roman"/>
          <w:kern w:val="0"/>
          <w:sz w:val="20"/>
          <w:szCs w:val="24"/>
        </w:rPr>
        <w:t xml:space="preserve"> </w:t>
      </w:r>
      <w:r>
        <w:rPr>
          <w:rFonts w:ascii="Times New Roman" w:hAnsi="Times New Roman" w:cs="Times New Roman"/>
          <w:i/>
          <w:kern w:val="0"/>
          <w:sz w:val="20"/>
          <w:szCs w:val="24"/>
        </w:rPr>
        <w:t>p</w:t>
      </w:r>
      <w:r>
        <w:rPr>
          <w:rFonts w:ascii="Times New Roman" w:hAnsi="Times New Roman" w:cs="Times New Roman"/>
          <w:kern w:val="0"/>
          <w:sz w:val="20"/>
          <w:szCs w:val="24"/>
        </w:rPr>
        <w:t>–</w:t>
      </w:r>
      <w:r>
        <w:rPr>
          <w:rFonts w:ascii="Times New Roman" w:hAnsi="Times New Roman" w:cs="Times New Roman"/>
          <w:i/>
          <w:kern w:val="0"/>
          <w:sz w:val="20"/>
          <w:szCs w:val="24"/>
        </w:rPr>
        <w:t>i</w:t>
      </w:r>
      <w:r>
        <w:rPr>
          <w:rFonts w:ascii="Times New Roman" w:hAnsi="Times New Roman" w:cs="Times New Roman"/>
          <w:kern w:val="0"/>
          <w:sz w:val="20"/>
          <w:szCs w:val="24"/>
        </w:rPr>
        <w:t>–</w:t>
      </w:r>
      <w:r>
        <w:rPr>
          <w:rFonts w:ascii="Times New Roman" w:hAnsi="Times New Roman" w:cs="Times New Roman"/>
          <w:i/>
          <w:kern w:val="0"/>
          <w:sz w:val="20"/>
          <w:szCs w:val="24"/>
        </w:rPr>
        <w:t>n</w:t>
      </w:r>
      <w:r>
        <w:rPr>
          <w:rFonts w:ascii="Times New Roman" w:hAnsi="Times New Roman" w:cs="Times New Roman"/>
          <w:kern w:val="0"/>
          <w:sz w:val="20"/>
          <w:szCs w:val="24"/>
        </w:rPr>
        <w:t xml:space="preserve"> homojunction photodetector. </w:t>
      </w:r>
      <w:r>
        <w:rPr>
          <w:rFonts w:ascii="Times New Roman" w:hAnsi="Times New Roman" w:cs="Times New Roman"/>
          <w:i/>
          <w:iCs/>
          <w:kern w:val="0"/>
          <w:sz w:val="20"/>
          <w:szCs w:val="24"/>
        </w:rPr>
        <w:t>ACS Nano</w:t>
      </w:r>
      <w:r>
        <w:rPr>
          <w:rFonts w:ascii="Times New Roman" w:hAnsi="Times New Roman" w:cs="Times New Roman"/>
          <w:kern w:val="0"/>
          <w:sz w:val="20"/>
          <w:szCs w:val="24"/>
        </w:rPr>
        <w:t xml:space="preserve"> </w:t>
      </w:r>
      <w:r>
        <w:rPr>
          <w:rFonts w:ascii="Times New Roman" w:hAnsi="Times New Roman" w:cs="Times New Roman"/>
          <w:b/>
          <w:bCs/>
          <w:kern w:val="0"/>
          <w:sz w:val="20"/>
          <w:szCs w:val="24"/>
        </w:rPr>
        <w:t>16</w:t>
      </w:r>
      <w:r>
        <w:rPr>
          <w:rFonts w:ascii="Times New Roman" w:hAnsi="Times New Roman" w:cs="Times New Roman"/>
          <w:kern w:val="0"/>
          <w:sz w:val="20"/>
          <w:szCs w:val="24"/>
        </w:rPr>
        <w:t>, 20946–20955 (2022).</w:t>
      </w:r>
    </w:p>
    <w:p w14:paraId="299138A2" w14:textId="77777777" w:rsidR="001F3ACD" w:rsidRDefault="00AE6E78">
      <w:pPr>
        <w:autoSpaceDE w:val="0"/>
        <w:autoSpaceDN w:val="0"/>
        <w:adjustRightInd w:val="0"/>
        <w:spacing w:line="360" w:lineRule="auto"/>
        <w:ind w:left="640" w:hanging="640"/>
        <w:jc w:val="left"/>
        <w:rPr>
          <w:rFonts w:ascii="Times New Roman" w:hAnsi="Times New Roman" w:cs="Times New Roman"/>
          <w:sz w:val="20"/>
        </w:rPr>
      </w:pPr>
      <w:r>
        <w:rPr>
          <w:rFonts w:ascii="Times New Roman" w:hAnsi="Times New Roman" w:cs="Times New Roman"/>
          <w:kern w:val="0"/>
          <w:sz w:val="20"/>
          <w:szCs w:val="24"/>
        </w:rPr>
        <w:t>2.</w:t>
      </w:r>
      <w:r>
        <w:rPr>
          <w:rFonts w:ascii="Times New Roman" w:hAnsi="Times New Roman" w:cs="Times New Roman"/>
          <w:kern w:val="0"/>
          <w:sz w:val="20"/>
          <w:szCs w:val="24"/>
        </w:rPr>
        <w:tab/>
        <w:t xml:space="preserve">Wu, J., Xu, H. &amp; Zhang, J. Raman spectroscopy of graphene. </w:t>
      </w:r>
      <w:r>
        <w:rPr>
          <w:rFonts w:ascii="Times New Roman" w:hAnsi="Times New Roman" w:cs="Times New Roman"/>
          <w:i/>
          <w:iCs/>
          <w:kern w:val="0"/>
          <w:sz w:val="20"/>
          <w:szCs w:val="24"/>
        </w:rPr>
        <w:t>Acta Chim. Sin.</w:t>
      </w:r>
      <w:r>
        <w:rPr>
          <w:rFonts w:ascii="Times New Roman" w:hAnsi="Times New Roman" w:cs="Times New Roman"/>
          <w:kern w:val="0"/>
          <w:sz w:val="20"/>
          <w:szCs w:val="24"/>
        </w:rPr>
        <w:t xml:space="preserve"> </w:t>
      </w:r>
      <w:r>
        <w:rPr>
          <w:rFonts w:ascii="Times New Roman" w:hAnsi="Times New Roman" w:cs="Times New Roman"/>
          <w:b/>
          <w:bCs/>
          <w:kern w:val="0"/>
          <w:sz w:val="20"/>
          <w:szCs w:val="24"/>
        </w:rPr>
        <w:t>72</w:t>
      </w:r>
      <w:r>
        <w:rPr>
          <w:rFonts w:ascii="Times New Roman" w:hAnsi="Times New Roman" w:cs="Times New Roman"/>
          <w:kern w:val="0"/>
          <w:sz w:val="20"/>
          <w:szCs w:val="24"/>
        </w:rPr>
        <w:t>, 301–318 (2014).</w:t>
      </w:r>
    </w:p>
    <w:p w14:paraId="18AD5369" w14:textId="6E6B0D12" w:rsidR="001F3ACD" w:rsidRPr="003B1998" w:rsidRDefault="00AE6E78" w:rsidP="003B1998">
      <w:pPr>
        <w:spacing w:line="360" w:lineRule="auto"/>
        <w:rPr>
          <w:rFonts w:ascii="Times New Roman" w:hAnsi="Times New Roman" w:cs="Times New Roman" w:hint="eastAsia"/>
          <w:color w:val="000000" w:themeColor="text1"/>
        </w:rPr>
      </w:pPr>
      <w:r>
        <w:rPr>
          <w:rFonts w:ascii="Times New Roman" w:hAnsi="Times New Roman" w:cs="Times New Roman"/>
          <w:color w:val="000000" w:themeColor="text1"/>
          <w:szCs w:val="21"/>
        </w:rPr>
        <w:fldChar w:fldCharType="end"/>
      </w:r>
      <w:bookmarkStart w:id="0" w:name="_GoBack"/>
      <w:bookmarkEnd w:id="0"/>
    </w:p>
    <w:sectPr w:rsidR="001F3ACD" w:rsidRPr="003B19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7EB93" w14:textId="77777777" w:rsidR="00B11CB0" w:rsidRDefault="00B11CB0" w:rsidP="00475E36">
      <w:r>
        <w:separator/>
      </w:r>
    </w:p>
  </w:endnote>
  <w:endnote w:type="continuationSeparator" w:id="0">
    <w:p w14:paraId="3E2451DA" w14:textId="77777777" w:rsidR="00B11CB0" w:rsidRDefault="00B11CB0" w:rsidP="0047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690EF" w14:textId="77777777" w:rsidR="00B11CB0" w:rsidRDefault="00B11CB0" w:rsidP="00475E36">
      <w:r>
        <w:separator/>
      </w:r>
    </w:p>
  </w:footnote>
  <w:footnote w:type="continuationSeparator" w:id="0">
    <w:p w14:paraId="3B85A224" w14:textId="77777777" w:rsidR="00B11CB0" w:rsidRDefault="00B11CB0" w:rsidP="0047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D096FB"/>
    <w:multiLevelType w:val="singleLevel"/>
    <w:tmpl w:val="60D096FB"/>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I2MTO3MDM3tzA2NTZS0lEKTi0uzszPAykwrAUAcdJwpiwAAAA="/>
  </w:docVars>
  <w:rsids>
    <w:rsidRoot w:val="007D68A5"/>
    <w:rsid w:val="B7D9DA95"/>
    <w:rsid w:val="D7F9B6AB"/>
    <w:rsid w:val="E6D776F7"/>
    <w:rsid w:val="FFFFDA09"/>
    <w:rsid w:val="0000266D"/>
    <w:rsid w:val="000051A1"/>
    <w:rsid w:val="000066C5"/>
    <w:rsid w:val="00026897"/>
    <w:rsid w:val="00027677"/>
    <w:rsid w:val="00027E91"/>
    <w:rsid w:val="0003056A"/>
    <w:rsid w:val="00043BEC"/>
    <w:rsid w:val="000471BA"/>
    <w:rsid w:val="00050C3B"/>
    <w:rsid w:val="000541E3"/>
    <w:rsid w:val="00057A76"/>
    <w:rsid w:val="00065D79"/>
    <w:rsid w:val="0007136E"/>
    <w:rsid w:val="00071F3B"/>
    <w:rsid w:val="00073833"/>
    <w:rsid w:val="000752B3"/>
    <w:rsid w:val="00081C53"/>
    <w:rsid w:val="0008358E"/>
    <w:rsid w:val="000B6AE0"/>
    <w:rsid w:val="000C4850"/>
    <w:rsid w:val="000C582E"/>
    <w:rsid w:val="000F1180"/>
    <w:rsid w:val="000F207D"/>
    <w:rsid w:val="000F2C23"/>
    <w:rsid w:val="000F2FEA"/>
    <w:rsid w:val="00100616"/>
    <w:rsid w:val="001140B7"/>
    <w:rsid w:val="001147C2"/>
    <w:rsid w:val="0011554C"/>
    <w:rsid w:val="00153188"/>
    <w:rsid w:val="00171CDC"/>
    <w:rsid w:val="001757BE"/>
    <w:rsid w:val="00175F74"/>
    <w:rsid w:val="001956D6"/>
    <w:rsid w:val="001A10FE"/>
    <w:rsid w:val="001A46F1"/>
    <w:rsid w:val="001B072E"/>
    <w:rsid w:val="001B1426"/>
    <w:rsid w:val="001C0916"/>
    <w:rsid w:val="001D1FBB"/>
    <w:rsid w:val="001D2229"/>
    <w:rsid w:val="001D7A34"/>
    <w:rsid w:val="001E6BC2"/>
    <w:rsid w:val="001F3ACD"/>
    <w:rsid w:val="001F4BBA"/>
    <w:rsid w:val="001F4C99"/>
    <w:rsid w:val="00226800"/>
    <w:rsid w:val="00240070"/>
    <w:rsid w:val="00251553"/>
    <w:rsid w:val="00254C0D"/>
    <w:rsid w:val="00256AD1"/>
    <w:rsid w:val="00263A4B"/>
    <w:rsid w:val="00263C08"/>
    <w:rsid w:val="0026627D"/>
    <w:rsid w:val="00273366"/>
    <w:rsid w:val="0028116B"/>
    <w:rsid w:val="002B34C9"/>
    <w:rsid w:val="002C6216"/>
    <w:rsid w:val="002C68B4"/>
    <w:rsid w:val="002D0D29"/>
    <w:rsid w:val="002D2F8E"/>
    <w:rsid w:val="002F0BD4"/>
    <w:rsid w:val="002F563C"/>
    <w:rsid w:val="002F5689"/>
    <w:rsid w:val="00300574"/>
    <w:rsid w:val="003156A2"/>
    <w:rsid w:val="003162CB"/>
    <w:rsid w:val="00340BCA"/>
    <w:rsid w:val="0035753A"/>
    <w:rsid w:val="00363411"/>
    <w:rsid w:val="003810EE"/>
    <w:rsid w:val="00387D3B"/>
    <w:rsid w:val="003A69F0"/>
    <w:rsid w:val="003B1998"/>
    <w:rsid w:val="003B5995"/>
    <w:rsid w:val="003B5E49"/>
    <w:rsid w:val="003E6BB8"/>
    <w:rsid w:val="00404105"/>
    <w:rsid w:val="00406DCF"/>
    <w:rsid w:val="00411296"/>
    <w:rsid w:val="004124FF"/>
    <w:rsid w:val="00415534"/>
    <w:rsid w:val="004228FB"/>
    <w:rsid w:val="00422EF9"/>
    <w:rsid w:val="004257B8"/>
    <w:rsid w:val="00426AA4"/>
    <w:rsid w:val="00426FE2"/>
    <w:rsid w:val="004333D8"/>
    <w:rsid w:val="00441BED"/>
    <w:rsid w:val="00442539"/>
    <w:rsid w:val="00445D8D"/>
    <w:rsid w:val="0044798F"/>
    <w:rsid w:val="0045220E"/>
    <w:rsid w:val="00455DD9"/>
    <w:rsid w:val="00460FC8"/>
    <w:rsid w:val="00461D67"/>
    <w:rsid w:val="00475E36"/>
    <w:rsid w:val="00481489"/>
    <w:rsid w:val="004B44B4"/>
    <w:rsid w:val="004D5DFA"/>
    <w:rsid w:val="004E4BCD"/>
    <w:rsid w:val="004E4C78"/>
    <w:rsid w:val="00502FA9"/>
    <w:rsid w:val="00506A3A"/>
    <w:rsid w:val="00507A35"/>
    <w:rsid w:val="00517E54"/>
    <w:rsid w:val="00521D90"/>
    <w:rsid w:val="00522912"/>
    <w:rsid w:val="00526123"/>
    <w:rsid w:val="00527A9C"/>
    <w:rsid w:val="00534642"/>
    <w:rsid w:val="005424F4"/>
    <w:rsid w:val="005549EA"/>
    <w:rsid w:val="00556E75"/>
    <w:rsid w:val="0056195E"/>
    <w:rsid w:val="00564BA0"/>
    <w:rsid w:val="005700DC"/>
    <w:rsid w:val="005749EA"/>
    <w:rsid w:val="005858F4"/>
    <w:rsid w:val="00586BF0"/>
    <w:rsid w:val="00595F2C"/>
    <w:rsid w:val="005B3E58"/>
    <w:rsid w:val="005D035D"/>
    <w:rsid w:val="005D6193"/>
    <w:rsid w:val="005E182E"/>
    <w:rsid w:val="005E309A"/>
    <w:rsid w:val="006017C0"/>
    <w:rsid w:val="00617DEC"/>
    <w:rsid w:val="006309ED"/>
    <w:rsid w:val="00636D11"/>
    <w:rsid w:val="00650D78"/>
    <w:rsid w:val="006531B1"/>
    <w:rsid w:val="00654F3A"/>
    <w:rsid w:val="00655804"/>
    <w:rsid w:val="00666C70"/>
    <w:rsid w:val="006723C1"/>
    <w:rsid w:val="00673F1F"/>
    <w:rsid w:val="006954E8"/>
    <w:rsid w:val="00697133"/>
    <w:rsid w:val="006A0D82"/>
    <w:rsid w:val="006A5452"/>
    <w:rsid w:val="006B6F64"/>
    <w:rsid w:val="006D2DAD"/>
    <w:rsid w:val="006D633F"/>
    <w:rsid w:val="006D6AB1"/>
    <w:rsid w:val="00704455"/>
    <w:rsid w:val="00710C24"/>
    <w:rsid w:val="00716ECB"/>
    <w:rsid w:val="00725A59"/>
    <w:rsid w:val="00727A25"/>
    <w:rsid w:val="007329F7"/>
    <w:rsid w:val="007331F8"/>
    <w:rsid w:val="007479F3"/>
    <w:rsid w:val="0075069F"/>
    <w:rsid w:val="007579AF"/>
    <w:rsid w:val="0076030F"/>
    <w:rsid w:val="00772D13"/>
    <w:rsid w:val="00776524"/>
    <w:rsid w:val="00786DAB"/>
    <w:rsid w:val="007A05E9"/>
    <w:rsid w:val="007A2433"/>
    <w:rsid w:val="007A3926"/>
    <w:rsid w:val="007B0930"/>
    <w:rsid w:val="007B3DFD"/>
    <w:rsid w:val="007B4580"/>
    <w:rsid w:val="007C1B27"/>
    <w:rsid w:val="007D68A5"/>
    <w:rsid w:val="00807DB9"/>
    <w:rsid w:val="00811837"/>
    <w:rsid w:val="00814C5E"/>
    <w:rsid w:val="008306FD"/>
    <w:rsid w:val="0083077B"/>
    <w:rsid w:val="00833F60"/>
    <w:rsid w:val="008438ED"/>
    <w:rsid w:val="00851EAA"/>
    <w:rsid w:val="008577A8"/>
    <w:rsid w:val="00866DE6"/>
    <w:rsid w:val="00870854"/>
    <w:rsid w:val="00871EFA"/>
    <w:rsid w:val="008914C8"/>
    <w:rsid w:val="008926D4"/>
    <w:rsid w:val="008A13CF"/>
    <w:rsid w:val="008A664B"/>
    <w:rsid w:val="008B4A8D"/>
    <w:rsid w:val="008C1A1C"/>
    <w:rsid w:val="008C1CB1"/>
    <w:rsid w:val="008D4563"/>
    <w:rsid w:val="008D5105"/>
    <w:rsid w:val="008D55BA"/>
    <w:rsid w:val="008D69E3"/>
    <w:rsid w:val="008E2F1F"/>
    <w:rsid w:val="0092519E"/>
    <w:rsid w:val="00925E61"/>
    <w:rsid w:val="009376BB"/>
    <w:rsid w:val="009429AB"/>
    <w:rsid w:val="009555F5"/>
    <w:rsid w:val="00957ED0"/>
    <w:rsid w:val="00962DDE"/>
    <w:rsid w:val="0097178E"/>
    <w:rsid w:val="00981B93"/>
    <w:rsid w:val="00985D37"/>
    <w:rsid w:val="00990FA5"/>
    <w:rsid w:val="00996272"/>
    <w:rsid w:val="00997885"/>
    <w:rsid w:val="009B2641"/>
    <w:rsid w:val="009B4094"/>
    <w:rsid w:val="009B7D3A"/>
    <w:rsid w:val="009C1FF2"/>
    <w:rsid w:val="009C64E2"/>
    <w:rsid w:val="009D205C"/>
    <w:rsid w:val="009E00FB"/>
    <w:rsid w:val="009E02A7"/>
    <w:rsid w:val="009E2E59"/>
    <w:rsid w:val="009F2393"/>
    <w:rsid w:val="009F7F26"/>
    <w:rsid w:val="00A11513"/>
    <w:rsid w:val="00A164D9"/>
    <w:rsid w:val="00A203FB"/>
    <w:rsid w:val="00A308C9"/>
    <w:rsid w:val="00A32D31"/>
    <w:rsid w:val="00A407B8"/>
    <w:rsid w:val="00A44A69"/>
    <w:rsid w:val="00A521E8"/>
    <w:rsid w:val="00A52CFA"/>
    <w:rsid w:val="00A540A9"/>
    <w:rsid w:val="00A8369F"/>
    <w:rsid w:val="00A87185"/>
    <w:rsid w:val="00A90532"/>
    <w:rsid w:val="00A943E9"/>
    <w:rsid w:val="00AA48B8"/>
    <w:rsid w:val="00AB65EE"/>
    <w:rsid w:val="00AC440D"/>
    <w:rsid w:val="00AC6D04"/>
    <w:rsid w:val="00AD038E"/>
    <w:rsid w:val="00AD3BB1"/>
    <w:rsid w:val="00AD5E81"/>
    <w:rsid w:val="00AE1281"/>
    <w:rsid w:val="00AE6C0B"/>
    <w:rsid w:val="00AE6E78"/>
    <w:rsid w:val="00AE7AEC"/>
    <w:rsid w:val="00AF4271"/>
    <w:rsid w:val="00AF5EC5"/>
    <w:rsid w:val="00B042F9"/>
    <w:rsid w:val="00B05207"/>
    <w:rsid w:val="00B112C3"/>
    <w:rsid w:val="00B11CB0"/>
    <w:rsid w:val="00B24EDF"/>
    <w:rsid w:val="00B25568"/>
    <w:rsid w:val="00B31942"/>
    <w:rsid w:val="00B326A3"/>
    <w:rsid w:val="00B4003D"/>
    <w:rsid w:val="00B52FE3"/>
    <w:rsid w:val="00B6010E"/>
    <w:rsid w:val="00B6073A"/>
    <w:rsid w:val="00B66DC9"/>
    <w:rsid w:val="00B67B68"/>
    <w:rsid w:val="00B7099D"/>
    <w:rsid w:val="00B73D51"/>
    <w:rsid w:val="00B80370"/>
    <w:rsid w:val="00B82D32"/>
    <w:rsid w:val="00B904EF"/>
    <w:rsid w:val="00BA126D"/>
    <w:rsid w:val="00BB6AB4"/>
    <w:rsid w:val="00BD176B"/>
    <w:rsid w:val="00BD2656"/>
    <w:rsid w:val="00BD68EC"/>
    <w:rsid w:val="00BD69C6"/>
    <w:rsid w:val="00BE0037"/>
    <w:rsid w:val="00BE157B"/>
    <w:rsid w:val="00BF6F3C"/>
    <w:rsid w:val="00C01F2F"/>
    <w:rsid w:val="00C04B2D"/>
    <w:rsid w:val="00C222EF"/>
    <w:rsid w:val="00C36A14"/>
    <w:rsid w:val="00C43C33"/>
    <w:rsid w:val="00C44C04"/>
    <w:rsid w:val="00C54277"/>
    <w:rsid w:val="00C56337"/>
    <w:rsid w:val="00C66E5F"/>
    <w:rsid w:val="00C7355E"/>
    <w:rsid w:val="00C75734"/>
    <w:rsid w:val="00C80F27"/>
    <w:rsid w:val="00C83627"/>
    <w:rsid w:val="00CA5B24"/>
    <w:rsid w:val="00CA6F4E"/>
    <w:rsid w:val="00CD2E73"/>
    <w:rsid w:val="00CE7BC0"/>
    <w:rsid w:val="00CF334F"/>
    <w:rsid w:val="00D040C1"/>
    <w:rsid w:val="00D147DC"/>
    <w:rsid w:val="00D15442"/>
    <w:rsid w:val="00D2022C"/>
    <w:rsid w:val="00D42440"/>
    <w:rsid w:val="00D44DCE"/>
    <w:rsid w:val="00D544FB"/>
    <w:rsid w:val="00D70E6E"/>
    <w:rsid w:val="00D71363"/>
    <w:rsid w:val="00D80D11"/>
    <w:rsid w:val="00D84644"/>
    <w:rsid w:val="00D854B8"/>
    <w:rsid w:val="00D86664"/>
    <w:rsid w:val="00DB6C93"/>
    <w:rsid w:val="00DD33F7"/>
    <w:rsid w:val="00E20B63"/>
    <w:rsid w:val="00E24275"/>
    <w:rsid w:val="00E4678B"/>
    <w:rsid w:val="00E478A3"/>
    <w:rsid w:val="00E51112"/>
    <w:rsid w:val="00E62DC9"/>
    <w:rsid w:val="00E645AD"/>
    <w:rsid w:val="00E72EBF"/>
    <w:rsid w:val="00E77658"/>
    <w:rsid w:val="00E8348C"/>
    <w:rsid w:val="00E84D8C"/>
    <w:rsid w:val="00E851BF"/>
    <w:rsid w:val="00E91FC3"/>
    <w:rsid w:val="00EA161E"/>
    <w:rsid w:val="00EC5E59"/>
    <w:rsid w:val="00ED35DC"/>
    <w:rsid w:val="00ED4DF1"/>
    <w:rsid w:val="00EE0731"/>
    <w:rsid w:val="00EE56E9"/>
    <w:rsid w:val="00F079BB"/>
    <w:rsid w:val="00F12F5D"/>
    <w:rsid w:val="00F2486F"/>
    <w:rsid w:val="00F2736A"/>
    <w:rsid w:val="00F30465"/>
    <w:rsid w:val="00F346C5"/>
    <w:rsid w:val="00F350BB"/>
    <w:rsid w:val="00F41074"/>
    <w:rsid w:val="00F47A7F"/>
    <w:rsid w:val="00F504B7"/>
    <w:rsid w:val="00F60113"/>
    <w:rsid w:val="00F70440"/>
    <w:rsid w:val="00F74DC4"/>
    <w:rsid w:val="00F907C1"/>
    <w:rsid w:val="00F971C7"/>
    <w:rsid w:val="00FA3BF0"/>
    <w:rsid w:val="00FA76B2"/>
    <w:rsid w:val="00FC2F6C"/>
    <w:rsid w:val="00FC76B9"/>
    <w:rsid w:val="00FD6A71"/>
    <w:rsid w:val="00FF2158"/>
    <w:rsid w:val="00FF25CE"/>
    <w:rsid w:val="5E9F0F81"/>
    <w:rsid w:val="7FFE4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86ADC"/>
  <w15:docId w15:val="{46C7EF72-4BE6-46A5-90BC-72C077A7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u w:val="single"/>
    </w:rPr>
  </w:style>
  <w:style w:type="character" w:customStyle="1" w:styleId="Char0">
    <w:name w:val="页眉 Char"/>
    <w:basedOn w:val="a0"/>
    <w:link w:val="a5"/>
    <w:uiPriority w:val="99"/>
    <w:rPr>
      <w:sz w:val="18"/>
      <w:szCs w:val="18"/>
    </w:rPr>
  </w:style>
  <w:style w:type="character" w:customStyle="1" w:styleId="Char">
    <w:name w:val="页脚 Char"/>
    <w:basedOn w:val="a0"/>
    <w:link w:val="a4"/>
    <w:uiPriority w:val="99"/>
    <w:qFormat/>
    <w:rPr>
      <w:sz w:val="18"/>
      <w:szCs w:val="18"/>
    </w:rPr>
  </w:style>
  <w:style w:type="character" w:styleId="a7">
    <w:name w:val="Placeholder Text"/>
    <w:basedOn w:val="a0"/>
    <w:uiPriority w:val="99"/>
    <w:semiHidden/>
    <w:qFormat/>
    <w:rPr>
      <w:color w:val="808080"/>
    </w:rPr>
  </w:style>
  <w:style w:type="paragraph" w:styleId="a8">
    <w:name w:val="List Paragraph"/>
    <w:basedOn w:val="a"/>
    <w:uiPriority w:val="99"/>
    <w:qFormat/>
    <w:pPr>
      <w:ind w:firstLineChars="200" w:firstLine="420"/>
    </w:pPr>
  </w:style>
  <w:style w:type="character" w:styleId="a9">
    <w:name w:val="annotation reference"/>
    <w:basedOn w:val="a0"/>
    <w:uiPriority w:val="99"/>
    <w:semiHidden/>
    <w:unhideWhenUsed/>
    <w:rPr>
      <w:sz w:val="21"/>
      <w:szCs w:val="21"/>
    </w:rPr>
  </w:style>
  <w:style w:type="paragraph" w:styleId="aa">
    <w:name w:val="Balloon Text"/>
    <w:basedOn w:val="a"/>
    <w:link w:val="Char1"/>
    <w:uiPriority w:val="99"/>
    <w:semiHidden/>
    <w:unhideWhenUsed/>
    <w:rsid w:val="0035753A"/>
    <w:rPr>
      <w:sz w:val="18"/>
      <w:szCs w:val="18"/>
    </w:rPr>
  </w:style>
  <w:style w:type="character" w:customStyle="1" w:styleId="Char1">
    <w:name w:val="批注框文本 Char"/>
    <w:basedOn w:val="a0"/>
    <w:link w:val="aa"/>
    <w:uiPriority w:val="99"/>
    <w:semiHidden/>
    <w:rsid w:val="0035753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xuetaogan@nwpu.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820</TotalTime>
  <Pages>6</Pages>
  <Words>2045</Words>
  <Characters>11660</Characters>
  <Application>Microsoft Office Word</Application>
  <DocSecurity>0</DocSecurity>
  <Lines>97</Lines>
  <Paragraphs>27</Paragraphs>
  <ScaleCrop>false</ScaleCrop>
  <Company/>
  <LinksUpToDate>false</LinksUpToDate>
  <CharactersWithSpaces>13678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cp:lastModifiedBy>Tian</cp:lastModifiedBy>
  <cp:revision>28</cp:revision>
  <dcterms:created xsi:type="dcterms:W3CDTF">2024-05-23T06:26:00Z</dcterms:created>
  <dcterms:modified xsi:type="dcterms:W3CDTF">2024-06-30T20:15:00Z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http://www.zotero.org/styles/acs-photonics</vt:lpwstr>
  </property>
  <property fmtid="{D5CDD505-2E9C-101B-9397-08002B2CF9AE}" pid="3" name="Mendeley Recent Style Name 0_1">
    <vt:lpwstr>ACS Photonics</vt:lpwstr>
  </property>
  <property fmtid="{D5CDD505-2E9C-101B-9397-08002B2CF9AE}" pid="4" name="Mendeley Recent Style Id 1_1">
    <vt:lpwstr>http://www.zotero.org/styles/advanced-functional-materials</vt:lpwstr>
  </property>
  <property fmtid="{D5CDD505-2E9C-101B-9397-08002B2CF9AE}" pid="5" name="Mendeley Recent Style Name 1_1">
    <vt:lpwstr>Advanced Functional Materials</vt:lpwstr>
  </property>
  <property fmtid="{D5CDD505-2E9C-101B-9397-08002B2CF9AE}" pid="6" name="Mendeley Recent Style Id 2_1">
    <vt:lpwstr>http://www.zotero.org/styles/advanced-materials</vt:lpwstr>
  </property>
  <property fmtid="{D5CDD505-2E9C-101B-9397-08002B2CF9AE}" pid="7" name="Mendeley Recent Style Name 2_1">
    <vt:lpwstr>Advanced Materials</vt:lpwstr>
  </property>
  <property fmtid="{D5CDD505-2E9C-101B-9397-08002B2CF9AE}" pid="8" name="Mendeley Recent Style Id 3_1">
    <vt:lpwstr>http://www.zotero.org/styles/advanced-optical-materials</vt:lpwstr>
  </property>
  <property fmtid="{D5CDD505-2E9C-101B-9397-08002B2CF9AE}" pid="9" name="Mendeley Recent Style Name 3_1">
    <vt:lpwstr>Advanced Optical Materials</vt:lpwstr>
  </property>
  <property fmtid="{D5CDD505-2E9C-101B-9397-08002B2CF9AE}" pid="10" name="Mendeley Recent Style Id 4_1">
    <vt:lpwstr>http://www.zotero.org/styles/chinese-gb7714-2005-numeric</vt:lpwstr>
  </property>
  <property fmtid="{D5CDD505-2E9C-101B-9397-08002B2CF9AE}" pid="11" name="Mendeley Recent Style Name 4_1">
    <vt:lpwstr>China National Standard GB/T 7714-2005 (numeric, 中文)</vt:lpwstr>
  </property>
  <property fmtid="{D5CDD505-2E9C-101B-9397-08002B2CF9AE}" pid="12" name="Mendeley Recent Style Id 5_1">
    <vt:lpwstr>http://csl.mendeley.com/styles/579749551/chinese-gb7714-2005-numeric</vt:lpwstr>
  </property>
  <property fmtid="{D5CDD505-2E9C-101B-9397-08002B2CF9AE}" pid="13" name="Mendeley Recent Style Name 5_1">
    <vt:lpwstr>China National Standard GB/T 7714-2005 (numeric, 中文) - Siqi Hu</vt:lpwstr>
  </property>
  <property fmtid="{D5CDD505-2E9C-101B-9397-08002B2CF9AE}" pid="14" name="Mendeley Recent Style Id 6_1">
    <vt:lpwstr>http://www.zotero.org/styles/journal-of-nanophotonics</vt:lpwstr>
  </property>
  <property fmtid="{D5CDD505-2E9C-101B-9397-08002B2CF9AE}" pid="15" name="Mendeley Recent Style Name 6_1">
    <vt:lpwstr>Journal of Nanophotonics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http://www.zotero.org/styles/optica</vt:lpwstr>
  </property>
  <property fmtid="{D5CDD505-2E9C-101B-9397-08002B2CF9AE}" pid="21" name="Mendeley Recent Style Name 9_1">
    <vt:lpwstr>Optica</vt:lpwstr>
  </property>
  <property fmtid="{D5CDD505-2E9C-101B-9397-08002B2CF9AE}" pid="22" name="Mendeley Document_1">
    <vt:lpwstr>True</vt:lpwstr>
  </property>
  <property fmtid="{D5CDD505-2E9C-101B-9397-08002B2CF9AE}" pid="23" name="Mendeley Unique User Id_1">
    <vt:lpwstr>baa0a5ec-a8ea-36f7-806b-83659d559e81</vt:lpwstr>
  </property>
  <property fmtid="{D5CDD505-2E9C-101B-9397-08002B2CF9AE}" pid="24" name="Mendeley Citation Style_1">
    <vt:lpwstr>http://www.zotero.org/styles/nature-communications</vt:lpwstr>
  </property>
  <property fmtid="{D5CDD505-2E9C-101B-9397-08002B2CF9AE}" pid="25" name="KSOProductBuildVer">
    <vt:lpwstr>2052-6.5.2.8766</vt:lpwstr>
  </property>
  <property fmtid="{D5CDD505-2E9C-101B-9397-08002B2CF9AE}" pid="26" name="ICV">
    <vt:lpwstr>642C92E6A1951034CF994E66AA548F3E_42</vt:lpwstr>
  </property>
</Properties>
</file>