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35F30" w14:textId="5AC60AE1" w:rsidR="00D353FF" w:rsidRPr="00D90B7C" w:rsidRDefault="00D90B7C" w:rsidP="00957FFA">
      <w:pPr>
        <w:spacing w:line="360" w:lineRule="auto"/>
      </w:pPr>
      <w:r w:rsidRPr="00D90B7C">
        <w:t xml:space="preserve">Supplement </w:t>
      </w:r>
      <w:r w:rsidR="00763F98">
        <w:t xml:space="preserve">Material </w:t>
      </w:r>
      <w:r w:rsidR="00B76658">
        <w:t>5</w:t>
      </w:r>
      <w:r w:rsidR="00957FFA" w:rsidRPr="00D90B7C">
        <w:t xml:space="preserve">. </w:t>
      </w:r>
      <w:r w:rsidR="00CA75CF" w:rsidRPr="00D90B7C">
        <w:t>The proteins encoded by seven genes from DEGs and their biological functions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6"/>
        <w:gridCol w:w="4511"/>
        <w:gridCol w:w="7721"/>
      </w:tblGrid>
      <w:tr w:rsidR="00CA75CF" w:rsidRPr="00D90B7C" w14:paraId="5121FBC9" w14:textId="77777777" w:rsidTr="00CA75CF">
        <w:trPr>
          <w:trHeight w:val="278"/>
        </w:trPr>
        <w:tc>
          <w:tcPr>
            <w:tcW w:w="17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CA65BA" w14:textId="209272F4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G</w:t>
            </w:r>
            <w:r w:rsidRPr="00D90B7C">
              <w:rPr>
                <w:rFonts w:hint="eastAsia"/>
                <w:sz w:val="22"/>
              </w:rPr>
              <w:t>ene</w:t>
            </w:r>
          </w:p>
        </w:tc>
        <w:tc>
          <w:tcPr>
            <w:tcW w:w="45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AD97F6" w14:textId="0BDB3F13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Protein</w:t>
            </w:r>
          </w:p>
        </w:tc>
        <w:tc>
          <w:tcPr>
            <w:tcW w:w="77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ABC143" w14:textId="6ACC3DF2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Biological functions</w:t>
            </w:r>
          </w:p>
        </w:tc>
      </w:tr>
      <w:tr w:rsidR="00CA75CF" w:rsidRPr="00D90B7C" w14:paraId="11360354" w14:textId="77777777" w:rsidTr="00CA75CF">
        <w:trPr>
          <w:trHeight w:val="278"/>
        </w:trPr>
        <w:tc>
          <w:tcPr>
            <w:tcW w:w="1726" w:type="dxa"/>
            <w:tcBorders>
              <w:top w:val="single" w:sz="4" w:space="0" w:color="auto"/>
            </w:tcBorders>
            <w:noWrap/>
            <w:hideMark/>
          </w:tcPr>
          <w:p w14:paraId="67EAA7DC" w14:textId="77777777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PCP4</w:t>
            </w:r>
          </w:p>
        </w:tc>
        <w:tc>
          <w:tcPr>
            <w:tcW w:w="4511" w:type="dxa"/>
            <w:tcBorders>
              <w:top w:val="single" w:sz="4" w:space="0" w:color="auto"/>
            </w:tcBorders>
            <w:noWrap/>
            <w:hideMark/>
          </w:tcPr>
          <w:p w14:paraId="3036A2E7" w14:textId="75B240C5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Purkinje cell protein 4</w:t>
            </w:r>
          </w:p>
        </w:tc>
        <w:tc>
          <w:tcPr>
            <w:tcW w:w="7721" w:type="dxa"/>
            <w:tcBorders>
              <w:top w:val="single" w:sz="4" w:space="0" w:color="auto"/>
            </w:tcBorders>
            <w:noWrap/>
            <w:hideMark/>
          </w:tcPr>
          <w:p w14:paraId="3B1434AF" w14:textId="1BE2C678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Calcium ion binding, calmodulin binding, protein binding</w:t>
            </w:r>
          </w:p>
        </w:tc>
      </w:tr>
      <w:tr w:rsidR="00CA75CF" w:rsidRPr="00D90B7C" w14:paraId="79936842" w14:textId="77777777" w:rsidTr="00CA75CF">
        <w:trPr>
          <w:trHeight w:val="278"/>
        </w:trPr>
        <w:tc>
          <w:tcPr>
            <w:tcW w:w="1726" w:type="dxa"/>
            <w:noWrap/>
            <w:hideMark/>
          </w:tcPr>
          <w:p w14:paraId="58AED5B7" w14:textId="77777777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ATP2A3</w:t>
            </w:r>
          </w:p>
        </w:tc>
        <w:tc>
          <w:tcPr>
            <w:tcW w:w="4511" w:type="dxa"/>
            <w:noWrap/>
            <w:hideMark/>
          </w:tcPr>
          <w:p w14:paraId="4649B0E9" w14:textId="04B6D206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ATPase sarcoplasmic/endoplasmic reticulum Ca2+ transporting 3</w:t>
            </w:r>
          </w:p>
        </w:tc>
        <w:tc>
          <w:tcPr>
            <w:tcW w:w="7721" w:type="dxa"/>
            <w:noWrap/>
            <w:hideMark/>
          </w:tcPr>
          <w:p w14:paraId="1414B5E9" w14:textId="489C745F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A</w:t>
            </w:r>
            <w:r w:rsidRPr="00D90B7C">
              <w:rPr>
                <w:sz w:val="22"/>
              </w:rPr>
              <w:t>TP binding, ATPase activity, calcium ion transmembrane transporter activity, calcium-dependent ATPase activity,</w:t>
            </w:r>
          </w:p>
        </w:tc>
      </w:tr>
      <w:tr w:rsidR="00CA75CF" w:rsidRPr="00D90B7C" w14:paraId="2B73AB4B" w14:textId="77777777" w:rsidTr="00CA75CF">
        <w:trPr>
          <w:trHeight w:val="278"/>
        </w:trPr>
        <w:tc>
          <w:tcPr>
            <w:tcW w:w="1726" w:type="dxa"/>
            <w:noWrap/>
            <w:hideMark/>
          </w:tcPr>
          <w:p w14:paraId="387395E0" w14:textId="77777777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CYP11B2</w:t>
            </w:r>
          </w:p>
        </w:tc>
        <w:tc>
          <w:tcPr>
            <w:tcW w:w="4511" w:type="dxa"/>
            <w:noWrap/>
            <w:hideMark/>
          </w:tcPr>
          <w:p w14:paraId="454987F1" w14:textId="7347F74D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cytochrome P450 family 11 subfamily B member 2</w:t>
            </w:r>
          </w:p>
        </w:tc>
        <w:tc>
          <w:tcPr>
            <w:tcW w:w="7721" w:type="dxa"/>
            <w:noWrap/>
            <w:hideMark/>
          </w:tcPr>
          <w:p w14:paraId="30F11306" w14:textId="30EBDC61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Corticosterone 18-monooxygenase activity, heme binding, iron ion binding, steroid 11-beta-monooxygenase activity, steroid hydroxylase activity</w:t>
            </w:r>
          </w:p>
        </w:tc>
      </w:tr>
      <w:tr w:rsidR="00CA75CF" w:rsidRPr="00D90B7C" w14:paraId="6F40264C" w14:textId="77777777" w:rsidTr="00CA75CF">
        <w:trPr>
          <w:trHeight w:val="278"/>
        </w:trPr>
        <w:tc>
          <w:tcPr>
            <w:tcW w:w="1726" w:type="dxa"/>
            <w:noWrap/>
            <w:hideMark/>
          </w:tcPr>
          <w:p w14:paraId="1959F492" w14:textId="77777777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CLCN5</w:t>
            </w:r>
          </w:p>
        </w:tc>
        <w:tc>
          <w:tcPr>
            <w:tcW w:w="4511" w:type="dxa"/>
            <w:noWrap/>
            <w:hideMark/>
          </w:tcPr>
          <w:p w14:paraId="2B084242" w14:textId="79F6FD4E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chloride voltage-gated channel 5</w:t>
            </w:r>
          </w:p>
        </w:tc>
        <w:tc>
          <w:tcPr>
            <w:tcW w:w="7721" w:type="dxa"/>
            <w:noWrap/>
            <w:hideMark/>
          </w:tcPr>
          <w:p w14:paraId="76E2A0CF" w14:textId="7FBCC1AF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A</w:t>
            </w:r>
            <w:r w:rsidRPr="00D90B7C">
              <w:rPr>
                <w:sz w:val="22"/>
              </w:rPr>
              <w:t>TP binding, chloride channel activity</w:t>
            </w:r>
            <w:r w:rsidR="000722F4" w:rsidRPr="00D90B7C">
              <w:rPr>
                <w:sz w:val="22"/>
              </w:rPr>
              <w:t xml:space="preserve"> (when the chloride current of CLC-5 channel </w:t>
            </w:r>
            <w:proofErr w:type="gramStart"/>
            <w:r w:rsidR="000722F4" w:rsidRPr="00D90B7C">
              <w:rPr>
                <w:sz w:val="22"/>
              </w:rPr>
              <w:t>raise</w:t>
            </w:r>
            <w:proofErr w:type="gramEnd"/>
            <w:r w:rsidR="000722F4" w:rsidRPr="00D90B7C">
              <w:rPr>
                <w:sz w:val="22"/>
              </w:rPr>
              <w:t xml:space="preserve"> cause of the upregulated expression of CLCN5, the calcium reabsorption regulated by PTH and calcitonin might increase, which lead to intracellular high calcium)</w:t>
            </w:r>
            <w:r w:rsidRPr="00D90B7C">
              <w:rPr>
                <w:sz w:val="22"/>
              </w:rPr>
              <w:t>, identical protein binding, protein binding, solute: proton antiporter activity, voltage-gated chloride channel activity</w:t>
            </w:r>
          </w:p>
        </w:tc>
      </w:tr>
      <w:tr w:rsidR="00CA75CF" w:rsidRPr="00D90B7C" w14:paraId="78F083CE" w14:textId="77777777" w:rsidTr="00CA75CF">
        <w:trPr>
          <w:trHeight w:val="278"/>
        </w:trPr>
        <w:tc>
          <w:tcPr>
            <w:tcW w:w="1726" w:type="dxa"/>
            <w:noWrap/>
            <w:hideMark/>
          </w:tcPr>
          <w:p w14:paraId="20F7CC61" w14:textId="77777777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HTR4</w:t>
            </w:r>
          </w:p>
        </w:tc>
        <w:tc>
          <w:tcPr>
            <w:tcW w:w="4511" w:type="dxa"/>
            <w:noWrap/>
            <w:hideMark/>
          </w:tcPr>
          <w:p w14:paraId="5D687ACE" w14:textId="0607681E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5-hydroxytryptamine receptor 4</w:t>
            </w:r>
          </w:p>
        </w:tc>
        <w:tc>
          <w:tcPr>
            <w:tcW w:w="7721" w:type="dxa"/>
            <w:noWrap/>
            <w:hideMark/>
          </w:tcPr>
          <w:p w14:paraId="0C3C1B50" w14:textId="14ED292E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G</w:t>
            </w:r>
            <w:r w:rsidRPr="00D90B7C">
              <w:rPr>
                <w:sz w:val="22"/>
              </w:rPr>
              <w:t xml:space="preserve"> protein-coupled serotonin receptor activity</w:t>
            </w:r>
            <w:r w:rsidR="000722F4" w:rsidRPr="00D90B7C">
              <w:rPr>
                <w:sz w:val="22"/>
              </w:rPr>
              <w:t xml:space="preserve"> (serotonin acts on HTR4 could increase aldosterone secretion)</w:t>
            </w:r>
            <w:r w:rsidRPr="00D90B7C">
              <w:rPr>
                <w:sz w:val="22"/>
              </w:rPr>
              <w:t>, neurotransmitter receptor activity, protein binding, serotonin binding</w:t>
            </w:r>
          </w:p>
        </w:tc>
      </w:tr>
      <w:tr w:rsidR="00CA75CF" w:rsidRPr="00D90B7C" w14:paraId="4D8895A2" w14:textId="77777777" w:rsidTr="00CA75CF">
        <w:trPr>
          <w:trHeight w:val="278"/>
        </w:trPr>
        <w:tc>
          <w:tcPr>
            <w:tcW w:w="1726" w:type="dxa"/>
            <w:noWrap/>
            <w:hideMark/>
          </w:tcPr>
          <w:p w14:paraId="40752612" w14:textId="77777777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VDR</w:t>
            </w:r>
          </w:p>
        </w:tc>
        <w:tc>
          <w:tcPr>
            <w:tcW w:w="4511" w:type="dxa"/>
            <w:noWrap/>
            <w:hideMark/>
          </w:tcPr>
          <w:p w14:paraId="694244B9" w14:textId="25347BD1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vitamin D receptor</w:t>
            </w:r>
          </w:p>
        </w:tc>
        <w:tc>
          <w:tcPr>
            <w:tcW w:w="7721" w:type="dxa"/>
            <w:noWrap/>
            <w:hideMark/>
          </w:tcPr>
          <w:p w14:paraId="2E535249" w14:textId="2320E4A5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t>D</w:t>
            </w:r>
            <w:r w:rsidRPr="00D90B7C">
              <w:rPr>
                <w:sz w:val="22"/>
              </w:rPr>
              <w:t>NA binding, calcitriol binding, lithocholic acid binding, nuclear receptor activity, retinoid X receptor binding, contributes to vitamin D response element binding</w:t>
            </w:r>
            <w:r w:rsidR="000722F4" w:rsidRPr="00D90B7C">
              <w:rPr>
                <w:sz w:val="22"/>
              </w:rPr>
              <w:t xml:space="preserve"> </w:t>
            </w:r>
            <w:r w:rsidR="000722F4" w:rsidRPr="00D90B7C">
              <w:rPr>
                <w:sz w:val="22"/>
              </w:rPr>
              <w:lastRenderedPageBreak/>
              <w:t>(a regulator of extracellular Ca2+,</w:t>
            </w:r>
            <w:r w:rsidR="00ED7AFC" w:rsidRPr="00D90B7C">
              <w:rPr>
                <w:sz w:val="22"/>
              </w:rPr>
              <w:t xml:space="preserve"> could</w:t>
            </w:r>
            <w:r w:rsidR="000722F4" w:rsidRPr="00D90B7C">
              <w:rPr>
                <w:sz w:val="22"/>
              </w:rPr>
              <w:t xml:space="preserve"> regulate steroid production including aldosterone)</w:t>
            </w:r>
            <w:r w:rsidRPr="00D90B7C">
              <w:rPr>
                <w:sz w:val="22"/>
              </w:rPr>
              <w:t>, zinc ion binding</w:t>
            </w:r>
          </w:p>
        </w:tc>
      </w:tr>
      <w:tr w:rsidR="00CA75CF" w:rsidRPr="00D90B7C" w14:paraId="73134F95" w14:textId="77777777" w:rsidTr="00CA75CF">
        <w:trPr>
          <w:trHeight w:val="278"/>
        </w:trPr>
        <w:tc>
          <w:tcPr>
            <w:tcW w:w="1726" w:type="dxa"/>
            <w:tcBorders>
              <w:bottom w:val="single" w:sz="4" w:space="0" w:color="auto"/>
            </w:tcBorders>
            <w:noWrap/>
            <w:hideMark/>
          </w:tcPr>
          <w:p w14:paraId="5AE9FD40" w14:textId="77777777" w:rsidR="00CA75CF" w:rsidRPr="00D90B7C" w:rsidRDefault="00CA75CF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rFonts w:hint="eastAsia"/>
                <w:sz w:val="22"/>
              </w:rPr>
              <w:lastRenderedPageBreak/>
              <w:t>AQP2</w:t>
            </w:r>
          </w:p>
        </w:tc>
        <w:tc>
          <w:tcPr>
            <w:tcW w:w="4511" w:type="dxa"/>
            <w:tcBorders>
              <w:bottom w:val="single" w:sz="4" w:space="0" w:color="auto"/>
            </w:tcBorders>
            <w:noWrap/>
            <w:hideMark/>
          </w:tcPr>
          <w:p w14:paraId="5DA554D8" w14:textId="4C729E36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aquaporin 2</w:t>
            </w:r>
          </w:p>
        </w:tc>
        <w:tc>
          <w:tcPr>
            <w:tcW w:w="7721" w:type="dxa"/>
            <w:tcBorders>
              <w:bottom w:val="single" w:sz="4" w:space="0" w:color="auto"/>
            </w:tcBorders>
            <w:noWrap/>
            <w:hideMark/>
          </w:tcPr>
          <w:p w14:paraId="2AB4BF15" w14:textId="25405D60" w:rsidR="00CA75CF" w:rsidRPr="00D90B7C" w:rsidRDefault="006E287A" w:rsidP="00ED1558">
            <w:pPr>
              <w:spacing w:line="360" w:lineRule="auto"/>
              <w:rPr>
                <w:sz w:val="22"/>
              </w:rPr>
            </w:pPr>
            <w:r w:rsidRPr="00D90B7C">
              <w:rPr>
                <w:sz w:val="22"/>
              </w:rPr>
              <w:t>Glycerol transmembrane transporter activity, protein binding, water channel activity</w:t>
            </w:r>
            <w:r w:rsidR="00ED7AFC" w:rsidRPr="00D90B7C">
              <w:rPr>
                <w:sz w:val="22"/>
              </w:rPr>
              <w:t xml:space="preserve"> (calcium sensitive water channel)</w:t>
            </w:r>
            <w:r w:rsidRPr="00D90B7C">
              <w:rPr>
                <w:sz w:val="22"/>
              </w:rPr>
              <w:t>, water transmembrane transport</w:t>
            </w:r>
            <w:r w:rsidR="0049773C" w:rsidRPr="00D90B7C">
              <w:rPr>
                <w:sz w:val="22"/>
              </w:rPr>
              <w:t>er activity</w:t>
            </w:r>
          </w:p>
        </w:tc>
      </w:tr>
    </w:tbl>
    <w:p w14:paraId="1FDF2D21" w14:textId="74EAF343" w:rsidR="00957FFA" w:rsidRPr="00D90B7C" w:rsidRDefault="00957FFA" w:rsidP="00957FFA">
      <w:pPr>
        <w:spacing w:line="360" w:lineRule="auto"/>
      </w:pPr>
    </w:p>
    <w:sectPr w:rsidR="00957FFA" w:rsidRPr="00D90B7C" w:rsidSect="00CA75C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D9ED1" w14:textId="77777777" w:rsidR="00CB6400" w:rsidRDefault="00CB6400" w:rsidP="00957FFA">
      <w:r>
        <w:separator/>
      </w:r>
    </w:p>
  </w:endnote>
  <w:endnote w:type="continuationSeparator" w:id="0">
    <w:p w14:paraId="6967E94F" w14:textId="77777777" w:rsidR="00CB6400" w:rsidRDefault="00CB6400" w:rsidP="00957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A0E4B" w14:textId="77777777" w:rsidR="00CB6400" w:rsidRDefault="00CB6400" w:rsidP="00957FFA">
      <w:r>
        <w:separator/>
      </w:r>
    </w:p>
  </w:footnote>
  <w:footnote w:type="continuationSeparator" w:id="0">
    <w:p w14:paraId="1AC929F0" w14:textId="77777777" w:rsidR="00CB6400" w:rsidRDefault="00CB6400" w:rsidP="00957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611"/>
    <w:rsid w:val="000722F4"/>
    <w:rsid w:val="002C2E5E"/>
    <w:rsid w:val="0049773C"/>
    <w:rsid w:val="004D63CC"/>
    <w:rsid w:val="006E287A"/>
    <w:rsid w:val="00763F98"/>
    <w:rsid w:val="00831893"/>
    <w:rsid w:val="00854566"/>
    <w:rsid w:val="00881956"/>
    <w:rsid w:val="00957FFA"/>
    <w:rsid w:val="00A622E3"/>
    <w:rsid w:val="00B76658"/>
    <w:rsid w:val="00CA75CF"/>
    <w:rsid w:val="00CB6400"/>
    <w:rsid w:val="00D353FF"/>
    <w:rsid w:val="00D74611"/>
    <w:rsid w:val="00D90B7C"/>
    <w:rsid w:val="00E25FE8"/>
    <w:rsid w:val="00ED1558"/>
    <w:rsid w:val="00ED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FBBE6"/>
  <w15:chartTrackingRefBased/>
  <w15:docId w15:val="{8F1FC202-53FC-4EFC-9072-BB715C9F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F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FFA"/>
    <w:rPr>
      <w:sz w:val="18"/>
      <w:szCs w:val="18"/>
    </w:rPr>
  </w:style>
  <w:style w:type="table" w:styleId="a7">
    <w:name w:val="Table Grid"/>
    <w:basedOn w:val="a1"/>
    <w:uiPriority w:val="39"/>
    <w:rsid w:val="00957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1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寅洁</dc:creator>
  <cp:keywords/>
  <dc:description/>
  <cp:lastModifiedBy>高 寅洁</cp:lastModifiedBy>
  <cp:revision>9</cp:revision>
  <dcterms:created xsi:type="dcterms:W3CDTF">2021-03-07T05:20:00Z</dcterms:created>
  <dcterms:modified xsi:type="dcterms:W3CDTF">2021-04-25T02:40:00Z</dcterms:modified>
</cp:coreProperties>
</file>