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BFE3B" w14:textId="1A605CEA" w:rsidR="00155ACB" w:rsidRPr="00452A54" w:rsidRDefault="00452A54">
      <w:pPr>
        <w:rPr>
          <w:b/>
          <w:bCs/>
        </w:rPr>
      </w:pPr>
      <w:r w:rsidRPr="00452A54">
        <w:rPr>
          <w:b/>
          <w:bCs/>
        </w:rPr>
        <w:t xml:space="preserve">Supplementary </w:t>
      </w:r>
      <w:r w:rsidR="007576B6">
        <w:rPr>
          <w:b/>
          <w:bCs/>
        </w:rPr>
        <w:t>file</w:t>
      </w:r>
    </w:p>
    <w:p w14:paraId="5831729A" w14:textId="1B427654" w:rsidR="00452A54" w:rsidRDefault="00452A54" w:rsidP="00452A54">
      <w:pPr>
        <w:spacing w:after="0" w:line="360" w:lineRule="auto"/>
        <w:jc w:val="both"/>
        <w:rPr>
          <w:rFonts w:ascii="Arial" w:hAnsi="Arial" w:cs="Arial"/>
          <w:shd w:val="clear" w:color="auto" w:fill="FFFFFF"/>
        </w:rPr>
      </w:pPr>
      <w:r w:rsidRPr="00EB4B0D">
        <w:rPr>
          <w:rFonts w:ascii="Arial" w:hAnsi="Arial" w:cs="Arial"/>
          <w:b/>
          <w:bCs/>
          <w:shd w:val="clear" w:color="auto" w:fill="FFFFFF"/>
        </w:rPr>
        <w:t xml:space="preserve">Table </w:t>
      </w:r>
      <w:r>
        <w:rPr>
          <w:rFonts w:ascii="Arial" w:hAnsi="Arial" w:cs="Arial"/>
          <w:b/>
          <w:bCs/>
          <w:shd w:val="clear" w:color="auto" w:fill="FFFFFF"/>
        </w:rPr>
        <w:t>S</w:t>
      </w:r>
      <w:r w:rsidRPr="00EB4B0D">
        <w:rPr>
          <w:rFonts w:ascii="Arial" w:hAnsi="Arial" w:cs="Arial"/>
          <w:b/>
          <w:bCs/>
          <w:shd w:val="clear" w:color="auto" w:fill="FFFFFF"/>
        </w:rPr>
        <w:t>1</w:t>
      </w:r>
      <w:r>
        <w:rPr>
          <w:rFonts w:ascii="Arial" w:hAnsi="Arial" w:cs="Arial"/>
          <w:shd w:val="clear" w:color="auto" w:fill="FFFFFF"/>
        </w:rPr>
        <w:t>: The physicochemical properties of CAPB</w:t>
      </w:r>
    </w:p>
    <w:tbl>
      <w:tblPr>
        <w:tblStyle w:val="TableGrid"/>
        <w:tblW w:w="9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6"/>
        <w:gridCol w:w="1612"/>
        <w:gridCol w:w="2664"/>
        <w:gridCol w:w="1860"/>
      </w:tblGrid>
      <w:tr w:rsidR="00452A54" w14:paraId="3E52807F" w14:textId="77777777" w:rsidTr="007409E4">
        <w:tc>
          <w:tcPr>
            <w:tcW w:w="2966" w:type="dxa"/>
            <w:tcBorders>
              <w:top w:val="single" w:sz="4" w:space="0" w:color="auto"/>
              <w:bottom w:val="single" w:sz="4" w:space="0" w:color="auto"/>
            </w:tcBorders>
            <w:shd w:val="clear" w:color="auto" w:fill="D9D9D9" w:themeFill="background1" w:themeFillShade="D9"/>
          </w:tcPr>
          <w:p w14:paraId="7C066831" w14:textId="77777777" w:rsidR="00452A54" w:rsidRPr="00452A54" w:rsidRDefault="00452A54" w:rsidP="007409E4">
            <w:pPr>
              <w:spacing w:line="360" w:lineRule="auto"/>
              <w:jc w:val="center"/>
              <w:rPr>
                <w:rFonts w:ascii="Arial" w:hAnsi="Arial" w:cs="Arial"/>
                <w:b/>
                <w:bCs/>
                <w:sz w:val="24"/>
                <w:szCs w:val="24"/>
                <w:highlight w:val="lightGray"/>
                <w:shd w:val="clear" w:color="auto" w:fill="FFFFFF"/>
              </w:rPr>
            </w:pPr>
            <w:r w:rsidRPr="00452A54">
              <w:rPr>
                <w:rFonts w:ascii="Arial" w:hAnsi="Arial" w:cs="Arial"/>
                <w:b/>
                <w:bCs/>
                <w:sz w:val="24"/>
                <w:szCs w:val="24"/>
                <w:highlight w:val="lightGray"/>
                <w:shd w:val="clear" w:color="auto" w:fill="FFFFFF"/>
              </w:rPr>
              <w:t>Parameter</w:t>
            </w:r>
          </w:p>
        </w:tc>
        <w:tc>
          <w:tcPr>
            <w:tcW w:w="1612" w:type="dxa"/>
            <w:tcBorders>
              <w:top w:val="single" w:sz="4" w:space="0" w:color="auto"/>
              <w:bottom w:val="single" w:sz="4" w:space="0" w:color="auto"/>
            </w:tcBorders>
            <w:shd w:val="clear" w:color="auto" w:fill="D9D9D9" w:themeFill="background1" w:themeFillShade="D9"/>
          </w:tcPr>
          <w:p w14:paraId="1CD80F5F" w14:textId="77777777" w:rsidR="00452A54" w:rsidRPr="00452A54" w:rsidRDefault="00452A54" w:rsidP="007409E4">
            <w:pPr>
              <w:spacing w:line="360" w:lineRule="auto"/>
              <w:jc w:val="center"/>
              <w:rPr>
                <w:rFonts w:ascii="Arial" w:hAnsi="Arial" w:cs="Arial"/>
                <w:b/>
                <w:bCs/>
                <w:sz w:val="24"/>
                <w:szCs w:val="24"/>
                <w:highlight w:val="lightGray"/>
                <w:shd w:val="clear" w:color="auto" w:fill="FFFFFF"/>
              </w:rPr>
            </w:pPr>
            <w:r w:rsidRPr="00452A54">
              <w:rPr>
                <w:rFonts w:ascii="Arial" w:hAnsi="Arial" w:cs="Arial"/>
                <w:b/>
                <w:bCs/>
                <w:sz w:val="24"/>
                <w:szCs w:val="24"/>
                <w:highlight w:val="lightGray"/>
                <w:shd w:val="clear" w:color="auto" w:fill="FFFFFF"/>
              </w:rPr>
              <w:t>UoM</w:t>
            </w:r>
          </w:p>
        </w:tc>
        <w:tc>
          <w:tcPr>
            <w:tcW w:w="2664" w:type="dxa"/>
            <w:tcBorders>
              <w:top w:val="single" w:sz="4" w:space="0" w:color="auto"/>
              <w:bottom w:val="single" w:sz="4" w:space="0" w:color="auto"/>
            </w:tcBorders>
            <w:shd w:val="clear" w:color="auto" w:fill="D9D9D9" w:themeFill="background1" w:themeFillShade="D9"/>
          </w:tcPr>
          <w:p w14:paraId="27D274D2" w14:textId="77777777" w:rsidR="00452A54" w:rsidRPr="00452A54" w:rsidRDefault="00452A54" w:rsidP="007409E4">
            <w:pPr>
              <w:spacing w:line="360" w:lineRule="auto"/>
              <w:jc w:val="center"/>
              <w:rPr>
                <w:rFonts w:ascii="Arial" w:hAnsi="Arial" w:cs="Arial"/>
                <w:b/>
                <w:bCs/>
                <w:sz w:val="24"/>
                <w:szCs w:val="24"/>
                <w:highlight w:val="lightGray"/>
                <w:shd w:val="clear" w:color="auto" w:fill="FFFFFF"/>
              </w:rPr>
            </w:pPr>
            <w:r w:rsidRPr="00452A54">
              <w:rPr>
                <w:rFonts w:ascii="Arial" w:hAnsi="Arial" w:cs="Arial"/>
                <w:b/>
                <w:bCs/>
                <w:sz w:val="24"/>
                <w:szCs w:val="24"/>
                <w:highlight w:val="lightGray"/>
                <w:shd w:val="clear" w:color="auto" w:fill="FFFFFF"/>
              </w:rPr>
              <w:t>Typical specification</w:t>
            </w:r>
          </w:p>
        </w:tc>
        <w:tc>
          <w:tcPr>
            <w:tcW w:w="1860" w:type="dxa"/>
            <w:tcBorders>
              <w:top w:val="single" w:sz="4" w:space="0" w:color="auto"/>
              <w:bottom w:val="single" w:sz="4" w:space="0" w:color="auto"/>
            </w:tcBorders>
            <w:shd w:val="clear" w:color="auto" w:fill="D9D9D9" w:themeFill="background1" w:themeFillShade="D9"/>
          </w:tcPr>
          <w:p w14:paraId="4FD876CD" w14:textId="77777777" w:rsidR="00452A54" w:rsidRPr="00452A54" w:rsidRDefault="00452A54" w:rsidP="007409E4">
            <w:pPr>
              <w:spacing w:line="360" w:lineRule="auto"/>
              <w:jc w:val="center"/>
              <w:rPr>
                <w:rFonts w:ascii="Arial" w:hAnsi="Arial" w:cs="Arial"/>
                <w:b/>
                <w:bCs/>
                <w:sz w:val="24"/>
                <w:szCs w:val="24"/>
                <w:highlight w:val="lightGray"/>
                <w:shd w:val="clear" w:color="auto" w:fill="FFFFFF"/>
              </w:rPr>
            </w:pPr>
            <w:r w:rsidRPr="00452A54">
              <w:rPr>
                <w:rFonts w:ascii="Arial" w:hAnsi="Arial" w:cs="Arial"/>
                <w:b/>
                <w:bCs/>
                <w:sz w:val="24"/>
                <w:szCs w:val="24"/>
                <w:highlight w:val="lightGray"/>
                <w:shd w:val="clear" w:color="auto" w:fill="FFFFFF"/>
              </w:rPr>
              <w:t>Results</w:t>
            </w:r>
          </w:p>
        </w:tc>
      </w:tr>
      <w:tr w:rsidR="00452A54" w14:paraId="45178CC0" w14:textId="77777777" w:rsidTr="007409E4">
        <w:tc>
          <w:tcPr>
            <w:tcW w:w="2966" w:type="dxa"/>
            <w:tcBorders>
              <w:top w:val="single" w:sz="4" w:space="0" w:color="auto"/>
              <w:bottom w:val="single" w:sz="4" w:space="0" w:color="auto"/>
            </w:tcBorders>
            <w:vAlign w:val="center"/>
          </w:tcPr>
          <w:p w14:paraId="7E1862CC"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Appearance @</w:t>
            </w:r>
            <w:r>
              <w:rPr>
                <w:rFonts w:ascii="Arial" w:hAnsi="Arial" w:cs="Arial"/>
                <w:sz w:val="24"/>
                <w:szCs w:val="24"/>
                <w:shd w:val="clear" w:color="auto" w:fill="FFFFFF"/>
              </w:rPr>
              <w:t xml:space="preserve"> </w:t>
            </w:r>
            <w:r w:rsidRPr="00D6435A">
              <w:rPr>
                <w:rFonts w:ascii="Arial" w:hAnsi="Arial" w:cs="Arial"/>
                <w:sz w:val="24"/>
                <w:szCs w:val="24"/>
                <w:shd w:val="clear" w:color="auto" w:fill="FFFFFF"/>
              </w:rPr>
              <w:t xml:space="preserve">25 </w:t>
            </w:r>
            <w:r>
              <w:rPr>
                <w:rFonts w:ascii="Arial" w:hAnsi="Arial" w:cs="Arial"/>
                <w:sz w:val="24"/>
                <w:szCs w:val="24"/>
                <w:shd w:val="clear" w:color="auto" w:fill="FFFFFF"/>
              </w:rPr>
              <w:t>°</w:t>
            </w:r>
            <w:r w:rsidRPr="00D6435A">
              <w:rPr>
                <w:rFonts w:ascii="Arial" w:hAnsi="Arial" w:cs="Arial"/>
                <w:sz w:val="24"/>
                <w:szCs w:val="24"/>
                <w:shd w:val="clear" w:color="auto" w:fill="FFFFFF"/>
              </w:rPr>
              <w:t>C</w:t>
            </w:r>
          </w:p>
        </w:tc>
        <w:tc>
          <w:tcPr>
            <w:tcW w:w="1612" w:type="dxa"/>
            <w:tcBorders>
              <w:top w:val="single" w:sz="4" w:space="0" w:color="auto"/>
              <w:bottom w:val="single" w:sz="4" w:space="0" w:color="auto"/>
            </w:tcBorders>
            <w:vAlign w:val="center"/>
          </w:tcPr>
          <w:p w14:paraId="08932413"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Visual</w:t>
            </w:r>
          </w:p>
        </w:tc>
        <w:tc>
          <w:tcPr>
            <w:tcW w:w="2664" w:type="dxa"/>
            <w:tcBorders>
              <w:top w:val="single" w:sz="4" w:space="0" w:color="auto"/>
              <w:bottom w:val="single" w:sz="4" w:space="0" w:color="auto"/>
            </w:tcBorders>
            <w:vAlign w:val="center"/>
          </w:tcPr>
          <w:p w14:paraId="0FDB990A"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Viscous Liquid</w:t>
            </w:r>
          </w:p>
        </w:tc>
        <w:tc>
          <w:tcPr>
            <w:tcW w:w="1860" w:type="dxa"/>
            <w:tcBorders>
              <w:top w:val="single" w:sz="4" w:space="0" w:color="auto"/>
              <w:bottom w:val="single" w:sz="4" w:space="0" w:color="auto"/>
            </w:tcBorders>
            <w:vAlign w:val="center"/>
          </w:tcPr>
          <w:p w14:paraId="768AC795"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Viscous Liquid</w:t>
            </w:r>
          </w:p>
        </w:tc>
      </w:tr>
      <w:tr w:rsidR="00452A54" w14:paraId="7192E944" w14:textId="77777777" w:rsidTr="007409E4">
        <w:tc>
          <w:tcPr>
            <w:tcW w:w="2966" w:type="dxa"/>
            <w:tcBorders>
              <w:top w:val="single" w:sz="4" w:space="0" w:color="auto"/>
              <w:bottom w:val="single" w:sz="4" w:space="0" w:color="auto"/>
            </w:tcBorders>
            <w:vAlign w:val="center"/>
          </w:tcPr>
          <w:p w14:paraId="337F71B3"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Color (Gardner)</w:t>
            </w:r>
          </w:p>
        </w:tc>
        <w:tc>
          <w:tcPr>
            <w:tcW w:w="1612" w:type="dxa"/>
            <w:tcBorders>
              <w:top w:val="single" w:sz="4" w:space="0" w:color="auto"/>
              <w:bottom w:val="single" w:sz="4" w:space="0" w:color="auto"/>
            </w:tcBorders>
            <w:vAlign w:val="center"/>
          </w:tcPr>
          <w:p w14:paraId="3B39B299"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Visual</w:t>
            </w:r>
          </w:p>
        </w:tc>
        <w:tc>
          <w:tcPr>
            <w:tcW w:w="2664" w:type="dxa"/>
            <w:tcBorders>
              <w:top w:val="single" w:sz="4" w:space="0" w:color="auto"/>
              <w:bottom w:val="single" w:sz="4" w:space="0" w:color="auto"/>
            </w:tcBorders>
            <w:vAlign w:val="center"/>
          </w:tcPr>
          <w:p w14:paraId="2F8577DE"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Clear, colorless to slightly yellow liquid</w:t>
            </w:r>
          </w:p>
        </w:tc>
        <w:tc>
          <w:tcPr>
            <w:tcW w:w="1860" w:type="dxa"/>
            <w:tcBorders>
              <w:top w:val="single" w:sz="4" w:space="0" w:color="auto"/>
              <w:bottom w:val="single" w:sz="4" w:space="0" w:color="auto"/>
            </w:tcBorders>
            <w:vAlign w:val="center"/>
          </w:tcPr>
          <w:p w14:paraId="2E5442C9"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colorless</w:t>
            </w:r>
          </w:p>
        </w:tc>
      </w:tr>
      <w:tr w:rsidR="00452A54" w14:paraId="2DBF870F" w14:textId="77777777" w:rsidTr="007409E4">
        <w:tc>
          <w:tcPr>
            <w:tcW w:w="2966" w:type="dxa"/>
            <w:tcBorders>
              <w:top w:val="single" w:sz="4" w:space="0" w:color="auto"/>
              <w:bottom w:val="single" w:sz="4" w:space="0" w:color="auto"/>
            </w:tcBorders>
            <w:vAlign w:val="center"/>
          </w:tcPr>
          <w:p w14:paraId="2C0BC426"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Solids Content</w:t>
            </w:r>
          </w:p>
        </w:tc>
        <w:tc>
          <w:tcPr>
            <w:tcW w:w="1612" w:type="dxa"/>
            <w:tcBorders>
              <w:top w:val="single" w:sz="4" w:space="0" w:color="auto"/>
              <w:bottom w:val="single" w:sz="4" w:space="0" w:color="auto"/>
            </w:tcBorders>
            <w:vAlign w:val="center"/>
          </w:tcPr>
          <w:p w14:paraId="5A70B5C0"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30F97FAF"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33.0 - 37.0</w:t>
            </w:r>
          </w:p>
        </w:tc>
        <w:tc>
          <w:tcPr>
            <w:tcW w:w="1860" w:type="dxa"/>
            <w:tcBorders>
              <w:top w:val="single" w:sz="4" w:space="0" w:color="auto"/>
              <w:bottom w:val="single" w:sz="4" w:space="0" w:color="auto"/>
            </w:tcBorders>
            <w:vAlign w:val="center"/>
          </w:tcPr>
          <w:p w14:paraId="6EA43CDB"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36.1</w:t>
            </w:r>
          </w:p>
        </w:tc>
      </w:tr>
      <w:tr w:rsidR="00452A54" w14:paraId="7C1D05E1" w14:textId="77777777" w:rsidTr="007409E4">
        <w:tc>
          <w:tcPr>
            <w:tcW w:w="2966" w:type="dxa"/>
            <w:tcBorders>
              <w:top w:val="single" w:sz="4" w:space="0" w:color="auto"/>
              <w:bottom w:val="single" w:sz="4" w:space="0" w:color="auto"/>
            </w:tcBorders>
            <w:vAlign w:val="center"/>
          </w:tcPr>
          <w:p w14:paraId="27AD1AB3"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Active Substance</w:t>
            </w:r>
          </w:p>
        </w:tc>
        <w:tc>
          <w:tcPr>
            <w:tcW w:w="1612" w:type="dxa"/>
            <w:tcBorders>
              <w:top w:val="single" w:sz="4" w:space="0" w:color="auto"/>
              <w:bottom w:val="single" w:sz="4" w:space="0" w:color="auto"/>
            </w:tcBorders>
            <w:vAlign w:val="center"/>
          </w:tcPr>
          <w:p w14:paraId="36E60D1C"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3291BAF9"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28.0 - 32.0</w:t>
            </w:r>
          </w:p>
        </w:tc>
        <w:tc>
          <w:tcPr>
            <w:tcW w:w="1860" w:type="dxa"/>
            <w:tcBorders>
              <w:top w:val="single" w:sz="4" w:space="0" w:color="auto"/>
              <w:bottom w:val="single" w:sz="4" w:space="0" w:color="auto"/>
            </w:tcBorders>
            <w:vAlign w:val="center"/>
          </w:tcPr>
          <w:p w14:paraId="1BBEA718"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31.5</w:t>
            </w:r>
          </w:p>
        </w:tc>
      </w:tr>
      <w:tr w:rsidR="00452A54" w14:paraId="364E8584" w14:textId="77777777" w:rsidTr="007409E4">
        <w:tc>
          <w:tcPr>
            <w:tcW w:w="2966" w:type="dxa"/>
            <w:tcBorders>
              <w:top w:val="single" w:sz="4" w:space="0" w:color="auto"/>
              <w:bottom w:val="single" w:sz="4" w:space="0" w:color="auto"/>
            </w:tcBorders>
            <w:vAlign w:val="center"/>
          </w:tcPr>
          <w:p w14:paraId="0077717E"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Sodium Chloride Content</w:t>
            </w:r>
          </w:p>
        </w:tc>
        <w:tc>
          <w:tcPr>
            <w:tcW w:w="1612" w:type="dxa"/>
            <w:tcBorders>
              <w:top w:val="single" w:sz="4" w:space="0" w:color="auto"/>
              <w:bottom w:val="single" w:sz="4" w:space="0" w:color="auto"/>
            </w:tcBorders>
            <w:vAlign w:val="center"/>
          </w:tcPr>
          <w:p w14:paraId="01499FDB"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00864711"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4.0 - 6.0</w:t>
            </w:r>
          </w:p>
        </w:tc>
        <w:tc>
          <w:tcPr>
            <w:tcW w:w="1860" w:type="dxa"/>
            <w:tcBorders>
              <w:top w:val="single" w:sz="4" w:space="0" w:color="auto"/>
              <w:bottom w:val="single" w:sz="4" w:space="0" w:color="auto"/>
            </w:tcBorders>
            <w:vAlign w:val="center"/>
          </w:tcPr>
          <w:p w14:paraId="3A61001F"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5.6</w:t>
            </w:r>
          </w:p>
        </w:tc>
      </w:tr>
      <w:tr w:rsidR="00452A54" w14:paraId="35907074" w14:textId="77777777" w:rsidTr="007409E4">
        <w:tc>
          <w:tcPr>
            <w:tcW w:w="2966" w:type="dxa"/>
            <w:tcBorders>
              <w:top w:val="single" w:sz="4" w:space="0" w:color="auto"/>
              <w:bottom w:val="single" w:sz="4" w:space="0" w:color="auto"/>
            </w:tcBorders>
            <w:vAlign w:val="center"/>
          </w:tcPr>
          <w:p w14:paraId="7D64EF91"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 xml:space="preserve">pH value (10% Aqueous Solution @25 </w:t>
            </w:r>
            <w:r>
              <w:rPr>
                <w:rFonts w:ascii="Arial" w:hAnsi="Arial" w:cs="Arial"/>
                <w:sz w:val="24"/>
                <w:szCs w:val="24"/>
                <w:shd w:val="clear" w:color="auto" w:fill="FFFFFF"/>
              </w:rPr>
              <w:t>°</w:t>
            </w:r>
            <w:r w:rsidRPr="00D6435A">
              <w:rPr>
                <w:rFonts w:ascii="Arial" w:hAnsi="Arial" w:cs="Arial"/>
                <w:sz w:val="24"/>
                <w:szCs w:val="24"/>
                <w:shd w:val="clear" w:color="auto" w:fill="FFFFFF"/>
              </w:rPr>
              <w:t>C</w:t>
            </w:r>
          </w:p>
        </w:tc>
        <w:tc>
          <w:tcPr>
            <w:tcW w:w="1612" w:type="dxa"/>
            <w:tcBorders>
              <w:top w:val="single" w:sz="4" w:space="0" w:color="auto"/>
              <w:bottom w:val="single" w:sz="4" w:space="0" w:color="auto"/>
            </w:tcBorders>
            <w:vAlign w:val="center"/>
          </w:tcPr>
          <w:p w14:paraId="24478CFB"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67F84409"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4.5 – 5.5</w:t>
            </w:r>
          </w:p>
        </w:tc>
        <w:tc>
          <w:tcPr>
            <w:tcW w:w="1860" w:type="dxa"/>
            <w:tcBorders>
              <w:top w:val="single" w:sz="4" w:space="0" w:color="auto"/>
              <w:bottom w:val="single" w:sz="4" w:space="0" w:color="auto"/>
            </w:tcBorders>
            <w:vAlign w:val="center"/>
          </w:tcPr>
          <w:p w14:paraId="3A56F8B8"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4.9</w:t>
            </w:r>
          </w:p>
        </w:tc>
      </w:tr>
      <w:tr w:rsidR="00452A54" w14:paraId="5967FA76" w14:textId="77777777" w:rsidTr="007409E4">
        <w:tc>
          <w:tcPr>
            <w:tcW w:w="2966" w:type="dxa"/>
            <w:tcBorders>
              <w:top w:val="single" w:sz="4" w:space="0" w:color="auto"/>
              <w:bottom w:val="single" w:sz="4" w:space="0" w:color="auto"/>
            </w:tcBorders>
            <w:vAlign w:val="center"/>
          </w:tcPr>
          <w:p w14:paraId="0136E22B" w14:textId="77777777" w:rsidR="00452A54" w:rsidRDefault="00452A54" w:rsidP="007409E4">
            <w:pPr>
              <w:rPr>
                <w:rFonts w:ascii="Arial" w:hAnsi="Arial" w:cs="Arial"/>
                <w:sz w:val="24"/>
                <w:szCs w:val="24"/>
                <w:shd w:val="clear" w:color="auto" w:fill="FFFFFF"/>
              </w:rPr>
            </w:pPr>
            <w:r w:rsidRPr="00D6435A">
              <w:rPr>
                <w:rFonts w:ascii="Arial" w:hAnsi="Arial" w:cs="Arial"/>
                <w:sz w:val="24"/>
                <w:szCs w:val="24"/>
                <w:shd w:val="clear" w:color="auto" w:fill="FFFFFF"/>
              </w:rPr>
              <w:t>Free Amine</w:t>
            </w:r>
          </w:p>
        </w:tc>
        <w:tc>
          <w:tcPr>
            <w:tcW w:w="1612" w:type="dxa"/>
            <w:tcBorders>
              <w:top w:val="single" w:sz="4" w:space="0" w:color="auto"/>
              <w:bottom w:val="single" w:sz="4" w:space="0" w:color="auto"/>
            </w:tcBorders>
            <w:vAlign w:val="center"/>
          </w:tcPr>
          <w:p w14:paraId="318F3ECC"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5F68F445" w14:textId="77777777" w:rsidR="00452A54" w:rsidRDefault="00452A54" w:rsidP="007409E4">
            <w:pPr>
              <w:jc w:val="center"/>
              <w:rPr>
                <w:rFonts w:ascii="Arial" w:hAnsi="Arial" w:cs="Arial"/>
                <w:sz w:val="24"/>
                <w:szCs w:val="24"/>
                <w:shd w:val="clear" w:color="auto" w:fill="FFFFFF"/>
              </w:rPr>
            </w:pPr>
            <w:r w:rsidRPr="00D6435A">
              <w:rPr>
                <w:rFonts w:ascii="Arial" w:hAnsi="Arial" w:cs="Arial"/>
                <w:sz w:val="24"/>
                <w:szCs w:val="24"/>
                <w:shd w:val="clear" w:color="auto" w:fill="FFFFFF"/>
              </w:rPr>
              <w:t>≤ 0.5</w:t>
            </w:r>
          </w:p>
        </w:tc>
        <w:tc>
          <w:tcPr>
            <w:tcW w:w="1860" w:type="dxa"/>
            <w:tcBorders>
              <w:top w:val="single" w:sz="4" w:space="0" w:color="auto"/>
              <w:bottom w:val="single" w:sz="4" w:space="0" w:color="auto"/>
            </w:tcBorders>
            <w:vAlign w:val="center"/>
          </w:tcPr>
          <w:p w14:paraId="586FF071"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0.15</w:t>
            </w:r>
          </w:p>
        </w:tc>
      </w:tr>
      <w:tr w:rsidR="00452A54" w14:paraId="7CC32CFC" w14:textId="77777777" w:rsidTr="007409E4">
        <w:tc>
          <w:tcPr>
            <w:tcW w:w="2966" w:type="dxa"/>
            <w:tcBorders>
              <w:top w:val="single" w:sz="4" w:space="0" w:color="auto"/>
              <w:bottom w:val="single" w:sz="4" w:space="0" w:color="auto"/>
            </w:tcBorders>
            <w:vAlign w:val="center"/>
          </w:tcPr>
          <w:p w14:paraId="050071CA" w14:textId="77777777" w:rsidR="00452A54" w:rsidRPr="00D6435A" w:rsidRDefault="00452A54" w:rsidP="007409E4">
            <w:pPr>
              <w:rPr>
                <w:rFonts w:ascii="Arial" w:hAnsi="Arial" w:cs="Arial"/>
                <w:sz w:val="24"/>
                <w:szCs w:val="24"/>
                <w:shd w:val="clear" w:color="auto" w:fill="FFFFFF"/>
              </w:rPr>
            </w:pPr>
            <w:r>
              <w:rPr>
                <w:rFonts w:ascii="Arial" w:hAnsi="Arial" w:cs="Arial"/>
                <w:sz w:val="24"/>
                <w:szCs w:val="24"/>
                <w:shd w:val="clear" w:color="auto" w:fill="FFFFFF"/>
              </w:rPr>
              <w:t>Viscosity</w:t>
            </w:r>
          </w:p>
        </w:tc>
        <w:tc>
          <w:tcPr>
            <w:tcW w:w="1612" w:type="dxa"/>
            <w:tcBorders>
              <w:top w:val="single" w:sz="4" w:space="0" w:color="auto"/>
              <w:bottom w:val="single" w:sz="4" w:space="0" w:color="auto"/>
            </w:tcBorders>
            <w:vAlign w:val="center"/>
          </w:tcPr>
          <w:p w14:paraId="7D19FB97"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cps</w:t>
            </w:r>
          </w:p>
        </w:tc>
        <w:tc>
          <w:tcPr>
            <w:tcW w:w="2664" w:type="dxa"/>
            <w:tcBorders>
              <w:top w:val="single" w:sz="4" w:space="0" w:color="auto"/>
              <w:bottom w:val="single" w:sz="4" w:space="0" w:color="auto"/>
            </w:tcBorders>
            <w:vAlign w:val="center"/>
          </w:tcPr>
          <w:p w14:paraId="68D5CC4F" w14:textId="77777777" w:rsidR="00452A54" w:rsidRPr="00D6435A"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300-600</w:t>
            </w:r>
          </w:p>
        </w:tc>
        <w:tc>
          <w:tcPr>
            <w:tcW w:w="1860" w:type="dxa"/>
            <w:tcBorders>
              <w:top w:val="single" w:sz="4" w:space="0" w:color="auto"/>
              <w:bottom w:val="single" w:sz="4" w:space="0" w:color="auto"/>
            </w:tcBorders>
            <w:vAlign w:val="center"/>
          </w:tcPr>
          <w:p w14:paraId="6D0BE7A9"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450</w:t>
            </w:r>
          </w:p>
        </w:tc>
      </w:tr>
      <w:tr w:rsidR="00452A54" w14:paraId="328029D7" w14:textId="77777777" w:rsidTr="007409E4">
        <w:tc>
          <w:tcPr>
            <w:tcW w:w="2966" w:type="dxa"/>
            <w:tcBorders>
              <w:top w:val="single" w:sz="4" w:space="0" w:color="auto"/>
              <w:bottom w:val="single" w:sz="4" w:space="0" w:color="auto"/>
            </w:tcBorders>
            <w:vAlign w:val="center"/>
          </w:tcPr>
          <w:p w14:paraId="66A1C3A5" w14:textId="77777777" w:rsidR="00452A54" w:rsidRDefault="00452A54" w:rsidP="007409E4">
            <w:pPr>
              <w:rPr>
                <w:rFonts w:ascii="Arial" w:hAnsi="Arial" w:cs="Arial"/>
                <w:sz w:val="24"/>
                <w:szCs w:val="24"/>
                <w:shd w:val="clear" w:color="auto" w:fill="FFFFFF"/>
              </w:rPr>
            </w:pPr>
            <w:r>
              <w:rPr>
                <w:rFonts w:ascii="Arial" w:hAnsi="Arial" w:cs="Arial"/>
                <w:sz w:val="24"/>
                <w:szCs w:val="24"/>
                <w:shd w:val="clear" w:color="auto" w:fill="FFFFFF"/>
              </w:rPr>
              <w:t>Water content</w:t>
            </w:r>
          </w:p>
        </w:tc>
        <w:tc>
          <w:tcPr>
            <w:tcW w:w="1612" w:type="dxa"/>
            <w:tcBorders>
              <w:top w:val="single" w:sz="4" w:space="0" w:color="auto"/>
              <w:bottom w:val="single" w:sz="4" w:space="0" w:color="auto"/>
            </w:tcBorders>
            <w:vAlign w:val="center"/>
          </w:tcPr>
          <w:p w14:paraId="66DB73C5"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w:t>
            </w:r>
          </w:p>
        </w:tc>
        <w:tc>
          <w:tcPr>
            <w:tcW w:w="2664" w:type="dxa"/>
            <w:tcBorders>
              <w:top w:val="single" w:sz="4" w:space="0" w:color="auto"/>
              <w:bottom w:val="single" w:sz="4" w:space="0" w:color="auto"/>
            </w:tcBorders>
            <w:vAlign w:val="center"/>
          </w:tcPr>
          <w:p w14:paraId="0BF53CD0"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62-66</w:t>
            </w:r>
          </w:p>
        </w:tc>
        <w:tc>
          <w:tcPr>
            <w:tcW w:w="1860" w:type="dxa"/>
            <w:tcBorders>
              <w:top w:val="single" w:sz="4" w:space="0" w:color="auto"/>
              <w:bottom w:val="single" w:sz="4" w:space="0" w:color="auto"/>
            </w:tcBorders>
            <w:vAlign w:val="center"/>
          </w:tcPr>
          <w:p w14:paraId="5A2AAEC9" w14:textId="77777777" w:rsidR="00452A54" w:rsidRDefault="00452A54" w:rsidP="007409E4">
            <w:pPr>
              <w:jc w:val="center"/>
              <w:rPr>
                <w:rFonts w:ascii="Arial" w:hAnsi="Arial" w:cs="Arial"/>
                <w:sz w:val="24"/>
                <w:szCs w:val="24"/>
                <w:shd w:val="clear" w:color="auto" w:fill="FFFFFF"/>
              </w:rPr>
            </w:pPr>
            <w:r>
              <w:rPr>
                <w:rFonts w:ascii="Arial" w:hAnsi="Arial" w:cs="Arial"/>
                <w:sz w:val="24"/>
                <w:szCs w:val="24"/>
                <w:shd w:val="clear" w:color="auto" w:fill="FFFFFF"/>
              </w:rPr>
              <w:t>63</w:t>
            </w:r>
          </w:p>
        </w:tc>
      </w:tr>
    </w:tbl>
    <w:p w14:paraId="79D1E841" w14:textId="77777777" w:rsidR="00452A54" w:rsidRDefault="00452A54" w:rsidP="00452A54">
      <w:pPr>
        <w:spacing w:after="0" w:line="360" w:lineRule="auto"/>
        <w:jc w:val="both"/>
        <w:rPr>
          <w:rFonts w:ascii="Arial" w:hAnsi="Arial" w:cs="Arial"/>
          <w:shd w:val="clear" w:color="auto" w:fill="FFFFFF"/>
        </w:rPr>
      </w:pPr>
    </w:p>
    <w:p w14:paraId="7CAACF0F" w14:textId="16D5B0B1" w:rsidR="005640C5" w:rsidRPr="005640C5" w:rsidRDefault="005640C5" w:rsidP="005640C5">
      <w:pPr>
        <w:pStyle w:val="ListParagraph"/>
        <w:numPr>
          <w:ilvl w:val="0"/>
          <w:numId w:val="6"/>
        </w:numPr>
        <w:spacing w:after="0" w:line="360" w:lineRule="auto"/>
        <w:ind w:left="426" w:hanging="426"/>
        <w:rPr>
          <w:rFonts w:asciiTheme="minorBidi" w:eastAsia="Calibri" w:hAnsiTheme="minorBidi"/>
          <w:b/>
          <w:bCs/>
        </w:rPr>
      </w:pPr>
      <w:r w:rsidRPr="005640C5">
        <w:rPr>
          <w:rFonts w:asciiTheme="minorBidi" w:eastAsia="Calibri" w:hAnsiTheme="minorBidi"/>
          <w:b/>
          <w:bCs/>
        </w:rPr>
        <w:t xml:space="preserve">Materials and Methods  </w:t>
      </w:r>
    </w:p>
    <w:p w14:paraId="3B89B2A0" w14:textId="2FBD5FD4" w:rsidR="005640C5" w:rsidRPr="005640C5" w:rsidRDefault="005640C5" w:rsidP="005640C5">
      <w:pPr>
        <w:pStyle w:val="ListParagraph"/>
        <w:numPr>
          <w:ilvl w:val="1"/>
          <w:numId w:val="5"/>
        </w:numPr>
        <w:spacing w:after="0" w:line="360" w:lineRule="auto"/>
        <w:ind w:left="426" w:hanging="426"/>
        <w:jc w:val="both"/>
        <w:rPr>
          <w:rFonts w:asciiTheme="minorBidi" w:eastAsia="Calibri" w:hAnsiTheme="minorBidi"/>
          <w:b/>
          <w:bCs/>
        </w:rPr>
      </w:pPr>
      <w:r w:rsidRPr="005640C5">
        <w:rPr>
          <w:rFonts w:asciiTheme="minorBidi" w:eastAsia="Calibri" w:hAnsiTheme="minorBidi"/>
          <w:b/>
          <w:bCs/>
        </w:rPr>
        <w:t>Methods</w:t>
      </w:r>
    </w:p>
    <w:p w14:paraId="046829E0" w14:textId="100810CE" w:rsidR="005640C5" w:rsidRPr="005640C5" w:rsidRDefault="005640C5" w:rsidP="005640C5">
      <w:pPr>
        <w:pStyle w:val="ListParagraph"/>
        <w:numPr>
          <w:ilvl w:val="2"/>
          <w:numId w:val="5"/>
        </w:numPr>
        <w:spacing w:after="0" w:line="360" w:lineRule="auto"/>
        <w:ind w:left="709"/>
        <w:jc w:val="both"/>
        <w:rPr>
          <w:rFonts w:asciiTheme="minorBidi" w:eastAsia="Calibri" w:hAnsiTheme="minorBidi"/>
          <w:b/>
          <w:bCs/>
        </w:rPr>
      </w:pPr>
      <w:r w:rsidRPr="005640C5">
        <w:rPr>
          <w:rFonts w:asciiTheme="minorBidi" w:eastAsia="Calibri" w:hAnsiTheme="minorBidi"/>
          <w:b/>
          <w:bCs/>
        </w:rPr>
        <w:t>Physicochemical properties of CAPB</w:t>
      </w:r>
    </w:p>
    <w:p w14:paraId="5029F052" w14:textId="77777777" w:rsidR="005640C5" w:rsidRDefault="005640C5" w:rsidP="00452A54">
      <w:pPr>
        <w:spacing w:after="0" w:line="360" w:lineRule="auto"/>
        <w:jc w:val="both"/>
        <w:rPr>
          <w:rFonts w:ascii="Arial" w:hAnsi="Arial" w:cs="Arial"/>
          <w:shd w:val="clear" w:color="auto" w:fill="FFFFFF"/>
        </w:rPr>
      </w:pPr>
    </w:p>
    <w:p w14:paraId="21801B73" w14:textId="77777777" w:rsidR="005640C5" w:rsidRDefault="005640C5" w:rsidP="005640C5">
      <w:pPr>
        <w:pStyle w:val="ListParagraph"/>
        <w:numPr>
          <w:ilvl w:val="3"/>
          <w:numId w:val="5"/>
        </w:numPr>
        <w:spacing w:after="0" w:line="360" w:lineRule="auto"/>
        <w:jc w:val="both"/>
        <w:rPr>
          <w:rFonts w:asciiTheme="minorBidi" w:eastAsia="Calibri" w:hAnsiTheme="minorBidi"/>
          <w:b/>
          <w:bCs/>
        </w:rPr>
      </w:pPr>
      <w:r w:rsidRPr="00166177">
        <w:rPr>
          <w:rFonts w:asciiTheme="minorBidi" w:eastAsia="Calibri" w:hAnsiTheme="minorBidi"/>
          <w:b/>
          <w:bCs/>
        </w:rPr>
        <w:t>Determination of pH value</w:t>
      </w:r>
    </w:p>
    <w:p w14:paraId="4AA9C5AC" w14:textId="77777777" w:rsidR="005640C5" w:rsidRDefault="005640C5" w:rsidP="005640C5">
      <w:pPr>
        <w:spacing w:after="0" w:line="360" w:lineRule="auto"/>
        <w:jc w:val="both"/>
        <w:rPr>
          <w:rFonts w:ascii="Arial" w:hAnsi="Arial" w:cs="Arial"/>
          <w:shd w:val="clear" w:color="auto" w:fill="FFFFFF"/>
        </w:rPr>
      </w:pPr>
      <w:r w:rsidRPr="008F52CC">
        <w:rPr>
          <w:rFonts w:ascii="Arial" w:hAnsi="Arial" w:cs="Arial"/>
          <w:shd w:val="clear" w:color="auto" w:fill="FFFFFF"/>
        </w:rPr>
        <w:t xml:space="preserve">According to the standard method (ASTM D1293-12), Place the CAPB sample in a clean glass beaker provided with a stirring bar and pH electrode with integral temperature sensor. Stir during the period of pH measurement at a rate that will prevent splashing out the sample. Insert the electrodes and determine a pH value. </w:t>
      </w:r>
    </w:p>
    <w:p w14:paraId="6E11287B" w14:textId="77777777" w:rsidR="005640C5" w:rsidRDefault="005640C5" w:rsidP="005640C5">
      <w:pPr>
        <w:pStyle w:val="ListParagraph"/>
        <w:numPr>
          <w:ilvl w:val="3"/>
          <w:numId w:val="5"/>
        </w:numPr>
        <w:spacing w:after="0" w:line="360" w:lineRule="auto"/>
        <w:jc w:val="both"/>
        <w:rPr>
          <w:rFonts w:asciiTheme="minorBidi" w:eastAsia="Calibri" w:hAnsiTheme="minorBidi"/>
          <w:b/>
          <w:bCs/>
        </w:rPr>
      </w:pPr>
      <w:r w:rsidRPr="008F52CC">
        <w:rPr>
          <w:rFonts w:asciiTheme="minorBidi" w:eastAsia="Calibri" w:hAnsiTheme="minorBidi"/>
          <w:b/>
          <w:bCs/>
        </w:rPr>
        <w:t xml:space="preserve">Determination of </w:t>
      </w:r>
      <w:r>
        <w:rPr>
          <w:rFonts w:asciiTheme="minorBidi" w:eastAsia="Calibri" w:hAnsiTheme="minorBidi"/>
          <w:b/>
          <w:bCs/>
        </w:rPr>
        <w:t>s</w:t>
      </w:r>
      <w:r w:rsidRPr="008F52CC">
        <w:rPr>
          <w:rFonts w:asciiTheme="minorBidi" w:eastAsia="Calibri" w:hAnsiTheme="minorBidi"/>
          <w:b/>
          <w:bCs/>
        </w:rPr>
        <w:t>olid content</w:t>
      </w:r>
      <w:r>
        <w:rPr>
          <w:rFonts w:asciiTheme="minorBidi" w:eastAsia="Calibri" w:hAnsiTheme="minorBidi"/>
          <w:b/>
          <w:bCs/>
        </w:rPr>
        <w:t xml:space="preserve"> (NVM)</w:t>
      </w:r>
    </w:p>
    <w:p w14:paraId="234ADE16" w14:textId="77777777" w:rsidR="005640C5" w:rsidRPr="00EB4B0D" w:rsidRDefault="005640C5" w:rsidP="005640C5">
      <w:pPr>
        <w:spacing w:after="0" w:line="360" w:lineRule="auto"/>
        <w:jc w:val="both"/>
        <w:rPr>
          <w:rFonts w:ascii="Arial" w:hAnsi="Arial" w:cs="Arial"/>
          <w:shd w:val="clear" w:color="auto" w:fill="FFFFFF"/>
        </w:rPr>
      </w:pPr>
      <w:r w:rsidRPr="008F52CC">
        <w:rPr>
          <w:rFonts w:ascii="Arial" w:hAnsi="Arial" w:cs="Arial"/>
          <w:shd w:val="clear" w:color="auto" w:fill="FFFFFF"/>
        </w:rPr>
        <w:t>Reference to the standard method (AWWA 2540C)</w:t>
      </w:r>
      <w:r>
        <w:rPr>
          <w:rFonts w:ascii="Arial" w:hAnsi="Arial" w:cs="Arial"/>
          <w:shd w:val="clear" w:color="auto" w:fill="FFFFFF"/>
        </w:rPr>
        <w:t xml:space="preserve">, </w:t>
      </w:r>
      <w:r w:rsidRPr="00EB4B0D">
        <w:rPr>
          <w:rFonts w:ascii="Arial" w:hAnsi="Arial" w:cs="Arial"/>
          <w:shd w:val="clear" w:color="auto" w:fill="FFFFFF"/>
        </w:rPr>
        <w:t xml:space="preserve">1.5g~2.0g of the CAPB sample was poured into a weighing bottle that has been dried to constant weight. Rotate the weighing bottle to make the sample evenly spread on the bottom of the bottle. Put weight bottle in an oven at (105 ± 2) </w:t>
      </w:r>
      <w:r w:rsidRPr="00EB4B0D">
        <w:rPr>
          <w:rFonts w:ascii="Cambria Math" w:hAnsi="Cambria Math" w:cs="Cambria Math"/>
          <w:shd w:val="clear" w:color="auto" w:fill="FFFFFF"/>
        </w:rPr>
        <w:t>℃</w:t>
      </w:r>
      <w:r w:rsidRPr="00EB4B0D">
        <w:rPr>
          <w:rFonts w:ascii="Arial" w:hAnsi="Arial" w:cs="Arial"/>
          <w:shd w:val="clear" w:color="auto" w:fill="FFFFFF"/>
        </w:rPr>
        <w:t>, remove the bottle cap and heat it for 3h. Cover, move into the dryer, cool for 30min, and weigh it.</w:t>
      </w:r>
      <w:r>
        <w:rPr>
          <w:rFonts w:ascii="Arial" w:hAnsi="Arial" w:cs="Arial"/>
          <w:shd w:val="clear" w:color="auto" w:fill="FFFFFF"/>
        </w:rPr>
        <w:t xml:space="preserve"> </w:t>
      </w:r>
      <w:r w:rsidRPr="00EB4B0D">
        <w:rPr>
          <w:rFonts w:ascii="Arial" w:hAnsi="Arial" w:cs="Arial"/>
          <w:shd w:val="clear" w:color="auto" w:fill="FFFFFF"/>
        </w:rPr>
        <w:t>The solid content (NVM) is calculated according to the following equation (</w:t>
      </w:r>
      <w:r w:rsidRPr="00EB4B0D">
        <w:rPr>
          <w:rFonts w:ascii="Arial" w:hAnsi="Arial" w:cs="Arial"/>
          <w:b/>
          <w:bCs/>
          <w:shd w:val="clear" w:color="auto" w:fill="FFFFFF"/>
        </w:rPr>
        <w:t>Eq.3</w:t>
      </w:r>
      <w:r w:rsidRPr="00EB4B0D">
        <w:rPr>
          <w:rFonts w:ascii="Arial" w:hAnsi="Arial" w:cs="Arial"/>
          <w:shd w:val="clear" w:color="auto" w:fill="FFFFFF"/>
        </w:rPr>
        <w:t xml:space="preserve">) </w:t>
      </w:r>
    </w:p>
    <w:p w14:paraId="0A36BEF2" w14:textId="77777777" w:rsidR="005640C5" w:rsidRDefault="005640C5" w:rsidP="005640C5">
      <w:pPr>
        <w:spacing w:after="0" w:line="360" w:lineRule="auto"/>
        <w:jc w:val="both"/>
        <w:rPr>
          <w:rFonts w:ascii="Arial" w:hAnsi="Arial" w:cs="Arial"/>
          <w:shd w:val="clear" w:color="auto" w:fill="FFFFFF"/>
        </w:rPr>
      </w:pPr>
      <m:oMathPara>
        <m:oMath>
          <m:r>
            <m:rPr>
              <m:sty m:val="p"/>
            </m:rPr>
            <w:rPr>
              <w:rFonts w:ascii="Cambria Math" w:hAnsi="Cambria Math"/>
            </w:rPr>
            <m:t>NVM=</m:t>
          </m:r>
          <m:f>
            <m:fPr>
              <m:ctrlPr>
                <w:rPr>
                  <w:rFonts w:ascii="Cambria Math" w:hAnsi="Cambria Math"/>
                  <w:iCs/>
                </w:rPr>
              </m:ctrlPr>
            </m:fPr>
            <m:num>
              <m:d>
                <m:dPr>
                  <m:ctrlPr>
                    <w:rPr>
                      <w:rFonts w:ascii="Cambria Math" w:hAnsi="Cambria Math"/>
                      <w:iCs/>
                    </w:rPr>
                  </m:ctrlPr>
                </m:dPr>
                <m:e>
                  <m:r>
                    <m:rPr>
                      <m:sty m:val="p"/>
                    </m:rPr>
                    <w:rPr>
                      <w:rFonts w:ascii="Cambria Math" w:hAnsi="Cambria Math"/>
                    </w:rPr>
                    <m:t>m2-m0</m:t>
                  </m:r>
                </m:e>
              </m:d>
            </m:num>
            <m:den>
              <m:r>
                <m:rPr>
                  <m:sty m:val="p"/>
                </m:rPr>
                <w:rPr>
                  <w:rFonts w:ascii="Cambria Math" w:hAnsi="Cambria Math"/>
                </w:rPr>
                <m:t>(m1)</m:t>
              </m:r>
            </m:den>
          </m:f>
          <m:r>
            <w:rPr>
              <w:rFonts w:ascii="Cambria Math" w:hAnsi="Cambria Math"/>
            </w:rPr>
            <m:t xml:space="preserve"> </m:t>
          </m:r>
          <m:r>
            <m:rPr>
              <m:sty m:val="p"/>
            </m:rPr>
            <w:rPr>
              <w:rFonts w:ascii="Cambria Math" w:hAnsi="Cambria Math"/>
            </w:rPr>
            <m:t xml:space="preserve">×100                                               </m:t>
          </m:r>
          <m:r>
            <m:rPr>
              <m:sty m:val="b"/>
            </m:rPr>
            <w:rPr>
              <w:rFonts w:ascii="Cambria Math" w:hAnsi="Cambria Math"/>
            </w:rPr>
            <m:t>Eq.3</m:t>
          </m:r>
        </m:oMath>
      </m:oMathPara>
    </w:p>
    <w:p w14:paraId="7148124B" w14:textId="77777777" w:rsidR="005640C5" w:rsidRPr="00EB4B0D" w:rsidRDefault="005640C5" w:rsidP="005640C5">
      <w:pPr>
        <w:spacing w:after="0" w:line="360" w:lineRule="auto"/>
        <w:jc w:val="both"/>
        <w:rPr>
          <w:rFonts w:ascii="Arial" w:hAnsi="Arial" w:cs="Arial"/>
          <w:shd w:val="clear" w:color="auto" w:fill="FFFFFF"/>
        </w:rPr>
      </w:pPr>
      <w:r>
        <w:rPr>
          <w:rFonts w:ascii="Arial" w:hAnsi="Arial" w:cs="Arial"/>
          <w:shd w:val="clear" w:color="auto" w:fill="FFFFFF"/>
        </w:rPr>
        <w:t xml:space="preserve">Where, </w:t>
      </w:r>
      <w:r w:rsidRPr="00EB4B0D">
        <w:rPr>
          <w:rFonts w:ascii="Arial" w:hAnsi="Arial" w:cs="Arial"/>
          <w:shd w:val="clear" w:color="auto" w:fill="FFFFFF"/>
        </w:rPr>
        <w:t>m0: mass of empty weighing bottle, g, m1: mass of sample, g, and m2: mass of the empty weighing bottle sample after drying, g.</w:t>
      </w:r>
    </w:p>
    <w:p w14:paraId="74F2B2EA" w14:textId="77777777" w:rsidR="005640C5" w:rsidRPr="008F52CC" w:rsidRDefault="005640C5" w:rsidP="005640C5">
      <w:pPr>
        <w:pStyle w:val="ListParagraph"/>
        <w:numPr>
          <w:ilvl w:val="3"/>
          <w:numId w:val="5"/>
        </w:numPr>
        <w:spacing w:after="0" w:line="360" w:lineRule="auto"/>
        <w:jc w:val="both"/>
        <w:rPr>
          <w:rFonts w:asciiTheme="minorBidi" w:eastAsia="Calibri" w:hAnsiTheme="minorBidi"/>
          <w:b/>
          <w:bCs/>
        </w:rPr>
      </w:pPr>
      <w:r w:rsidRPr="008F52CC">
        <w:rPr>
          <w:rFonts w:asciiTheme="minorBidi" w:eastAsia="Calibri" w:hAnsiTheme="minorBidi"/>
          <w:b/>
          <w:bCs/>
        </w:rPr>
        <w:t>Determination of sodium chloride content</w:t>
      </w:r>
      <w:r>
        <w:rPr>
          <w:rFonts w:asciiTheme="minorBidi" w:eastAsia="Calibri" w:hAnsiTheme="minorBidi"/>
          <w:b/>
          <w:bCs/>
        </w:rPr>
        <w:t xml:space="preserve"> (SC)</w:t>
      </w:r>
    </w:p>
    <w:p w14:paraId="1DC6BBF6" w14:textId="77777777" w:rsidR="005640C5" w:rsidRPr="00CC69FE" w:rsidRDefault="005640C5" w:rsidP="005640C5">
      <w:pPr>
        <w:spacing w:after="0" w:line="360" w:lineRule="auto"/>
        <w:jc w:val="both"/>
        <w:rPr>
          <w:rFonts w:ascii="Arial" w:hAnsi="Arial" w:cs="Arial"/>
          <w:shd w:val="clear" w:color="auto" w:fill="FFFFFF"/>
        </w:rPr>
      </w:pPr>
      <w:r w:rsidRPr="008F52CC">
        <w:rPr>
          <w:rFonts w:ascii="Arial" w:hAnsi="Arial" w:cs="Arial"/>
          <w:shd w:val="clear" w:color="auto" w:fill="FFFFFF"/>
        </w:rPr>
        <w:lastRenderedPageBreak/>
        <w:t>Regarding the standard method ISO 1269</w:t>
      </w:r>
      <w:r>
        <w:rPr>
          <w:rFonts w:ascii="Arial" w:hAnsi="Arial" w:cs="Arial"/>
          <w:shd w:val="clear" w:color="auto" w:fill="FFFFFF"/>
        </w:rPr>
        <w:t>,</w:t>
      </w:r>
      <w:r w:rsidRPr="008F52CC">
        <w:rPr>
          <w:rFonts w:ascii="Arial" w:hAnsi="Arial" w:cs="Arial"/>
          <w:shd w:val="clear" w:color="auto" w:fill="FFFFFF"/>
        </w:rPr>
        <w:t xml:space="preserve"> </w:t>
      </w:r>
      <w:r w:rsidRPr="00CC69FE">
        <w:rPr>
          <w:rFonts w:ascii="Arial" w:hAnsi="Arial" w:cs="Arial"/>
          <w:shd w:val="clear" w:color="auto" w:fill="FFFFFF"/>
        </w:rPr>
        <w:t xml:space="preserve">Into </w:t>
      </w:r>
      <w:r>
        <w:rPr>
          <w:rFonts w:ascii="Arial" w:hAnsi="Arial" w:cs="Arial"/>
          <w:shd w:val="clear" w:color="auto" w:fill="FFFFFF"/>
        </w:rPr>
        <w:t xml:space="preserve">100mL conical flask, </w:t>
      </w:r>
      <w:r w:rsidRPr="00CC69FE">
        <w:rPr>
          <w:rFonts w:ascii="Arial" w:hAnsi="Arial" w:cs="Arial"/>
          <w:shd w:val="clear" w:color="auto" w:fill="FFFFFF"/>
        </w:rPr>
        <w:t xml:space="preserve">1mL of potassium chromate solution was added </w:t>
      </w:r>
      <w:r>
        <w:rPr>
          <w:rFonts w:ascii="Arial" w:hAnsi="Arial" w:cs="Arial"/>
          <w:shd w:val="clear" w:color="auto" w:fill="FFFFFF"/>
        </w:rPr>
        <w:t xml:space="preserve">to </w:t>
      </w:r>
      <w:r w:rsidRPr="00CC69FE">
        <w:rPr>
          <w:rFonts w:ascii="Arial" w:hAnsi="Arial" w:cs="Arial"/>
          <w:shd w:val="clear" w:color="auto" w:fill="FFFFFF"/>
        </w:rPr>
        <w:t xml:space="preserve">~1g of the </w:t>
      </w:r>
      <w:r>
        <w:rPr>
          <w:rFonts w:ascii="Arial" w:hAnsi="Arial" w:cs="Arial"/>
          <w:shd w:val="clear" w:color="auto" w:fill="FFFFFF"/>
        </w:rPr>
        <w:t>CAPB</w:t>
      </w:r>
      <w:r w:rsidRPr="00CC69FE">
        <w:rPr>
          <w:rFonts w:ascii="Arial" w:hAnsi="Arial" w:cs="Arial"/>
          <w:shd w:val="clear" w:color="auto" w:fill="FFFFFF"/>
        </w:rPr>
        <w:t xml:space="preserve"> dissolved in 50mL of distilled water. The addressed solution was titrated with 0.1mol/L silver nitrate standard titration solution until the solution is stable orange red as the end point. Record the volume of silver nitrate standard titration solution consumed.</w:t>
      </w:r>
      <w:r>
        <w:rPr>
          <w:rFonts w:ascii="Arial" w:hAnsi="Arial" w:cs="Arial"/>
          <w:shd w:val="clear" w:color="auto" w:fill="FFFFFF"/>
        </w:rPr>
        <w:t xml:space="preserve"> </w:t>
      </w:r>
      <w:r w:rsidRPr="001C7FBE">
        <w:rPr>
          <w:rFonts w:ascii="Arial" w:hAnsi="Arial" w:cs="Arial"/>
          <w:shd w:val="clear" w:color="auto" w:fill="FFFFFF"/>
        </w:rPr>
        <w:t xml:space="preserve">The content of sodium chloride </w:t>
      </w:r>
      <w:r>
        <w:rPr>
          <w:rFonts w:ascii="Arial" w:hAnsi="Arial" w:cs="Arial"/>
          <w:shd w:val="clear" w:color="auto" w:fill="FFFFFF"/>
        </w:rPr>
        <w:t>(SC)</w:t>
      </w:r>
      <w:r w:rsidRPr="001C7FBE">
        <w:rPr>
          <w:rFonts w:ascii="Arial" w:hAnsi="Arial" w:cs="Arial"/>
          <w:shd w:val="clear" w:color="auto" w:fill="FFFFFF"/>
        </w:rPr>
        <w:t>is calculated as follows (</w:t>
      </w:r>
      <w:r w:rsidRPr="001C7FBE">
        <w:rPr>
          <w:rFonts w:ascii="Arial" w:hAnsi="Arial" w:cs="Arial"/>
          <w:b/>
          <w:bCs/>
          <w:shd w:val="clear" w:color="auto" w:fill="FFFFFF"/>
        </w:rPr>
        <w:t xml:space="preserve">Eq. </w:t>
      </w:r>
      <w:r>
        <w:rPr>
          <w:rFonts w:ascii="Arial" w:hAnsi="Arial" w:cs="Arial"/>
          <w:b/>
          <w:bCs/>
          <w:shd w:val="clear" w:color="auto" w:fill="FFFFFF"/>
        </w:rPr>
        <w:t>2</w:t>
      </w:r>
      <w:r w:rsidRPr="001C7FBE">
        <w:rPr>
          <w:rFonts w:ascii="Arial" w:hAnsi="Arial" w:cs="Arial"/>
          <w:shd w:val="clear" w:color="auto" w:fill="FFFFFF"/>
        </w:rPr>
        <w:t>)</w:t>
      </w:r>
    </w:p>
    <w:p w14:paraId="6C259711" w14:textId="77777777" w:rsidR="005640C5" w:rsidRPr="001C7FBE" w:rsidRDefault="005640C5" w:rsidP="005640C5">
      <w:pPr>
        <w:spacing w:after="0" w:line="360" w:lineRule="auto"/>
        <w:jc w:val="both"/>
        <w:rPr>
          <w:rFonts w:ascii="Arial" w:hAnsi="Arial" w:cs="Arial"/>
          <w:shd w:val="clear" w:color="auto" w:fill="FFFFFF"/>
        </w:rPr>
      </w:pPr>
      <m:oMathPara>
        <m:oMathParaPr>
          <m:jc m:val="center"/>
        </m:oMathParaPr>
        <m:oMath>
          <m:r>
            <m:rPr>
              <m:sty m:val="p"/>
            </m:rPr>
            <w:rPr>
              <w:rFonts w:ascii="Cambria Math" w:hAnsi="Cambria Math"/>
            </w:rPr>
            <m:t>SC=</m:t>
          </m:r>
          <m:f>
            <m:fPr>
              <m:ctrlPr>
                <w:rPr>
                  <w:rFonts w:ascii="Cambria Math" w:hAnsi="Cambria Math"/>
                  <w:iCs/>
                </w:rPr>
              </m:ctrlPr>
            </m:fPr>
            <m:num>
              <m:d>
                <m:dPr>
                  <m:ctrlPr>
                    <w:rPr>
                      <w:rFonts w:ascii="Cambria Math" w:hAnsi="Cambria Math"/>
                      <w:iCs/>
                    </w:rPr>
                  </m:ctrlPr>
                </m:dPr>
                <m:e>
                  <m:r>
                    <m:rPr>
                      <m:sty m:val="p"/>
                    </m:rPr>
                    <w:rPr>
                      <w:rFonts w:ascii="Cambria Math" w:hAnsi="Cambria Math"/>
                    </w:rPr>
                    <m:t>V2×C2×58.44</m:t>
                  </m:r>
                </m:e>
              </m:d>
            </m:num>
            <m:den>
              <m:r>
                <m:rPr>
                  <m:sty m:val="p"/>
                </m:rPr>
                <w:rPr>
                  <w:rFonts w:ascii="Cambria Math" w:hAnsi="Cambria Math"/>
                </w:rPr>
                <m:t>(M2)</m:t>
              </m:r>
            </m:den>
          </m:f>
          <m:r>
            <w:rPr>
              <w:rFonts w:ascii="Cambria Math" w:hAnsi="Cambria Math"/>
            </w:rPr>
            <m:t xml:space="preserve"> </m:t>
          </m:r>
          <m:r>
            <m:rPr>
              <m:sty m:val="p"/>
            </m:rPr>
            <w:rPr>
              <w:rFonts w:ascii="Cambria Math" w:hAnsi="Cambria Math"/>
            </w:rPr>
            <m:t xml:space="preserve">×100                                          </m:t>
          </m:r>
          <m:r>
            <m:rPr>
              <m:sty m:val="b"/>
            </m:rPr>
            <w:rPr>
              <w:rFonts w:ascii="Cambria Math" w:hAnsi="Cambria Math"/>
            </w:rPr>
            <m:t>Eq.2</m:t>
          </m:r>
        </m:oMath>
      </m:oMathPara>
    </w:p>
    <w:p w14:paraId="79216B0C" w14:textId="77777777" w:rsidR="005640C5" w:rsidRPr="001C7FBE" w:rsidRDefault="005640C5" w:rsidP="005640C5">
      <w:pPr>
        <w:spacing w:after="0" w:line="360" w:lineRule="auto"/>
        <w:jc w:val="both"/>
        <w:rPr>
          <w:rFonts w:ascii="Arial" w:hAnsi="Arial" w:cs="Arial"/>
          <w:shd w:val="clear" w:color="auto" w:fill="FFFFFF"/>
        </w:rPr>
      </w:pPr>
      <w:r>
        <w:rPr>
          <w:rFonts w:ascii="Arial" w:hAnsi="Arial" w:cs="Arial"/>
          <w:shd w:val="clear" w:color="auto" w:fill="FFFFFF"/>
        </w:rPr>
        <w:t>Where, V</w:t>
      </w:r>
      <w:r w:rsidRPr="001C7FBE">
        <w:rPr>
          <w:rFonts w:ascii="Arial" w:hAnsi="Arial" w:cs="Arial"/>
          <w:shd w:val="clear" w:color="auto" w:fill="FFFFFF"/>
        </w:rPr>
        <w:t>2 is the volume of silver nitrate standard titration solution consumed for titration, mL,</w:t>
      </w:r>
      <w:r>
        <w:rPr>
          <w:rFonts w:ascii="Arial" w:hAnsi="Arial" w:cs="Arial"/>
          <w:shd w:val="clear" w:color="auto" w:fill="FFFFFF"/>
        </w:rPr>
        <w:t xml:space="preserve"> </w:t>
      </w:r>
      <w:r w:rsidRPr="001C7FBE">
        <w:rPr>
          <w:rFonts w:ascii="Arial" w:hAnsi="Arial" w:cs="Arial"/>
          <w:shd w:val="clear" w:color="auto" w:fill="FFFFFF"/>
        </w:rPr>
        <w:t xml:space="preserve">C2 is the molar concentration of silver nitrate standard titration solution, mol/L, 58.44: molar mass of sodium chloride, g/mol, and </w:t>
      </w:r>
      <w:r>
        <w:rPr>
          <w:rFonts w:ascii="Arial" w:hAnsi="Arial" w:cs="Arial"/>
          <w:shd w:val="clear" w:color="auto" w:fill="FFFFFF"/>
        </w:rPr>
        <w:t>M</w:t>
      </w:r>
      <w:r w:rsidRPr="001C7FBE">
        <w:rPr>
          <w:rFonts w:ascii="Arial" w:hAnsi="Arial" w:cs="Arial"/>
          <w:shd w:val="clear" w:color="auto" w:fill="FFFFFF"/>
        </w:rPr>
        <w:t>2: Sample mass, g</w:t>
      </w:r>
      <w:r>
        <w:rPr>
          <w:rFonts w:ascii="Arial" w:hAnsi="Arial" w:cs="Arial"/>
          <w:shd w:val="clear" w:color="auto" w:fill="FFFFFF"/>
        </w:rPr>
        <w:t>.</w:t>
      </w:r>
    </w:p>
    <w:p w14:paraId="12149F94" w14:textId="77777777" w:rsidR="005640C5" w:rsidRPr="008F52CC" w:rsidRDefault="005640C5" w:rsidP="005640C5">
      <w:pPr>
        <w:pStyle w:val="ListParagraph"/>
        <w:numPr>
          <w:ilvl w:val="3"/>
          <w:numId w:val="5"/>
        </w:numPr>
        <w:spacing w:after="0" w:line="360" w:lineRule="auto"/>
        <w:jc w:val="both"/>
        <w:rPr>
          <w:rFonts w:asciiTheme="minorBidi" w:eastAsia="Calibri" w:hAnsiTheme="minorBidi"/>
          <w:b/>
          <w:bCs/>
        </w:rPr>
      </w:pPr>
      <w:r w:rsidRPr="008F52CC">
        <w:rPr>
          <w:rFonts w:asciiTheme="minorBidi" w:eastAsia="Calibri" w:hAnsiTheme="minorBidi"/>
          <w:b/>
          <w:bCs/>
        </w:rPr>
        <w:t xml:space="preserve">Determination of free </w:t>
      </w:r>
      <w:r>
        <w:rPr>
          <w:rFonts w:asciiTheme="minorBidi" w:eastAsia="Calibri" w:hAnsiTheme="minorBidi"/>
          <w:b/>
          <w:bCs/>
        </w:rPr>
        <w:t>amido</w:t>
      </w:r>
      <w:r w:rsidRPr="008F52CC">
        <w:rPr>
          <w:rFonts w:asciiTheme="minorBidi" w:eastAsia="Calibri" w:hAnsiTheme="minorBidi"/>
          <w:b/>
          <w:bCs/>
        </w:rPr>
        <w:t>amine</w:t>
      </w:r>
      <w:r>
        <w:rPr>
          <w:rFonts w:asciiTheme="minorBidi" w:eastAsia="Calibri" w:hAnsiTheme="minorBidi"/>
          <w:b/>
          <w:bCs/>
        </w:rPr>
        <w:t xml:space="preserve"> (AV)</w:t>
      </w:r>
    </w:p>
    <w:p w14:paraId="3C3A99C1" w14:textId="77777777" w:rsidR="005640C5" w:rsidRDefault="005640C5" w:rsidP="005640C5">
      <w:pPr>
        <w:spacing w:after="0" w:line="360" w:lineRule="auto"/>
        <w:jc w:val="both"/>
        <w:rPr>
          <w:rFonts w:ascii="Arial" w:hAnsi="Arial" w:cs="Arial"/>
          <w:shd w:val="clear" w:color="auto" w:fill="FFFFFF"/>
        </w:rPr>
      </w:pPr>
      <w:r w:rsidRPr="008F52CC">
        <w:rPr>
          <w:rFonts w:ascii="Arial" w:hAnsi="Arial" w:cs="Arial"/>
          <w:shd w:val="clear" w:color="auto" w:fill="FFFFFF"/>
        </w:rPr>
        <w:t>According to the standard method EN 13435:2002</w:t>
      </w:r>
      <w:r>
        <w:rPr>
          <w:rFonts w:ascii="Arial" w:hAnsi="Arial" w:cs="Arial"/>
          <w:shd w:val="clear" w:color="auto" w:fill="FFFFFF"/>
        </w:rPr>
        <w:t xml:space="preserve">, </w:t>
      </w:r>
      <w:r w:rsidRPr="008F52CC">
        <w:rPr>
          <w:rFonts w:ascii="Arial" w:hAnsi="Arial" w:cs="Arial"/>
          <w:shd w:val="clear" w:color="auto" w:fill="FFFFFF"/>
        </w:rPr>
        <w:t>In a 250 ml conical flask, add an appropriate amount of 1-5 g CAPB sample. Afterwords, 50 ml absolute ethanol was added, boil it for 1 minute for removing free ammonia, cool it to room temperature. Add 5 drops of bromophenol blue indicator. The solution was titrated with 0.5mol/L isopropanol hydrochloride solution to the end poin</w:t>
      </w:r>
      <w:r>
        <w:rPr>
          <w:rFonts w:ascii="Arial" w:hAnsi="Arial" w:cs="Arial"/>
          <w:shd w:val="clear" w:color="auto" w:fill="FFFFFF"/>
        </w:rPr>
        <w:t>t</w:t>
      </w:r>
      <w:r w:rsidRPr="008F52CC">
        <w:rPr>
          <w:rFonts w:ascii="Arial" w:hAnsi="Arial" w:cs="Arial"/>
          <w:shd w:val="clear" w:color="auto" w:fill="FFFFFF"/>
        </w:rPr>
        <w:t xml:space="preserve"> (yellow </w:t>
      </w:r>
      <w:proofErr w:type="spellStart"/>
      <w:r w:rsidRPr="008F52CC">
        <w:rPr>
          <w:rFonts w:ascii="Arial" w:hAnsi="Arial" w:cs="Arial"/>
          <w:shd w:val="clear" w:color="auto" w:fill="FFFFFF"/>
        </w:rPr>
        <w:t>color</w:t>
      </w:r>
      <w:proofErr w:type="spellEnd"/>
      <w:r w:rsidRPr="008F52CC">
        <w:rPr>
          <w:rFonts w:ascii="Arial" w:hAnsi="Arial" w:cs="Arial"/>
          <w:shd w:val="clear" w:color="auto" w:fill="FFFFFF"/>
        </w:rPr>
        <w:t xml:space="preserve">). </w:t>
      </w:r>
      <w:r>
        <w:rPr>
          <w:rFonts w:ascii="Arial" w:hAnsi="Arial" w:cs="Arial"/>
          <w:shd w:val="clear" w:color="auto" w:fill="FFFFFF"/>
        </w:rPr>
        <w:t>The t</w:t>
      </w:r>
      <w:r w:rsidRPr="008F52CC">
        <w:rPr>
          <w:rFonts w:ascii="Arial" w:hAnsi="Arial" w:cs="Arial"/>
          <w:shd w:val="clear" w:color="auto" w:fill="FFFFFF"/>
        </w:rPr>
        <w:t>otal amine value (</w:t>
      </w:r>
      <w:proofErr w:type="spellStart"/>
      <w:r w:rsidRPr="008F52CC">
        <w:rPr>
          <w:rFonts w:ascii="Arial" w:hAnsi="Arial" w:cs="Arial"/>
          <w:shd w:val="clear" w:color="auto" w:fill="FFFFFF"/>
        </w:rPr>
        <w:t>KOHmg</w:t>
      </w:r>
      <w:proofErr w:type="spellEnd"/>
      <w:r>
        <w:rPr>
          <w:rFonts w:ascii="Arial" w:hAnsi="Arial" w:cs="Arial"/>
          <w:shd w:val="clear" w:color="auto" w:fill="FFFFFF"/>
        </w:rPr>
        <w:t xml:space="preserve"> equivalent</w:t>
      </w:r>
      <w:r w:rsidRPr="008F52CC">
        <w:rPr>
          <w:rFonts w:ascii="Arial" w:hAnsi="Arial" w:cs="Arial"/>
          <w:shd w:val="clear" w:color="auto" w:fill="FFFFFF"/>
        </w:rPr>
        <w:t xml:space="preserve">/g) is calculated as </w:t>
      </w:r>
      <w:r>
        <w:rPr>
          <w:rFonts w:ascii="Arial" w:hAnsi="Arial" w:cs="Arial"/>
          <w:shd w:val="clear" w:color="auto" w:fill="FFFFFF"/>
        </w:rPr>
        <w:t>according to the following equation</w:t>
      </w:r>
      <w:r w:rsidRPr="008F52CC">
        <w:rPr>
          <w:rFonts w:ascii="Arial" w:hAnsi="Arial" w:cs="Arial"/>
          <w:shd w:val="clear" w:color="auto" w:fill="FFFFFF"/>
        </w:rPr>
        <w:t xml:space="preserve"> formula (</w:t>
      </w:r>
      <w:r w:rsidRPr="008F52CC">
        <w:rPr>
          <w:rFonts w:ascii="Arial" w:hAnsi="Arial" w:cs="Arial"/>
          <w:b/>
          <w:bCs/>
          <w:shd w:val="clear" w:color="auto" w:fill="FFFFFF"/>
        </w:rPr>
        <w:t xml:space="preserve">Eq. </w:t>
      </w:r>
      <w:r>
        <w:rPr>
          <w:rFonts w:ascii="Arial" w:hAnsi="Arial" w:cs="Arial"/>
          <w:b/>
          <w:bCs/>
          <w:shd w:val="clear" w:color="auto" w:fill="FFFFFF"/>
        </w:rPr>
        <w:t>3</w:t>
      </w:r>
      <w:r w:rsidRPr="008F52CC">
        <w:rPr>
          <w:rFonts w:ascii="Arial" w:hAnsi="Arial" w:cs="Arial"/>
          <w:shd w:val="clear" w:color="auto" w:fill="FFFFFF"/>
        </w:rPr>
        <w:t>):</w:t>
      </w:r>
    </w:p>
    <w:p w14:paraId="2F29424D" w14:textId="77777777" w:rsidR="005640C5" w:rsidRPr="004D7F5D" w:rsidRDefault="005640C5" w:rsidP="005640C5">
      <w:pPr>
        <w:spacing w:after="0" w:line="360" w:lineRule="auto"/>
        <w:jc w:val="center"/>
        <w:rPr>
          <w:rFonts w:ascii="Arial" w:hAnsi="Arial" w:cs="Arial"/>
          <w:b/>
          <w:bCs/>
        </w:rPr>
      </w:pPr>
      <m:oMathPara>
        <m:oMathParaPr>
          <m:jc m:val="center"/>
        </m:oMathParaPr>
        <m:oMath>
          <m:r>
            <m:rPr>
              <m:sty m:val="p"/>
            </m:rPr>
            <w:rPr>
              <w:rFonts w:ascii="Cambria Math" w:hAnsi="Cambria Math"/>
            </w:rPr>
            <m:t>X=</m:t>
          </m:r>
          <m:f>
            <m:fPr>
              <m:ctrlPr>
                <w:rPr>
                  <w:rFonts w:ascii="Cambria Math" w:hAnsi="Cambria Math"/>
                  <w:iCs/>
                </w:rPr>
              </m:ctrlPr>
            </m:fPr>
            <m:num>
              <m:d>
                <m:dPr>
                  <m:ctrlPr>
                    <w:rPr>
                      <w:rFonts w:ascii="Cambria Math" w:hAnsi="Cambria Math"/>
                      <w:iCs/>
                    </w:rPr>
                  </m:ctrlPr>
                </m:dPr>
                <m:e>
                  <m:r>
                    <m:rPr>
                      <m:sty m:val="p"/>
                    </m:rPr>
                    <w:rPr>
                      <w:rFonts w:ascii="Cambria Math" w:hAnsi="Cambria Math"/>
                    </w:rPr>
                    <m:t>V×C ×56.11</m:t>
                  </m:r>
                </m:e>
              </m:d>
            </m:num>
            <m:den>
              <m:r>
                <m:rPr>
                  <m:sty m:val="p"/>
                </m:rPr>
                <w:rPr>
                  <w:rFonts w:ascii="Cambria Math" w:hAnsi="Cambria Math"/>
                </w:rPr>
                <m:t>(m)</m:t>
              </m:r>
            </m:den>
          </m:f>
          <m:r>
            <w:rPr>
              <w:rFonts w:ascii="Cambria Math" w:hAnsi="Cambria Math"/>
            </w:rPr>
            <m:t xml:space="preserve">                                                      </m:t>
          </m:r>
          <m:r>
            <m:rPr>
              <m:sty m:val="b"/>
            </m:rPr>
            <w:rPr>
              <w:rFonts w:ascii="Cambria Math" w:hAnsi="Cambria Math"/>
            </w:rPr>
            <m:t>Eq.3</m:t>
          </m:r>
        </m:oMath>
      </m:oMathPara>
    </w:p>
    <w:p w14:paraId="5CE15EDC" w14:textId="77777777" w:rsidR="005640C5" w:rsidRDefault="005640C5" w:rsidP="005640C5">
      <w:pPr>
        <w:spacing w:after="0" w:line="360" w:lineRule="auto"/>
        <w:jc w:val="both"/>
        <w:rPr>
          <w:rFonts w:ascii="Arial" w:hAnsi="Arial" w:cs="Arial"/>
          <w:shd w:val="clear" w:color="auto" w:fill="FFFFFF"/>
        </w:rPr>
      </w:pPr>
      <w:r w:rsidRPr="004D7F5D">
        <w:rPr>
          <w:rFonts w:ascii="Arial" w:hAnsi="Arial" w:cs="Arial"/>
          <w:shd w:val="clear" w:color="auto" w:fill="FFFFFF"/>
        </w:rPr>
        <w:t>Where</w:t>
      </w:r>
      <w:r>
        <w:rPr>
          <w:rFonts w:ascii="Arial" w:hAnsi="Arial" w:cs="Arial"/>
          <w:shd w:val="clear" w:color="auto" w:fill="FFFFFF"/>
        </w:rPr>
        <w:t>,</w:t>
      </w:r>
      <w:r w:rsidRPr="004D7F5D">
        <w:rPr>
          <w:rFonts w:ascii="Arial" w:hAnsi="Arial" w:cs="Arial"/>
          <w:shd w:val="clear" w:color="auto" w:fill="FFFFFF"/>
        </w:rPr>
        <w:t xml:space="preserve"> X is </w:t>
      </w:r>
      <w:r>
        <w:rPr>
          <w:rFonts w:ascii="Arial" w:hAnsi="Arial" w:cs="Arial"/>
          <w:shd w:val="clear" w:color="auto" w:fill="FFFFFF"/>
        </w:rPr>
        <w:t>t</w:t>
      </w:r>
      <w:r w:rsidRPr="004D7F5D">
        <w:rPr>
          <w:rFonts w:ascii="Arial" w:hAnsi="Arial" w:cs="Arial"/>
          <w:shd w:val="clear" w:color="auto" w:fill="FFFFFF"/>
        </w:rPr>
        <w:t xml:space="preserve">he total amine value of the test sample, </w:t>
      </w:r>
      <w:proofErr w:type="spellStart"/>
      <w:r w:rsidRPr="008F52CC">
        <w:rPr>
          <w:rFonts w:ascii="Arial" w:hAnsi="Arial" w:cs="Arial"/>
          <w:shd w:val="clear" w:color="auto" w:fill="FFFFFF"/>
        </w:rPr>
        <w:t>KOHmg</w:t>
      </w:r>
      <w:proofErr w:type="spellEnd"/>
      <w:r>
        <w:rPr>
          <w:rFonts w:ascii="Arial" w:hAnsi="Arial" w:cs="Arial"/>
          <w:shd w:val="clear" w:color="auto" w:fill="FFFFFF"/>
        </w:rPr>
        <w:t xml:space="preserve"> equivalent</w:t>
      </w:r>
      <w:r w:rsidRPr="004D7F5D">
        <w:rPr>
          <w:rFonts w:ascii="Arial" w:hAnsi="Arial" w:cs="Arial"/>
          <w:shd w:val="clear" w:color="auto" w:fill="FFFFFF"/>
        </w:rPr>
        <w:t xml:space="preserve"> /g, C is the Concentration of hydrochloric acid standard solution, mol/l, V is the amount of hydrochloric acid standard solution, ml, and m is the sample mass, g.</w:t>
      </w:r>
    </w:p>
    <w:p w14:paraId="4D01046C" w14:textId="77777777" w:rsidR="005640C5" w:rsidRDefault="005640C5" w:rsidP="005640C5">
      <w:pPr>
        <w:pStyle w:val="ListParagraph"/>
        <w:numPr>
          <w:ilvl w:val="3"/>
          <w:numId w:val="5"/>
        </w:numPr>
        <w:spacing w:after="0" w:line="360" w:lineRule="auto"/>
        <w:jc w:val="both"/>
        <w:rPr>
          <w:rFonts w:asciiTheme="minorBidi" w:eastAsia="Calibri" w:hAnsiTheme="minorBidi"/>
          <w:b/>
          <w:bCs/>
        </w:rPr>
      </w:pPr>
      <w:r>
        <w:rPr>
          <w:rFonts w:asciiTheme="minorBidi" w:eastAsia="Calibri" w:hAnsiTheme="minorBidi"/>
          <w:b/>
          <w:bCs/>
        </w:rPr>
        <w:t>Effect of H</w:t>
      </w:r>
      <w:r w:rsidRPr="00CE2F36">
        <w:rPr>
          <w:rFonts w:asciiTheme="minorBidi" w:eastAsia="Calibri" w:hAnsiTheme="minorBidi"/>
          <w:b/>
          <w:bCs/>
          <w:vertAlign w:val="subscript"/>
        </w:rPr>
        <w:t>2</w:t>
      </w:r>
      <w:r>
        <w:rPr>
          <w:rFonts w:asciiTheme="minorBidi" w:eastAsia="Calibri" w:hAnsiTheme="minorBidi"/>
          <w:b/>
          <w:bCs/>
        </w:rPr>
        <w:t>O</w:t>
      </w:r>
      <w:r w:rsidRPr="00CE2F36">
        <w:rPr>
          <w:rFonts w:asciiTheme="minorBidi" w:eastAsia="Calibri" w:hAnsiTheme="minorBidi"/>
          <w:b/>
          <w:bCs/>
          <w:vertAlign w:val="subscript"/>
        </w:rPr>
        <w:t>2</w:t>
      </w:r>
      <w:r>
        <w:rPr>
          <w:rFonts w:asciiTheme="minorBidi" w:eastAsia="Calibri" w:hAnsiTheme="minorBidi"/>
          <w:b/>
          <w:bCs/>
        </w:rPr>
        <w:t xml:space="preserve"> (</w:t>
      </w:r>
      <w:r w:rsidRPr="002E45FA">
        <w:rPr>
          <w:rFonts w:asciiTheme="minorBidi" w:eastAsia="Calibri" w:hAnsiTheme="minorBidi"/>
          <w:b/>
          <w:bCs/>
        </w:rPr>
        <w:t>Bacterial analysis</w:t>
      </w:r>
      <w:r>
        <w:rPr>
          <w:rFonts w:asciiTheme="minorBidi" w:eastAsia="Calibri" w:hAnsiTheme="minorBidi"/>
          <w:b/>
          <w:bCs/>
        </w:rPr>
        <w:t xml:space="preserve">) </w:t>
      </w:r>
    </w:p>
    <w:p w14:paraId="3B138FA8" w14:textId="77777777" w:rsidR="005640C5" w:rsidRDefault="005640C5" w:rsidP="005640C5">
      <w:pPr>
        <w:spacing w:after="0" w:line="360" w:lineRule="auto"/>
        <w:jc w:val="both"/>
        <w:rPr>
          <w:rFonts w:ascii="Arial" w:hAnsi="Arial" w:cs="Arial"/>
          <w:shd w:val="clear" w:color="auto" w:fill="FFFFFF"/>
        </w:rPr>
      </w:pPr>
      <w:r w:rsidRPr="00EB4B0D">
        <w:rPr>
          <w:rFonts w:ascii="Arial" w:hAnsi="Arial" w:cs="Arial"/>
          <w:shd w:val="clear" w:color="auto" w:fill="FFFFFF"/>
        </w:rPr>
        <w:t>According to SASO-ISO-21149;2008, SASO-ISO-21150;2008, SASO-ISO-22717;2008, US FDA BAM 8</w:t>
      </w:r>
      <w:r w:rsidRPr="00EF4876">
        <w:rPr>
          <w:rFonts w:ascii="Arial" w:hAnsi="Arial" w:cs="Arial"/>
          <w:shd w:val="clear" w:color="auto" w:fill="FFFFFF"/>
          <w:vertAlign w:val="superscript"/>
        </w:rPr>
        <w:t>th</w:t>
      </w:r>
      <w:r w:rsidRPr="00EB4B0D">
        <w:rPr>
          <w:rFonts w:ascii="Arial" w:hAnsi="Arial" w:cs="Arial"/>
          <w:shd w:val="clear" w:color="auto" w:fill="FFFFFF"/>
        </w:rPr>
        <w:t xml:space="preserve"> Ed Chapt</w:t>
      </w:r>
      <w:r>
        <w:rPr>
          <w:rFonts w:ascii="Arial" w:hAnsi="Arial" w:cs="Arial"/>
          <w:shd w:val="clear" w:color="auto" w:fill="FFFFFF"/>
        </w:rPr>
        <w:t>er</w:t>
      </w:r>
      <w:r w:rsidRPr="00EB4B0D">
        <w:rPr>
          <w:rFonts w:ascii="Arial" w:hAnsi="Arial" w:cs="Arial"/>
          <w:shd w:val="clear" w:color="auto" w:fill="FFFFFF"/>
        </w:rPr>
        <w:t xml:space="preserve"> 18, the bacterial growth of </w:t>
      </w:r>
      <w:r>
        <w:rPr>
          <w:rFonts w:ascii="Arial" w:hAnsi="Arial" w:cs="Arial"/>
          <w:shd w:val="clear" w:color="auto" w:fill="FFFFFF"/>
        </w:rPr>
        <w:t>a</w:t>
      </w:r>
      <w:r w:rsidRPr="00EB4B0D">
        <w:rPr>
          <w:rFonts w:ascii="Arial" w:hAnsi="Arial" w:cs="Arial"/>
          <w:shd w:val="clear" w:color="auto" w:fill="FFFFFF"/>
        </w:rPr>
        <w:t>erobic plate count, E. coli, Pseudomonas aeruginosa, Yeast &amp; Molds</w:t>
      </w:r>
      <w:r>
        <w:rPr>
          <w:rFonts w:ascii="Arial" w:hAnsi="Arial" w:cs="Arial"/>
          <w:shd w:val="clear" w:color="auto" w:fill="FFFFFF"/>
        </w:rPr>
        <w:t xml:space="preserve">, respectively </w:t>
      </w:r>
      <w:r w:rsidRPr="00EB4B0D">
        <w:rPr>
          <w:rFonts w:ascii="Arial" w:hAnsi="Arial" w:cs="Arial"/>
          <w:shd w:val="clear" w:color="auto" w:fill="FFFFFF"/>
        </w:rPr>
        <w:t xml:space="preserve">was </w:t>
      </w:r>
      <w:r>
        <w:rPr>
          <w:rFonts w:ascii="Arial" w:hAnsi="Arial" w:cs="Arial"/>
          <w:shd w:val="clear" w:color="auto" w:fill="FFFFFF"/>
        </w:rPr>
        <w:t>conducted</w:t>
      </w:r>
      <w:r w:rsidRPr="00EB4B0D">
        <w:rPr>
          <w:rFonts w:ascii="Arial" w:hAnsi="Arial" w:cs="Arial"/>
          <w:shd w:val="clear" w:color="auto" w:fill="FFFFFF"/>
        </w:rPr>
        <w:t xml:space="preserve"> at Bureau Veritas Laboratory</w:t>
      </w:r>
      <w:r>
        <w:rPr>
          <w:rFonts w:ascii="Arial" w:hAnsi="Arial" w:cs="Arial"/>
          <w:shd w:val="clear" w:color="auto" w:fill="FFFFFF"/>
        </w:rPr>
        <w:t>,</w:t>
      </w:r>
      <w:r w:rsidRPr="00EB4B0D">
        <w:rPr>
          <w:rFonts w:ascii="Arial" w:hAnsi="Arial" w:cs="Arial"/>
          <w:shd w:val="clear" w:color="auto" w:fill="FFFFFF"/>
        </w:rPr>
        <w:t xml:space="preserve"> </w:t>
      </w:r>
      <w:r>
        <w:rPr>
          <w:rFonts w:ascii="Arial" w:hAnsi="Arial" w:cs="Arial"/>
          <w:shd w:val="clear" w:color="auto" w:fill="FFFFFF"/>
        </w:rPr>
        <w:t>Saudi Arabia (third-party Laboratory)</w:t>
      </w:r>
      <w:r w:rsidRPr="00EB4B0D">
        <w:rPr>
          <w:rFonts w:ascii="Arial" w:hAnsi="Arial" w:cs="Arial"/>
          <w:shd w:val="clear" w:color="auto" w:fill="FFFFFF"/>
        </w:rPr>
        <w:t xml:space="preserve">. </w:t>
      </w:r>
    </w:p>
    <w:p w14:paraId="787AF380" w14:textId="77777777" w:rsidR="005640C5" w:rsidRPr="00595D02" w:rsidRDefault="005640C5" w:rsidP="005640C5">
      <w:pPr>
        <w:pStyle w:val="ListParagraph"/>
        <w:numPr>
          <w:ilvl w:val="3"/>
          <w:numId w:val="5"/>
        </w:numPr>
        <w:spacing w:after="0" w:line="360" w:lineRule="auto"/>
        <w:jc w:val="both"/>
        <w:rPr>
          <w:rFonts w:asciiTheme="minorBidi" w:eastAsia="Calibri" w:hAnsiTheme="minorBidi"/>
          <w:b/>
          <w:bCs/>
        </w:rPr>
      </w:pPr>
      <w:r w:rsidRPr="00595D02">
        <w:rPr>
          <w:rFonts w:asciiTheme="minorBidi" w:eastAsia="Calibri" w:hAnsiTheme="minorBidi"/>
          <w:b/>
          <w:bCs/>
        </w:rPr>
        <w:t xml:space="preserve">Fourier Transform Infrared Spectroscopy (FTIR) </w:t>
      </w:r>
      <w:proofErr w:type="gramStart"/>
      <w:r w:rsidRPr="00595D02">
        <w:rPr>
          <w:rFonts w:asciiTheme="minorBidi" w:eastAsia="Calibri" w:hAnsiTheme="minorBidi"/>
          <w:b/>
          <w:bCs/>
        </w:rPr>
        <w:t>analysis</w:t>
      </w:r>
      <w:proofErr w:type="gramEnd"/>
    </w:p>
    <w:p w14:paraId="1FDC5CAE" w14:textId="77777777" w:rsidR="005640C5" w:rsidRPr="00EF3CBE" w:rsidRDefault="005640C5" w:rsidP="005640C5">
      <w:pPr>
        <w:spacing w:after="0" w:line="360" w:lineRule="auto"/>
        <w:jc w:val="both"/>
        <w:rPr>
          <w:rFonts w:ascii="Arial" w:hAnsi="Arial" w:cs="Arial"/>
          <w:shd w:val="clear" w:color="auto" w:fill="FFFFFF"/>
        </w:rPr>
      </w:pPr>
      <w:r w:rsidRPr="00EF3CBE">
        <w:rPr>
          <w:rFonts w:ascii="Arial" w:hAnsi="Arial" w:cs="Arial"/>
          <w:shd w:val="clear" w:color="auto" w:fill="FFFFFF"/>
        </w:rPr>
        <w:t xml:space="preserve">The chemical structures of the synthesized C3-copolymer were justified using a Nicolet IS50 FTIR, </w:t>
      </w:r>
      <w:proofErr w:type="spellStart"/>
      <w:r w:rsidRPr="00EF3CBE">
        <w:rPr>
          <w:rFonts w:ascii="Arial" w:hAnsi="Arial" w:cs="Arial"/>
          <w:shd w:val="clear" w:color="auto" w:fill="FFFFFF"/>
        </w:rPr>
        <w:t>Thermo</w:t>
      </w:r>
      <w:proofErr w:type="spellEnd"/>
      <w:r w:rsidRPr="00EF3CBE">
        <w:rPr>
          <w:rFonts w:ascii="Arial" w:hAnsi="Arial" w:cs="Arial"/>
          <w:shd w:val="clear" w:color="auto" w:fill="FFFFFF"/>
        </w:rPr>
        <w:t xml:space="preserve"> Fisher Scientific, Waltham, USA. 0.5 mg of dried CAPB was directly poured on the detected hole. The analysis was conducted without grinding the CAPB with KPR to form the KBr disks or pellets.</w:t>
      </w:r>
    </w:p>
    <w:p w14:paraId="283F5A83" w14:textId="77777777" w:rsidR="005640C5" w:rsidRDefault="005640C5" w:rsidP="00452A54">
      <w:pPr>
        <w:spacing w:after="0" w:line="360" w:lineRule="auto"/>
        <w:jc w:val="both"/>
        <w:rPr>
          <w:rFonts w:ascii="Arial" w:hAnsi="Arial" w:cs="Arial"/>
          <w:shd w:val="clear" w:color="auto" w:fill="FFFFFF"/>
        </w:rPr>
      </w:pPr>
    </w:p>
    <w:p w14:paraId="66C493A9" w14:textId="7B328D72" w:rsidR="00452A54" w:rsidRDefault="00452A54" w:rsidP="00452A54">
      <w:pPr>
        <w:spacing w:after="0" w:line="360" w:lineRule="auto"/>
        <w:jc w:val="both"/>
        <w:rPr>
          <w:rFonts w:asciiTheme="minorBidi" w:eastAsia="Calibri" w:hAnsiTheme="minorBidi"/>
          <w:color w:val="FF0000"/>
        </w:rPr>
      </w:pPr>
      <w:r>
        <w:rPr>
          <w:noProof/>
        </w:rPr>
        <mc:AlternateContent>
          <mc:Choice Requires="wps">
            <w:drawing>
              <wp:anchor distT="45720" distB="45720" distL="114300" distR="114300" simplePos="0" relativeHeight="251659264" behindDoc="0" locked="0" layoutInCell="1" allowOverlap="1" wp14:anchorId="4490AD24" wp14:editId="47EB6D78">
                <wp:simplePos x="0" y="0"/>
                <wp:positionH relativeFrom="column">
                  <wp:posOffset>4364966</wp:posOffset>
                </wp:positionH>
                <wp:positionV relativeFrom="paragraph">
                  <wp:posOffset>142551</wp:posOffset>
                </wp:positionV>
                <wp:extent cx="892810" cy="646981"/>
                <wp:effectExtent l="0" t="0" r="21590" b="20320"/>
                <wp:wrapNone/>
                <wp:docPr id="5153892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646981"/>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2C1BFD1" w14:textId="77777777" w:rsidR="00452A54" w:rsidRPr="005640C5" w:rsidRDefault="00452A54" w:rsidP="00452A54">
                            <w:pPr>
                              <w:spacing w:after="0" w:line="240" w:lineRule="auto"/>
                              <w:rPr>
                                <w:color w:val="A40000"/>
                                <w:sz w:val="22"/>
                                <w:szCs w:val="22"/>
                              </w:rPr>
                            </w:pPr>
                            <w:r w:rsidRPr="005640C5">
                              <w:rPr>
                                <w:color w:val="A40000"/>
                                <w:sz w:val="22"/>
                                <w:szCs w:val="22"/>
                              </w:rPr>
                              <w:t>0 month</w:t>
                            </w:r>
                          </w:p>
                          <w:p w14:paraId="1DE89FDA" w14:textId="77777777" w:rsidR="00452A54" w:rsidRPr="005640C5" w:rsidRDefault="00452A54" w:rsidP="00452A54">
                            <w:pPr>
                              <w:spacing w:after="0" w:line="240" w:lineRule="auto"/>
                              <w:rPr>
                                <w:color w:val="FF0000"/>
                                <w:sz w:val="22"/>
                                <w:szCs w:val="22"/>
                              </w:rPr>
                            </w:pPr>
                            <w:r w:rsidRPr="005640C5">
                              <w:rPr>
                                <w:color w:val="FF0000"/>
                                <w:sz w:val="22"/>
                                <w:szCs w:val="22"/>
                              </w:rPr>
                              <w:t>6 months</w:t>
                            </w:r>
                          </w:p>
                          <w:p w14:paraId="00492965" w14:textId="77777777" w:rsidR="00452A54" w:rsidRPr="00016BF3" w:rsidRDefault="00452A54" w:rsidP="00452A54">
                            <w:pPr>
                              <w:spacing w:after="0" w:line="240" w:lineRule="auto"/>
                              <w:rPr>
                                <w:color w:val="0E2841" w:themeColor="text2"/>
                              </w:rPr>
                            </w:pPr>
                            <w:r w:rsidRPr="005640C5">
                              <w:rPr>
                                <w:color w:val="0E2841" w:themeColor="text2"/>
                                <w:sz w:val="22"/>
                                <w:szCs w:val="22"/>
                              </w:rPr>
                              <w:t>12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0AD24" id="_x0000_t202" coordsize="21600,21600" o:spt="202" path="m,l,21600r21600,l21600,xe">
                <v:stroke joinstyle="miter"/>
                <v:path gradientshapeok="t" o:connecttype="rect"/>
              </v:shapetype>
              <v:shape id="Text Box 1" o:spid="_x0000_s1026" type="#_x0000_t202" style="position:absolute;left:0;text-align:left;margin-left:343.7pt;margin-top:11.2pt;width:70.3pt;height: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" filled="f" strokecolor="black [3200]">
                <v:stroke joinstyle="round"/>
                <v:textbox>
                  <w:txbxContent>
                    <w:p w14:paraId="42C1BFD1" w14:textId="77777777" w:rsidR="00452A54" w:rsidRPr="005640C5" w:rsidRDefault="00452A54" w:rsidP="00452A54">
                      <w:pPr>
                        <w:spacing w:after="0" w:line="240" w:lineRule="auto"/>
                        <w:rPr>
                          <w:color w:val="A40000"/>
                          <w:sz w:val="22"/>
                          <w:szCs w:val="22"/>
                        </w:rPr>
                      </w:pPr>
                      <w:r w:rsidRPr="005640C5">
                        <w:rPr>
                          <w:color w:val="A40000"/>
                          <w:sz w:val="22"/>
                          <w:szCs w:val="22"/>
                        </w:rPr>
                        <w:t>0 month</w:t>
                      </w:r>
                    </w:p>
                    <w:p w14:paraId="1DE89FDA" w14:textId="77777777" w:rsidR="00452A54" w:rsidRPr="005640C5" w:rsidRDefault="00452A54" w:rsidP="00452A54">
                      <w:pPr>
                        <w:spacing w:after="0" w:line="240" w:lineRule="auto"/>
                        <w:rPr>
                          <w:color w:val="FF0000"/>
                          <w:sz w:val="22"/>
                          <w:szCs w:val="22"/>
                        </w:rPr>
                      </w:pPr>
                      <w:r w:rsidRPr="005640C5">
                        <w:rPr>
                          <w:color w:val="FF0000"/>
                          <w:sz w:val="22"/>
                          <w:szCs w:val="22"/>
                        </w:rPr>
                        <w:t>6 months</w:t>
                      </w:r>
                    </w:p>
                    <w:p w14:paraId="00492965" w14:textId="77777777" w:rsidR="00452A54" w:rsidRPr="00016BF3" w:rsidRDefault="00452A54" w:rsidP="00452A54">
                      <w:pPr>
                        <w:spacing w:after="0" w:line="240" w:lineRule="auto"/>
                        <w:rPr>
                          <w:color w:val="0E2841" w:themeColor="text2"/>
                        </w:rPr>
                      </w:pPr>
                      <w:r w:rsidRPr="005640C5">
                        <w:rPr>
                          <w:color w:val="0E2841" w:themeColor="text2"/>
                          <w:sz w:val="22"/>
                          <w:szCs w:val="22"/>
                        </w:rPr>
                        <w:t>12 months</w:t>
                      </w:r>
                    </w:p>
                  </w:txbxContent>
                </v:textbox>
              </v:shape>
            </w:pict>
          </mc:Fallback>
        </mc:AlternateContent>
      </w:r>
      <w:r>
        <w:rPr>
          <w:rFonts w:asciiTheme="minorBidi" w:eastAsia="Calibri" w:hAnsiTheme="minorBidi"/>
          <w:noProof/>
          <w:color w:val="FF0000"/>
        </w:rPr>
        <w:drawing>
          <wp:inline distT="0" distB="0" distL="0" distR="0" wp14:anchorId="26030F4E" wp14:editId="5D694686">
            <wp:extent cx="5475605" cy="6028660"/>
            <wp:effectExtent l="0" t="0" r="0" b="0"/>
            <wp:docPr id="10761195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2340" cy="6036076"/>
                    </a:xfrm>
                    <a:prstGeom prst="rect">
                      <a:avLst/>
                    </a:prstGeom>
                    <a:noFill/>
                    <a:ln>
                      <a:noFill/>
                    </a:ln>
                  </pic:spPr>
                </pic:pic>
              </a:graphicData>
            </a:graphic>
          </wp:inline>
        </w:drawing>
      </w:r>
    </w:p>
    <w:p w14:paraId="1E619737" w14:textId="59CAD49F" w:rsidR="00452A54" w:rsidRDefault="00452A54" w:rsidP="00452A54">
      <w:pPr>
        <w:spacing w:after="0" w:line="360" w:lineRule="auto"/>
        <w:jc w:val="both"/>
        <w:rPr>
          <w:rFonts w:asciiTheme="minorBidi" w:eastAsia="Calibri" w:hAnsiTheme="minorBidi"/>
          <w:color w:val="FF0000"/>
        </w:rPr>
      </w:pPr>
      <w:r w:rsidRPr="00016BF3">
        <w:rPr>
          <w:rFonts w:asciiTheme="minorBidi" w:eastAsia="Calibri" w:hAnsiTheme="minorBidi"/>
          <w:b/>
          <w:bCs/>
        </w:rPr>
        <w:t xml:space="preserve">Figure </w:t>
      </w:r>
      <w:r>
        <w:rPr>
          <w:rFonts w:asciiTheme="minorBidi" w:eastAsia="Calibri" w:hAnsiTheme="minorBidi"/>
          <w:b/>
          <w:bCs/>
        </w:rPr>
        <w:t>S2</w:t>
      </w:r>
      <w:r w:rsidRPr="00016BF3">
        <w:rPr>
          <w:rFonts w:asciiTheme="minorBidi" w:eastAsia="Calibri" w:hAnsiTheme="minorBidi"/>
          <w:b/>
          <w:bCs/>
        </w:rPr>
        <w:t>:</w:t>
      </w:r>
      <w:r>
        <w:rPr>
          <w:rFonts w:asciiTheme="minorBidi" w:eastAsia="Calibri" w:hAnsiTheme="minorBidi"/>
          <w:color w:val="FF0000"/>
        </w:rPr>
        <w:t xml:space="preserve"> </w:t>
      </w:r>
      <w:r>
        <w:rPr>
          <w:rFonts w:ascii="Arial" w:hAnsi="Arial" w:cs="Arial"/>
          <w:shd w:val="clear" w:color="auto" w:fill="FFFFFF"/>
        </w:rPr>
        <w:t xml:space="preserve">FTIR spectrum of CAPB-betaine (Batch #1) at time interval of 0, 6 months, and 12 months. </w:t>
      </w:r>
    </w:p>
    <w:p w14:paraId="4BC5E8DB" w14:textId="77777777" w:rsidR="00452A54" w:rsidRDefault="00452A54"/>
    <w:sectPr w:rsidR="00452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87220"/>
    <w:multiLevelType w:val="multilevel"/>
    <w:tmpl w:val="F724D6A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0E5012A"/>
    <w:multiLevelType w:val="multilevel"/>
    <w:tmpl w:val="CA1E75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136625"/>
    <w:multiLevelType w:val="hybridMultilevel"/>
    <w:tmpl w:val="CDCA7B7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BE1AAB"/>
    <w:multiLevelType w:val="multilevel"/>
    <w:tmpl w:val="9772982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6D2E4B17"/>
    <w:multiLevelType w:val="hybridMultilevel"/>
    <w:tmpl w:val="BFC6C17A"/>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BD5938"/>
    <w:multiLevelType w:val="multilevel"/>
    <w:tmpl w:val="A9F2232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21515532">
    <w:abstractNumId w:val="0"/>
  </w:num>
  <w:num w:numId="2" w16cid:durableId="2101559309">
    <w:abstractNumId w:val="5"/>
  </w:num>
  <w:num w:numId="3" w16cid:durableId="1391347315">
    <w:abstractNumId w:val="4"/>
  </w:num>
  <w:num w:numId="4" w16cid:durableId="563760115">
    <w:abstractNumId w:val="3"/>
  </w:num>
  <w:num w:numId="5" w16cid:durableId="449708725">
    <w:abstractNumId w:val="1"/>
  </w:num>
  <w:num w:numId="6" w16cid:durableId="679967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54"/>
    <w:rsid w:val="00155ACB"/>
    <w:rsid w:val="00320A69"/>
    <w:rsid w:val="00452A54"/>
    <w:rsid w:val="005640C5"/>
    <w:rsid w:val="007576B6"/>
    <w:rsid w:val="009039FE"/>
    <w:rsid w:val="00B30D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4D34"/>
  <w15:chartTrackingRefBased/>
  <w15:docId w15:val="{4780F475-BD0A-4378-AA5F-55DEFD78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2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A54"/>
    <w:rPr>
      <w:rFonts w:eastAsiaTheme="majorEastAsia" w:cstheme="majorBidi"/>
      <w:color w:val="272727" w:themeColor="text1" w:themeTint="D8"/>
    </w:rPr>
  </w:style>
  <w:style w:type="paragraph" w:styleId="Title">
    <w:name w:val="Title"/>
    <w:basedOn w:val="Normal"/>
    <w:next w:val="Normal"/>
    <w:link w:val="TitleChar"/>
    <w:uiPriority w:val="10"/>
    <w:qFormat/>
    <w:rsid w:val="0045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A54"/>
    <w:pPr>
      <w:spacing w:before="160"/>
      <w:jc w:val="center"/>
    </w:pPr>
    <w:rPr>
      <w:i/>
      <w:iCs/>
      <w:color w:val="404040" w:themeColor="text1" w:themeTint="BF"/>
    </w:rPr>
  </w:style>
  <w:style w:type="character" w:customStyle="1" w:styleId="QuoteChar">
    <w:name w:val="Quote Char"/>
    <w:basedOn w:val="DefaultParagraphFont"/>
    <w:link w:val="Quote"/>
    <w:uiPriority w:val="29"/>
    <w:rsid w:val="00452A54"/>
    <w:rPr>
      <w:i/>
      <w:iCs/>
      <w:color w:val="404040" w:themeColor="text1" w:themeTint="BF"/>
    </w:rPr>
  </w:style>
  <w:style w:type="paragraph" w:styleId="ListParagraph">
    <w:name w:val="List Paragraph"/>
    <w:basedOn w:val="Normal"/>
    <w:uiPriority w:val="34"/>
    <w:qFormat/>
    <w:rsid w:val="00452A54"/>
    <w:pPr>
      <w:ind w:left="720"/>
      <w:contextualSpacing/>
    </w:pPr>
  </w:style>
  <w:style w:type="character" w:styleId="IntenseEmphasis">
    <w:name w:val="Intense Emphasis"/>
    <w:basedOn w:val="DefaultParagraphFont"/>
    <w:uiPriority w:val="21"/>
    <w:qFormat/>
    <w:rsid w:val="00452A54"/>
    <w:rPr>
      <w:i/>
      <w:iCs/>
      <w:color w:val="0F4761" w:themeColor="accent1" w:themeShade="BF"/>
    </w:rPr>
  </w:style>
  <w:style w:type="paragraph" w:styleId="IntenseQuote">
    <w:name w:val="Intense Quote"/>
    <w:basedOn w:val="Normal"/>
    <w:next w:val="Normal"/>
    <w:link w:val="IntenseQuoteChar"/>
    <w:uiPriority w:val="30"/>
    <w:qFormat/>
    <w:rsid w:val="0045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A54"/>
    <w:rPr>
      <w:i/>
      <w:iCs/>
      <w:color w:val="0F4761" w:themeColor="accent1" w:themeShade="BF"/>
    </w:rPr>
  </w:style>
  <w:style w:type="character" w:styleId="IntenseReference">
    <w:name w:val="Intense Reference"/>
    <w:basedOn w:val="DefaultParagraphFont"/>
    <w:uiPriority w:val="32"/>
    <w:qFormat/>
    <w:rsid w:val="00452A54"/>
    <w:rPr>
      <w:b/>
      <w:bCs/>
      <w:smallCaps/>
      <w:color w:val="0F4761" w:themeColor="accent1" w:themeShade="BF"/>
      <w:spacing w:val="5"/>
    </w:rPr>
  </w:style>
  <w:style w:type="table" w:styleId="TableGrid">
    <w:name w:val="Table Grid"/>
    <w:basedOn w:val="TableNormal"/>
    <w:uiPriority w:val="59"/>
    <w:rsid w:val="00452A54"/>
    <w:pPr>
      <w:spacing w:after="0" w:line="240" w:lineRule="auto"/>
    </w:pPr>
    <w:rPr>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Nooreldin</dc:creator>
  <cp:keywords/>
  <dc:description/>
  <cp:lastModifiedBy>Mahmoud Nooreldin</cp:lastModifiedBy>
  <cp:revision>3</cp:revision>
  <dcterms:created xsi:type="dcterms:W3CDTF">2024-04-24T08:35:00Z</dcterms:created>
  <dcterms:modified xsi:type="dcterms:W3CDTF">2024-04-25T07:09:00Z</dcterms:modified>
</cp:coreProperties>
</file>