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left="0" w:leftChars="0" w:firstLine="0" w:firstLineChars="0"/>
        <w:rPr>
          <w:rFonts w:ascii="Times New Roman" w:hAnsi="Times New Roman" w:eastAsia="TimesNewRomanPSMT" w:cs="Times New Roman"/>
          <w:color w:val="000000"/>
          <w:sz w:val="24"/>
        </w:rPr>
      </w:pPr>
      <w:r>
        <w:rPr>
          <w:rFonts w:ascii="Times New Roman" w:hAnsi="Times New Roman" w:eastAsia="TimesNewRomanPSMT" w:cs="Times New Roman"/>
          <w:color w:val="000000"/>
          <w:sz w:val="24"/>
        </w:rPr>
        <w:t>Supporting information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eastAsia="仿宋"/>
          <w:b/>
          <w:bCs/>
          <w:sz w:val="24"/>
          <w:szCs w:val="24"/>
        </w:rPr>
      </w:pPr>
      <w:r>
        <w:rPr>
          <w:rFonts w:hint="eastAsia" w:ascii="Times New Roman" w:hAnsi="Times New Roman" w:eastAsia="仿宋"/>
          <w:b/>
          <w:bCs/>
          <w:sz w:val="28"/>
          <w:szCs w:val="28"/>
        </w:rPr>
        <w:t xml:space="preserve">Exogenous 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a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 xml:space="preserve">pplication of </w:t>
      </w:r>
      <w:bookmarkStart w:id="0" w:name="OLE_LINK15"/>
      <w:bookmarkStart w:id="1" w:name="OLE_LINK29"/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s</w:t>
      </w:r>
      <w:r>
        <w:rPr>
          <w:rFonts w:ascii="Times New Roman" w:hAnsi="Times New Roman" w:eastAsia="仿宋"/>
          <w:b/>
          <w:bCs/>
          <w:sz w:val="28"/>
          <w:szCs w:val="28"/>
        </w:rPr>
        <w:t xml:space="preserve">odium 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h</w:t>
      </w:r>
      <w:r>
        <w:rPr>
          <w:rFonts w:ascii="Times New Roman" w:hAnsi="Times New Roman" w:eastAsia="仿宋"/>
          <w:b/>
          <w:bCs/>
          <w:sz w:val="28"/>
          <w:szCs w:val="28"/>
        </w:rPr>
        <w:t>ydrosulfide</w:t>
      </w:r>
      <w:bookmarkEnd w:id="0"/>
      <w:r>
        <w:rPr>
          <w:rFonts w:ascii="Times New Roman" w:hAnsi="Times New Roman" w:eastAsia="仿宋"/>
          <w:b/>
          <w:bCs/>
          <w:sz w:val="28"/>
          <w:szCs w:val="28"/>
        </w:rPr>
        <w:t xml:space="preserve"> </w:t>
      </w:r>
      <w:bookmarkEnd w:id="1"/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s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 xml:space="preserve">uppresses 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b</w:t>
      </w:r>
      <w:r>
        <w:rPr>
          <w:rFonts w:ascii="Times New Roman" w:hAnsi="Times New Roman" w:eastAsia="仿宋"/>
          <w:b/>
          <w:bCs/>
          <w:sz w:val="28"/>
          <w:szCs w:val="28"/>
        </w:rPr>
        <w:t xml:space="preserve">acterial 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w</w:t>
      </w:r>
      <w:r>
        <w:rPr>
          <w:rFonts w:ascii="Times New Roman" w:hAnsi="Times New Roman" w:eastAsia="仿宋"/>
          <w:b/>
          <w:bCs/>
          <w:sz w:val="28"/>
          <w:szCs w:val="28"/>
        </w:rPr>
        <w:t xml:space="preserve">ilt 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and</w:t>
      </w:r>
      <w:r>
        <w:rPr>
          <w:rFonts w:ascii="Times New Roman" w:hAnsi="Times New Roman" w:eastAsia="仿宋"/>
          <w:b/>
          <w:bCs/>
          <w:sz w:val="28"/>
          <w:szCs w:val="28"/>
        </w:rPr>
        <w:t xml:space="preserve"> 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r</w:t>
      </w:r>
      <w:r>
        <w:rPr>
          <w:rFonts w:ascii="Times New Roman" w:hAnsi="Times New Roman" w:eastAsia="仿宋"/>
          <w:b/>
          <w:bCs/>
          <w:sz w:val="28"/>
          <w:szCs w:val="28"/>
        </w:rPr>
        <w:t>egulat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es</w:t>
      </w:r>
      <w:r>
        <w:rPr>
          <w:rFonts w:ascii="Times New Roman" w:hAnsi="Times New Roman" w:eastAsia="仿宋"/>
          <w:b/>
          <w:bCs/>
          <w:sz w:val="28"/>
          <w:szCs w:val="28"/>
        </w:rPr>
        <w:t xml:space="preserve"> the 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s</w:t>
      </w:r>
      <w:r>
        <w:rPr>
          <w:rFonts w:ascii="Times New Roman" w:hAnsi="Times New Roman" w:eastAsia="仿宋"/>
          <w:b/>
          <w:bCs/>
          <w:sz w:val="28"/>
          <w:szCs w:val="28"/>
        </w:rPr>
        <w:t xml:space="preserve">oil 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m</w:t>
      </w:r>
      <w:r>
        <w:rPr>
          <w:rFonts w:ascii="Times New Roman" w:hAnsi="Times New Roman" w:eastAsia="仿宋"/>
          <w:b/>
          <w:bCs/>
          <w:sz w:val="28"/>
          <w:szCs w:val="28"/>
        </w:rPr>
        <w:t>icro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ecology</w:t>
      </w:r>
    </w:p>
    <w:p>
      <w:pPr>
        <w:rPr>
          <w:rFonts w:hint="default" w:ascii="Times New Roman" w:hAnsi="Times New Roman" w:eastAsia="Times New Roman" w:cs="Times New Roman"/>
          <w:b w:val="0"/>
          <w:bCs/>
          <w:color w:val="000000"/>
          <w:kern w:val="0"/>
          <w:sz w:val="21"/>
          <w:szCs w:val="21"/>
          <w:lang w:eastAsia="de-DE" w:bidi="en-US"/>
        </w:rPr>
      </w:pP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Chunli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L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i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vertAlign w:val="superscript"/>
          <w:lang w:eastAsia="de-DE" w:bidi="en-US"/>
        </w:rPr>
        <w:t>1a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, Jun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Y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u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vertAlign w:val="superscript"/>
          <w:lang w:eastAsia="de-DE" w:bidi="en-US"/>
        </w:rPr>
        <w:t>2a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, Zongping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L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i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vertAlign w:val="superscript"/>
          <w:lang w:eastAsia="de-DE" w:bidi="en-US"/>
        </w:rPr>
        <w:t>2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, Jinpeng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Y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ang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vertAlign w:val="superscript"/>
          <w:lang w:eastAsia="de-DE" w:bidi="en-US"/>
        </w:rPr>
        <w:t>2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,</w:t>
      </w:r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Shouwen C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hen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vertAlign w:val="superscript"/>
          <w:lang w:eastAsia="de-DE" w:bidi="en-US"/>
        </w:rPr>
        <w:t>1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, Yong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Y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ang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vertAlign w:val="superscript"/>
          <w:lang w:eastAsia="de-DE" w:bidi="en-US"/>
        </w:rPr>
        <w:t>1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,</w:t>
      </w:r>
      <w:r>
        <w:rPr>
          <w:rFonts w:hint="default" w:ascii="Times New Roman" w:hAnsi="Times New Roman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Chunlei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Y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ang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vertAlign w:val="superscript"/>
          <w:lang w:eastAsia="de-DE" w:bidi="en-US"/>
        </w:rPr>
        <w:t>2*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 xml:space="preserve"> 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&amp;</w:t>
      </w:r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Yun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lang w:eastAsia="de-DE" w:bidi="en-US"/>
        </w:rPr>
        <w:t>H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2"/>
          <w:szCs w:val="22"/>
          <w:lang w:val="en-US" w:eastAsia="zh-CN" w:bidi="en-US"/>
        </w:rPr>
        <w:t>u</w:t>
      </w:r>
      <w:r>
        <w:rPr>
          <w:rFonts w:hint="default" w:ascii="Times New Roman" w:hAnsi="Times New Roman" w:eastAsia="Times New Roman" w:cs="Times New Roman"/>
          <w:b/>
          <w:bCs w:val="0"/>
          <w:color w:val="000000"/>
          <w:kern w:val="0"/>
          <w:sz w:val="22"/>
          <w:szCs w:val="22"/>
          <w:vertAlign w:val="superscript"/>
          <w:lang w:eastAsia="de-DE" w:bidi="en-US"/>
        </w:rPr>
        <w:t>1*</w:t>
      </w:r>
    </w:p>
    <w:p>
      <w:pPr>
        <w:jc w:val="left"/>
        <w:rPr>
          <w:rFonts w:hint="default" w:ascii="Times New Roman" w:hAnsi="Times New Roman" w:cs="Times New Roman"/>
          <w:sz w:val="18"/>
          <w:szCs w:val="18"/>
          <w:vertAlign w:val="baseline"/>
        </w:rPr>
      </w:pPr>
      <w:r>
        <w:rPr>
          <w:rFonts w:hint="default" w:ascii="Times New Roman" w:hAnsi="Times New Roman" w:cs="Times New Roman"/>
          <w:sz w:val="18"/>
          <w:szCs w:val="18"/>
          <w:vertAlign w:val="superscript"/>
        </w:rPr>
        <w:t>1</w:t>
      </w:r>
      <w:r>
        <w:rPr>
          <w:rFonts w:hint="default" w:ascii="Times New Roman" w:hAnsi="Times New Roman" w:cs="Times New Roman"/>
          <w:sz w:val="18"/>
          <w:szCs w:val="18"/>
          <w:vertAlign w:val="baseline"/>
        </w:rPr>
        <w:t xml:space="preserve">State Key Laboratory of Biocatalysis and Enzyme Engineering, </w:t>
      </w:r>
      <w:bookmarkStart w:id="2" w:name="OLE_LINK20"/>
      <w:r>
        <w:rPr>
          <w:rFonts w:hint="default" w:ascii="Times New Roman" w:hAnsi="Times New Roman" w:cs="Times New Roman"/>
          <w:sz w:val="18"/>
          <w:szCs w:val="18"/>
          <w:vertAlign w:val="baseline"/>
        </w:rPr>
        <w:t>School of life science, Hubei University</w:t>
      </w:r>
      <w:bookmarkEnd w:id="2"/>
      <w:r>
        <w:rPr>
          <w:rFonts w:hint="default" w:ascii="Times New Roman" w:hAnsi="Times New Roman" w:cs="Times New Roman"/>
          <w:sz w:val="18"/>
          <w:szCs w:val="18"/>
          <w:vertAlign w:val="baseline"/>
        </w:rPr>
        <w:t>, Wuhan 430062, China.</w:t>
      </w:r>
    </w:p>
    <w:p>
      <w:pPr>
        <w:jc w:val="left"/>
        <w:rPr>
          <w:rFonts w:hint="default" w:ascii="Times New Roman" w:hAnsi="Times New Roman" w:cs="Times New Roman"/>
          <w:sz w:val="18"/>
          <w:szCs w:val="18"/>
          <w:vertAlign w:val="baseline"/>
        </w:rPr>
      </w:pPr>
      <w:r>
        <w:rPr>
          <w:rFonts w:hint="default" w:ascii="Times New Roman" w:hAnsi="Times New Roman" w:cs="Times New Roman"/>
          <w:sz w:val="18"/>
          <w:szCs w:val="18"/>
          <w:vertAlign w:val="superscript"/>
        </w:rPr>
        <w:t>2</w:t>
      </w:r>
      <w:r>
        <w:rPr>
          <w:rFonts w:hint="default" w:ascii="Times New Roman" w:hAnsi="Times New Roman" w:cs="Times New Roman"/>
          <w:sz w:val="18"/>
          <w:szCs w:val="18"/>
          <w:vertAlign w:val="baseline"/>
        </w:rPr>
        <w:t>Tobacco Research Institute of Hubei Province, Wuhan 430030, China.</w:t>
      </w:r>
    </w:p>
    <w:p>
      <w:pPr>
        <w:jc w:val="left"/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vertAlign w:val="superscript"/>
          <w:lang w:eastAsia="de-DE"/>
        </w:rPr>
        <w:t>*</w:t>
      </w:r>
      <w:r>
        <w:rPr>
          <w:rFonts w:hint="eastAsia" w:ascii="Times New Roman" w:hAnsi="Times New Roman" w:cs="Times New Roman"/>
          <w:sz w:val="18"/>
          <w:szCs w:val="18"/>
        </w:rPr>
        <w:t>E-</w:t>
      </w:r>
      <w:r>
        <w:rPr>
          <w:rFonts w:ascii="Times New Roman"/>
          <w:sz w:val="18"/>
          <w:szCs w:val="18"/>
        </w:rPr>
        <w:t>mail</w:t>
      </w:r>
      <w:r>
        <w:rPr>
          <w:rFonts w:hint="eastAsia" w:ascii="Times New Roman"/>
          <w:sz w:val="18"/>
          <w:szCs w:val="18"/>
        </w:rPr>
        <w:t>s</w:t>
      </w:r>
      <w:r>
        <w:rPr>
          <w:rFonts w:ascii="Times New Roman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instrText xml:space="preserve"> HYPERLINK "mailto:huyun@hubu.edu.cn" </w:instrText>
      </w:r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t>huyun@hubu.edu.cn</w:t>
      </w:r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 xml:space="preserve">, </w:t>
      </w:r>
      <w:bookmarkStart w:id="3" w:name="OLE_LINK3"/>
      <w: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  <w:t>ycl193737@163.com</w:t>
      </w:r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>.</w:t>
      </w:r>
      <w:bookmarkEnd w:id="3"/>
    </w:p>
    <w:p>
      <w:pPr>
        <w:jc w:val="left"/>
        <w:rPr>
          <w:rFonts w:hint="default" w:ascii="Times New Roman" w:hAnsi="Times New Roman" w:cs="Times New Roman"/>
          <w:sz w:val="18"/>
          <w:szCs w:val="18"/>
          <w:vertAlign w:val="baseline"/>
        </w:rPr>
      </w:pPr>
      <w:r>
        <w:rPr>
          <w:rFonts w:hint="default" w:ascii="Times New Roman" w:hAnsi="Times New Roman" w:cs="Times New Roman"/>
          <w:sz w:val="18"/>
          <w:szCs w:val="18"/>
          <w:vertAlign w:val="superscript"/>
        </w:rPr>
        <w:t xml:space="preserve">a </w:t>
      </w:r>
      <w:r>
        <w:rPr>
          <w:rFonts w:hint="default" w:ascii="Times New Roman" w:hAnsi="Times New Roman" w:cs="Times New Roman"/>
          <w:sz w:val="18"/>
          <w:szCs w:val="18"/>
          <w:vertAlign w:val="baseline"/>
        </w:rPr>
        <w:t>These authors contributed equally to this study.</w:t>
      </w:r>
    </w:p>
    <w:p>
      <w:pPr>
        <w:rPr>
          <w:rFonts w:ascii="Times New Roman" w:hAnsi="Times New Roman" w:eastAsia="TimesNewRomanPSMT" w:cs="Times New Roman"/>
          <w:color w:val="000000"/>
          <w:sz w:val="24"/>
        </w:rPr>
      </w:pPr>
      <w:r>
        <w:rPr>
          <w:rFonts w:ascii="Times New Roman" w:hAnsi="Times New Roman" w:eastAsia="TimesNewRomanPSMT" w:cs="Times New Roman"/>
          <w:color w:val="000000"/>
          <w:sz w:val="24"/>
        </w:rPr>
        <w:br w:type="page"/>
      </w:r>
    </w:p>
    <w:p>
      <w:pPr>
        <w:rPr>
          <w:rFonts w:ascii="Times New Roman" w:hAnsi="Times New Roman"/>
          <w:b/>
          <w:bCs/>
          <w:color w:val="000000"/>
          <w:kern w:val="0"/>
        </w:rPr>
      </w:pPr>
      <w:bookmarkStart w:id="4" w:name="_GoBack"/>
      <w:bookmarkEnd w:id="4"/>
      <w:r>
        <w:rPr>
          <w:rFonts w:ascii="Times New Roman" w:hAnsi="Times New Roman"/>
          <w:b/>
          <w:bCs/>
          <w:color w:val="000000"/>
          <w:kern w:val="0"/>
        </w:rPr>
        <w:t xml:space="preserve">Table </w:t>
      </w:r>
      <w:r>
        <w:rPr>
          <w:rFonts w:hint="eastAsia" w:ascii="Times New Roman" w:hAnsi="Times New Roman"/>
          <w:b/>
          <w:bCs/>
          <w:color w:val="000000"/>
          <w:kern w:val="0"/>
        </w:rPr>
        <w:t>S</w:t>
      </w:r>
      <w:r>
        <w:rPr>
          <w:rFonts w:hint="eastAsia" w:ascii="Times New Roman" w:hAnsi="Times New Roman"/>
          <w:b/>
          <w:bCs/>
          <w:color w:val="000000"/>
          <w:kern w:val="0"/>
          <w:lang w:val="en-US" w:eastAsia="zh-CN"/>
        </w:rPr>
        <w:t>1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iCs/>
          <w:color w:val="000000"/>
          <w:kern w:val="0"/>
          <w:sz w:val="20"/>
          <w:szCs w:val="20"/>
        </w:rPr>
        <w:t xml:space="preserve">Pearson correlation analysis between </w:t>
      </w:r>
      <w:r>
        <w:rPr>
          <w:rFonts w:ascii="Times New Roman" w:hAnsi="Times New Roman"/>
          <w:bCs/>
          <w:color w:val="000000"/>
          <w:kern w:val="0"/>
          <w:sz w:val="20"/>
          <w:szCs w:val="20"/>
        </w:rPr>
        <w:t xml:space="preserve">disease </w:t>
      </w:r>
      <w:r>
        <w:rPr>
          <w:rFonts w:ascii="Times New Roman" w:hAnsi="Times New Roman"/>
          <w:bCs/>
          <w:iCs/>
          <w:color w:val="000000"/>
          <w:kern w:val="0"/>
          <w:sz w:val="20"/>
          <w:szCs w:val="20"/>
        </w:rPr>
        <w:t>incidence</w:t>
      </w:r>
      <w:r>
        <w:rPr>
          <w:rFonts w:ascii="Times New Roman" w:hAnsi="Times New Roman"/>
          <w:bCs/>
          <w:color w:val="000000"/>
          <w:kern w:val="0"/>
          <w:sz w:val="20"/>
          <w:szCs w:val="20"/>
        </w:rPr>
        <w:t xml:space="preserve"> of tobacco bacterial wilt and soil </w:t>
      </w:r>
      <w:r>
        <w:rPr>
          <w:rFonts w:ascii="Times New Roman" w:hAnsi="Times New Roman"/>
          <w:iCs/>
          <w:color w:val="000000"/>
          <w:kern w:val="0"/>
          <w:sz w:val="20"/>
          <w:szCs w:val="20"/>
        </w:rPr>
        <w:t>p</w:t>
      </w:r>
      <w:r>
        <w:rPr>
          <w:rFonts w:ascii="Times New Roman" w:hAnsi="Times New Roman"/>
          <w:bCs/>
          <w:color w:val="000000"/>
          <w:kern w:val="0"/>
          <w:sz w:val="20"/>
          <w:szCs w:val="20"/>
        </w:rPr>
        <w:t>hysicochemical properties</w:t>
      </w:r>
      <w:r>
        <w:rPr>
          <w:rFonts w:hint="eastAsia" w:ascii="Times New Roman" w:hAnsi="Times New Roman"/>
          <w:bCs/>
          <w:color w:val="000000"/>
          <w:kern w:val="0"/>
          <w:sz w:val="20"/>
          <w:szCs w:val="20"/>
        </w:rPr>
        <w:t>.</w:t>
      </w:r>
    </w:p>
    <w:tbl>
      <w:tblPr>
        <w:tblStyle w:val="3"/>
        <w:tblpPr w:leftFromText="180" w:rightFromText="180" w:vertAnchor="text" w:horzAnchor="page" w:tblpX="1778" w:tblpY="288"/>
        <w:tblOverlap w:val="never"/>
        <w:tblW w:w="837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992"/>
        <w:gridCol w:w="1134"/>
        <w:gridCol w:w="1134"/>
        <w:gridCol w:w="1134"/>
        <w:gridCol w:w="1134"/>
        <w:gridCol w:w="992"/>
        <w:gridCol w:w="8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pH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AN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AP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AK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OM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Ca</w:t>
            </w: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2+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Mg</w:t>
            </w: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2+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08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/>
                <w:b/>
                <w:bCs/>
                <w:color w:val="000000"/>
                <w:sz w:val="20"/>
                <w:szCs w:val="20"/>
              </w:rPr>
              <w:t>Pearson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−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**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−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928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**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−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734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**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200" w:firstLineChars="100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−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 xml:space="preserve"> 0.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925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**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−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0.127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en-US" w:eastAsia="zh-CN"/>
              </w:rPr>
              <w:t>308</w:t>
            </w:r>
          </w:p>
        </w:tc>
      </w:tr>
    </w:tbl>
    <w:p>
      <w:pPr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** indicate correlation is significant at </w:t>
      </w:r>
      <w:r>
        <w:rPr>
          <w:rFonts w:ascii="Times New Roman" w:hAnsi="Times New Roman"/>
          <w:i/>
          <w:iCs/>
          <w:color w:val="000000"/>
          <w:kern w:val="0"/>
          <w:sz w:val="20"/>
          <w:szCs w:val="20"/>
        </w:rPr>
        <w:t>p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 &lt; 0.01</w:t>
      </w:r>
    </w:p>
    <w:p>
      <w:pPr>
        <w:rPr>
          <w:rFonts w:ascii="Times New Roman" w:hAnsi="Times New Roman"/>
          <w:color w:val="000000"/>
          <w:kern w:val="0"/>
          <w:sz w:val="20"/>
          <w:szCs w:val="20"/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19" w:charSpace="0"/>
        </w:sectPr>
      </w:pPr>
    </w:p>
    <w:p>
      <w:pPr>
        <w:autoSpaceDE w:val="0"/>
        <w:rPr>
          <w:rFonts w:ascii="Times New Roman" w:hAnsi="Times New Roman"/>
          <w:bCs/>
          <w:color w:val="000000"/>
          <w:kern w:val="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 xml:space="preserve">Table </w:t>
      </w:r>
      <w:r>
        <w:rPr>
          <w:rFonts w:hint="eastAsia" w:ascii="Times New Roman" w:hAnsi="Times New Roman"/>
          <w:b/>
          <w:bCs/>
          <w:color w:val="000000"/>
          <w:kern w:val="0"/>
          <w:sz w:val="20"/>
          <w:szCs w:val="20"/>
        </w:rPr>
        <w:t>S</w:t>
      </w:r>
      <w:r>
        <w:rPr>
          <w:rFonts w:hint="eastAsia" w:ascii="Times New Roman" w:hAnsi="Times New Roman"/>
          <w:b/>
          <w:bCs/>
          <w:color w:val="000000"/>
          <w:kern w:val="0"/>
          <w:sz w:val="20"/>
          <w:szCs w:val="20"/>
          <w:lang w:val="en-US" w:eastAsia="zh-CN"/>
        </w:rPr>
        <w:t>2</w:t>
      </w:r>
      <w:r>
        <w:rPr>
          <w:rFonts w:ascii="Times New Roman" w:hAnsi="Times New Roman"/>
          <w:color w:val="000000"/>
          <w:sz w:val="20"/>
          <w:szCs w:val="20"/>
        </w:rPr>
        <w:t xml:space="preserve"> Alpha diversity index of bacterial and fungal</w:t>
      </w:r>
    </w:p>
    <w:tbl>
      <w:tblPr>
        <w:tblStyle w:val="3"/>
        <w:tblpPr w:leftFromText="180" w:rightFromText="180" w:vertAnchor="text" w:horzAnchor="page" w:tblpX="1535" w:tblpY="116"/>
        <w:tblOverlap w:val="never"/>
        <w:tblW w:w="10788" w:type="dxa"/>
        <w:tblInd w:w="0" w:type="dxa"/>
        <w:tblBorders>
          <w:top w:val="single" w:color="auto" w:sz="2" w:space="0"/>
          <w:left w:val="none" w:color="auto" w:sz="0" w:space="0"/>
          <w:bottom w:val="single" w:color="auto" w:sz="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1715"/>
        <w:gridCol w:w="1701"/>
        <w:gridCol w:w="1276"/>
        <w:gridCol w:w="1843"/>
        <w:gridCol w:w="1701"/>
        <w:gridCol w:w="1417"/>
      </w:tblGrid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135" w:type="dxa"/>
            <w:vMerge w:val="restart"/>
            <w:tcBorders>
              <w:top w:val="single" w:color="auto" w:sz="2" w:space="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Treatment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4692" w:type="dxa"/>
            <w:gridSpan w:val="3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Bacterial</w:t>
            </w:r>
          </w:p>
        </w:tc>
        <w:tc>
          <w:tcPr>
            <w:tcW w:w="4961" w:type="dxa"/>
            <w:gridSpan w:val="3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Fungal</w:t>
            </w: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135" w:type="dxa"/>
            <w:vMerge w:val="continue"/>
            <w:tcBorders>
              <w:top w:val="nil"/>
              <w:bottom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OTUs</w:t>
            </w:r>
          </w:p>
        </w:tc>
        <w:tc>
          <w:tcPr>
            <w:tcW w:w="170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Chao1</w:t>
            </w:r>
          </w:p>
        </w:tc>
        <w:tc>
          <w:tcPr>
            <w:tcW w:w="127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Shannon</w:t>
            </w:r>
          </w:p>
        </w:tc>
        <w:tc>
          <w:tcPr>
            <w:tcW w:w="184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OTUs</w:t>
            </w:r>
          </w:p>
        </w:tc>
        <w:tc>
          <w:tcPr>
            <w:tcW w:w="170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Chao1</w:t>
            </w:r>
          </w:p>
        </w:tc>
        <w:tc>
          <w:tcPr>
            <w:tcW w:w="141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Shannon</w:t>
            </w: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35" w:type="dxa"/>
            <w:tcBorders>
              <w:top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CK</w:t>
            </w:r>
          </w:p>
        </w:tc>
        <w:tc>
          <w:tcPr>
            <w:tcW w:w="1715" w:type="dxa"/>
            <w:tcBorders>
              <w:top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4008.67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167.71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tcBorders>
              <w:top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4564.51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243.46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9.37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843" w:type="dxa"/>
            <w:tcBorders>
              <w:top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1560.00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125.50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tcBorders>
              <w:top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6187.83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447.91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17" w:type="dxa"/>
            <w:tcBorders>
              <w:top w:val="single" w:color="auto" w:sz="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6.76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0.55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3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NaHS200</w:t>
            </w:r>
          </w:p>
        </w:tc>
        <w:tc>
          <w:tcPr>
            <w:tcW w:w="171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.67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114.92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4381.37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117.48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9.31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1346.33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139.23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5197.75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519.69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ab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6.09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3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NaHS400</w:t>
            </w:r>
          </w:p>
        </w:tc>
        <w:tc>
          <w:tcPr>
            <w:tcW w:w="171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3068.33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78.02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3542.61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56.88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7.97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1050.00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136.12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4612.74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509.97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bc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</w:t>
            </w: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3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NaHS600</w:t>
            </w:r>
          </w:p>
        </w:tc>
        <w:tc>
          <w:tcPr>
            <w:tcW w:w="171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2261.00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117.00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2601.78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164.18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7.57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0.48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930.33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14.29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3655.60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389.62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4.45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</w:t>
            </w: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3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NaHS800</w:t>
            </w:r>
          </w:p>
        </w:tc>
        <w:tc>
          <w:tcPr>
            <w:tcW w:w="171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2476.33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62.96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2833.72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94.92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8.25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949.33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22.85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3844.66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89.54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bc</w:t>
            </w:r>
          </w:p>
        </w:tc>
      </w:tr>
    </w:tbl>
    <w:p>
      <w:pPr>
        <w:rPr>
          <w:rFonts w:ascii="Times New Roman" w:hAnsi="Times New Roman"/>
          <w:color w:val="000000"/>
          <w:sz w:val="18"/>
          <w:szCs w:val="18"/>
        </w:rPr>
      </w:pPr>
    </w:p>
    <w:p>
      <w:pPr>
        <w:rPr>
          <w:rFonts w:ascii="Times New Roman" w:hAnsi="Times New Roman"/>
          <w:color w:val="000000"/>
          <w:sz w:val="18"/>
          <w:szCs w:val="18"/>
        </w:rPr>
      </w:pPr>
    </w:p>
    <w:p>
      <w:pPr>
        <w:rPr>
          <w:rFonts w:ascii="Times New Roman" w:hAnsi="Times New Roman"/>
          <w:color w:val="000000"/>
          <w:sz w:val="18"/>
          <w:szCs w:val="18"/>
        </w:rPr>
      </w:pPr>
    </w:p>
    <w:p>
      <w:pPr>
        <w:rPr>
          <w:rFonts w:ascii="Times New Roman" w:hAnsi="Times New Roman"/>
          <w:color w:val="000000"/>
          <w:sz w:val="18"/>
          <w:szCs w:val="18"/>
        </w:rPr>
      </w:pPr>
    </w:p>
    <w:p>
      <w:pPr>
        <w:rPr>
          <w:rFonts w:ascii="Times New Roman" w:hAnsi="Times New Roman"/>
          <w:color w:val="000000"/>
          <w:sz w:val="18"/>
          <w:szCs w:val="18"/>
        </w:rPr>
      </w:pPr>
    </w:p>
    <w:p>
      <w:pPr>
        <w:rPr>
          <w:rFonts w:ascii="Times New Roman" w:hAnsi="Times New Roman"/>
          <w:color w:val="000000"/>
          <w:sz w:val="18"/>
          <w:szCs w:val="18"/>
        </w:rPr>
      </w:pPr>
    </w:p>
    <w:p>
      <w:pPr>
        <w:rPr>
          <w:rFonts w:ascii="Times New Roman" w:hAnsi="Times New Roman"/>
          <w:color w:val="000000"/>
          <w:sz w:val="18"/>
          <w:szCs w:val="18"/>
        </w:rPr>
      </w:pPr>
    </w:p>
    <w:p>
      <w:pPr>
        <w:rPr>
          <w:rFonts w:ascii="Times New Roman" w:hAnsi="Times New Roman"/>
          <w:color w:val="000000"/>
          <w:sz w:val="18"/>
          <w:szCs w:val="18"/>
        </w:rPr>
      </w:pPr>
    </w:p>
    <w:p>
      <w:pPr>
        <w:rPr>
          <w:rFonts w:ascii="Times New Roman" w:hAnsi="Times New Roman"/>
          <w:color w:val="000000"/>
          <w:sz w:val="18"/>
          <w:szCs w:val="18"/>
        </w:rPr>
      </w:pPr>
    </w:p>
    <w:p>
      <w:pPr>
        <w:rPr>
          <w:rFonts w:hint="eastAsia" w:ascii="Times New Roman" w:hAnsi="Times New Roman" w:eastAsia="宋体"/>
          <w:color w:val="000000"/>
          <w:sz w:val="18"/>
          <w:szCs w:val="18"/>
          <w:lang w:val="en-US" w:eastAsia="zh-CN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/>
          <w:color w:val="000000"/>
          <w:sz w:val="18"/>
          <w:szCs w:val="18"/>
        </w:rPr>
        <w:t>All data are represented as the means ± SE. The different letters in the same column indicate significant differences</w:t>
      </w:r>
      <w:r>
        <w:rPr>
          <w:rFonts w:hint="eastAsia" w:ascii="Times New Roman" w:hAnsi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 xml:space="preserve">at </w:t>
      </w:r>
      <w:r>
        <w:rPr>
          <w:rFonts w:ascii="Times New Roman" w:hAnsi="Times New Roman"/>
          <w:i/>
          <w:color w:val="000000"/>
          <w:sz w:val="18"/>
          <w:szCs w:val="18"/>
        </w:rPr>
        <w:t>p</w:t>
      </w:r>
      <w:r>
        <w:rPr>
          <w:rFonts w:ascii="Times New Roman" w:hAnsi="Times New Roman"/>
          <w:color w:val="000000"/>
          <w:sz w:val="18"/>
          <w:szCs w:val="18"/>
        </w:rPr>
        <w:t xml:space="preserve"> &lt; 0.05 according to LSD test</w:t>
      </w:r>
      <w:r>
        <w:rPr>
          <w:rFonts w:hint="eastAsia" w:ascii="Times New Roman" w:hAnsi="Times New Roman"/>
          <w:color w:val="000000"/>
          <w:sz w:val="18"/>
          <w:szCs w:val="18"/>
          <w:lang w:val="en-US" w:eastAsia="zh-CN"/>
        </w:rPr>
        <w:t>.</w:t>
      </w:r>
    </w:p>
    <w:p>
      <w:pPr>
        <w:rPr>
          <w:rFonts w:ascii="Times New Roman" w:hAnsi="Times New Roman"/>
          <w:color w:val="000000"/>
          <w:kern w:val="0"/>
          <w:sz w:val="20"/>
          <w:szCs w:val="20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27346"/>
    <w:rsid w:val="00017489"/>
    <w:rsid w:val="0022683D"/>
    <w:rsid w:val="00236FA1"/>
    <w:rsid w:val="003F2E75"/>
    <w:rsid w:val="00451671"/>
    <w:rsid w:val="005565C9"/>
    <w:rsid w:val="00583AC1"/>
    <w:rsid w:val="00714FFF"/>
    <w:rsid w:val="00726E60"/>
    <w:rsid w:val="008A506C"/>
    <w:rsid w:val="00913549"/>
    <w:rsid w:val="0099311E"/>
    <w:rsid w:val="00995901"/>
    <w:rsid w:val="009A6FB2"/>
    <w:rsid w:val="00AF0C46"/>
    <w:rsid w:val="00B13CBD"/>
    <w:rsid w:val="00C17404"/>
    <w:rsid w:val="00D7460D"/>
    <w:rsid w:val="00F03806"/>
    <w:rsid w:val="00F96E12"/>
    <w:rsid w:val="00FE5E62"/>
    <w:rsid w:val="00FF404D"/>
    <w:rsid w:val="024C296E"/>
    <w:rsid w:val="05657651"/>
    <w:rsid w:val="0639171B"/>
    <w:rsid w:val="0B135EAA"/>
    <w:rsid w:val="0EF84DB9"/>
    <w:rsid w:val="131D308B"/>
    <w:rsid w:val="18260300"/>
    <w:rsid w:val="1A654D43"/>
    <w:rsid w:val="1D6A01FF"/>
    <w:rsid w:val="22442748"/>
    <w:rsid w:val="2C622A11"/>
    <w:rsid w:val="367C4FED"/>
    <w:rsid w:val="3803529B"/>
    <w:rsid w:val="3C591138"/>
    <w:rsid w:val="3C7B1A54"/>
    <w:rsid w:val="41451B4E"/>
    <w:rsid w:val="4D29209E"/>
    <w:rsid w:val="4DC179D6"/>
    <w:rsid w:val="56AD3AC9"/>
    <w:rsid w:val="5880100E"/>
    <w:rsid w:val="5E372349"/>
    <w:rsid w:val="5E4A368D"/>
    <w:rsid w:val="63C86897"/>
    <w:rsid w:val="682808D0"/>
    <w:rsid w:val="6AE32271"/>
    <w:rsid w:val="6FC6613A"/>
    <w:rsid w:val="733D3E39"/>
    <w:rsid w:val="73427346"/>
    <w:rsid w:val="76AB4043"/>
    <w:rsid w:val="78B21986"/>
    <w:rsid w:val="7ABB13B3"/>
    <w:rsid w:val="7CD60277"/>
    <w:rsid w:val="7F17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批注框文本 Char"/>
    <w:basedOn w:val="4"/>
    <w:link w:val="2"/>
    <w:qFormat/>
    <w:uiPriority w:val="0"/>
    <w:rPr>
      <w:rFonts w:ascii="Calibri" w:hAnsi="Calibri"/>
      <w:kern w:val="2"/>
      <w:sz w:val="18"/>
      <w:szCs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8">
    <w:name w:val="MDPI_6.2_BackMatter"/>
    <w:qFormat/>
    <w:uiPriority w:val="0"/>
    <w:pPr>
      <w:adjustRightInd w:val="0"/>
      <w:snapToGrid w:val="0"/>
      <w:spacing w:after="120"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168</Words>
  <Characters>963</Characters>
  <Lines>8</Lines>
  <Paragraphs>2</Paragraphs>
  <TotalTime>0</TotalTime>
  <ScaleCrop>false</ScaleCrop>
  <LinksUpToDate>false</LinksUpToDate>
  <CharactersWithSpaces>1129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2020-10-05T08:46:00Z</dcterms:created>
  <dc:creator>123</dc:creator>
  <cp:lastModifiedBy>123</cp:lastModifiedBy>
  <dcterms:modified xsi:type="dcterms:W3CDTF">2021-04-26T09:00:36Z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