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6E744A" w14:textId="77777777" w:rsidR="007E03BB" w:rsidRPr="00147558" w:rsidRDefault="007E03BB" w:rsidP="007E03BB">
      <w:pPr>
        <w:rPr>
          <w:lang w:val="en-GB"/>
        </w:rPr>
      </w:pPr>
      <w:r w:rsidRPr="00147558">
        <w:rPr>
          <w:noProof/>
          <w:lang w:val="en-GB"/>
        </w:rPr>
        <w:drawing>
          <wp:inline distT="0" distB="0" distL="0" distR="0" wp14:anchorId="06212560" wp14:editId="40A3784A">
            <wp:extent cx="6750050" cy="9546590"/>
            <wp:effectExtent l="0" t="0" r="0" b="0"/>
            <wp:docPr id="1162886351" name="图片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886351" name="图片 3" descr="A screenshot of a computer scree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50520" cy="9546796"/>
                    </a:xfrm>
                    <a:prstGeom prst="rect">
                      <a:avLst/>
                    </a:prstGeom>
                    <a:noFill/>
                    <a:ln>
                      <a:noFill/>
                    </a:ln>
                  </pic:spPr>
                </pic:pic>
              </a:graphicData>
            </a:graphic>
          </wp:inline>
        </w:drawing>
      </w:r>
    </w:p>
    <w:p w14:paraId="647035B0" w14:textId="77777777" w:rsidR="007E03BB" w:rsidRPr="00147558" w:rsidRDefault="007E03BB" w:rsidP="007E03BB">
      <w:pPr>
        <w:rPr>
          <w:rFonts w:eastAsiaTheme="minorEastAsia"/>
        </w:rPr>
      </w:pPr>
      <w:r w:rsidRPr="00147558">
        <w:lastRenderedPageBreak/>
        <w:t xml:space="preserve">Extended Data Figure 1. </w:t>
      </w:r>
      <w:r w:rsidRPr="00147558">
        <w:rPr>
          <w:color w:val="222222"/>
        </w:rPr>
        <w:t>Clinical efficacy.</w:t>
      </w:r>
      <w:r w:rsidRPr="00147558">
        <w:t xml:space="preserve"> (A) Swimmer plot showing treatment regimen in the neoadjuvant setting, surgery, and follow-up status, per patient. (B) Waterfall plot of maximum percent change in tumor size, from baseline, as measured according to RECIST v1.1. CR, complete response, PR, partial response, SD stable disease, PD, progressive disease.</w:t>
      </w:r>
      <w:r w:rsidRPr="00147558">
        <w:rPr>
          <w:rFonts w:eastAsiaTheme="minorEastAsia"/>
        </w:rPr>
        <w:t xml:space="preserve"> </w:t>
      </w:r>
      <w:r w:rsidRPr="00147558">
        <w:t>(C) Representative, radiologic response, endoscopic response, and pathologic response, before and after neoadjuvant treatment. (D) Path changes between initial clinical stages of patients and treatment responses. The first column represents the initial clinical staging of patients, ranging from IIA to IIIC. The second column reflects pathological responses to treatment, with tumor regression grade TRG0 to TRG3 denoting a scale from no residual tumor cells to a high proportion of tumor cells remaining. The third column shows post-treatment clinical outcomes by RECIST 1.1 criteria. The last column shows endoscopic response or non-response.</w:t>
      </w:r>
    </w:p>
    <w:p w14:paraId="3FC8960D" w14:textId="77777777" w:rsidR="007E03BB" w:rsidRPr="00147558" w:rsidRDefault="007E03BB" w:rsidP="007E03BB"/>
    <w:p w14:paraId="0D3146E5" w14:textId="77777777" w:rsidR="007E03BB" w:rsidRPr="00147558" w:rsidRDefault="007E03BB" w:rsidP="007E03BB">
      <w:r w:rsidRPr="00147558">
        <w:rPr>
          <w:noProof/>
        </w:rPr>
        <w:lastRenderedPageBreak/>
        <w:drawing>
          <wp:inline distT="0" distB="0" distL="0" distR="0" wp14:anchorId="5A4A935C" wp14:editId="7A042083">
            <wp:extent cx="6644640" cy="6927850"/>
            <wp:effectExtent l="0" t="0" r="0" b="0"/>
            <wp:docPr id="367769951" name="图片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769951" name="图片 4" descr="A screenshot of a computer&#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b="26340"/>
                    <a:stretch>
                      <a:fillRect/>
                    </a:stretch>
                  </pic:blipFill>
                  <pic:spPr>
                    <a:xfrm>
                      <a:off x="0" y="0"/>
                      <a:ext cx="6645115" cy="6927989"/>
                    </a:xfrm>
                    <a:prstGeom prst="rect">
                      <a:avLst/>
                    </a:prstGeom>
                    <a:noFill/>
                    <a:ln>
                      <a:noFill/>
                    </a:ln>
                  </pic:spPr>
                </pic:pic>
              </a:graphicData>
            </a:graphic>
          </wp:inline>
        </w:drawing>
      </w:r>
    </w:p>
    <w:p w14:paraId="36796E52" w14:textId="77777777" w:rsidR="007E03BB" w:rsidRPr="00147558" w:rsidRDefault="007E03BB" w:rsidP="007E03BB"/>
    <w:p w14:paraId="6B8A234B" w14:textId="77777777" w:rsidR="007E03BB" w:rsidRPr="00147558" w:rsidRDefault="007E03BB" w:rsidP="007E03BB">
      <w:pPr>
        <w:rPr>
          <w:rFonts w:eastAsiaTheme="minorEastAsia"/>
        </w:rPr>
      </w:pPr>
      <w:r w:rsidRPr="00147558">
        <w:t>Extended Data Figure 2. Mutational landscape of LARC. (A)</w:t>
      </w:r>
      <w:r w:rsidRPr="00147558">
        <w:rPr>
          <w:rFonts w:eastAsiaTheme="minorEastAsia"/>
        </w:rPr>
        <w:t xml:space="preserve"> </w:t>
      </w:r>
      <w:r w:rsidRPr="00147558">
        <w:t xml:space="preserve">Overview of cohort (n = 30) showing proportion of mutational signatures, TMB per megabase, number of somatic SNVs and somatic indels, percent of genomic CNVs, tumor purity, clinical </w:t>
      </w:r>
      <w:r w:rsidRPr="00147558">
        <w:lastRenderedPageBreak/>
        <w:t>data, and consensus molecular subtypes (CMSs).</w:t>
      </w:r>
      <w:r w:rsidRPr="00147558">
        <w:rPr>
          <w:rFonts w:eastAsiaTheme="minorEastAsia"/>
        </w:rPr>
        <w:t xml:space="preserve"> </w:t>
      </w:r>
      <w:r w:rsidRPr="00147558">
        <w:t>(B)</w:t>
      </w:r>
      <w:r w:rsidRPr="00147558">
        <w:rPr>
          <w:rFonts w:eastAsiaTheme="minorEastAsia"/>
        </w:rPr>
        <w:t xml:space="preserve"> </w:t>
      </w:r>
      <w:r w:rsidRPr="00147558">
        <w:t>Box plots of TMBs, CNVs, somatic indels, and somatic SNVs, in responders and non-responders. (C)</w:t>
      </w:r>
      <w:r w:rsidRPr="00147558">
        <w:rPr>
          <w:rFonts w:eastAsiaTheme="minorEastAsia"/>
        </w:rPr>
        <w:t xml:space="preserve"> </w:t>
      </w:r>
      <w:r w:rsidRPr="00147558">
        <w:t>Number of predicted tumors neoantigen burdens (TNBs).</w:t>
      </w:r>
      <w:r w:rsidRPr="00147558">
        <w:rPr>
          <w:rFonts w:eastAsiaTheme="minorEastAsia"/>
        </w:rPr>
        <w:t xml:space="preserve"> </w:t>
      </w:r>
      <w:r w:rsidRPr="00147558">
        <w:t>WB, weak binding level</w:t>
      </w:r>
      <w:r w:rsidRPr="00147558">
        <w:rPr>
          <w:rFonts w:eastAsia="SimSun"/>
        </w:rPr>
        <w:t xml:space="preserve">, </w:t>
      </w:r>
      <w:r w:rsidRPr="00147558">
        <w:t>SB,</w:t>
      </w:r>
      <w:r w:rsidRPr="00147558">
        <w:rPr>
          <w:rFonts w:eastAsiaTheme="minorEastAsia"/>
        </w:rPr>
        <w:t xml:space="preserve"> </w:t>
      </w:r>
      <w:r w:rsidRPr="00147558">
        <w:t>strong binding level. (D)</w:t>
      </w:r>
      <w:r w:rsidRPr="00147558">
        <w:rPr>
          <w:rFonts w:eastAsiaTheme="minorEastAsia"/>
        </w:rPr>
        <w:t xml:space="preserve"> </w:t>
      </w:r>
      <w:r w:rsidRPr="00147558">
        <w:t>Box plots of the predicted TNBs in responders and non-responders.</w:t>
      </w:r>
      <w:r w:rsidRPr="00147558">
        <w:rPr>
          <w:rFonts w:eastAsiaTheme="minorEastAsia"/>
        </w:rPr>
        <w:t xml:space="preserve"> For all boxplots, P values were calculated based on two-sided Wilcoxon tests.</w:t>
      </w:r>
    </w:p>
    <w:p w14:paraId="2D78D67B" w14:textId="77777777" w:rsidR="007E03BB" w:rsidRDefault="007E03BB" w:rsidP="007E03BB">
      <w:pPr>
        <w:spacing w:line="240" w:lineRule="auto"/>
        <w:jc w:val="left"/>
      </w:pPr>
      <w:r>
        <w:br w:type="page"/>
      </w:r>
    </w:p>
    <w:p w14:paraId="0FC8E542" w14:textId="77777777" w:rsidR="007E03BB" w:rsidRDefault="007E03BB" w:rsidP="007E03BB">
      <w:pPr>
        <w:spacing w:line="240" w:lineRule="auto"/>
        <w:jc w:val="left"/>
      </w:pPr>
      <w:r w:rsidRPr="00147558">
        <w:rPr>
          <w:noProof/>
        </w:rPr>
        <w:lastRenderedPageBreak/>
        <w:drawing>
          <wp:inline distT="0" distB="0" distL="0" distR="0" wp14:anchorId="0B60379B" wp14:editId="0541EC16">
            <wp:extent cx="6305550" cy="8907477"/>
            <wp:effectExtent l="0" t="0" r="0" b="8255"/>
            <wp:docPr id="135800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0010" name="图片 6"/>
                    <pic:cNvPicPr>
                      <a:picLocks noChangeAspect="1" noChangeArrowheads="1"/>
                    </pic:cNvPicPr>
                  </pic:nvPicPr>
                  <pic:blipFill>
                    <a:blip r:embed="rId6" cstate="print">
                      <a:extLst>
                        <a:ext uri="{28A0092B-C50C-407E-A947-70E740481C1C}">
                          <a14:useLocalDpi xmlns:a14="http://schemas.microsoft.com/office/drawing/2010/main" val="0"/>
                        </a:ext>
                      </a:extLst>
                    </a:blip>
                    <a:srcRect t="1709" r="9566" b="7955"/>
                    <a:stretch>
                      <a:fillRect/>
                    </a:stretch>
                  </pic:blipFill>
                  <pic:spPr>
                    <a:xfrm>
                      <a:off x="0" y="0"/>
                      <a:ext cx="6328503" cy="8939901"/>
                    </a:xfrm>
                    <a:prstGeom prst="rect">
                      <a:avLst/>
                    </a:prstGeom>
                    <a:noFill/>
                    <a:ln>
                      <a:noFill/>
                    </a:ln>
                  </pic:spPr>
                </pic:pic>
              </a:graphicData>
            </a:graphic>
          </wp:inline>
        </w:drawing>
      </w:r>
    </w:p>
    <w:p w14:paraId="290FCDC6" w14:textId="77777777" w:rsidR="007E03BB" w:rsidRDefault="007E03BB" w:rsidP="007E03BB">
      <w:r w:rsidRPr="00E24AE3">
        <w:lastRenderedPageBreak/>
        <w:t>Extended Data Figure 3. IMC workflow. (A) Illustration of the data acquisition workflow used for IMC. (B) Antibody panel targeting 33 protein markers. (C) Representative images of protein expression.</w:t>
      </w:r>
    </w:p>
    <w:p w14:paraId="5E55F2A1" w14:textId="77777777" w:rsidR="007E03BB" w:rsidRDefault="007E03BB" w:rsidP="007E03BB">
      <w:pPr>
        <w:rPr>
          <w:noProof/>
          <w:lang w:val="en-GB"/>
        </w:rPr>
      </w:pPr>
    </w:p>
    <w:p w14:paraId="2249F231" w14:textId="77777777" w:rsidR="007E03BB" w:rsidRDefault="007E03BB" w:rsidP="007E03BB">
      <w:pPr>
        <w:rPr>
          <w:noProof/>
          <w:lang w:val="en-GB"/>
        </w:rPr>
      </w:pPr>
    </w:p>
    <w:p w14:paraId="09DD0444" w14:textId="77777777" w:rsidR="007E03BB" w:rsidRDefault="007E03BB" w:rsidP="007E03BB">
      <w:pPr>
        <w:rPr>
          <w:noProof/>
          <w:lang w:val="en-GB"/>
        </w:rPr>
      </w:pPr>
    </w:p>
    <w:p w14:paraId="7EF95C99" w14:textId="77777777" w:rsidR="007E03BB" w:rsidRDefault="007E03BB" w:rsidP="007E03BB">
      <w:r w:rsidRPr="00147558">
        <w:rPr>
          <w:noProof/>
          <w:lang w:val="en-GB"/>
        </w:rPr>
        <w:lastRenderedPageBreak/>
        <w:drawing>
          <wp:inline distT="0" distB="0" distL="0" distR="0" wp14:anchorId="4D0AB300" wp14:editId="2E81EAE1">
            <wp:extent cx="6420229" cy="7175073"/>
            <wp:effectExtent l="0" t="0" r="0" b="6985"/>
            <wp:docPr id="15795143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514322" name="图片 7"/>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306" b="20720"/>
                    <a:stretch/>
                  </pic:blipFill>
                  <pic:spPr>
                    <a:xfrm>
                      <a:off x="0" y="0"/>
                      <a:ext cx="6420229" cy="7175073"/>
                    </a:xfrm>
                    <a:prstGeom prst="rect">
                      <a:avLst/>
                    </a:prstGeom>
                    <a:noFill/>
                    <a:ln>
                      <a:noFill/>
                    </a:ln>
                  </pic:spPr>
                </pic:pic>
              </a:graphicData>
            </a:graphic>
          </wp:inline>
        </w:drawing>
      </w:r>
    </w:p>
    <w:p w14:paraId="3F6246C1" w14:textId="77777777" w:rsidR="007E03BB" w:rsidRPr="00147558" w:rsidRDefault="007E03BB" w:rsidP="007E03BB">
      <w:pPr>
        <w:rPr>
          <w:rFonts w:eastAsiaTheme="minorEastAsia"/>
        </w:rPr>
      </w:pPr>
      <w:r w:rsidRPr="00147558">
        <w:t xml:space="preserve">Extended Data Figure 4. </w:t>
      </w:r>
      <w:bookmarkStart w:id="0" w:name="_Hlk170338229"/>
      <w:r w:rsidRPr="00147558">
        <w:t>Clusters and composition of the LARC immune microenvironment. (A)</w:t>
      </w:r>
      <w:r w:rsidRPr="00147558">
        <w:rPr>
          <w:rFonts w:eastAsiaTheme="minorEastAsia"/>
        </w:rPr>
        <w:t xml:space="preserve"> </w:t>
      </w:r>
      <w:r w:rsidRPr="00147558">
        <w:t xml:space="preserve">UMAP projection of immune cells, using identity marker expression. Cells were categorized and labeled, according to cell types identified </w:t>
      </w:r>
      <w:r w:rsidRPr="00147558">
        <w:lastRenderedPageBreak/>
        <w:t>through clustering. (B)</w:t>
      </w:r>
      <w:r w:rsidRPr="00147558">
        <w:rPr>
          <w:rFonts w:eastAsiaTheme="minorEastAsia"/>
        </w:rPr>
        <w:t xml:space="preserve"> </w:t>
      </w:r>
      <w:r w:rsidRPr="00147558">
        <w:t>Heatmap of the mean intensity of each identity marker for each immune cell type. (C)</w:t>
      </w:r>
      <w:r w:rsidRPr="00147558">
        <w:rPr>
          <w:rFonts w:eastAsiaTheme="minorEastAsia"/>
        </w:rPr>
        <w:t xml:space="preserve"> </w:t>
      </w:r>
      <w:r w:rsidRPr="00147558">
        <w:t>UMAP projection of non-immune cells using identity marker expression. Cells were categorized and labeled according to the cell types identified through clustering. (D)</w:t>
      </w:r>
      <w:r w:rsidRPr="00147558">
        <w:rPr>
          <w:rFonts w:eastAsiaTheme="minorEastAsia"/>
        </w:rPr>
        <w:t xml:space="preserve"> </w:t>
      </w:r>
      <w:r w:rsidRPr="00147558">
        <w:t>Heatmap of the mean intensity of each identity marker, for each non-immune cell type. (E) Total proportion of cells identified for each cell type in responders. (F) Total proportion of cells identified for each cell type in non-responders.</w:t>
      </w:r>
    </w:p>
    <w:bookmarkEnd w:id="0"/>
    <w:p w14:paraId="3841269E" w14:textId="77777777" w:rsidR="007E03BB" w:rsidRPr="00E24AE3" w:rsidRDefault="007E03BB" w:rsidP="007E03BB"/>
    <w:p w14:paraId="36734055" w14:textId="77777777" w:rsidR="007E03BB" w:rsidRDefault="007E03BB" w:rsidP="007E03BB">
      <w:pPr>
        <w:spacing w:line="240" w:lineRule="auto"/>
        <w:jc w:val="left"/>
      </w:pPr>
      <w:r>
        <w:br w:type="page"/>
      </w:r>
    </w:p>
    <w:p w14:paraId="7E77DAE9" w14:textId="77777777" w:rsidR="007E03BB" w:rsidRDefault="007E03BB" w:rsidP="007E03BB">
      <w:r w:rsidRPr="00147558">
        <w:rPr>
          <w:noProof/>
        </w:rPr>
        <w:lastRenderedPageBreak/>
        <w:drawing>
          <wp:inline distT="0" distB="0" distL="0" distR="0" wp14:anchorId="491C9873" wp14:editId="69113E07">
            <wp:extent cx="6409071" cy="5734050"/>
            <wp:effectExtent l="0" t="0" r="0" b="0"/>
            <wp:docPr id="1075225282" name="图片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225282" name="图片 2" descr="A screenshot of a cell phone&#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906" b="31794"/>
                    <a:stretch/>
                  </pic:blipFill>
                  <pic:spPr>
                    <a:xfrm>
                      <a:off x="0" y="0"/>
                      <a:ext cx="6412298" cy="5736937"/>
                    </a:xfrm>
                    <a:prstGeom prst="rect">
                      <a:avLst/>
                    </a:prstGeom>
                    <a:noFill/>
                    <a:ln>
                      <a:noFill/>
                    </a:ln>
                  </pic:spPr>
                </pic:pic>
              </a:graphicData>
            </a:graphic>
          </wp:inline>
        </w:drawing>
      </w:r>
    </w:p>
    <w:p w14:paraId="57161B46" w14:textId="77777777" w:rsidR="007E03BB" w:rsidRPr="00147558" w:rsidRDefault="007E03BB" w:rsidP="007E03BB">
      <w:r w:rsidRPr="00147558">
        <w:t>Extended Data Figure 5. Schematic representation of the TME showing the spatial distribution and interactions in responders and non-responders. (A)</w:t>
      </w:r>
      <w:r w:rsidRPr="00147558">
        <w:rPr>
          <w:rFonts w:eastAsiaTheme="minorEastAsia"/>
        </w:rPr>
        <w:t xml:space="preserve"> I</w:t>
      </w:r>
      <w:r w:rsidRPr="00147558">
        <w:t>n responder</w:t>
      </w:r>
      <w:r w:rsidRPr="00147558">
        <w:rPr>
          <w:rFonts w:eastAsiaTheme="minorEastAsia"/>
        </w:rPr>
        <w:t>s,</w:t>
      </w:r>
      <w:r w:rsidRPr="00147558">
        <w:t xml:space="preserve"> </w:t>
      </w:r>
      <w:r w:rsidRPr="00147558">
        <w:rPr>
          <w:rFonts w:eastAsiaTheme="minorEastAsia"/>
        </w:rPr>
        <w:t>m</w:t>
      </w:r>
      <w:r w:rsidRPr="00147558">
        <w:t>ore M1 macrophages were present</w:t>
      </w:r>
      <w:r w:rsidRPr="00147558">
        <w:rPr>
          <w:rFonts w:eastAsiaTheme="minorEastAsia"/>
        </w:rPr>
        <w:t>.</w:t>
      </w:r>
      <w:r w:rsidRPr="00147558">
        <w:t xml:space="preserve"> (B) In non-responders, the TME contained more </w:t>
      </w:r>
      <w:r w:rsidRPr="00147558">
        <w:rPr>
          <w:rFonts w:eastAsia="DengXian"/>
        </w:rPr>
        <w:t>Ki67</w:t>
      </w:r>
      <w:r w:rsidRPr="00147558">
        <w:rPr>
          <w:rFonts w:eastAsia="DengXian"/>
          <w:vertAlign w:val="superscript"/>
        </w:rPr>
        <w:t>hi</w:t>
      </w:r>
      <w:r w:rsidRPr="00147558">
        <w:t xml:space="preserve"> tumor epithelial cells, in the tumor periphery. (C) Fewer PD-L1</w:t>
      </w:r>
      <w:r w:rsidRPr="00147558">
        <w:rPr>
          <w:vertAlign w:val="superscript"/>
        </w:rPr>
        <w:t>+</w:t>
      </w:r>
      <w:r w:rsidRPr="00147558">
        <w:t xml:space="preserve"> MyoCAFs </w:t>
      </w:r>
      <w:r w:rsidRPr="00147558">
        <w:rPr>
          <w:rFonts w:eastAsiaTheme="minorEastAsia"/>
        </w:rPr>
        <w:t>were</w:t>
      </w:r>
      <w:r w:rsidRPr="00147558">
        <w:t xml:space="preserve"> distributed close to tumor cells</w:t>
      </w:r>
      <w:r w:rsidRPr="00147558">
        <w:rPr>
          <w:rFonts w:eastAsiaTheme="minorEastAsia"/>
        </w:rPr>
        <w:t xml:space="preserve"> in responders</w:t>
      </w:r>
      <w:r w:rsidRPr="00147558">
        <w:t>, facilitating interaction between CD8</w:t>
      </w:r>
      <w:r w:rsidRPr="00147558">
        <w:rPr>
          <w:vertAlign w:val="superscript"/>
        </w:rPr>
        <w:t>+</w:t>
      </w:r>
      <w:r w:rsidRPr="00147558">
        <w:t xml:space="preserve"> T cells and tumor cells</w:t>
      </w:r>
      <w:r w:rsidRPr="00147558">
        <w:rPr>
          <w:rFonts w:eastAsiaTheme="minorEastAsia"/>
        </w:rPr>
        <w:t>,</w:t>
      </w:r>
      <w:r w:rsidRPr="00147558">
        <w:t xml:space="preserve"> </w:t>
      </w:r>
      <w:r w:rsidRPr="00147558">
        <w:rPr>
          <w:rFonts w:eastAsiaTheme="minorEastAsia"/>
        </w:rPr>
        <w:t xml:space="preserve">activating the TME more easily after treatment. </w:t>
      </w:r>
      <w:r w:rsidRPr="00147558">
        <w:t xml:space="preserve">(D) </w:t>
      </w:r>
      <w:r w:rsidRPr="00147558">
        <w:rPr>
          <w:rFonts w:eastAsiaTheme="minorEastAsia"/>
        </w:rPr>
        <w:t>I</w:t>
      </w:r>
      <w:r w:rsidRPr="00147558">
        <w:t>n non-responder</w:t>
      </w:r>
      <w:r w:rsidRPr="00147558">
        <w:rPr>
          <w:rFonts w:eastAsiaTheme="minorEastAsia"/>
        </w:rPr>
        <w:t xml:space="preserve">s, an increased distribution of </w:t>
      </w:r>
      <w:r w:rsidRPr="00147558">
        <w:t>PD-L1</w:t>
      </w:r>
      <w:r w:rsidRPr="00147558">
        <w:rPr>
          <w:vertAlign w:val="superscript"/>
        </w:rPr>
        <w:t>+</w:t>
      </w:r>
      <w:r w:rsidRPr="00147558">
        <w:t>MyoCAF</w:t>
      </w:r>
      <w:r w:rsidRPr="00147558">
        <w:rPr>
          <w:rFonts w:eastAsiaTheme="minorEastAsia"/>
        </w:rPr>
        <w:t xml:space="preserve">s, </w:t>
      </w:r>
      <w:r w:rsidRPr="00147558">
        <w:rPr>
          <w:rFonts w:eastAsiaTheme="minorEastAsia"/>
        </w:rPr>
        <w:lastRenderedPageBreak/>
        <w:t xml:space="preserve">close to tumor cells, </w:t>
      </w:r>
      <w:r w:rsidRPr="00147558">
        <w:t>prevented</w:t>
      </w:r>
      <w:r w:rsidRPr="00147558">
        <w:rPr>
          <w:rFonts w:eastAsiaTheme="minorEastAsia"/>
        </w:rPr>
        <w:t xml:space="preserve"> CD8</w:t>
      </w:r>
      <w:r w:rsidRPr="00147558">
        <w:rPr>
          <w:rFonts w:eastAsiaTheme="minorEastAsia"/>
          <w:vertAlign w:val="superscript"/>
        </w:rPr>
        <w:t xml:space="preserve">+ </w:t>
      </w:r>
      <w:r w:rsidRPr="00147558">
        <w:rPr>
          <w:rFonts w:eastAsiaTheme="minorEastAsia"/>
        </w:rPr>
        <w:t>T cell</w:t>
      </w:r>
      <w:r w:rsidRPr="00147558">
        <w:t xml:space="preserve"> interactions with tumor cells</w:t>
      </w:r>
      <w:r w:rsidRPr="00147558">
        <w:rPr>
          <w:rFonts w:eastAsiaTheme="minorEastAsia"/>
        </w:rPr>
        <w:t>, making CD8</w:t>
      </w:r>
      <w:r w:rsidRPr="00147558">
        <w:rPr>
          <w:rFonts w:eastAsiaTheme="minorEastAsia"/>
          <w:vertAlign w:val="superscript"/>
        </w:rPr>
        <w:t xml:space="preserve">+ </w:t>
      </w:r>
      <w:r w:rsidRPr="00147558">
        <w:rPr>
          <w:rFonts w:eastAsiaTheme="minorEastAsia"/>
        </w:rPr>
        <w:t xml:space="preserve">T more likely to </w:t>
      </w:r>
      <w:r w:rsidRPr="00147558">
        <w:t>become exhausted.</w:t>
      </w:r>
    </w:p>
    <w:p w14:paraId="5A21C690"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3BB"/>
    <w:rsid w:val="003C2EF4"/>
    <w:rsid w:val="007E03BB"/>
    <w:rsid w:val="00A9538E"/>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703DA"/>
  <w15:chartTrackingRefBased/>
  <w15:docId w15:val="{7273EAA7-95D7-4162-8ADF-9FD73AFE6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7E03BB"/>
    <w:pPr>
      <w:spacing w:after="0" w:line="360" w:lineRule="auto"/>
      <w:jc w:val="both"/>
    </w:pPr>
    <w:rPr>
      <w:rFonts w:ascii="Times New Roman" w:eastAsia="Microsoft YaHei" w:hAnsi="Times New Roman" w:cs="Times New Roman"/>
      <w:color w:val="000000"/>
      <w:kern w:val="0"/>
      <w:sz w:val="28"/>
      <w:szCs w:val="32"/>
      <w:shd w:val="clear" w:color="auto" w:fill="FFFFFF"/>
      <w:lang w:eastAsia="zh-CN"/>
      <w14:ligatures w14:val="none"/>
    </w:rPr>
  </w:style>
  <w:style w:type="paragraph" w:styleId="Heading1">
    <w:name w:val="heading 1"/>
    <w:basedOn w:val="Normal"/>
    <w:next w:val="Normal"/>
    <w:link w:val="Heading1Char"/>
    <w:uiPriority w:val="9"/>
    <w:qFormat/>
    <w:rsid w:val="007E03BB"/>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shd w:val="clear" w:color="auto" w:fill="auto"/>
      <w:lang w:eastAsia="en-US"/>
      <w14:ligatures w14:val="standardContextual"/>
    </w:rPr>
  </w:style>
  <w:style w:type="paragraph" w:styleId="Heading2">
    <w:name w:val="heading 2"/>
    <w:basedOn w:val="Normal"/>
    <w:next w:val="Normal"/>
    <w:link w:val="Heading2Char"/>
    <w:uiPriority w:val="9"/>
    <w:semiHidden/>
    <w:unhideWhenUsed/>
    <w:qFormat/>
    <w:rsid w:val="007E03BB"/>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hd w:val="clear" w:color="auto" w:fill="auto"/>
      <w:lang w:eastAsia="en-US"/>
      <w14:ligatures w14:val="standardContextual"/>
    </w:rPr>
  </w:style>
  <w:style w:type="paragraph" w:styleId="Heading3">
    <w:name w:val="heading 3"/>
    <w:basedOn w:val="Normal"/>
    <w:next w:val="Normal"/>
    <w:link w:val="Heading3Char"/>
    <w:uiPriority w:val="9"/>
    <w:semiHidden/>
    <w:unhideWhenUsed/>
    <w:qFormat/>
    <w:rsid w:val="007E03BB"/>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Cs w:val="28"/>
      <w:shd w:val="clear" w:color="auto" w:fill="auto"/>
      <w:lang w:eastAsia="en-US"/>
      <w14:ligatures w14:val="standardContextual"/>
    </w:rPr>
  </w:style>
  <w:style w:type="paragraph" w:styleId="Heading4">
    <w:name w:val="heading 4"/>
    <w:basedOn w:val="Normal"/>
    <w:next w:val="Normal"/>
    <w:link w:val="Heading4Char"/>
    <w:uiPriority w:val="9"/>
    <w:semiHidden/>
    <w:unhideWhenUsed/>
    <w:qFormat/>
    <w:rsid w:val="007E03BB"/>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shd w:val="clear" w:color="auto" w:fill="auto"/>
      <w:lang w:eastAsia="en-US"/>
      <w14:ligatures w14:val="standardContextual"/>
    </w:rPr>
  </w:style>
  <w:style w:type="paragraph" w:styleId="Heading5">
    <w:name w:val="heading 5"/>
    <w:basedOn w:val="Normal"/>
    <w:next w:val="Normal"/>
    <w:link w:val="Heading5Char"/>
    <w:uiPriority w:val="9"/>
    <w:semiHidden/>
    <w:unhideWhenUsed/>
    <w:qFormat/>
    <w:rsid w:val="007E03BB"/>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shd w:val="clear" w:color="auto" w:fill="auto"/>
      <w:lang w:eastAsia="en-US"/>
      <w14:ligatures w14:val="standardContextual"/>
    </w:rPr>
  </w:style>
  <w:style w:type="paragraph" w:styleId="Heading6">
    <w:name w:val="heading 6"/>
    <w:basedOn w:val="Normal"/>
    <w:next w:val="Normal"/>
    <w:link w:val="Heading6Char"/>
    <w:uiPriority w:val="9"/>
    <w:semiHidden/>
    <w:unhideWhenUsed/>
    <w:qFormat/>
    <w:rsid w:val="007E03BB"/>
    <w:pPr>
      <w:keepNext/>
      <w:keepLines/>
      <w:spacing w:before="40" w:line="259" w:lineRule="auto"/>
      <w:jc w:val="left"/>
      <w:outlineLvl w:val="5"/>
    </w:pPr>
    <w:rPr>
      <w:rFonts w:asciiTheme="minorHAnsi" w:eastAsiaTheme="majorEastAsia" w:hAnsiTheme="minorHAnsi" w:cstheme="majorBidi"/>
      <w:i/>
      <w:iCs/>
      <w:color w:val="595959" w:themeColor="text1" w:themeTint="A6"/>
      <w:kern w:val="2"/>
      <w:sz w:val="22"/>
      <w:szCs w:val="22"/>
      <w:shd w:val="clear" w:color="auto" w:fill="auto"/>
      <w:lang w:eastAsia="en-US"/>
      <w14:ligatures w14:val="standardContextual"/>
    </w:rPr>
  </w:style>
  <w:style w:type="paragraph" w:styleId="Heading7">
    <w:name w:val="heading 7"/>
    <w:basedOn w:val="Normal"/>
    <w:next w:val="Normal"/>
    <w:link w:val="Heading7Char"/>
    <w:uiPriority w:val="9"/>
    <w:semiHidden/>
    <w:unhideWhenUsed/>
    <w:qFormat/>
    <w:rsid w:val="007E03BB"/>
    <w:pPr>
      <w:keepNext/>
      <w:keepLines/>
      <w:spacing w:before="40" w:line="259" w:lineRule="auto"/>
      <w:jc w:val="left"/>
      <w:outlineLvl w:val="6"/>
    </w:pPr>
    <w:rPr>
      <w:rFonts w:asciiTheme="minorHAnsi" w:eastAsiaTheme="majorEastAsia" w:hAnsiTheme="minorHAnsi" w:cstheme="majorBidi"/>
      <w:color w:val="595959" w:themeColor="text1" w:themeTint="A6"/>
      <w:kern w:val="2"/>
      <w:sz w:val="22"/>
      <w:szCs w:val="22"/>
      <w:shd w:val="clear" w:color="auto" w:fill="auto"/>
      <w:lang w:eastAsia="en-US"/>
      <w14:ligatures w14:val="standardContextual"/>
    </w:rPr>
  </w:style>
  <w:style w:type="paragraph" w:styleId="Heading8">
    <w:name w:val="heading 8"/>
    <w:basedOn w:val="Normal"/>
    <w:next w:val="Normal"/>
    <w:link w:val="Heading8Char"/>
    <w:uiPriority w:val="9"/>
    <w:semiHidden/>
    <w:unhideWhenUsed/>
    <w:qFormat/>
    <w:rsid w:val="007E03BB"/>
    <w:pPr>
      <w:keepNext/>
      <w:keepLines/>
      <w:spacing w:line="259" w:lineRule="auto"/>
      <w:jc w:val="left"/>
      <w:outlineLvl w:val="7"/>
    </w:pPr>
    <w:rPr>
      <w:rFonts w:asciiTheme="minorHAnsi" w:eastAsiaTheme="majorEastAsia" w:hAnsiTheme="minorHAnsi" w:cstheme="majorBidi"/>
      <w:i/>
      <w:iCs/>
      <w:color w:val="272727" w:themeColor="text1" w:themeTint="D8"/>
      <w:kern w:val="2"/>
      <w:sz w:val="22"/>
      <w:szCs w:val="22"/>
      <w:shd w:val="clear" w:color="auto" w:fill="auto"/>
      <w:lang w:eastAsia="en-US"/>
      <w14:ligatures w14:val="standardContextual"/>
    </w:rPr>
  </w:style>
  <w:style w:type="paragraph" w:styleId="Heading9">
    <w:name w:val="heading 9"/>
    <w:basedOn w:val="Normal"/>
    <w:next w:val="Normal"/>
    <w:link w:val="Heading9Char"/>
    <w:uiPriority w:val="9"/>
    <w:semiHidden/>
    <w:unhideWhenUsed/>
    <w:qFormat/>
    <w:rsid w:val="007E03BB"/>
    <w:pPr>
      <w:keepNext/>
      <w:keepLines/>
      <w:spacing w:line="259" w:lineRule="auto"/>
      <w:jc w:val="left"/>
      <w:outlineLvl w:val="8"/>
    </w:pPr>
    <w:rPr>
      <w:rFonts w:asciiTheme="minorHAnsi" w:eastAsiaTheme="majorEastAsia" w:hAnsiTheme="minorHAnsi" w:cstheme="majorBidi"/>
      <w:color w:val="272727" w:themeColor="text1" w:themeTint="D8"/>
      <w:kern w:val="2"/>
      <w:sz w:val="22"/>
      <w:szCs w:val="22"/>
      <w:shd w:val="clear" w:color="auto" w:fill="auto"/>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03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03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03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03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03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03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03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03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03BB"/>
    <w:rPr>
      <w:rFonts w:eastAsiaTheme="majorEastAsia" w:cstheme="majorBidi"/>
      <w:color w:val="272727" w:themeColor="text1" w:themeTint="D8"/>
    </w:rPr>
  </w:style>
  <w:style w:type="paragraph" w:styleId="Title">
    <w:name w:val="Title"/>
    <w:basedOn w:val="Normal"/>
    <w:next w:val="Normal"/>
    <w:link w:val="TitleChar"/>
    <w:uiPriority w:val="10"/>
    <w:qFormat/>
    <w:rsid w:val="007E03BB"/>
    <w:pPr>
      <w:spacing w:after="80" w:line="240" w:lineRule="auto"/>
      <w:contextualSpacing/>
      <w:jc w:val="left"/>
    </w:pPr>
    <w:rPr>
      <w:rFonts w:asciiTheme="majorHAnsi" w:eastAsiaTheme="majorEastAsia" w:hAnsiTheme="majorHAnsi" w:cstheme="majorBidi"/>
      <w:color w:val="auto"/>
      <w:spacing w:val="-10"/>
      <w:kern w:val="28"/>
      <w:sz w:val="56"/>
      <w:szCs w:val="56"/>
      <w:shd w:val="clear" w:color="auto" w:fill="auto"/>
      <w:lang w:eastAsia="en-US"/>
      <w14:ligatures w14:val="standardContextual"/>
    </w:rPr>
  </w:style>
  <w:style w:type="character" w:customStyle="1" w:styleId="TitleChar">
    <w:name w:val="Title Char"/>
    <w:basedOn w:val="DefaultParagraphFont"/>
    <w:link w:val="Title"/>
    <w:uiPriority w:val="10"/>
    <w:rsid w:val="007E03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03BB"/>
    <w:pPr>
      <w:numPr>
        <w:ilvl w:val="1"/>
      </w:numPr>
      <w:spacing w:after="160" w:line="259" w:lineRule="auto"/>
      <w:jc w:val="left"/>
    </w:pPr>
    <w:rPr>
      <w:rFonts w:asciiTheme="minorHAnsi" w:eastAsiaTheme="majorEastAsia" w:hAnsiTheme="minorHAnsi" w:cstheme="majorBidi"/>
      <w:color w:val="595959" w:themeColor="text1" w:themeTint="A6"/>
      <w:spacing w:val="15"/>
      <w:kern w:val="2"/>
      <w:szCs w:val="28"/>
      <w:shd w:val="clear" w:color="auto" w:fill="auto"/>
      <w:lang w:eastAsia="en-US"/>
      <w14:ligatures w14:val="standardContextual"/>
    </w:rPr>
  </w:style>
  <w:style w:type="character" w:customStyle="1" w:styleId="SubtitleChar">
    <w:name w:val="Subtitle Char"/>
    <w:basedOn w:val="DefaultParagraphFont"/>
    <w:link w:val="Subtitle"/>
    <w:uiPriority w:val="11"/>
    <w:rsid w:val="007E03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03BB"/>
    <w:pPr>
      <w:spacing w:before="160" w:after="160" w:line="259" w:lineRule="auto"/>
      <w:jc w:val="center"/>
    </w:pPr>
    <w:rPr>
      <w:rFonts w:asciiTheme="minorHAnsi" w:eastAsiaTheme="minorHAnsi" w:hAnsiTheme="minorHAnsi" w:cstheme="minorBidi"/>
      <w:i/>
      <w:iCs/>
      <w:color w:val="404040" w:themeColor="text1" w:themeTint="BF"/>
      <w:kern w:val="2"/>
      <w:sz w:val="22"/>
      <w:szCs w:val="22"/>
      <w:shd w:val="clear" w:color="auto" w:fill="auto"/>
      <w:lang w:eastAsia="en-US"/>
      <w14:ligatures w14:val="standardContextual"/>
    </w:rPr>
  </w:style>
  <w:style w:type="character" w:customStyle="1" w:styleId="QuoteChar">
    <w:name w:val="Quote Char"/>
    <w:basedOn w:val="DefaultParagraphFont"/>
    <w:link w:val="Quote"/>
    <w:uiPriority w:val="29"/>
    <w:rsid w:val="007E03BB"/>
    <w:rPr>
      <w:i/>
      <w:iCs/>
      <w:color w:val="404040" w:themeColor="text1" w:themeTint="BF"/>
    </w:rPr>
  </w:style>
  <w:style w:type="paragraph" w:styleId="ListParagraph">
    <w:name w:val="List Paragraph"/>
    <w:basedOn w:val="Normal"/>
    <w:uiPriority w:val="34"/>
    <w:qFormat/>
    <w:rsid w:val="007E03BB"/>
    <w:pPr>
      <w:spacing w:after="160" w:line="259" w:lineRule="auto"/>
      <w:ind w:left="720"/>
      <w:contextualSpacing/>
      <w:jc w:val="left"/>
    </w:pPr>
    <w:rPr>
      <w:rFonts w:asciiTheme="minorHAnsi" w:eastAsiaTheme="minorHAnsi" w:hAnsiTheme="minorHAnsi" w:cstheme="minorBidi"/>
      <w:color w:val="auto"/>
      <w:kern w:val="2"/>
      <w:sz w:val="22"/>
      <w:szCs w:val="22"/>
      <w:shd w:val="clear" w:color="auto" w:fill="auto"/>
      <w:lang w:eastAsia="en-US"/>
      <w14:ligatures w14:val="standardContextual"/>
    </w:rPr>
  </w:style>
  <w:style w:type="character" w:styleId="IntenseEmphasis">
    <w:name w:val="Intense Emphasis"/>
    <w:basedOn w:val="DefaultParagraphFont"/>
    <w:uiPriority w:val="21"/>
    <w:qFormat/>
    <w:rsid w:val="007E03BB"/>
    <w:rPr>
      <w:i/>
      <w:iCs/>
      <w:color w:val="0F4761" w:themeColor="accent1" w:themeShade="BF"/>
    </w:rPr>
  </w:style>
  <w:style w:type="paragraph" w:styleId="IntenseQuote">
    <w:name w:val="Intense Quote"/>
    <w:basedOn w:val="Normal"/>
    <w:next w:val="Normal"/>
    <w:link w:val="IntenseQuoteChar"/>
    <w:uiPriority w:val="30"/>
    <w:qFormat/>
    <w:rsid w:val="007E03B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shd w:val="clear" w:color="auto" w:fill="auto"/>
      <w:lang w:eastAsia="en-US"/>
      <w14:ligatures w14:val="standardContextual"/>
    </w:rPr>
  </w:style>
  <w:style w:type="character" w:customStyle="1" w:styleId="IntenseQuoteChar">
    <w:name w:val="Intense Quote Char"/>
    <w:basedOn w:val="DefaultParagraphFont"/>
    <w:link w:val="IntenseQuote"/>
    <w:uiPriority w:val="30"/>
    <w:rsid w:val="007E03BB"/>
    <w:rPr>
      <w:i/>
      <w:iCs/>
      <w:color w:val="0F4761" w:themeColor="accent1" w:themeShade="BF"/>
    </w:rPr>
  </w:style>
  <w:style w:type="character" w:styleId="IntenseReference">
    <w:name w:val="Intense Reference"/>
    <w:basedOn w:val="DefaultParagraphFont"/>
    <w:uiPriority w:val="32"/>
    <w:qFormat/>
    <w:rsid w:val="007E03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490</Words>
  <Characters>2798</Characters>
  <Application>Microsoft Office Word</Application>
  <DocSecurity>0</DocSecurity>
  <Lines>23</Lines>
  <Paragraphs>6</Paragraphs>
  <ScaleCrop>false</ScaleCrop>
  <Company>Springer Nature</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2024-11-15T06:49:00Z</dcterms:created>
  <dcterms:modified xsi:type="dcterms:W3CDTF">2024-11-15T06:49:00Z</dcterms:modified>
</cp:coreProperties>
</file>