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337D1" w14:textId="77777777" w:rsidR="00D04BCF" w:rsidRPr="003B40E6" w:rsidRDefault="00BB2D2A" w:rsidP="00FA1481">
      <w:pPr>
        <w:jc w:val="center"/>
        <w:rPr>
          <w:sz w:val="36"/>
          <w:szCs w:val="36"/>
        </w:rPr>
      </w:pPr>
      <w:r>
        <w:rPr>
          <w:sz w:val="36"/>
          <w:szCs w:val="36"/>
        </w:rPr>
        <w:t>Supplementary Materials</w:t>
      </w:r>
      <w:r w:rsidR="009743A9">
        <w:rPr>
          <w:sz w:val="36"/>
          <w:szCs w:val="36"/>
        </w:rPr>
        <w:t xml:space="preserve"> for</w:t>
      </w:r>
    </w:p>
    <w:p w14:paraId="29411C5A" w14:textId="77777777" w:rsidR="005001AC" w:rsidRDefault="005001AC" w:rsidP="00892A1F">
      <w:pPr>
        <w:jc w:val="both"/>
      </w:pPr>
    </w:p>
    <w:p w14:paraId="78D00F39" w14:textId="5C56ED01" w:rsidR="00892A1F" w:rsidRPr="00892A1F" w:rsidRDefault="00892A1F" w:rsidP="00892A1F">
      <w:pPr>
        <w:jc w:val="both"/>
        <w:rPr>
          <w:b/>
          <w:bCs/>
          <w:sz w:val="28"/>
          <w:szCs w:val="28"/>
        </w:rPr>
      </w:pPr>
      <w:r w:rsidRPr="00892A1F">
        <w:rPr>
          <w:b/>
          <w:bCs/>
          <w:sz w:val="28"/>
          <w:szCs w:val="28"/>
        </w:rPr>
        <w:t>A climate change signal in the tropical Pacific emerges from decadal variability</w:t>
      </w:r>
    </w:p>
    <w:p w14:paraId="60E4F49E" w14:textId="77777777" w:rsidR="00892A1F" w:rsidRPr="00892A1F" w:rsidRDefault="00892A1F" w:rsidP="00892A1F">
      <w:pPr>
        <w:jc w:val="center"/>
        <w:rPr>
          <w:b/>
          <w:bCs/>
          <w:sz w:val="28"/>
          <w:szCs w:val="28"/>
        </w:rPr>
      </w:pPr>
    </w:p>
    <w:p w14:paraId="6665D463" w14:textId="5FC74EB5" w:rsidR="007C45B3" w:rsidRPr="007C45B3" w:rsidRDefault="00892A1F" w:rsidP="005001AC">
      <w:pPr>
        <w:jc w:val="center"/>
        <w:rPr>
          <w:i/>
          <w:iCs/>
          <w:szCs w:val="24"/>
        </w:rPr>
      </w:pPr>
      <w:r>
        <w:rPr>
          <w:szCs w:val="24"/>
        </w:rPr>
        <w:t>Feng Jiang</w:t>
      </w:r>
      <w:r w:rsidR="007C45B3">
        <w:rPr>
          <w:szCs w:val="24"/>
        </w:rPr>
        <w:t xml:space="preserve"> </w:t>
      </w:r>
      <w:r w:rsidR="007C45B3" w:rsidRPr="007C45B3">
        <w:rPr>
          <w:i/>
          <w:iCs/>
          <w:szCs w:val="24"/>
        </w:rPr>
        <w:t>et al.</w:t>
      </w:r>
    </w:p>
    <w:p w14:paraId="0648E06D" w14:textId="77777777" w:rsidR="000F0DCE" w:rsidRDefault="000F0DCE" w:rsidP="005001AC">
      <w:pPr>
        <w:jc w:val="center"/>
        <w:rPr>
          <w:szCs w:val="24"/>
        </w:rPr>
      </w:pPr>
    </w:p>
    <w:p w14:paraId="34D67477" w14:textId="0D7D493F" w:rsidR="004779CB" w:rsidRPr="00ED2CBE" w:rsidRDefault="00533910" w:rsidP="005001AC">
      <w:pPr>
        <w:jc w:val="center"/>
        <w:rPr>
          <w:sz w:val="20"/>
        </w:rPr>
      </w:pPr>
      <w:r w:rsidRPr="00ED2CBE">
        <w:rPr>
          <w:sz w:val="20"/>
        </w:rPr>
        <w:t>*</w:t>
      </w:r>
      <w:r w:rsidR="00892A1F">
        <w:rPr>
          <w:sz w:val="20"/>
        </w:rPr>
        <w:t>Feng Jiang</w:t>
      </w:r>
      <w:r w:rsidR="00392402" w:rsidRPr="00ED2CBE">
        <w:rPr>
          <w:sz w:val="20"/>
        </w:rPr>
        <w:t>. Email</w:t>
      </w:r>
      <w:r w:rsidR="004779CB" w:rsidRPr="00ED2CBE">
        <w:rPr>
          <w:sz w:val="20"/>
        </w:rPr>
        <w:t>:</w:t>
      </w:r>
      <w:r w:rsidR="00BC3E04" w:rsidRPr="00ED2CBE">
        <w:rPr>
          <w:sz w:val="20"/>
        </w:rPr>
        <w:t xml:space="preserve"> </w:t>
      </w:r>
      <w:hyperlink r:id="rId10" w:history="1">
        <w:r w:rsidR="00892A1F" w:rsidRPr="009D5B6A">
          <w:rPr>
            <w:rStyle w:val="Hyperlink"/>
            <w:sz w:val="20"/>
          </w:rPr>
          <w:t>fjiang@ldeo.columbia.edu</w:t>
        </w:r>
      </w:hyperlink>
    </w:p>
    <w:p w14:paraId="050BA42C" w14:textId="77777777" w:rsidR="00ED2CBE" w:rsidRDefault="00ED2CBE" w:rsidP="00533910">
      <w:pPr>
        <w:pStyle w:val="PubInfo"/>
      </w:pPr>
    </w:p>
    <w:p w14:paraId="71939F02" w14:textId="77777777" w:rsidR="00533910" w:rsidRPr="00EE59BE" w:rsidRDefault="00533910" w:rsidP="00533910">
      <w:pPr>
        <w:jc w:val="center"/>
      </w:pPr>
    </w:p>
    <w:p w14:paraId="3A1047ED" w14:textId="77777777" w:rsidR="00533910" w:rsidRDefault="00533910" w:rsidP="005001AC">
      <w:pPr>
        <w:jc w:val="center"/>
        <w:rPr>
          <w:szCs w:val="24"/>
        </w:rPr>
      </w:pPr>
    </w:p>
    <w:p w14:paraId="223EBBEB" w14:textId="77777777" w:rsidR="002C030F" w:rsidRDefault="002C030F"/>
    <w:p w14:paraId="5BBBF32C" w14:textId="77777777" w:rsidR="00015F74" w:rsidRDefault="00015F74">
      <w:pPr>
        <w:rPr>
          <w:b/>
        </w:rPr>
      </w:pPr>
    </w:p>
    <w:p w14:paraId="546CBFCA" w14:textId="77777777" w:rsidR="002C030F" w:rsidRPr="00262D72" w:rsidRDefault="009743A9">
      <w:pPr>
        <w:rPr>
          <w:b/>
        </w:rPr>
      </w:pPr>
      <w:r>
        <w:rPr>
          <w:b/>
        </w:rPr>
        <w:t xml:space="preserve">This PDF file </w:t>
      </w:r>
      <w:r w:rsidR="002C030F" w:rsidRPr="00262D72">
        <w:rPr>
          <w:b/>
        </w:rPr>
        <w:t>includes:</w:t>
      </w:r>
    </w:p>
    <w:p w14:paraId="6B069C4B" w14:textId="77777777" w:rsidR="002C030F" w:rsidRDefault="002C030F"/>
    <w:p w14:paraId="7FC81517" w14:textId="7D335EB4" w:rsidR="002C030F" w:rsidRDefault="002C030F" w:rsidP="00262D72">
      <w:pPr>
        <w:ind w:left="720"/>
      </w:pPr>
      <w:r>
        <w:t>Fig</w:t>
      </w:r>
      <w:r w:rsidR="00A3403B">
        <w:t xml:space="preserve">s. </w:t>
      </w:r>
      <w:r>
        <w:t>S1</w:t>
      </w:r>
      <w:r w:rsidR="00A3403B">
        <w:t xml:space="preserve"> to </w:t>
      </w:r>
      <w:r>
        <w:t>S</w:t>
      </w:r>
      <w:r w:rsidR="007176C9">
        <w:t>4</w:t>
      </w:r>
    </w:p>
    <w:p w14:paraId="68691C5A" w14:textId="77777777" w:rsidR="00065EBD" w:rsidRDefault="00065EBD" w:rsidP="00262D72">
      <w:pPr>
        <w:ind w:left="720"/>
      </w:pPr>
    </w:p>
    <w:p w14:paraId="23718CE0" w14:textId="77777777" w:rsidR="00015F74" w:rsidRDefault="00015F74" w:rsidP="00262D72">
      <w:pPr>
        <w:ind w:left="720"/>
      </w:pPr>
      <w:r>
        <w:br/>
      </w:r>
    </w:p>
    <w:p w14:paraId="7F6E0C41" w14:textId="03BC466D" w:rsidR="00355362" w:rsidRDefault="00015F74" w:rsidP="009A7C5F">
      <w:pPr>
        <w:pStyle w:val="SMHeading"/>
      </w:pPr>
      <w:r>
        <w:br w:type="page"/>
      </w:r>
      <w:bookmarkStart w:id="0" w:name="Tables"/>
      <w:bookmarkStart w:id="1" w:name="MaterialsMethods"/>
      <w:bookmarkEnd w:id="0"/>
      <w:bookmarkEnd w:id="1"/>
    </w:p>
    <w:p w14:paraId="2A8C6B23" w14:textId="0129E2A1" w:rsidR="00892A1F" w:rsidRDefault="00843235" w:rsidP="00B9440A">
      <w:pPr>
        <w:pStyle w:val="SMHeading"/>
      </w:pPr>
      <w:r>
        <w:rPr>
          <w:noProof/>
        </w:rPr>
        <w:lastRenderedPageBreak/>
        <w:drawing>
          <wp:inline distT="0" distB="0" distL="0" distR="0" wp14:anchorId="3EE7F9A7" wp14:editId="2DEAC4EB">
            <wp:extent cx="5943600" cy="4731026"/>
            <wp:effectExtent l="0" t="0" r="0" b="6350"/>
            <wp:docPr id="10427317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731754" name="Picture 1042731754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401"/>
                    <a:stretch/>
                  </pic:blipFill>
                  <pic:spPr bwMode="auto">
                    <a:xfrm>
                      <a:off x="0" y="0"/>
                      <a:ext cx="5943600" cy="473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5F8511" w14:textId="3DCF5DC5" w:rsidR="00CA166B" w:rsidRPr="00CA166B" w:rsidRDefault="007411A1" w:rsidP="00CA166B">
      <w:pPr>
        <w:pStyle w:val="SMHeading"/>
        <w:jc w:val="both"/>
        <w:rPr>
          <w:b w:val="0"/>
          <w:bCs w:val="0"/>
          <w:color w:val="000000" w:themeColor="text1"/>
          <w:lang w:eastAsia="zh-CN"/>
        </w:rPr>
      </w:pPr>
      <w:r w:rsidRPr="00CA166B">
        <w:t>Fig. S1.</w:t>
      </w:r>
      <w:r w:rsidR="00892A1F" w:rsidRPr="00CA166B">
        <w:rPr>
          <w:b w:val="0"/>
          <w:bCs w:val="0"/>
        </w:rPr>
        <w:t xml:space="preserve"> (a) Spatial Pattern</w:t>
      </w:r>
      <w:r w:rsidR="000E533C">
        <w:rPr>
          <w:b w:val="0"/>
          <w:bCs w:val="0"/>
        </w:rPr>
        <w:t xml:space="preserve"> </w:t>
      </w:r>
      <w:r w:rsidR="000E533C" w:rsidRPr="00CA166B">
        <w:rPr>
          <w:b w:val="0"/>
          <w:bCs w:val="0"/>
          <w:color w:val="000000" w:themeColor="text1"/>
        </w:rPr>
        <w:t>(</w:t>
      </w:r>
      <m:oMath>
        <m:r>
          <m:rPr>
            <m:sty m:val="bi"/>
          </m:rPr>
          <w:rPr>
            <w:rFonts w:ascii="Cambria Math" w:hAnsi="Cambria Math"/>
            <w:color w:val="000000" w:themeColor="text1"/>
          </w:rPr>
          <m:t>℃</m:t>
        </m:r>
      </m:oMath>
      <w:r w:rsidR="000E533C" w:rsidRPr="000E533C">
        <w:rPr>
          <w:b w:val="0"/>
          <w:bCs w:val="0"/>
          <w:color w:val="000000" w:themeColor="text1"/>
        </w:rPr>
        <w:t>)</w:t>
      </w:r>
      <w:r w:rsidR="00892A1F" w:rsidRPr="000E533C">
        <w:rPr>
          <w:b w:val="0"/>
          <w:bCs w:val="0"/>
        </w:rPr>
        <w:t xml:space="preserve"> </w:t>
      </w:r>
      <w:r w:rsidR="00892A1F" w:rsidRPr="00CA166B">
        <w:rPr>
          <w:b w:val="0"/>
          <w:bCs w:val="0"/>
        </w:rPr>
        <w:t xml:space="preserve">and (b) </w:t>
      </w:r>
      <w:r w:rsidR="000E533C">
        <w:rPr>
          <w:b w:val="0"/>
          <w:bCs w:val="0"/>
        </w:rPr>
        <w:t>t</w:t>
      </w:r>
      <w:r w:rsidR="00892A1F" w:rsidRPr="00CA166B">
        <w:rPr>
          <w:b w:val="0"/>
          <w:bCs w:val="0"/>
        </w:rPr>
        <w:t xml:space="preserve">imeseries </w:t>
      </w:r>
      <w:r w:rsidR="000E533C" w:rsidRPr="00CA166B">
        <w:rPr>
          <w:b w:val="0"/>
          <w:bCs w:val="0"/>
          <w:color w:val="000000" w:themeColor="text1"/>
        </w:rPr>
        <w:t>(</w:t>
      </w:r>
      <m:oMath>
        <m:r>
          <m:rPr>
            <m:sty m:val="bi"/>
          </m:rPr>
          <w:rPr>
            <w:rFonts w:ascii="Cambria Math" w:hAnsi="Cambria Math"/>
            <w:color w:val="000000" w:themeColor="text1"/>
          </w:rPr>
          <m:t>℃</m:t>
        </m:r>
      </m:oMath>
      <w:r w:rsidR="000E533C" w:rsidRPr="000E533C">
        <w:rPr>
          <w:b w:val="0"/>
          <w:bCs w:val="0"/>
          <w:color w:val="000000" w:themeColor="text1"/>
        </w:rPr>
        <w:t>)</w:t>
      </w:r>
      <w:r w:rsidR="000E533C" w:rsidRPr="000E533C">
        <w:rPr>
          <w:b w:val="0"/>
          <w:bCs w:val="0"/>
        </w:rPr>
        <w:t xml:space="preserve"> </w:t>
      </w:r>
      <w:r w:rsidR="00892A1F" w:rsidRPr="00CA166B">
        <w:rPr>
          <w:b w:val="0"/>
          <w:bCs w:val="0"/>
        </w:rPr>
        <w:t xml:space="preserve">of </w:t>
      </w:r>
      <w:r w:rsidR="000E533C">
        <w:rPr>
          <w:b w:val="0"/>
          <w:bCs w:val="0"/>
        </w:rPr>
        <w:t xml:space="preserve">the </w:t>
      </w:r>
      <w:r w:rsidR="00892A1F" w:rsidRPr="00CA166B">
        <w:rPr>
          <w:b w:val="0"/>
          <w:bCs w:val="0"/>
        </w:rPr>
        <w:t>IPO</w:t>
      </w:r>
      <w:r w:rsidR="00843235">
        <w:rPr>
          <w:b w:val="0"/>
          <w:bCs w:val="0"/>
        </w:rPr>
        <w:t xml:space="preserve"> based on HadISST</w:t>
      </w:r>
      <w:r w:rsidR="00892A1F" w:rsidRPr="00CA166B">
        <w:rPr>
          <w:b w:val="0"/>
          <w:bCs w:val="0"/>
        </w:rPr>
        <w:t xml:space="preserve">. The IPO spatial pattern is obtained by regressing the detrended </w:t>
      </w:r>
      <w:r w:rsidR="00843235">
        <w:rPr>
          <w:b w:val="0"/>
          <w:bCs w:val="0"/>
        </w:rPr>
        <w:t>HadISST</w:t>
      </w:r>
      <w:r w:rsidR="00843235" w:rsidRPr="00CA166B">
        <w:rPr>
          <w:b w:val="0"/>
          <w:bCs w:val="0"/>
        </w:rPr>
        <w:t xml:space="preserve"> </w:t>
      </w:r>
      <w:r w:rsidR="00892A1F" w:rsidRPr="00CA166B">
        <w:rPr>
          <w:b w:val="0"/>
          <w:bCs w:val="0"/>
        </w:rPr>
        <w:t xml:space="preserve">SST field onto the </w:t>
      </w:r>
      <w:r w:rsidR="00843235">
        <w:rPr>
          <w:b w:val="0"/>
          <w:bCs w:val="0"/>
        </w:rPr>
        <w:t xml:space="preserve">standardized </w:t>
      </w:r>
      <w:r w:rsidR="00892A1F" w:rsidRPr="00CA166B">
        <w:rPr>
          <w:b w:val="0"/>
          <w:bCs w:val="0"/>
        </w:rPr>
        <w:t xml:space="preserve">IPO index. This spatial pattern is multiplied by </w:t>
      </w:r>
      <w:r w:rsidR="00843235">
        <w:rPr>
          <w:b w:val="0"/>
          <w:bCs w:val="0"/>
        </w:rPr>
        <w:t xml:space="preserve">a factor of </w:t>
      </w:r>
      <w:r w:rsidR="00892A1F" w:rsidRPr="00CA166B">
        <w:rPr>
          <w:b w:val="0"/>
          <w:bCs w:val="0"/>
        </w:rPr>
        <w:t>-1 for comparison with Fig</w:t>
      </w:r>
      <w:r w:rsidR="000E533C">
        <w:rPr>
          <w:b w:val="0"/>
          <w:bCs w:val="0"/>
        </w:rPr>
        <w:t>ure</w:t>
      </w:r>
      <w:r w:rsidR="00892A1F" w:rsidRPr="00CA166B">
        <w:rPr>
          <w:b w:val="0"/>
          <w:bCs w:val="0"/>
        </w:rPr>
        <w:t xml:space="preserve"> </w:t>
      </w:r>
      <w:r w:rsidR="000E533C">
        <w:rPr>
          <w:b w:val="0"/>
          <w:bCs w:val="0"/>
        </w:rPr>
        <w:t>1</w:t>
      </w:r>
      <w:r w:rsidR="00892A1F" w:rsidRPr="00CA166B">
        <w:rPr>
          <w:b w:val="0"/>
          <w:bCs w:val="0"/>
        </w:rPr>
        <w:t xml:space="preserve">a. </w:t>
      </w:r>
      <w:r w:rsidR="00CA166B" w:rsidRPr="00CA166B">
        <w:rPr>
          <w:b w:val="0"/>
          <w:bCs w:val="0"/>
          <w:color w:val="000000" w:themeColor="text1"/>
        </w:rPr>
        <w:t>The SST trend (</w:t>
      </w:r>
      <m:oMath>
        <m:r>
          <m:rPr>
            <m:sty m:val="bi"/>
          </m:rPr>
          <w:rPr>
            <w:rFonts w:ascii="Cambria Math" w:hAnsi="Cambria Math"/>
            <w:color w:val="000000" w:themeColor="text1"/>
          </w:rPr>
          <m:t>℃</m:t>
        </m:r>
      </m:oMath>
      <w:r w:rsidR="00CA166B" w:rsidRPr="00CA166B">
        <w:rPr>
          <w:b w:val="0"/>
          <w:bCs w:val="0"/>
          <w:color w:val="000000" w:themeColor="text1"/>
        </w:rPr>
        <w:t xml:space="preserve"> per decade) during (</w:t>
      </w:r>
      <w:r w:rsidR="002B4785">
        <w:rPr>
          <w:b w:val="0"/>
          <w:bCs w:val="0"/>
          <w:color w:val="000000" w:themeColor="text1"/>
        </w:rPr>
        <w:t>c</w:t>
      </w:r>
      <w:r w:rsidR="00CA166B" w:rsidRPr="00CA166B">
        <w:rPr>
          <w:b w:val="0"/>
          <w:bCs w:val="0"/>
          <w:color w:val="000000" w:themeColor="text1"/>
        </w:rPr>
        <w:t>) P1 (1870-1912), (</w:t>
      </w:r>
      <w:r w:rsidR="002B4785">
        <w:rPr>
          <w:b w:val="0"/>
          <w:bCs w:val="0"/>
          <w:color w:val="000000" w:themeColor="text1"/>
        </w:rPr>
        <w:t>d</w:t>
      </w:r>
      <w:r w:rsidR="00CA166B" w:rsidRPr="00CA166B">
        <w:rPr>
          <w:b w:val="0"/>
          <w:bCs w:val="0"/>
          <w:color w:val="000000" w:themeColor="text1"/>
        </w:rPr>
        <w:t>) P2 (1904-1956), (</w:t>
      </w:r>
      <w:r w:rsidR="002B4785">
        <w:rPr>
          <w:b w:val="0"/>
          <w:bCs w:val="0"/>
          <w:color w:val="000000" w:themeColor="text1"/>
        </w:rPr>
        <w:t>e</w:t>
      </w:r>
      <w:r w:rsidR="00CA166B" w:rsidRPr="00CA166B">
        <w:rPr>
          <w:b w:val="0"/>
          <w:bCs w:val="0"/>
          <w:color w:val="000000" w:themeColor="text1"/>
        </w:rPr>
        <w:t>) P3 (1942-1984) and (</w:t>
      </w:r>
      <w:r w:rsidR="002B4785">
        <w:rPr>
          <w:b w:val="0"/>
          <w:bCs w:val="0"/>
          <w:color w:val="000000" w:themeColor="text1"/>
        </w:rPr>
        <w:t>f</w:t>
      </w:r>
      <w:r w:rsidR="00CA166B" w:rsidRPr="00CA166B">
        <w:rPr>
          <w:b w:val="0"/>
          <w:bCs w:val="0"/>
          <w:color w:val="000000" w:themeColor="text1"/>
        </w:rPr>
        <w:t>) P4 (1870-1934). The trend patterns in P1, P3, and P4 are multiplied by a factor of -1 for illustration. Dots in (a</w:t>
      </w:r>
      <w:r w:rsidR="00FA7D35">
        <w:rPr>
          <w:b w:val="0"/>
          <w:bCs w:val="0"/>
          <w:color w:val="000000" w:themeColor="text1"/>
        </w:rPr>
        <w:t>, c-f</w:t>
      </w:r>
      <w:r w:rsidR="00CA166B" w:rsidRPr="00CA166B">
        <w:rPr>
          <w:b w:val="0"/>
          <w:bCs w:val="0"/>
          <w:color w:val="000000" w:themeColor="text1"/>
        </w:rPr>
        <w:t xml:space="preserve">) indicate the trend exceeding </w:t>
      </w:r>
      <w:r w:rsidR="00CA166B" w:rsidRPr="00CA166B">
        <w:rPr>
          <w:b w:val="0"/>
          <w:bCs w:val="0"/>
          <w:color w:val="000000" w:themeColor="text1"/>
          <w:lang w:eastAsia="zh-CN"/>
        </w:rPr>
        <w:t>the 95% confidence level.</w:t>
      </w:r>
      <w:r w:rsidR="00CA166B">
        <w:rPr>
          <w:b w:val="0"/>
          <w:bCs w:val="0"/>
          <w:color w:val="000000" w:themeColor="text1"/>
          <w:lang w:eastAsia="zh-CN"/>
        </w:rPr>
        <w:t xml:space="preserve"> </w:t>
      </w:r>
    </w:p>
    <w:p w14:paraId="2BA3B567" w14:textId="77777777" w:rsidR="00892A1F" w:rsidRPr="00CA166B" w:rsidRDefault="00892A1F" w:rsidP="00CA166B">
      <w:pPr>
        <w:jc w:val="both"/>
        <w:rPr>
          <w:kern w:val="32"/>
          <w:szCs w:val="24"/>
        </w:rPr>
      </w:pPr>
      <w:r w:rsidRPr="00CA166B">
        <w:rPr>
          <w:b/>
          <w:bCs/>
          <w:szCs w:val="24"/>
        </w:rPr>
        <w:br w:type="page"/>
      </w:r>
    </w:p>
    <w:p w14:paraId="4EF93EB4" w14:textId="645760DA" w:rsidR="00892A1F" w:rsidRDefault="00892A1F" w:rsidP="00892A1F">
      <w:pPr>
        <w:pStyle w:val="SMHeading"/>
      </w:pPr>
      <w:r>
        <w:rPr>
          <w:rFonts w:ascii="Myriad Pro" w:hAnsi="Myriad Pro"/>
          <w:b w:val="0"/>
          <w:bCs w:val="0"/>
          <w:noProof/>
          <w:sz w:val="22"/>
          <w:szCs w:val="22"/>
        </w:rPr>
        <w:lastRenderedPageBreak/>
        <w:drawing>
          <wp:inline distT="0" distB="0" distL="0" distR="0" wp14:anchorId="072B76CC" wp14:editId="56EE8142">
            <wp:extent cx="5486400" cy="3992336"/>
            <wp:effectExtent l="0" t="0" r="0" b="0"/>
            <wp:docPr id="71040014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400143" name="Picture 710400143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232"/>
                    <a:stretch/>
                  </pic:blipFill>
                  <pic:spPr bwMode="auto">
                    <a:xfrm>
                      <a:off x="0" y="0"/>
                      <a:ext cx="5486400" cy="3992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FD0CA6" w14:textId="66275D18" w:rsidR="009A5287" w:rsidRPr="001923FA" w:rsidRDefault="00112C5B" w:rsidP="001923FA">
      <w:pPr>
        <w:pStyle w:val="SMHeading"/>
        <w:jc w:val="both"/>
        <w:rPr>
          <w:sz w:val="28"/>
          <w:szCs w:val="28"/>
        </w:rPr>
      </w:pPr>
      <w:r w:rsidRPr="001923FA">
        <w:t>Fig. S2</w:t>
      </w:r>
      <w:r w:rsidR="008218C4" w:rsidRPr="001923FA">
        <w:t>.</w:t>
      </w:r>
      <w:r w:rsidR="00892A1F" w:rsidRPr="001923FA">
        <w:t xml:space="preserve"> </w:t>
      </w:r>
      <w:r w:rsidR="00892A1F" w:rsidRPr="001923FA">
        <w:rPr>
          <w:b w:val="0"/>
          <w:bCs w:val="0"/>
        </w:rPr>
        <w:t>The SST trend (</w:t>
      </w:r>
      <m:oMath>
        <m:r>
          <m:rPr>
            <m:sty m:val="bi"/>
          </m:rPr>
          <w:rPr>
            <w:rFonts w:ascii="Cambria Math" w:hAnsi="Cambria Math"/>
          </w:rPr>
          <m:t>℃</m:t>
        </m:r>
      </m:oMath>
      <w:r w:rsidR="00892A1F" w:rsidRPr="001923FA">
        <w:rPr>
          <w:b w:val="0"/>
          <w:bCs w:val="0"/>
        </w:rPr>
        <w:t xml:space="preserve"> per decade) based on ERSSTv5 during (a) 1980-2022 and (b) 1958-2022. </w:t>
      </w:r>
      <w:r w:rsidR="00892A1F" w:rsidRPr="001923FA">
        <w:t xml:space="preserve"> </w:t>
      </w:r>
      <w:r w:rsidR="00892A1F" w:rsidRPr="001923FA">
        <w:rPr>
          <w:b w:val="0"/>
          <w:bCs w:val="0"/>
        </w:rPr>
        <w:t>The SST trend (</w:t>
      </w:r>
      <m:oMath>
        <m:r>
          <m:rPr>
            <m:sty m:val="bi"/>
          </m:rPr>
          <w:rPr>
            <w:rFonts w:ascii="Cambria Math" w:hAnsi="Cambria Math"/>
          </w:rPr>
          <m:t>℃</m:t>
        </m:r>
      </m:oMath>
      <w:r w:rsidR="00892A1F" w:rsidRPr="001923FA">
        <w:rPr>
          <w:b w:val="0"/>
          <w:bCs w:val="0"/>
        </w:rPr>
        <w:t xml:space="preserve"> per decade) based on Kaplan during (c) 1980-2022 and (d) 1958-2022. The SST trend (</w:t>
      </w:r>
      <m:oMath>
        <m:r>
          <m:rPr>
            <m:sty m:val="bi"/>
          </m:rPr>
          <w:rPr>
            <w:rFonts w:ascii="Cambria Math" w:hAnsi="Cambria Math"/>
          </w:rPr>
          <m:t>℃</m:t>
        </m:r>
      </m:oMath>
      <w:r w:rsidR="00892A1F" w:rsidRPr="001923FA">
        <w:rPr>
          <w:b w:val="0"/>
          <w:bCs w:val="0"/>
        </w:rPr>
        <w:t xml:space="preserve"> per decade) based on COBE during (e) 1980-2022 and (f) 1958-2022. (g) Pattern correlations of 43-year SST trend in the tropical Pacific (30</w:t>
      </w:r>
      <m:oMath>
        <m:r>
          <m:rPr>
            <m:sty m:val="bi"/>
          </m:rPr>
          <w:rPr>
            <w:rFonts w:ascii="Cambria Math" w:hAnsi="Cambria Math"/>
          </w:rPr>
          <m:t>°</m:t>
        </m:r>
      </m:oMath>
      <w:r w:rsidR="00892A1F" w:rsidRPr="001923FA">
        <w:rPr>
          <w:b w:val="0"/>
          <w:bCs w:val="0"/>
        </w:rPr>
        <w:t>S-30</w:t>
      </w:r>
      <m:oMath>
        <m:r>
          <m:rPr>
            <m:sty m:val="bi"/>
          </m:rPr>
          <w:rPr>
            <w:rFonts w:ascii="Cambria Math" w:hAnsi="Cambria Math"/>
          </w:rPr>
          <m:t>°</m:t>
        </m:r>
      </m:oMath>
      <w:r w:rsidR="00892A1F" w:rsidRPr="001923FA">
        <w:rPr>
          <w:b w:val="0"/>
          <w:bCs w:val="0"/>
        </w:rPr>
        <w:t>N, 120</w:t>
      </w:r>
      <m:oMath>
        <m:r>
          <m:rPr>
            <m:sty m:val="bi"/>
          </m:rPr>
          <w:rPr>
            <w:rFonts w:ascii="Cambria Math" w:hAnsi="Cambria Math"/>
          </w:rPr>
          <m:t>°</m:t>
        </m:r>
      </m:oMath>
      <w:r w:rsidR="00892A1F" w:rsidRPr="001923FA">
        <w:rPr>
          <w:b w:val="0"/>
          <w:bCs w:val="0"/>
        </w:rPr>
        <w:t>E-270</w:t>
      </w:r>
      <m:oMath>
        <m:r>
          <m:rPr>
            <m:sty m:val="bi"/>
          </m:rPr>
          <w:rPr>
            <w:rFonts w:ascii="Cambria Math" w:hAnsi="Cambria Math"/>
          </w:rPr>
          <m:t>°</m:t>
        </m:r>
      </m:oMath>
      <w:r w:rsidR="00892A1F" w:rsidRPr="001923FA">
        <w:rPr>
          <w:b w:val="0"/>
          <w:bCs w:val="0"/>
        </w:rPr>
        <w:t>W, indicated by red solid line) with the trend during 1980-2022 based on ERSSTv5 (grey line), Kaplan (red line), COBE (blue line). (d) Similar to (c) but for 65-year SST trend with the trend during 1958-2022. Dots in (a-f) indicate the trend exceeding the 95% confidence level.</w:t>
      </w:r>
    </w:p>
    <w:p w14:paraId="62BF7090" w14:textId="77777777" w:rsidR="00892A1F" w:rsidRPr="001923FA" w:rsidRDefault="00892A1F" w:rsidP="001923FA">
      <w:pPr>
        <w:jc w:val="both"/>
        <w:rPr>
          <w:b/>
          <w:bCs/>
          <w:kern w:val="32"/>
          <w:sz w:val="28"/>
          <w:szCs w:val="28"/>
        </w:rPr>
      </w:pPr>
      <w:r w:rsidRPr="001923FA">
        <w:rPr>
          <w:sz w:val="28"/>
          <w:szCs w:val="21"/>
        </w:rPr>
        <w:br w:type="page"/>
      </w:r>
    </w:p>
    <w:p w14:paraId="046E273C" w14:textId="352F6FCF" w:rsidR="00892A1F" w:rsidRDefault="001923FA" w:rsidP="00B9440A">
      <w:pPr>
        <w:pStyle w:val="SMHeading"/>
      </w:pPr>
      <w:r>
        <w:rPr>
          <w:b w:val="0"/>
          <w:bCs w:val="0"/>
          <w:noProof/>
        </w:rPr>
        <w:lastRenderedPageBreak/>
        <w:drawing>
          <wp:inline distT="0" distB="0" distL="0" distR="0" wp14:anchorId="77E11809" wp14:editId="1FA607E7">
            <wp:extent cx="5942704" cy="1951264"/>
            <wp:effectExtent l="0" t="0" r="1270" b="5080"/>
            <wp:docPr id="2499912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991247" name="Picture 249991247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01" b="31864"/>
                    <a:stretch/>
                  </pic:blipFill>
                  <pic:spPr bwMode="auto">
                    <a:xfrm>
                      <a:off x="0" y="0"/>
                      <a:ext cx="5943600" cy="1951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C8AFEE" w14:textId="1DF8C6F9" w:rsidR="007176C9" w:rsidRDefault="00112C5B" w:rsidP="00892A1F">
      <w:pPr>
        <w:pStyle w:val="SMHeading"/>
        <w:jc w:val="both"/>
        <w:rPr>
          <w:b w:val="0"/>
          <w:bCs w:val="0"/>
        </w:rPr>
      </w:pPr>
      <w:r w:rsidRPr="001923FA">
        <w:t>Fig. S</w:t>
      </w:r>
      <w:r w:rsidR="00355362" w:rsidRPr="001923FA">
        <w:t>3</w:t>
      </w:r>
      <w:r w:rsidR="008218C4" w:rsidRPr="001923FA">
        <w:t>.</w:t>
      </w:r>
      <w:r w:rsidR="00892A1F" w:rsidRPr="001923FA">
        <w:t xml:space="preserve"> </w:t>
      </w:r>
      <w:r w:rsidR="00892A1F" w:rsidRPr="001923FA">
        <w:rPr>
          <w:b w:val="0"/>
          <w:bCs w:val="0"/>
        </w:rPr>
        <w:t>(a)</w:t>
      </w:r>
      <w:r w:rsidR="00892A1F" w:rsidRPr="001923FA">
        <w:t xml:space="preserve"> </w:t>
      </w:r>
      <w:r w:rsidR="00A848E7" w:rsidRPr="001923FA">
        <w:rPr>
          <w:b w:val="0"/>
          <w:bCs w:val="0"/>
        </w:rPr>
        <w:t xml:space="preserve">The </w:t>
      </w:r>
      <w:r w:rsidR="00A848E7">
        <w:rPr>
          <w:b w:val="0"/>
          <w:bCs w:val="0"/>
        </w:rPr>
        <w:t xml:space="preserve">regression of the ORAs5 </w:t>
      </w:r>
      <w:r w:rsidR="00892A1F" w:rsidRPr="001923FA">
        <w:rPr>
          <w:b w:val="0"/>
          <w:bCs w:val="0"/>
        </w:rPr>
        <w:t xml:space="preserve">thermocline depth (m) </w:t>
      </w:r>
      <w:r w:rsidR="00A848E7">
        <w:rPr>
          <w:b w:val="0"/>
          <w:bCs w:val="0"/>
        </w:rPr>
        <w:t>upon</w:t>
      </w:r>
      <w:r w:rsidR="00892A1F" w:rsidRPr="001923FA">
        <w:rPr>
          <w:b w:val="0"/>
          <w:bCs w:val="0"/>
        </w:rPr>
        <w:t xml:space="preserve"> the standardized IPO index during 1958-2022. (b)</w:t>
      </w:r>
      <w:r w:rsidR="00892A1F" w:rsidRPr="001923FA">
        <w:t xml:space="preserve"> </w:t>
      </w:r>
      <w:r w:rsidR="00892A1F" w:rsidRPr="001923FA">
        <w:rPr>
          <w:b w:val="0"/>
          <w:bCs w:val="0"/>
        </w:rPr>
        <w:t xml:space="preserve">The </w:t>
      </w:r>
      <w:r w:rsidR="002B4785">
        <w:rPr>
          <w:b w:val="0"/>
          <w:bCs w:val="0"/>
        </w:rPr>
        <w:t xml:space="preserve">regression of the </w:t>
      </w:r>
      <w:r w:rsidR="00A848E7">
        <w:rPr>
          <w:b w:val="0"/>
          <w:bCs w:val="0"/>
        </w:rPr>
        <w:t xml:space="preserve">ORAs5 </w:t>
      </w:r>
      <w:r w:rsidR="00892A1F" w:rsidRPr="001923FA">
        <w:rPr>
          <w:b w:val="0"/>
          <w:bCs w:val="0"/>
        </w:rPr>
        <w:t>surface wind stress (vector; N/m</w:t>
      </w:r>
      <w:r w:rsidR="00892A1F" w:rsidRPr="001923FA">
        <w:rPr>
          <w:b w:val="0"/>
          <w:bCs w:val="0"/>
          <w:vertAlign w:val="superscript"/>
        </w:rPr>
        <w:t>2</w:t>
      </w:r>
      <w:r w:rsidR="00892A1F" w:rsidRPr="001923FA">
        <w:rPr>
          <w:b w:val="0"/>
          <w:bCs w:val="0"/>
        </w:rPr>
        <w:t xml:space="preserve">) </w:t>
      </w:r>
      <w:r w:rsidR="002B4785">
        <w:rPr>
          <w:b w:val="0"/>
          <w:bCs w:val="0"/>
        </w:rPr>
        <w:t xml:space="preserve">and SSH (m) upon </w:t>
      </w:r>
      <w:r w:rsidR="00892A1F" w:rsidRPr="001923FA">
        <w:rPr>
          <w:b w:val="0"/>
          <w:bCs w:val="0"/>
        </w:rPr>
        <w:t>the standardized IPO index during 1958-2022.</w:t>
      </w:r>
    </w:p>
    <w:p w14:paraId="6BF60A35" w14:textId="77777777" w:rsidR="007176C9" w:rsidRDefault="007176C9">
      <w:pPr>
        <w:rPr>
          <w:kern w:val="32"/>
          <w:szCs w:val="24"/>
        </w:rPr>
      </w:pPr>
      <w:r>
        <w:rPr>
          <w:b/>
          <w:bCs/>
        </w:rPr>
        <w:br w:type="page"/>
      </w:r>
    </w:p>
    <w:p w14:paraId="6B4700DB" w14:textId="0E1A64DB" w:rsidR="00892A1F" w:rsidRPr="001923FA" w:rsidRDefault="00560C04" w:rsidP="00560C04">
      <w:pPr>
        <w:pStyle w:val="SMHeading"/>
        <w:jc w:val="center"/>
        <w:rPr>
          <w:b w:val="0"/>
          <w:bCs w:val="0"/>
        </w:rPr>
      </w:pPr>
      <w:r>
        <w:rPr>
          <w:noProof/>
        </w:rPr>
        <w:lastRenderedPageBreak/>
        <w:drawing>
          <wp:inline distT="0" distB="0" distL="0" distR="0" wp14:anchorId="259BE699" wp14:editId="16F90CDF">
            <wp:extent cx="4548425" cy="3672508"/>
            <wp:effectExtent l="0" t="0" r="0" b="0"/>
            <wp:docPr id="10763663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366355" name="Picture 1076366355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29347" r="19456" b="8856"/>
                    <a:stretch/>
                  </pic:blipFill>
                  <pic:spPr bwMode="auto">
                    <a:xfrm>
                      <a:off x="0" y="0"/>
                      <a:ext cx="4548971" cy="3672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7696F1" w14:textId="33289571" w:rsidR="00455554" w:rsidRPr="001923FA" w:rsidRDefault="007176C9" w:rsidP="00455554">
      <w:pPr>
        <w:jc w:val="both"/>
        <w:rPr>
          <w:b/>
          <w:bCs/>
          <w:kern w:val="32"/>
          <w:szCs w:val="24"/>
        </w:rPr>
      </w:pPr>
      <w:r w:rsidRPr="007176C9">
        <w:rPr>
          <w:b/>
          <w:bCs/>
        </w:rPr>
        <w:t>Fig. S4.</w:t>
      </w:r>
      <w:r w:rsidRPr="001923FA">
        <w:t xml:space="preserve"> </w:t>
      </w:r>
      <w:r w:rsidR="00843235">
        <w:t>Trend in a</w:t>
      </w:r>
      <w:r w:rsidR="00455554">
        <w:t xml:space="preserve">ir </w:t>
      </w:r>
      <w:r w:rsidR="00843235">
        <w:t>t</w:t>
      </w:r>
      <w:r w:rsidR="00455554">
        <w:t xml:space="preserve">emperature </w:t>
      </w:r>
      <w:r w:rsidR="00843235">
        <w:t xml:space="preserve">averaged </w:t>
      </w:r>
      <w:r w:rsidR="00455554">
        <w:t>over the equatorial Pacific (</w:t>
      </w:r>
      <w:r w:rsidR="00455554" w:rsidRPr="00487135">
        <w:rPr>
          <w:color w:val="000000" w:themeColor="text1"/>
          <w:szCs w:val="24"/>
        </w:rPr>
        <w:t>5°S–5°N, 1</w:t>
      </w:r>
      <w:r w:rsidR="00455554">
        <w:rPr>
          <w:color w:val="000000" w:themeColor="text1"/>
          <w:szCs w:val="24"/>
        </w:rPr>
        <w:t>2</w:t>
      </w:r>
      <w:r w:rsidR="00455554" w:rsidRPr="00487135">
        <w:rPr>
          <w:color w:val="000000" w:themeColor="text1"/>
          <w:szCs w:val="24"/>
        </w:rPr>
        <w:t>0°W–270°W</w:t>
      </w:r>
      <w:r w:rsidR="00455554">
        <w:rPr>
          <w:color w:val="000000" w:themeColor="text1"/>
          <w:szCs w:val="24"/>
        </w:rPr>
        <w:t xml:space="preserve">) </w:t>
      </w:r>
      <w:r w:rsidR="00455554">
        <w:t xml:space="preserve">related to the IPO and the emerging climate change </w:t>
      </w:r>
      <w:r w:rsidR="00455554">
        <w:rPr>
          <w:color w:val="000000" w:themeColor="text1"/>
          <w:szCs w:val="24"/>
        </w:rPr>
        <w:t>(</w:t>
      </w:r>
      <m:oMath>
        <m:r>
          <w:rPr>
            <w:rFonts w:ascii="Cambria Math" w:hAnsi="Cambria Math"/>
            <w:color w:val="000000" w:themeColor="text1"/>
            <w:szCs w:val="24"/>
          </w:rPr>
          <m:t>℃</m:t>
        </m:r>
      </m:oMath>
      <w:r w:rsidR="00455554" w:rsidRPr="00473E0F">
        <w:rPr>
          <w:color w:val="000000" w:themeColor="text1"/>
          <w:szCs w:val="24"/>
        </w:rPr>
        <w:t xml:space="preserve"> per decade</w:t>
      </w:r>
      <w:r w:rsidR="00843235">
        <w:rPr>
          <w:color w:val="000000" w:themeColor="text1"/>
          <w:szCs w:val="24"/>
        </w:rPr>
        <w:t>; see Methods for explanations of the IPO-related trend</w:t>
      </w:r>
      <w:r w:rsidR="00455554">
        <w:rPr>
          <w:color w:val="000000" w:themeColor="text1"/>
          <w:szCs w:val="24"/>
        </w:rPr>
        <w:t>)</w:t>
      </w:r>
      <w:r w:rsidR="00455554">
        <w:t>. The solid dots indicate values exceeding 95% significance tests.</w:t>
      </w:r>
    </w:p>
    <w:p w14:paraId="3EB5B552" w14:textId="6D899DD9" w:rsidR="00455554" w:rsidRDefault="00455554" w:rsidP="007176C9">
      <w:pPr>
        <w:jc w:val="both"/>
        <w:rPr>
          <w:lang w:eastAsia="zh-CN"/>
        </w:rPr>
      </w:pPr>
    </w:p>
    <w:p w14:paraId="3BE9A10F" w14:textId="716429FF" w:rsidR="007176C9" w:rsidRPr="001923FA" w:rsidRDefault="00560C04" w:rsidP="007176C9">
      <w:pPr>
        <w:jc w:val="both"/>
        <w:rPr>
          <w:b/>
          <w:bCs/>
          <w:kern w:val="32"/>
          <w:szCs w:val="24"/>
        </w:rPr>
      </w:pPr>
      <w:r>
        <w:t xml:space="preserve"> </w:t>
      </w:r>
    </w:p>
    <w:sectPr w:rsidR="007176C9" w:rsidRPr="001923FA" w:rsidSect="00E853D5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044DA" w14:textId="77777777" w:rsidR="00F51AD9" w:rsidRDefault="00F51AD9">
      <w:r>
        <w:separator/>
      </w:r>
    </w:p>
  </w:endnote>
  <w:endnote w:type="continuationSeparator" w:id="0">
    <w:p w14:paraId="5EA32024" w14:textId="77777777" w:rsidR="00F51AD9" w:rsidRDefault="00F51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yriad Pro">
    <w:altName w:val="Segoe U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EA3E" w14:textId="32DFF1A6" w:rsidR="00F125EE" w:rsidRDefault="0011419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10A51" w14:textId="77777777" w:rsidR="00F51AD9" w:rsidRDefault="00F51AD9">
      <w:r>
        <w:separator/>
      </w:r>
    </w:p>
  </w:footnote>
  <w:footnote w:type="continuationSeparator" w:id="0">
    <w:p w14:paraId="74CA7BBF" w14:textId="77777777" w:rsidR="00F51AD9" w:rsidRDefault="00F51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7843683">
    <w:abstractNumId w:val="9"/>
  </w:num>
  <w:num w:numId="2" w16cid:durableId="485366509">
    <w:abstractNumId w:val="7"/>
  </w:num>
  <w:num w:numId="3" w16cid:durableId="1888255738">
    <w:abstractNumId w:val="6"/>
  </w:num>
  <w:num w:numId="4" w16cid:durableId="681854557">
    <w:abstractNumId w:val="5"/>
  </w:num>
  <w:num w:numId="5" w16cid:durableId="132017859">
    <w:abstractNumId w:val="4"/>
  </w:num>
  <w:num w:numId="6" w16cid:durableId="934366820">
    <w:abstractNumId w:val="8"/>
  </w:num>
  <w:num w:numId="7" w16cid:durableId="1379206068">
    <w:abstractNumId w:val="3"/>
  </w:num>
  <w:num w:numId="8" w16cid:durableId="855268003">
    <w:abstractNumId w:val="2"/>
  </w:num>
  <w:num w:numId="9" w16cid:durableId="1773744170">
    <w:abstractNumId w:val="1"/>
  </w:num>
  <w:num w:numId="10" w16cid:durableId="297105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5F74"/>
    <w:rsid w:val="00065EBD"/>
    <w:rsid w:val="00066D0C"/>
    <w:rsid w:val="00083B44"/>
    <w:rsid w:val="000850DC"/>
    <w:rsid w:val="00094CCC"/>
    <w:rsid w:val="000C07BF"/>
    <w:rsid w:val="000C2771"/>
    <w:rsid w:val="000D46F4"/>
    <w:rsid w:val="000E533C"/>
    <w:rsid w:val="000F0DCE"/>
    <w:rsid w:val="000F6BE3"/>
    <w:rsid w:val="00112C5B"/>
    <w:rsid w:val="00114193"/>
    <w:rsid w:val="00115A38"/>
    <w:rsid w:val="0011687B"/>
    <w:rsid w:val="00124F82"/>
    <w:rsid w:val="00140B71"/>
    <w:rsid w:val="0016337A"/>
    <w:rsid w:val="00164269"/>
    <w:rsid w:val="001923FA"/>
    <w:rsid w:val="001A1BDE"/>
    <w:rsid w:val="001B13CE"/>
    <w:rsid w:val="001F0876"/>
    <w:rsid w:val="001F167C"/>
    <w:rsid w:val="001F5E91"/>
    <w:rsid w:val="002077B9"/>
    <w:rsid w:val="00212CC0"/>
    <w:rsid w:val="00262D72"/>
    <w:rsid w:val="00294FBB"/>
    <w:rsid w:val="002B4785"/>
    <w:rsid w:val="002C030F"/>
    <w:rsid w:val="002F0FB6"/>
    <w:rsid w:val="0031671A"/>
    <w:rsid w:val="00331D75"/>
    <w:rsid w:val="00355362"/>
    <w:rsid w:val="00363E44"/>
    <w:rsid w:val="003659A8"/>
    <w:rsid w:val="003669F9"/>
    <w:rsid w:val="00392402"/>
    <w:rsid w:val="00393BAB"/>
    <w:rsid w:val="00395E86"/>
    <w:rsid w:val="003A2FD8"/>
    <w:rsid w:val="003B40E6"/>
    <w:rsid w:val="003E74FB"/>
    <w:rsid w:val="003F5904"/>
    <w:rsid w:val="003F6E14"/>
    <w:rsid w:val="00405336"/>
    <w:rsid w:val="00435ABE"/>
    <w:rsid w:val="00455554"/>
    <w:rsid w:val="004571D5"/>
    <w:rsid w:val="00461D81"/>
    <w:rsid w:val="0046356B"/>
    <w:rsid w:val="00477182"/>
    <w:rsid w:val="004779CB"/>
    <w:rsid w:val="004A6F57"/>
    <w:rsid w:val="004D0135"/>
    <w:rsid w:val="004D4AA0"/>
    <w:rsid w:val="004E42D8"/>
    <w:rsid w:val="004E7BA2"/>
    <w:rsid w:val="004F7EDF"/>
    <w:rsid w:val="005001AC"/>
    <w:rsid w:val="00517B24"/>
    <w:rsid w:val="00527D71"/>
    <w:rsid w:val="00533910"/>
    <w:rsid w:val="005520A8"/>
    <w:rsid w:val="005607DD"/>
    <w:rsid w:val="00560C04"/>
    <w:rsid w:val="005A558C"/>
    <w:rsid w:val="005D712F"/>
    <w:rsid w:val="005E28F8"/>
    <w:rsid w:val="005E6513"/>
    <w:rsid w:val="00607E8E"/>
    <w:rsid w:val="00632CA3"/>
    <w:rsid w:val="00647857"/>
    <w:rsid w:val="00651114"/>
    <w:rsid w:val="00663570"/>
    <w:rsid w:val="00664560"/>
    <w:rsid w:val="00670299"/>
    <w:rsid w:val="00691985"/>
    <w:rsid w:val="00691BF4"/>
    <w:rsid w:val="00697611"/>
    <w:rsid w:val="006A1B64"/>
    <w:rsid w:val="007108F5"/>
    <w:rsid w:val="00713E5B"/>
    <w:rsid w:val="007176C9"/>
    <w:rsid w:val="007402FC"/>
    <w:rsid w:val="007411A1"/>
    <w:rsid w:val="00784BCE"/>
    <w:rsid w:val="00793072"/>
    <w:rsid w:val="007C45B3"/>
    <w:rsid w:val="007E2786"/>
    <w:rsid w:val="00807D35"/>
    <w:rsid w:val="008218C4"/>
    <w:rsid w:val="00843235"/>
    <w:rsid w:val="0084520B"/>
    <w:rsid w:val="00867A98"/>
    <w:rsid w:val="00870867"/>
    <w:rsid w:val="00885C9B"/>
    <w:rsid w:val="00892A1F"/>
    <w:rsid w:val="008957E4"/>
    <w:rsid w:val="008D5D2A"/>
    <w:rsid w:val="00914B63"/>
    <w:rsid w:val="009354F3"/>
    <w:rsid w:val="009447DC"/>
    <w:rsid w:val="00945471"/>
    <w:rsid w:val="00950234"/>
    <w:rsid w:val="00961BA5"/>
    <w:rsid w:val="009743A9"/>
    <w:rsid w:val="009A5287"/>
    <w:rsid w:val="009A7C5F"/>
    <w:rsid w:val="009B2AC5"/>
    <w:rsid w:val="009B7984"/>
    <w:rsid w:val="009F4BED"/>
    <w:rsid w:val="009F6103"/>
    <w:rsid w:val="009F7D93"/>
    <w:rsid w:val="00A02E0C"/>
    <w:rsid w:val="00A3403B"/>
    <w:rsid w:val="00A51A12"/>
    <w:rsid w:val="00A53A78"/>
    <w:rsid w:val="00A627D4"/>
    <w:rsid w:val="00A74DA2"/>
    <w:rsid w:val="00A77632"/>
    <w:rsid w:val="00A848E7"/>
    <w:rsid w:val="00AB399E"/>
    <w:rsid w:val="00AC59D0"/>
    <w:rsid w:val="00AD16B1"/>
    <w:rsid w:val="00AD499C"/>
    <w:rsid w:val="00B36869"/>
    <w:rsid w:val="00B43B31"/>
    <w:rsid w:val="00B47CFA"/>
    <w:rsid w:val="00B53F95"/>
    <w:rsid w:val="00B574A3"/>
    <w:rsid w:val="00B57F00"/>
    <w:rsid w:val="00B63245"/>
    <w:rsid w:val="00B73C69"/>
    <w:rsid w:val="00B77B2A"/>
    <w:rsid w:val="00B82C22"/>
    <w:rsid w:val="00B93DBA"/>
    <w:rsid w:val="00B9440A"/>
    <w:rsid w:val="00BB2D2A"/>
    <w:rsid w:val="00BC290E"/>
    <w:rsid w:val="00BC3E04"/>
    <w:rsid w:val="00BD58CF"/>
    <w:rsid w:val="00BF0C92"/>
    <w:rsid w:val="00C04CC1"/>
    <w:rsid w:val="00C4096C"/>
    <w:rsid w:val="00C50C6D"/>
    <w:rsid w:val="00C600D9"/>
    <w:rsid w:val="00C92B22"/>
    <w:rsid w:val="00CA166B"/>
    <w:rsid w:val="00CC1384"/>
    <w:rsid w:val="00CD3720"/>
    <w:rsid w:val="00CF1848"/>
    <w:rsid w:val="00CF35C9"/>
    <w:rsid w:val="00CF5C2F"/>
    <w:rsid w:val="00D04BCF"/>
    <w:rsid w:val="00D11A56"/>
    <w:rsid w:val="00D143D9"/>
    <w:rsid w:val="00D30C95"/>
    <w:rsid w:val="00D51C15"/>
    <w:rsid w:val="00D5511B"/>
    <w:rsid w:val="00D766F1"/>
    <w:rsid w:val="00DD2E17"/>
    <w:rsid w:val="00DF7D88"/>
    <w:rsid w:val="00E257C8"/>
    <w:rsid w:val="00E40A10"/>
    <w:rsid w:val="00E41512"/>
    <w:rsid w:val="00E4519A"/>
    <w:rsid w:val="00E853D5"/>
    <w:rsid w:val="00E9773B"/>
    <w:rsid w:val="00EA6F42"/>
    <w:rsid w:val="00EC13A3"/>
    <w:rsid w:val="00EC7C85"/>
    <w:rsid w:val="00ED2CBE"/>
    <w:rsid w:val="00F125EE"/>
    <w:rsid w:val="00F12E98"/>
    <w:rsid w:val="00F22029"/>
    <w:rsid w:val="00F515FB"/>
    <w:rsid w:val="00F51AD9"/>
    <w:rsid w:val="00F630EA"/>
    <w:rsid w:val="00F7007E"/>
    <w:rsid w:val="00F73193"/>
    <w:rsid w:val="00F74F95"/>
    <w:rsid w:val="00F80705"/>
    <w:rsid w:val="00FA1481"/>
    <w:rsid w:val="00FA7D35"/>
    <w:rsid w:val="00FC6908"/>
    <w:rsid w:val="00FF04E3"/>
    <w:rsid w:val="00FF0E2A"/>
    <w:rsid w:val="4959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semiHidden/>
    <w:rsid w:val="007402FC"/>
    <w:rPr>
      <w:color w:val="0000FF"/>
      <w:u w:val="single"/>
    </w:rPr>
  </w:style>
  <w:style w:type="character" w:styleId="FollowedHyperlink">
    <w:name w:val="FollowedHyperlink"/>
    <w:semiHidden/>
    <w:unhideWhenUsed/>
    <w:rsid w:val="00793072"/>
    <w:rPr>
      <w:color w:val="800080"/>
      <w:u w:val="single"/>
    </w:rPr>
  </w:style>
  <w:style w:type="character" w:styleId="CommentReference">
    <w:name w:val="annotation reference"/>
    <w:semiHidden/>
    <w:unhideWhenUsed/>
    <w:rsid w:val="00793072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PubInfo">
    <w:name w:val="PubInfo"/>
    <w:basedOn w:val="Normal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DoiInfo">
    <w:name w:val="DoiInfo"/>
    <w:basedOn w:val="Normal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Head">
    <w:name w:val="Head"/>
    <w:basedOn w:val="Normal"/>
    <w:rsid w:val="00892A1F"/>
    <w:pPr>
      <w:keepNext/>
      <w:spacing w:before="120" w:after="120"/>
      <w:jc w:val="center"/>
      <w:outlineLvl w:val="0"/>
    </w:pPr>
    <w:rPr>
      <w:b/>
      <w:bCs/>
      <w:kern w:val="28"/>
      <w:sz w:val="28"/>
      <w:szCs w:val="28"/>
    </w:rPr>
  </w:style>
  <w:style w:type="paragraph" w:customStyle="1" w:styleId="Teaser">
    <w:name w:val="Teaser"/>
    <w:basedOn w:val="Normal"/>
    <w:rsid w:val="00892A1F"/>
    <w:pPr>
      <w:spacing w:before="12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fjiang@ldeo.columbia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221A7F0343744B07CC2CED3D6F8EE" ma:contentTypeVersion="12" ma:contentTypeDescription="Create a new document." ma:contentTypeScope="" ma:versionID="4ed130d46c3bc80f8d043bccdf574eeb">
  <xsd:schema xmlns:xsd="http://www.w3.org/2001/XMLSchema" xmlns:xs="http://www.w3.org/2001/XMLSchema" xmlns:p="http://schemas.microsoft.com/office/2006/metadata/properties" xmlns:ns3="96858f5b-69cf-4d49-a520-6ae816db1d8d" xmlns:ns4="1867113f-8995-4870-a940-2b72f688d265" targetNamespace="http://schemas.microsoft.com/office/2006/metadata/properties" ma:root="true" ma:fieldsID="194ceea0314d884e28c6faa81920b7ec" ns3:_="" ns4:_="">
    <xsd:import namespace="96858f5b-69cf-4d49-a520-6ae816db1d8d"/>
    <xsd:import namespace="1867113f-8995-4870-a940-2b72f688d2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58f5b-69cf-4d49-a520-6ae816db1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7113f-8995-4870-a940-2b72f688d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76C972-A183-49AB-BF18-FB119101A4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6A6A5F-BF35-401C-A3A1-63045C8310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F523CB-42AC-406D-90D9-CA3AE16CA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58f5b-69cf-4d49-a520-6ae816db1d8d"/>
    <ds:schemaRef ds:uri="1867113f-8995-4870-a940-2b72f688d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Feng Jiang</cp:lastModifiedBy>
  <cp:revision>17</cp:revision>
  <cp:lastPrinted>2018-01-11T19:53:00Z</cp:lastPrinted>
  <dcterms:created xsi:type="dcterms:W3CDTF">2022-10-12T19:16:00Z</dcterms:created>
  <dcterms:modified xsi:type="dcterms:W3CDTF">2024-06-28T19:54:00Z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0x0101000C8221A7F0343744B07CC2CED3D6F8EE</vt:lpwstr>
  </property>
</Properties>
</file>