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3CD2" w14:textId="77777777" w:rsidR="000518DA" w:rsidRPr="00D7410B" w:rsidRDefault="000518DA" w:rsidP="000518DA">
      <w:pPr>
        <w:pStyle w:val="Text"/>
        <w:rPr>
          <w:lang w:val="en-GB"/>
        </w:rPr>
      </w:pPr>
    </w:p>
    <w:p w14:paraId="52CC3CFF" w14:textId="77777777" w:rsidR="000518DA" w:rsidRPr="00D7410B" w:rsidRDefault="000518DA" w:rsidP="000518DA">
      <w:pPr>
        <w:pStyle w:val="Text"/>
        <w:rPr>
          <w:lang w:val="en-GB"/>
        </w:rPr>
      </w:pPr>
    </w:p>
    <w:tbl>
      <w:tblPr>
        <w:tblStyle w:val="TableNormal"/>
        <w:tblW w:w="141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"/>
        <w:gridCol w:w="1029"/>
        <w:gridCol w:w="1027"/>
        <w:gridCol w:w="1029"/>
        <w:gridCol w:w="1026"/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F06A70" w14:paraId="1569A08E" w14:textId="5B9362EF" w:rsidTr="00F06A70">
        <w:trPr>
          <w:trHeight w:val="481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CF475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Case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DC9C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1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17AE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2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2940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3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818C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B718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5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8E863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018C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7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AB2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8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1E3CF968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9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438BCFC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10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FB6DDD9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11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4047500D" w14:textId="19720836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Patient 12</w:t>
            </w:r>
          </w:p>
        </w:tc>
      </w:tr>
      <w:tr w:rsidR="00F06A70" w14:paraId="1B7C2932" w14:textId="74F37F83" w:rsidTr="00F06A70">
        <w:trPr>
          <w:trHeight w:val="1919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2F72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Therapy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E34F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Sirolimus 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1EB2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NI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V, </w:t>
            </w:r>
          </w:p>
          <w:p w14:paraId="13DC7A11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l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ung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-transplantation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AB21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Surgery with mediastinal cyst removal and thoracic duct ligation  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D95F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Thoracoscopic pericardial fenestration, removal of the mediastinal tumor, </w:t>
            </w:r>
          </w:p>
          <w:p w14:paraId="3D87D6D2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</w:t>
            </w:r>
            <w:proofErr w:type="spellStart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uctus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thoracic ligature and</w:t>
            </w:r>
          </w:p>
          <w:p w14:paraId="1F4910CE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talcum pleurodesis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727F" w14:textId="6D0CF363" w:rsidR="00F06A70" w:rsidRPr="00EC31E7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  <w:lang w:val="en-GB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Thoracoscopic pericardial fenestration</w:t>
            </w:r>
            <w:r w:rsidRPr="00EC31E7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</w:t>
            </w:r>
            <w:r w:rsidR="00EC31E7" w:rsidRPr="00EC31E7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 xml:space="preserve"> f</w:t>
            </w:r>
            <w:r w:rsidR="00EC31E7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ollowed by</w:t>
            </w:r>
          </w:p>
          <w:p w14:paraId="65334CCC" w14:textId="098EF02B" w:rsidR="00F06A70" w:rsidRDefault="00EC31E7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s</w:t>
            </w:r>
            <w:proofErr w:type="spellStart"/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irolimus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one months later which was paused after the patient became pregnant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2611" w14:textId="33C4400F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Thoracoscopic talcum pleurodesis, thoracic duct ligation</w:t>
            </w:r>
            <w:r w:rsidR="00140B3E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without success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</w:t>
            </w:r>
            <w:r w:rsidR="00140B3E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 xml:space="preserve"> followed by </w:t>
            </w:r>
          </w:p>
          <w:p w14:paraId="4723B2C0" w14:textId="7A8733C8" w:rsidR="00140B3E" w:rsidRPr="00140B3E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thoracic radiation</w:t>
            </w:r>
            <w:r w:rsidR="00140B3E" w:rsidRPr="00140B3E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 xml:space="preserve"> due to persis</w:t>
            </w:r>
            <w:r w:rsidR="00140B3E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 xml:space="preserve">tent chylothorax and </w:t>
            </w:r>
          </w:p>
          <w:p w14:paraId="5EDE79B6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 w:rsidRPr="00140B3E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s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irolimus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2CF0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Sirolimus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A34A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Thoracoscopic talcum pleurodesis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thoracic radiation, sirolimus, oxygen therapy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49D3F40" w14:textId="67331AC9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Sirolimus  </w:t>
            </w:r>
          </w:p>
          <w:p w14:paraId="08BB50B6" w14:textId="1514064D" w:rsidR="00BC5566" w:rsidRDefault="00BC5566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</w:p>
          <w:p w14:paraId="3F904D59" w14:textId="77777777" w:rsidR="00F06A70" w:rsidRDefault="00F06A70" w:rsidP="000162CF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1DF413AB" w14:textId="3FB22A50" w:rsidR="00F06A70" w:rsidRPr="00BC5566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</w:pPr>
            <w:proofErr w:type="spellStart"/>
            <w:r w:rsidRPr="00BC5566"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Sirolimus</w:t>
            </w:r>
            <w:proofErr w:type="spellEnd"/>
            <w:r w:rsidRPr="00BC5566"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 </w:t>
            </w:r>
            <w:proofErr w:type="spellStart"/>
            <w:r w:rsidR="001454B1"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recommended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85A35F1" w14:textId="77777777" w:rsidR="00F06A70" w:rsidRPr="00954E99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Sirolimus + propranolol only for 9 months</w:t>
            </w:r>
          </w:p>
          <w:p w14:paraId="68834C73" w14:textId="77777777" w:rsidR="00F06A70" w:rsidRPr="00954E99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</w:p>
          <w:p w14:paraId="3AE889D3" w14:textId="026E4C66" w:rsidR="00F06A70" w:rsidRPr="00954E99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Followed by </w:t>
            </w:r>
            <w:bookmarkStart w:id="0" w:name="_Hlk110496155"/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pericardiectomy, </w:t>
            </w:r>
            <w:proofErr w:type="spellStart"/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adhesiolysis</w:t>
            </w:r>
            <w:proofErr w:type="spellEnd"/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 and talc</w:t>
            </w:r>
            <w:r w:rsidR="0020492C"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um </w:t>
            </w:r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pleurodesis </w:t>
            </w:r>
            <w:bookmarkEnd w:id="0"/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due to deterioration, </w:t>
            </w:r>
          </w:p>
          <w:p w14:paraId="23194516" w14:textId="39DB306B" w:rsidR="00F06A70" w:rsidRPr="00954E99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continuation with sirolimus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3C6FB761" w14:textId="26B125AB" w:rsidR="00F06A70" w:rsidRPr="00954E99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954E9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Sirolimus </w:t>
            </w:r>
          </w:p>
        </w:tc>
      </w:tr>
      <w:tr w:rsidR="00F06A70" w:rsidRPr="00F06A70" w14:paraId="772CEC15" w14:textId="27279D76" w:rsidTr="00F06A70">
        <w:trPr>
          <w:trHeight w:val="1278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3298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Outcome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9303" w14:textId="126808F0" w:rsidR="00D86981" w:rsidRDefault="004F7EF4" w:rsidP="00D86981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Clinical and radiological </w:t>
            </w:r>
            <w:r w:rsidR="001773FD">
              <w:rPr>
                <w:rFonts w:ascii="Arial" w:hAnsi="Arial"/>
                <w:kern w:val="24"/>
                <w:sz w:val="14"/>
                <w:szCs w:val="14"/>
                <w:u w:color="000000"/>
              </w:rPr>
              <w:t>i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mprovement after 3 months of therapy with sirolimus</w:t>
            </w:r>
            <w:r w:rsidR="00D86981">
              <w:rPr>
                <w:rFonts w:ascii="Arial" w:hAnsi="Arial"/>
                <w:kern w:val="24"/>
                <w:sz w:val="14"/>
                <w:szCs w:val="14"/>
                <w:u w:color="000000"/>
              </w:rPr>
              <w:t>, stable disease in the following 25 month</w:t>
            </w:r>
            <w:r w:rsidR="00D65EB4">
              <w:rPr>
                <w:rFonts w:ascii="Arial" w:hAnsi="Arial"/>
                <w:kern w:val="24"/>
                <w:sz w:val="14"/>
                <w:szCs w:val="14"/>
                <w:u w:color="000000"/>
              </w:rPr>
              <w:t>s</w:t>
            </w:r>
            <w:r w:rsidR="00D86981">
              <w:rPr>
                <w:rFonts w:ascii="Arial" w:hAnsi="Arial"/>
                <w:kern w:val="24"/>
                <w:sz w:val="14"/>
                <w:szCs w:val="14"/>
                <w:u w:color="000000"/>
              </w:rPr>
              <w:t>, afterwards loss of follow up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B0DB" w14:textId="4CD062D4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Death</w:t>
            </w:r>
            <w:r w:rsidR="00D65EB4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8 years after diagnosis due to a complication after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lung transplantation</w:t>
            </w:r>
            <w:r w:rsidR="00D65EB4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which was performed due to a progressive disease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A870" w14:textId="77777777" w:rsidR="00F06A70" w:rsidRDefault="00F06A70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Loss of follow-up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9339" w14:textId="3CEE05F9" w:rsidR="00F06A70" w:rsidRDefault="00EC31E7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1 month after </w:t>
            </w:r>
            <w:r w:rsidR="004F7EF4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surgery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 symptoms anymore, afterwards l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oss of follow up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D6EE" w14:textId="71031586" w:rsidR="004F44D3" w:rsidRPr="004F44D3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Improvement of pericardial effusion </w:t>
            </w:r>
            <w:r w:rsidR="004F44D3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12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months after sirolimus therapy</w:t>
            </w:r>
            <w:r w:rsidR="004F44D3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stable disease during pregnancy and time afterwards until now (another 26 months)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77E0" w14:textId="6813DFD1" w:rsidR="00F06A70" w:rsidRDefault="001773FD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Clinical and radiological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improvement </w:t>
            </w:r>
            <w:r w:rsidR="00140B3E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and stabilization 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6 months of sirolimus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treatment</w:t>
            </w:r>
            <w:r w:rsidR="00140B3E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for 45 months, afterwards loss of follow up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9954" w14:textId="135A1730" w:rsidR="00F06A70" w:rsidRDefault="001773FD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Clinical and radiological i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mprovement </w:t>
            </w:r>
            <w:r w:rsidR="00CE7734">
              <w:rPr>
                <w:rFonts w:ascii="Arial" w:hAnsi="Arial"/>
                <w:kern w:val="24"/>
                <w:sz w:val="14"/>
                <w:szCs w:val="14"/>
                <w:u w:color="000000"/>
              </w:rPr>
              <w:t>for 11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months after initiating sirolimus</w:t>
            </w:r>
            <w:r w:rsidR="00CE7734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loss of follow up after a treated infection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F3E5" w14:textId="447154BD" w:rsidR="00F06A70" w:rsidRDefault="001773FD" w:rsidP="007D282D">
            <w:pPr>
              <w:tabs>
                <w:tab w:val="left" w:pos="708"/>
              </w:tabs>
              <w:spacing w:before="0"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R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egressive chylothorax after 3 months </w:t>
            </w:r>
            <w:r w:rsidR="00DA3DB2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of </w:t>
            </w:r>
            <w:r w:rsidR="00F06A70">
              <w:rPr>
                <w:rFonts w:ascii="Arial" w:hAnsi="Arial"/>
                <w:kern w:val="24"/>
                <w:sz w:val="14"/>
                <w:szCs w:val="14"/>
                <w:u w:color="000000"/>
              </w:rPr>
              <w:t>sirolimus treatment</w:t>
            </w:r>
            <w:r w:rsidR="00DA3DB2">
              <w:rPr>
                <w:rFonts w:ascii="Arial" w:hAnsi="Arial"/>
                <w:kern w:val="24"/>
                <w:sz w:val="14"/>
                <w:szCs w:val="14"/>
                <w:u w:color="000000"/>
              </w:rPr>
              <w:t>, discontinuation due to phlebitis for one months, followed by reuptake, afterwards loss of follow up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5A2583DD" w14:textId="35CDD1F5" w:rsidR="00F06A70" w:rsidRDefault="001773FD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Clinical i</w:t>
            </w:r>
            <w:r w:rsidR="00D16371">
              <w:rPr>
                <w:rFonts w:ascii="Arial" w:hAnsi="Arial"/>
                <w:kern w:val="24"/>
                <w:sz w:val="14"/>
                <w:szCs w:val="14"/>
                <w:u w:color="000000"/>
              </w:rPr>
              <w:t>mprovement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D16371">
              <w:rPr>
                <w:rFonts w:ascii="Arial" w:hAnsi="Arial"/>
                <w:kern w:val="24"/>
                <w:sz w:val="14"/>
                <w:szCs w:val="14"/>
                <w:u w:color="000000"/>
              </w:rPr>
              <w:t>discreet progression in CT scan (initiation of sirolimus was delayed to concerns of the patient in terms of adverse event and started after progression of symptoms)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6C408FCC" w14:textId="0394F453" w:rsidR="00F06A70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Stable situation for 3 months</w:t>
            </w:r>
            <w:r w:rsidR="001454B1">
              <w:rPr>
                <w:rFonts w:ascii="Arial" w:hAnsi="Arial"/>
                <w:kern w:val="24"/>
                <w:sz w:val="14"/>
                <w:szCs w:val="14"/>
                <w:u w:color="000000"/>
              </w:rPr>
              <w:t>, then loss of follow-up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03D96F23" w14:textId="0996A2B1" w:rsidR="00F06A70" w:rsidRPr="001773FD" w:rsidRDefault="001773FD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Clinical and radiological improvement </w:t>
            </w:r>
            <w:r w:rsidR="00F06A70"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for approx. 3 months;</w:t>
            </w:r>
          </w:p>
          <w:p w14:paraId="31A08C23" w14:textId="3EDC9FB2" w:rsidR="00F06A70" w:rsidRPr="001773FD" w:rsidRDefault="00F06A70" w:rsidP="0028729A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after combining pharmacological and surgical treatments improvement of symptoms, lung function, X-ray findings and 6MWT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123CFB52" w14:textId="72EC22C2" w:rsidR="00097DBE" w:rsidRPr="001773FD" w:rsidRDefault="00097DBE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Stable </w:t>
            </w:r>
            <w:r w:rsidR="004F7EF4"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clinical and radiological </w:t>
            </w:r>
            <w:r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situation after 6 months </w:t>
            </w:r>
          </w:p>
          <w:p w14:paraId="35D0856B" w14:textId="48822C0A" w:rsidR="00F06A70" w:rsidRPr="001773FD" w:rsidRDefault="00F06A70" w:rsidP="007D282D">
            <w:pPr>
              <w:tabs>
                <w:tab w:val="left" w:pos="708"/>
              </w:tabs>
              <w:spacing w:before="0"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1773FD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 xml:space="preserve"> </w:t>
            </w:r>
          </w:p>
        </w:tc>
        <w:bookmarkStart w:id="1" w:name="_GoBack"/>
        <w:bookmarkEnd w:id="1"/>
      </w:tr>
    </w:tbl>
    <w:p w14:paraId="1169EBE0" w14:textId="77777777" w:rsidR="000518DA" w:rsidRPr="00825049" w:rsidRDefault="000518DA" w:rsidP="000518DA">
      <w:pPr>
        <w:pStyle w:val="Text"/>
        <w:rPr>
          <w:lang w:val="en-GB"/>
        </w:rPr>
      </w:pPr>
      <w:r>
        <w:rPr>
          <w:lang w:val="en-GB"/>
        </w:rPr>
        <w:t xml:space="preserve">Table 2: </w:t>
      </w:r>
      <w:r w:rsidRPr="00942C75">
        <w:rPr>
          <w:lang w:val="en-GB"/>
        </w:rPr>
        <w:t>treatments and outcome</w:t>
      </w:r>
    </w:p>
    <w:p w14:paraId="278AA8CC" w14:textId="77777777" w:rsidR="000518DA" w:rsidRPr="00825049" w:rsidRDefault="000518DA" w:rsidP="000518DA">
      <w:pPr>
        <w:pStyle w:val="Text"/>
        <w:rPr>
          <w:lang w:val="en-GB"/>
        </w:rPr>
      </w:pPr>
    </w:p>
    <w:p w14:paraId="0D7A6B56" w14:textId="77777777" w:rsidR="000518DA" w:rsidRPr="00825049" w:rsidRDefault="000518DA" w:rsidP="000518DA">
      <w:pPr>
        <w:pStyle w:val="Text"/>
        <w:rPr>
          <w:lang w:val="en-GB"/>
        </w:rPr>
      </w:pPr>
    </w:p>
    <w:p w14:paraId="2C7471D3" w14:textId="77777777" w:rsidR="00B42459" w:rsidRDefault="00B42459"/>
    <w:sectPr w:rsidR="00B42459" w:rsidSect="008F5BD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754584" w16cex:dateUtc="2024-04-14T17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DA"/>
    <w:rsid w:val="00014FE2"/>
    <w:rsid w:val="000162CF"/>
    <w:rsid w:val="000518DA"/>
    <w:rsid w:val="00097DBE"/>
    <w:rsid w:val="00140B3E"/>
    <w:rsid w:val="001454B1"/>
    <w:rsid w:val="001773FD"/>
    <w:rsid w:val="0020492C"/>
    <w:rsid w:val="00233E94"/>
    <w:rsid w:val="0028729A"/>
    <w:rsid w:val="00292287"/>
    <w:rsid w:val="00403778"/>
    <w:rsid w:val="00421BE7"/>
    <w:rsid w:val="004F44D3"/>
    <w:rsid w:val="004F7EF4"/>
    <w:rsid w:val="00677DFE"/>
    <w:rsid w:val="0070495E"/>
    <w:rsid w:val="007945A7"/>
    <w:rsid w:val="007D282D"/>
    <w:rsid w:val="008F5BD3"/>
    <w:rsid w:val="00954E99"/>
    <w:rsid w:val="00A56BF8"/>
    <w:rsid w:val="00B42459"/>
    <w:rsid w:val="00BC5566"/>
    <w:rsid w:val="00C3511D"/>
    <w:rsid w:val="00C43739"/>
    <w:rsid w:val="00CE7734"/>
    <w:rsid w:val="00D16371"/>
    <w:rsid w:val="00D65EB4"/>
    <w:rsid w:val="00D86981"/>
    <w:rsid w:val="00DA3DB2"/>
    <w:rsid w:val="00EC31E7"/>
    <w:rsid w:val="00F0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A74F"/>
  <w15:chartTrackingRefBased/>
  <w15:docId w15:val="{461DDDD5-3629-402A-898A-7E8981E5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18D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0518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0518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18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18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18DA"/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8D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8DA"/>
    <w:rPr>
      <w:rFonts w:ascii="Segoe UI" w:eastAsia="Arial Unicode MS" w:hAnsi="Segoe UI" w:cs="Segoe UI"/>
      <w:color w:val="000000"/>
      <w:sz w:val="18"/>
      <w:szCs w:val="18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18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18DA"/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4F7EF4"/>
    <w:pP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Polke, Markus</dc:creator>
  <cp:keywords/>
  <dc:description/>
  <cp:lastModifiedBy>Polke, Markus</cp:lastModifiedBy>
  <cp:revision>2</cp:revision>
  <dcterms:created xsi:type="dcterms:W3CDTF">2024-06-28T14:50:00Z</dcterms:created>
  <dcterms:modified xsi:type="dcterms:W3CDTF">2024-06-28T14:50:00Z</dcterms:modified>
</cp:coreProperties>
</file>