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209252" w14:textId="181C3272" w:rsidR="0094389A" w:rsidRDefault="0094389A" w:rsidP="0094389A">
      <w:pPr>
        <w:rPr>
          <w:b/>
          <w:bCs/>
        </w:rPr>
      </w:pPr>
      <w:bookmarkStart w:id="0" w:name="_Ref158108870"/>
      <w:r>
        <w:rPr>
          <w:rFonts w:ascii="Times New Roman" w:hAnsi="Times New Roman" w:cs="Times New Roman"/>
          <w:noProof/>
          <w:sz w:val="24"/>
          <w:szCs w:val="24"/>
        </w:rPr>
        <mc:AlternateContent>
          <mc:Choice Requires="wps">
            <w:drawing>
              <wp:anchor distT="0" distB="0" distL="114300" distR="114300" simplePos="0" relativeHeight="251658240" behindDoc="1" locked="0" layoutInCell="1" allowOverlap="1" wp14:anchorId="245B3D80" wp14:editId="595DAD51">
                <wp:simplePos x="0" y="0"/>
                <wp:positionH relativeFrom="margin">
                  <wp:posOffset>0</wp:posOffset>
                </wp:positionH>
                <wp:positionV relativeFrom="paragraph">
                  <wp:posOffset>634</wp:posOffset>
                </wp:positionV>
                <wp:extent cx="5759450" cy="9039225"/>
                <wp:effectExtent l="0" t="0" r="0" b="9525"/>
                <wp:wrapTight wrapText="bothSides">
                  <wp:wrapPolygon edited="0">
                    <wp:start x="0" y="0"/>
                    <wp:lineTo x="0" y="21577"/>
                    <wp:lineTo x="21505" y="21577"/>
                    <wp:lineTo x="21505" y="0"/>
                    <wp:lineTo x="0" y="0"/>
                  </wp:wrapPolygon>
                </wp:wrapTight>
                <wp:docPr id="1934332775" name="Text Box 4"/>
                <wp:cNvGraphicFramePr/>
                <a:graphic xmlns:a="http://schemas.openxmlformats.org/drawingml/2006/main">
                  <a:graphicData uri="http://schemas.microsoft.com/office/word/2010/wordprocessingShape">
                    <wps:wsp>
                      <wps:cNvSpPr txBox="1"/>
                      <wps:spPr>
                        <a:xfrm>
                          <a:off x="0" y="0"/>
                          <a:ext cx="5759450" cy="9039225"/>
                        </a:xfrm>
                        <a:prstGeom prst="rect">
                          <a:avLst/>
                        </a:prstGeom>
                        <a:solidFill>
                          <a:schemeClr val="lt1"/>
                        </a:solidFill>
                        <a:ln w="6350">
                          <a:noFill/>
                        </a:ln>
                      </wps:spPr>
                      <wps:txbx>
                        <w:txbxContent>
                          <w:p w14:paraId="5B533024" w14:textId="77777777" w:rsidR="0094389A" w:rsidRDefault="0094389A" w:rsidP="0094389A">
                            <w:pPr>
                              <w:pStyle w:val="Caption"/>
                              <w:keepNext/>
                            </w:pPr>
                            <w:bookmarkStart w:id="1" w:name="_Ref153532491"/>
                            <w:r>
                              <w:t xml:space="preserve">Table </w:t>
                            </w:r>
                            <w:r>
                              <w:fldChar w:fldCharType="begin"/>
                            </w:r>
                            <w:r>
                              <w:instrText xml:space="preserve"> SEQ Table \* ARABIC </w:instrText>
                            </w:r>
                            <w:r>
                              <w:fldChar w:fldCharType="separate"/>
                            </w:r>
                            <w:r>
                              <w:rPr>
                                <w:noProof/>
                              </w:rPr>
                              <w:t>1</w:t>
                            </w:r>
                            <w:r>
                              <w:fldChar w:fldCharType="end"/>
                            </w:r>
                            <w:bookmarkEnd w:id="1"/>
                            <w:r>
                              <w:t xml:space="preserve">: </w:t>
                            </w:r>
                            <w:r>
                              <w:rPr>
                                <w:rStyle w:val="rynqvb"/>
                                <w:lang w:val="en"/>
                              </w:rPr>
                              <w:t>State of the art regarding the quantitative analysis on methods of explainable artificial intelligence (</w:t>
                            </w:r>
                            <w:proofErr w:type="spellStart"/>
                            <w:r>
                              <w:rPr>
                                <w:rStyle w:val="rynqvb"/>
                                <w:lang w:val="en"/>
                              </w:rPr>
                              <w:t>xAI</w:t>
                            </w:r>
                            <w:proofErr w:type="spellEnd"/>
                            <w:r>
                              <w:rPr>
                                <w:rStyle w:val="rynqvb"/>
                                <w:lang w:val="en"/>
                              </w:rPr>
                              <w:t xml:space="preserve">), applied to the detection of anomalies in the electrocardiogram (ECG). AF, atrial fibrillation; </w:t>
                            </w:r>
                            <w:proofErr w:type="spellStart"/>
                            <w:r>
                              <w:rPr>
                                <w:rStyle w:val="rynqvb"/>
                                <w:lang w:val="en"/>
                              </w:rPr>
                              <w:t>CinC</w:t>
                            </w:r>
                            <w:proofErr w:type="spellEnd"/>
                            <w:r>
                              <w:rPr>
                                <w:rStyle w:val="rynqvb"/>
                                <w:lang w:val="en"/>
                              </w:rPr>
                              <w:t xml:space="preserve">, computing in cardiology; CNN, convolutional neural network; CPSC, China physiological signal challenge; CV, cross validation; DTD, deep Taylor decomposition; </w:t>
                            </w:r>
                            <w:proofErr w:type="spellStart"/>
                            <w:r>
                              <w:rPr>
                                <w:rStyle w:val="rynqvb"/>
                                <w:lang w:val="en"/>
                              </w:rPr>
                              <w:t>GradCAM</w:t>
                            </w:r>
                            <w:proofErr w:type="spellEnd"/>
                            <w:r>
                              <w:rPr>
                                <w:rStyle w:val="rynqvb"/>
                                <w:lang w:val="en"/>
                              </w:rPr>
                              <w:t xml:space="preserve">, gradient class activation maps; HV, hold-out validation; LIME, local interpretable model-agnostic explanations; LRP, layer-wise relevance propagation; LVD, left-ventricular dysfunction; NSR, normal sinus rhythm; PTB, </w:t>
                            </w:r>
                            <w:proofErr w:type="spellStart"/>
                            <w:r>
                              <w:rPr>
                                <w:rStyle w:val="rynqvb"/>
                                <w:lang w:val="en"/>
                              </w:rPr>
                              <w:t>Physikalisch-Technische</w:t>
                            </w:r>
                            <w:proofErr w:type="spellEnd"/>
                            <w:r>
                              <w:rPr>
                                <w:rStyle w:val="rynqvb"/>
                                <w:lang w:val="en"/>
                              </w:rPr>
                              <w:t xml:space="preserve"> </w:t>
                            </w:r>
                            <w:proofErr w:type="spellStart"/>
                            <w:r>
                              <w:rPr>
                                <w:rStyle w:val="rynqvb"/>
                                <w:lang w:val="en"/>
                              </w:rPr>
                              <w:t>Bundesanstalt</w:t>
                            </w:r>
                            <w:proofErr w:type="spellEnd"/>
                            <w:r>
                              <w:rPr>
                                <w:rStyle w:val="rynqvb"/>
                                <w:lang w:val="en"/>
                              </w:rPr>
                              <w:t xml:space="preserve">; </w:t>
                            </w:r>
                            <w:proofErr w:type="spellStart"/>
                            <w:r>
                              <w:rPr>
                                <w:rStyle w:val="rynqvb"/>
                                <w:lang w:val="en"/>
                              </w:rPr>
                              <w:t>ResNet</w:t>
                            </w:r>
                            <w:proofErr w:type="spellEnd"/>
                            <w:r>
                              <w:rPr>
                                <w:rStyle w:val="rynqvb"/>
                                <w:lang w:val="en"/>
                              </w:rPr>
                              <w:t>, residual neural network; SHAP, Shapley additive explanations.</w:t>
                            </w:r>
                          </w:p>
                          <w:tbl>
                            <w:tblPr>
                              <w:tblStyle w:val="GridTable1Light"/>
                              <w:tblOverlap w:val="never"/>
                              <w:tblW w:w="9072" w:type="dxa"/>
                              <w:tblInd w:w="0" w:type="dxa"/>
                              <w:tblCellMar>
                                <w:left w:w="6" w:type="dxa"/>
                                <w:right w:w="6" w:type="dxa"/>
                              </w:tblCellMar>
                              <w:tblLook w:val="04A0" w:firstRow="1" w:lastRow="0" w:firstColumn="1" w:lastColumn="0" w:noHBand="0" w:noVBand="1"/>
                            </w:tblPr>
                            <w:tblGrid>
                              <w:gridCol w:w="431"/>
                              <w:gridCol w:w="283"/>
                              <w:gridCol w:w="1375"/>
                              <w:gridCol w:w="964"/>
                              <w:gridCol w:w="1032"/>
                              <w:gridCol w:w="985"/>
                              <w:gridCol w:w="429"/>
                              <w:gridCol w:w="137"/>
                              <w:gridCol w:w="477"/>
                              <w:gridCol w:w="1158"/>
                              <w:gridCol w:w="1801"/>
                            </w:tblGrid>
                            <w:tr w:rsidR="0094389A" w14:paraId="2196E0FF" w14:textId="77777777">
                              <w:trPr>
                                <w:cnfStyle w:val="100000000000" w:firstRow="1" w:lastRow="0" w:firstColumn="0" w:lastColumn="0" w:oddVBand="0" w:evenVBand="0" w:oddHBand="0" w:evenHBand="0" w:firstRowFirstColumn="0" w:firstRowLastColumn="0" w:lastRowFirstColumn="0" w:lastRowLastColumn="0"/>
                                <w:cantSplit/>
                                <w:trHeight w:val="1019"/>
                                <w:tblHeader/>
                              </w:trPr>
                              <w:tc>
                                <w:tcPr>
                                  <w:cnfStyle w:val="001000000000" w:firstRow="0" w:lastRow="0" w:firstColumn="1" w:lastColumn="0" w:oddVBand="0" w:evenVBand="0" w:oddHBand="0" w:evenHBand="0" w:firstRowFirstColumn="0" w:firstRowLastColumn="0" w:lastRowFirstColumn="0" w:lastRowLastColumn="0"/>
                                  <w:tcW w:w="431" w:type="dxa"/>
                                  <w:tcBorders>
                                    <w:top w:val="single" w:sz="12" w:space="0" w:color="000000" w:themeColor="text1"/>
                                    <w:left w:val="nil"/>
                                    <w:bottom w:val="single" w:sz="12" w:space="0" w:color="000000" w:themeColor="text1"/>
                                    <w:right w:val="nil"/>
                                  </w:tcBorders>
                                  <w:noWrap/>
                                  <w:textDirection w:val="btLr"/>
                                  <w:vAlign w:val="center"/>
                                  <w:hideMark/>
                                </w:tcPr>
                                <w:p w14:paraId="216AAA59" w14:textId="77777777" w:rsidR="0094389A" w:rsidRDefault="0094389A">
                                  <w:pPr>
                                    <w:ind w:left="113" w:right="113"/>
                                    <w:jc w:val="center"/>
                                    <w:rPr>
                                      <w:rFonts w:eastAsia="Times New Roman" w:cstheme="minorHAnsi"/>
                                      <w:sz w:val="16"/>
                                      <w:szCs w:val="16"/>
                                      <w:lang w:val="de-DE" w:eastAsia="de-DE"/>
                                    </w:rPr>
                                  </w:pPr>
                                  <w:r>
                                    <w:rPr>
                                      <w:rFonts w:eastAsia="Times New Roman" w:cstheme="minorHAnsi"/>
                                      <w:sz w:val="16"/>
                                      <w:szCs w:val="16"/>
                                      <w:lang w:val="de-DE" w:eastAsia="de-DE"/>
                                    </w:rPr>
                                    <w:t>Author</w:t>
                                  </w:r>
                                </w:p>
                              </w:tc>
                              <w:tc>
                                <w:tcPr>
                                  <w:tcW w:w="283" w:type="dxa"/>
                                  <w:tcBorders>
                                    <w:top w:val="single" w:sz="12" w:space="0" w:color="000000" w:themeColor="text1"/>
                                    <w:left w:val="nil"/>
                                    <w:bottom w:val="single" w:sz="12" w:space="0" w:color="000000" w:themeColor="text1"/>
                                    <w:right w:val="nil"/>
                                  </w:tcBorders>
                                  <w:noWrap/>
                                  <w:textDirection w:val="btLr"/>
                                  <w:vAlign w:val="center"/>
                                  <w:hideMark/>
                                </w:tcPr>
                                <w:p w14:paraId="1415E6EF" w14:textId="77777777" w:rsidR="0094389A" w:rsidRDefault="0094389A">
                                  <w:pPr>
                                    <w:ind w:left="113" w:right="113"/>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ECG leads</w:t>
                                  </w:r>
                                </w:p>
                              </w:tc>
                              <w:tc>
                                <w:tcPr>
                                  <w:tcW w:w="1375" w:type="dxa"/>
                                  <w:tcBorders>
                                    <w:top w:val="single" w:sz="12" w:space="0" w:color="000000" w:themeColor="text1"/>
                                    <w:left w:val="nil"/>
                                    <w:bottom w:val="single" w:sz="12" w:space="0" w:color="000000" w:themeColor="text1"/>
                                    <w:right w:val="nil"/>
                                  </w:tcBorders>
                                  <w:noWrap/>
                                  <w:tcMar>
                                    <w:top w:w="0" w:type="dxa"/>
                                    <w:left w:w="57" w:type="dxa"/>
                                    <w:bottom w:w="0" w:type="dxa"/>
                                    <w:right w:w="57" w:type="dxa"/>
                                  </w:tcMar>
                                  <w:vAlign w:val="center"/>
                                  <w:hideMark/>
                                </w:tcPr>
                                <w:p w14:paraId="2749270F"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Task</w:t>
                                  </w:r>
                                </w:p>
                              </w:tc>
                              <w:tc>
                                <w:tcPr>
                                  <w:tcW w:w="964" w:type="dxa"/>
                                  <w:tcBorders>
                                    <w:top w:val="single" w:sz="12" w:space="0" w:color="000000" w:themeColor="text1"/>
                                    <w:left w:val="nil"/>
                                    <w:bottom w:val="single" w:sz="12" w:space="0" w:color="000000" w:themeColor="text1"/>
                                    <w:right w:val="nil"/>
                                  </w:tcBorders>
                                  <w:noWrap/>
                                  <w:tcMar>
                                    <w:top w:w="0" w:type="dxa"/>
                                    <w:left w:w="57" w:type="dxa"/>
                                    <w:bottom w:w="0" w:type="dxa"/>
                                    <w:right w:w="57" w:type="dxa"/>
                                  </w:tcMar>
                                  <w:vAlign w:val="center"/>
                                  <w:hideMark/>
                                </w:tcPr>
                                <w:p w14:paraId="3C6C21D2"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Classifier</w:t>
                                  </w:r>
                                </w:p>
                              </w:tc>
                              <w:tc>
                                <w:tcPr>
                                  <w:tcW w:w="991" w:type="dxa"/>
                                  <w:tcBorders>
                                    <w:top w:val="single" w:sz="12" w:space="0" w:color="000000" w:themeColor="text1"/>
                                    <w:left w:val="nil"/>
                                    <w:bottom w:val="single" w:sz="12" w:space="0" w:color="000000" w:themeColor="text1"/>
                                    <w:right w:val="nil"/>
                                  </w:tcBorders>
                                  <w:tcMar>
                                    <w:top w:w="0" w:type="dxa"/>
                                    <w:left w:w="57" w:type="dxa"/>
                                    <w:bottom w:w="0" w:type="dxa"/>
                                    <w:right w:w="57" w:type="dxa"/>
                                  </w:tcMar>
                                  <w:vAlign w:val="center"/>
                                  <w:hideMark/>
                                </w:tcPr>
                                <w:p w14:paraId="1B5A580C"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Dataset</w:t>
                                  </w:r>
                                </w:p>
                              </w:tc>
                              <w:tc>
                                <w:tcPr>
                                  <w:tcW w:w="1020" w:type="dxa"/>
                                  <w:tcBorders>
                                    <w:top w:val="single" w:sz="12" w:space="0" w:color="000000" w:themeColor="text1"/>
                                    <w:left w:val="nil"/>
                                    <w:bottom w:val="single" w:sz="12" w:space="0" w:color="auto"/>
                                    <w:right w:val="nil"/>
                                  </w:tcBorders>
                                  <w:tcMar>
                                    <w:top w:w="0" w:type="dxa"/>
                                    <w:left w:w="57" w:type="dxa"/>
                                    <w:bottom w:w="0" w:type="dxa"/>
                                    <w:right w:w="57" w:type="dxa"/>
                                  </w:tcMar>
                                  <w:vAlign w:val="center"/>
                                  <w:hideMark/>
                                </w:tcPr>
                                <w:p w14:paraId="73F08744"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Validation / Test</w:t>
                                  </w:r>
                                </w:p>
                              </w:tc>
                              <w:tc>
                                <w:tcPr>
                                  <w:tcW w:w="993" w:type="dxa"/>
                                  <w:gridSpan w:val="3"/>
                                  <w:tcBorders>
                                    <w:top w:val="single" w:sz="12" w:space="0" w:color="000000" w:themeColor="text1"/>
                                    <w:left w:val="nil"/>
                                    <w:bottom w:val="single" w:sz="12" w:space="0" w:color="auto"/>
                                    <w:right w:val="nil"/>
                                  </w:tcBorders>
                                  <w:noWrap/>
                                  <w:vAlign w:val="center"/>
                                  <w:hideMark/>
                                </w:tcPr>
                                <w:p w14:paraId="6D8243C5"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Classification quality</w:t>
                                  </w:r>
                                </w:p>
                                <w:p w14:paraId="396ED760"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Accuracy</w:t>
                                  </w:r>
                                </w:p>
                                <w:p w14:paraId="6C494C9F"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F1-score</w:t>
                                  </w:r>
                                </w:p>
                                <w:p w14:paraId="530D6C4B"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Sensitivity</w:t>
                                  </w:r>
                                </w:p>
                                <w:p w14:paraId="45004EE4"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Specificity</w:t>
                                  </w:r>
                                </w:p>
                                <w:p w14:paraId="37DF4BE8"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 Full/AF)</w:t>
                                  </w:r>
                                </w:p>
                              </w:tc>
                              <w:tc>
                                <w:tcPr>
                                  <w:tcW w:w="1049" w:type="dxa"/>
                                  <w:tcBorders>
                                    <w:top w:val="single" w:sz="12" w:space="0" w:color="000000" w:themeColor="text1"/>
                                    <w:left w:val="nil"/>
                                    <w:bottom w:val="single" w:sz="12" w:space="0" w:color="auto"/>
                                    <w:right w:val="nil"/>
                                  </w:tcBorders>
                                  <w:noWrap/>
                                  <w:tcMar>
                                    <w:top w:w="0" w:type="dxa"/>
                                    <w:left w:w="57" w:type="dxa"/>
                                    <w:bottom w:w="0" w:type="dxa"/>
                                    <w:right w:w="57" w:type="dxa"/>
                                  </w:tcMar>
                                  <w:vAlign w:val="center"/>
                                  <w:hideMark/>
                                </w:tcPr>
                                <w:p w14:paraId="0C6FDD46"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xAI method</w:t>
                                  </w:r>
                                </w:p>
                              </w:tc>
                              <w:tc>
                                <w:tcPr>
                                  <w:tcW w:w="1943" w:type="dxa"/>
                                  <w:tcBorders>
                                    <w:top w:val="single" w:sz="12" w:space="0" w:color="000000" w:themeColor="text1"/>
                                    <w:left w:val="nil"/>
                                    <w:bottom w:val="single" w:sz="12" w:space="0" w:color="000000" w:themeColor="text1"/>
                                    <w:right w:val="nil"/>
                                  </w:tcBorders>
                                  <w:tcMar>
                                    <w:top w:w="0" w:type="dxa"/>
                                    <w:left w:w="57" w:type="dxa"/>
                                    <w:bottom w:w="0" w:type="dxa"/>
                                    <w:right w:w="57" w:type="dxa"/>
                                  </w:tcMar>
                                  <w:vAlign w:val="center"/>
                                  <w:hideMark/>
                                </w:tcPr>
                                <w:p w14:paraId="3A887FAD"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Quantitative relevance analysis</w:t>
                                  </w:r>
                                </w:p>
                              </w:tc>
                            </w:tr>
                            <w:tr w:rsidR="0094389A" w14:paraId="56F70D11" w14:textId="77777777">
                              <w:trPr>
                                <w:cantSplit/>
                                <w:trHeight w:val="1112"/>
                              </w:trPr>
                              <w:tc>
                                <w:tcPr>
                                  <w:cnfStyle w:val="001000000000" w:firstRow="0" w:lastRow="0" w:firstColumn="1" w:lastColumn="0" w:oddVBand="0" w:evenVBand="0" w:oddHBand="0" w:evenHBand="0" w:firstRowFirstColumn="0" w:firstRowLastColumn="0" w:lastRowFirstColumn="0" w:lastRowLastColumn="0"/>
                                  <w:tcW w:w="431" w:type="dxa"/>
                                  <w:tcBorders>
                                    <w:top w:val="single" w:sz="12" w:space="0" w:color="000000" w:themeColor="text1"/>
                                    <w:left w:val="nil"/>
                                    <w:bottom w:val="single" w:sz="4" w:space="0" w:color="auto"/>
                                    <w:right w:val="nil"/>
                                  </w:tcBorders>
                                  <w:noWrap/>
                                  <w:textDirection w:val="btLr"/>
                                  <w:vAlign w:val="center"/>
                                  <w:hideMark/>
                                </w:tcPr>
                                <w:p w14:paraId="3442659D" w14:textId="77777777" w:rsidR="0094389A" w:rsidRDefault="0094389A">
                                  <w:pPr>
                                    <w:ind w:left="113" w:right="113"/>
                                    <w:jc w:val="center"/>
                                    <w:rPr>
                                      <w:rFonts w:eastAsia="Times New Roman" w:cstheme="minorHAnsi"/>
                                      <w:color w:val="000000"/>
                                      <w:sz w:val="16"/>
                                      <w:szCs w:val="16"/>
                                      <w:lang w:val="de-DE" w:eastAsia="de-DE"/>
                                    </w:rPr>
                                  </w:pPr>
                                  <w:r>
                                    <w:rPr>
                                      <w:rFonts w:eastAsia="Times New Roman" w:cstheme="minorHAnsi"/>
                                      <w:b w:val="0"/>
                                      <w:bCs w:val="0"/>
                                      <w:color w:val="000000"/>
                                      <w:sz w:val="16"/>
                                      <w:szCs w:val="16"/>
                                      <w:lang w:val="de-DE" w:eastAsia="de-DE"/>
                                    </w:rPr>
                                    <w:t xml:space="preserve">Aufiero </w:t>
                                  </w:r>
                                  <w:r>
                                    <w:rPr>
                                      <w:rFonts w:eastAsia="Times New Roman" w:cstheme="minorHAnsi"/>
                                      <w:b w:val="0"/>
                                      <w:bCs w:val="0"/>
                                      <w:i/>
                                      <w:iCs/>
                                      <w:color w:val="000000"/>
                                      <w:sz w:val="16"/>
                                      <w:szCs w:val="16"/>
                                      <w:lang w:val="de-DE" w:eastAsia="de-DE"/>
                                    </w:rPr>
                                    <w:t>et al.</w:t>
                                  </w:r>
                                  <w:r>
                                    <w:rPr>
                                      <w:rFonts w:eastAsia="Times New Roman" w:cstheme="minorHAnsi"/>
                                      <w:b w:val="0"/>
                                      <w:bCs w:val="0"/>
                                      <w:color w:val="000000"/>
                                      <w:sz w:val="16"/>
                                      <w:szCs w:val="16"/>
                                      <w:lang w:val="de-DE" w:eastAsia="de-DE"/>
                                    </w:rPr>
                                    <w:t xml:space="preserve"> (2022)</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val="de-DE" w:eastAsia="de-DE"/>
                                    </w:rPr>
                                    <w:instrText xml:space="preserve"> ADDIN ZOTERO_ITEM CSL_CITATION {"citationID":"oBHwu6A1","properties":{"formattedCitation":"\\super 16\\nosupersub{}","plainCitation":"16","noteIndex":0},"citationItems":[{"id":2364,"uris":["http://zotero.org/users/3633911/items/YDW23D38"],"itemData":{"id":2364,"type":"article-journal","abstract":"BACKGROUND: Congenital long QT syndrome (LQTS) is a rare heart disease caused by various underlying mutations. Most general cardiologists do not routinely see patients with congenital LQTS and may not always recognize the accompanying ECG features. In addition, a proportion of disease carriers do not display obvious abnormalities on their ECG. Combined, this can cause underdiagnosing of this potentially life-threatening disease.\nMETHODS: This study presents 1D convolutional neural network models trained to identify genotype positive LQTS patients from electrocardiogram as input. The deep learning (DL) models were trained with a large 10-s 12-lead ECGs dataset provided by Amsterdam UMC and externally validated with a dataset provided by University Hospital Leuven. The Amsterdam dataset included ECGs from 10000 controls, 172 LQTS1, 214 LQTS2, and 72 LQTS3 patients. The Leuven dataset included ECGs from 2200 controls, 32 LQTS1, and 80 LQTS2 patients. The performance of the DL models was compared with conventional QTc measurement and with that of an international expert in congenital LQTS (A.A.M.W). Lastly, an explainable artificial intelligence (AI) technique was used to better understand the prediction models.\nRESULTS: Overall, the best performing DL models, across 5-fold cross-validation, achieved on average a sensitivity of 84 ± 2%, 90 ± 2% and 87 ± 6%, specificity of 96 ± 2%, 95 ± 1%, and 92 ± 4%, and AUC of 0.90 ± 0.01, 0.92 ± 0.02, and 0.89 ± 0.03, for LQTS 1, 2, and 3 respectively. The DL models were also shown to perform better than conventional QTc measurements in detecting LQTS patients. Furthermore, the performances held up when the DL models were validated on a novel external cohort and outperformed the expert cardiologist in terms of specificity, while in terms of sensitivity, the DL models and the expert cardiologist in LQTS performed the same. Finally, the explainable AI technique identified the onset of the QRS complex as the most informative region to classify LQTS from non-LQTS patients, a feature previously not associated with this disease.\nCONCLUSIONS: This study suggests that DL models can potentially be used to aid cardiologists in diagnosing LQTS. Furthermore, explainable DL models can be used to possibly identify new features for LQTS on the ECG, thus increasing our understanding of this syndrome.","container-title":"BMC medicine","DOI":"10.1186/s12916-022-02350-z","ISSN":"1741-7015","issue":"1","journalAbbreviation":"BMC Med","note":"PMID: 35501785\nPMCID: PMC9063181","page":"162","source":"PubMed","title":"A deep learning approach identifies new ECG features in congenital long QT syndrome","volume":"20","author":[{"family":"Aufiero","given":"Simona"},{"family":"Bleijendaal","given":"Hidde"},{"family":"Robyns","given":"Tomas"},{"family":"Vandenberk","given":"Bert"},{"family":"Krijger","given":"Christian"},{"family":"Bezzina","given":"Connie"},{"family":"Zwinderman","given":"Aeilko H."},{"family":"Wilde","given":"Arthur A. M."},{"family":"Pinto","given":"Yigal M."}],"issued":{"date-parts":[["2022",5,3]]},"citation-key":"aufieroDeepLearningApproach2022"}}],"schema":"https://github.com/citation-style-language/schema/raw/master/csl-citation.json"}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16</w:t>
                                  </w:r>
                                  <w:r>
                                    <w:rPr>
                                      <w:rFonts w:eastAsia="Times New Roman" w:cstheme="minorHAnsi"/>
                                      <w:color w:val="000000"/>
                                      <w:sz w:val="16"/>
                                      <w:szCs w:val="16"/>
                                      <w:lang w:val="de-DE" w:eastAsia="de-DE"/>
                                    </w:rPr>
                                    <w:fldChar w:fldCharType="end"/>
                                  </w:r>
                                </w:p>
                              </w:tc>
                              <w:tc>
                                <w:tcPr>
                                  <w:tcW w:w="283" w:type="dxa"/>
                                  <w:tcBorders>
                                    <w:top w:val="single" w:sz="12" w:space="0" w:color="000000" w:themeColor="text1"/>
                                    <w:left w:val="nil"/>
                                    <w:bottom w:val="single" w:sz="4" w:space="0" w:color="auto"/>
                                    <w:right w:val="nil"/>
                                  </w:tcBorders>
                                  <w:noWrap/>
                                  <w:vAlign w:val="center"/>
                                  <w:hideMark/>
                                </w:tcPr>
                                <w:p w14:paraId="7240FCB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12</w:t>
                                  </w:r>
                                </w:p>
                              </w:tc>
                              <w:tc>
                                <w:tcPr>
                                  <w:tcW w:w="1375" w:type="dxa"/>
                                  <w:tcBorders>
                                    <w:top w:val="single" w:sz="12" w:space="0" w:color="000000" w:themeColor="text1"/>
                                    <w:left w:val="nil"/>
                                    <w:bottom w:val="single" w:sz="4" w:space="0" w:color="auto"/>
                                    <w:right w:val="nil"/>
                                  </w:tcBorders>
                                  <w:tcMar>
                                    <w:top w:w="0" w:type="dxa"/>
                                    <w:left w:w="57" w:type="dxa"/>
                                    <w:bottom w:w="0" w:type="dxa"/>
                                    <w:right w:w="57" w:type="dxa"/>
                                  </w:tcMar>
                                  <w:vAlign w:val="center"/>
                                </w:tcPr>
                                <w:p w14:paraId="422CF484"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LQTS detection and classification</w:t>
                                  </w:r>
                                </w:p>
                                <w:p w14:paraId="51AD5095"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00F93BC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4</w:t>
                                  </w:r>
                                </w:p>
                                <w:p w14:paraId="7477C88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(LQTS1-3, n-LQTS)</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no</w:t>
                                  </w:r>
                                </w:p>
                              </w:tc>
                              <w:tc>
                                <w:tcPr>
                                  <w:tcW w:w="964" w:type="dxa"/>
                                  <w:tcBorders>
                                    <w:top w:val="single" w:sz="12" w:space="0" w:color="000000" w:themeColor="text1"/>
                                    <w:left w:val="nil"/>
                                    <w:bottom w:val="single" w:sz="4" w:space="0" w:color="auto"/>
                                    <w:right w:val="nil"/>
                                  </w:tcBorders>
                                  <w:noWrap/>
                                  <w:tcMar>
                                    <w:top w:w="0" w:type="dxa"/>
                                    <w:left w:w="57" w:type="dxa"/>
                                    <w:bottom w:w="0" w:type="dxa"/>
                                    <w:right w:w="57" w:type="dxa"/>
                                  </w:tcMar>
                                  <w:vAlign w:val="center"/>
                                  <w:hideMark/>
                                </w:tcPr>
                                <w:p w14:paraId="32544DC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1D-CNN</w:t>
                                  </w:r>
                                </w:p>
                              </w:tc>
                              <w:tc>
                                <w:tcPr>
                                  <w:tcW w:w="991" w:type="dxa"/>
                                  <w:tcBorders>
                                    <w:top w:val="single" w:sz="12" w:space="0" w:color="000000" w:themeColor="text1"/>
                                    <w:left w:val="nil"/>
                                    <w:bottom w:val="single" w:sz="4" w:space="0" w:color="auto"/>
                                    <w:right w:val="nil"/>
                                  </w:tcBorders>
                                  <w:tcMar>
                                    <w:top w:w="0" w:type="dxa"/>
                                    <w:left w:w="57" w:type="dxa"/>
                                    <w:bottom w:w="0" w:type="dxa"/>
                                    <w:right w:w="57" w:type="dxa"/>
                                  </w:tcMar>
                                  <w:vAlign w:val="center"/>
                                  <w:hideMark/>
                                </w:tcPr>
                                <w:p w14:paraId="6738271A"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Own dataset</w:t>
                                  </w:r>
                                </w:p>
                                <w:p w14:paraId="7040F48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=10,458</w:t>
                                  </w:r>
                                </w:p>
                                <w:p w14:paraId="06F2927A"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sz w:val="16"/>
                                      <w:szCs w:val="16"/>
                                      <w:lang w:eastAsia="de-DE"/>
                                    </w:rPr>
                                    <w:t>(LQTS: 458)</w:t>
                                  </w:r>
                                </w:p>
                              </w:tc>
                              <w:tc>
                                <w:tcPr>
                                  <w:tcW w:w="1020" w:type="dxa"/>
                                  <w:tcBorders>
                                    <w:top w:val="single" w:sz="12" w:space="0" w:color="auto"/>
                                    <w:left w:val="nil"/>
                                    <w:bottom w:val="single" w:sz="4" w:space="0" w:color="auto"/>
                                    <w:right w:val="nil"/>
                                  </w:tcBorders>
                                  <w:tcMar>
                                    <w:top w:w="0" w:type="dxa"/>
                                    <w:left w:w="57" w:type="dxa"/>
                                    <w:bottom w:w="0" w:type="dxa"/>
                                    <w:right w:w="57" w:type="dxa"/>
                                  </w:tcMar>
                                  <w:vAlign w:val="center"/>
                                </w:tcPr>
                                <w:p w14:paraId="22EA104A"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HV:</w:t>
                                  </w:r>
                                </w:p>
                                <w:p w14:paraId="087FA2A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64 % / 16 %</w:t>
                                  </w:r>
                                </w:p>
                                <w:p w14:paraId="23909EB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
                                <w:p w14:paraId="7E2694F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Test: 20 %</w:t>
                                  </w:r>
                                </w:p>
                                <w:p w14:paraId="292DE5E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sz w:val="16"/>
                                      <w:szCs w:val="16"/>
                                      <w:lang w:eastAsia="de-DE"/>
                                    </w:rPr>
                                    <w:t>(5-fold CV)</w:t>
                                  </w:r>
                                </w:p>
                              </w:tc>
                              <w:tc>
                                <w:tcPr>
                                  <w:tcW w:w="426" w:type="dxa"/>
                                  <w:tcBorders>
                                    <w:top w:val="single" w:sz="12" w:space="0" w:color="auto"/>
                                    <w:left w:val="nil"/>
                                    <w:bottom w:val="single" w:sz="4" w:space="0" w:color="auto"/>
                                    <w:right w:val="nil"/>
                                  </w:tcBorders>
                                  <w:vAlign w:val="center"/>
                                  <w:hideMark/>
                                </w:tcPr>
                                <w:p w14:paraId="60D9B9D7"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1BBB4EA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7BC5964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87.0</w:t>
                                  </w:r>
                                </w:p>
                                <w:p w14:paraId="6622859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sz w:val="16"/>
                                      <w:szCs w:val="16"/>
                                      <w:lang w:eastAsia="de-DE"/>
                                    </w:rPr>
                                    <w:t>94.0</w:t>
                                  </w:r>
                                </w:p>
                              </w:tc>
                              <w:tc>
                                <w:tcPr>
                                  <w:tcW w:w="141" w:type="dxa"/>
                                  <w:tcBorders>
                                    <w:top w:val="single" w:sz="12" w:space="0" w:color="auto"/>
                                    <w:left w:val="nil"/>
                                    <w:bottom w:val="single" w:sz="4" w:space="0" w:color="auto"/>
                                    <w:right w:val="nil"/>
                                  </w:tcBorders>
                                  <w:vAlign w:val="center"/>
                                  <w:hideMark/>
                                </w:tcPr>
                                <w:p w14:paraId="556CF3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4FBB3F4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5D77466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43D4E5C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sz w:val="16"/>
                                      <w:szCs w:val="16"/>
                                      <w:lang w:eastAsia="de-DE"/>
                                    </w:rPr>
                                    <w:t>/</w:t>
                                  </w:r>
                                </w:p>
                              </w:tc>
                              <w:tc>
                                <w:tcPr>
                                  <w:tcW w:w="426" w:type="dxa"/>
                                  <w:tcBorders>
                                    <w:top w:val="single" w:sz="12" w:space="0" w:color="auto"/>
                                    <w:left w:val="nil"/>
                                    <w:bottom w:val="single" w:sz="4" w:space="0" w:color="auto"/>
                                    <w:right w:val="nil"/>
                                  </w:tcBorders>
                                  <w:vAlign w:val="center"/>
                                  <w:hideMark/>
                                </w:tcPr>
                                <w:p w14:paraId="5980405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83107C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7C04EDC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6423E9B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eastAsia="de-DE"/>
                                    </w:rPr>
                                    <w:t>-</w:t>
                                  </w:r>
                                </w:p>
                              </w:tc>
                              <w:tc>
                                <w:tcPr>
                                  <w:tcW w:w="1049" w:type="dxa"/>
                                  <w:tcBorders>
                                    <w:top w:val="single" w:sz="12" w:space="0" w:color="auto"/>
                                    <w:left w:val="nil"/>
                                    <w:bottom w:val="single" w:sz="4" w:space="0" w:color="auto"/>
                                    <w:right w:val="nil"/>
                                  </w:tcBorders>
                                  <w:noWrap/>
                                  <w:tcMar>
                                    <w:top w:w="0" w:type="dxa"/>
                                    <w:left w:w="57" w:type="dxa"/>
                                    <w:bottom w:w="0" w:type="dxa"/>
                                    <w:right w:w="57" w:type="dxa"/>
                                  </w:tcMar>
                                  <w:vAlign w:val="center"/>
                                  <w:hideMark/>
                                </w:tcPr>
                                <w:p w14:paraId="50CA620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Guided GradCAM</w:t>
                                  </w:r>
                                  <w:r>
                                    <w:rPr>
                                      <w:rFonts w:eastAsia="Times New Roman" w:cstheme="minorHAnsi"/>
                                      <w:color w:val="000000"/>
                                      <w:sz w:val="16"/>
                                      <w:szCs w:val="16"/>
                                      <w:lang w:val="de-DE" w:eastAsia="de-DE"/>
                                    </w:rPr>
                                    <w:fldChar w:fldCharType="begin"/>
                                  </w:r>
                                  <w:r>
                                    <w:rPr>
                                      <w:rFonts w:eastAsia="Times New Roman" w:cstheme="minorHAnsi"/>
                                      <w:color w:val="000000"/>
                                      <w:sz w:val="16"/>
                                      <w:szCs w:val="16"/>
                                      <w:lang w:val="de-DE" w:eastAsia="de-DE"/>
                                    </w:rPr>
                                    <w:instrText xml:space="preserve"> ADDIN ZOTERO_ITEM CSL_CITATION {"citationID":"ur2h981I","properties":{"formattedCitation":"\\super 55\\nosupersub{}","plainCitation":"55","noteIndex":0},"citationItems":[{"id":2399,"uris":["http://zotero.org/users/3633911/items/UWVGD57W"],"itemData":{"id":2399,"type":"paper-conference","abstract":"We propose a technique for producing `visual explanations' for decisions from a large class of Convolutional Neural Network (CNN)-based models, making them more transparent. Our approach - Gradient-weighted Class Activation Mapping (Grad-CAM), uses the gradients of any target concept (say logits for `dog' or even a caption), flowing into the final convolutional layer to produce a coarse localization map highlighting the important regions in the image for predicting the concept. Unlike previous approaches, Grad- CAM is applicable to a wide variety of CNN model-families: (1) CNNs with fully-connected layers (e.g. VGG), (2) CNNs used for structured outputs (e.g. captioning), (3) CNNs used in tasks with multi-modal inputs (e.g. visual question answering) or reinforcement learning, without architectural changes or re-training. We combine Grad-CAM with existing fine-grained visualizations to create a high-resolution class-discriminative visualization, Guided Grad-CAM, and apply it to image classification, image captioning, and visual question answering (VQA) models, including ResNet-based architectures. In the context of image classification models, our visualizations (a) lend insights into failure modes of these models (showing that seemingly unreasonable predictions have reasonable explanations), (b) outperform previous methods on the ILSVRC-15 weakly-supervised localization task, (c) are more faithful to the underlying model, and (d) help achieve model generalization by identifying dataset bias. </w:instrText>
                                  </w:r>
                                  <w:r>
                                    <w:rPr>
                                      <w:rFonts w:eastAsia="Times New Roman" w:cstheme="minorHAnsi"/>
                                      <w:color w:val="000000"/>
                                      <w:sz w:val="16"/>
                                      <w:szCs w:val="16"/>
                                      <w:lang w:eastAsia="de-DE"/>
                                    </w:rPr>
                                    <w:instrText xml:space="preserve">For image captioning and VQA, our visualizations show even non-attention based models can localize inputs. Finally, we design and conduct human studies to measure if Grad-CAM explanations help users establish appropriate trust in predictions from deep networks and show that Grad-CAM helps untrained users successfully discern a `stronger' deep network from a `weaker' one even when both make identical predictions. Our code is available at https: //github.com/ramprs/grad-cam/ along with a demo on CloudCV [2] and video at youtu.be/COjUB9Izk6E.","container-title":"2017 IEEE International Conference on Computer Vision","DOI":"10.1109/ICCV.2017.74","event-place":"Venezia, Italy","event-title":"2017 IEEE International Conference on Computer Vision","note":"ISSN: 2380-7504","page":"618-626","publisher-place":"Venezia, Italy","source":"IEEE Xplore","title":"Grad-CAM: Visual Explanations from Deep Networks via Gradient-Based Localization","title-short":"Grad-CAM","URL":"https://ieeexplore.ieee.org/document/8237336","author":[{"family":"Selvaraju","given":"Ramprasaath R."},{"family":"Cogswell","given":"Michael"},{"family":"Das","given":"Abhishek"},{"family":"Vedantam","given":"Ramakrishna"},{"family":"Parikh","given":"Devi"},{"family":"Batra","given":"Dhruv"}],"accessed":{"date-parts":[["2023",12,5]]},"issued":{"date-parts":[["2017",10]]},"citation-key":"selvarajuGradCAMVisualExplanations2017"}}],"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55</w:t>
                                  </w:r>
                                  <w:r>
                                    <w:rPr>
                                      <w:rFonts w:eastAsia="Times New Roman" w:cstheme="minorHAnsi"/>
                                      <w:color w:val="000000"/>
                                      <w:sz w:val="16"/>
                                      <w:szCs w:val="16"/>
                                      <w:lang w:val="de-DE" w:eastAsia="de-DE"/>
                                    </w:rPr>
                                    <w:fldChar w:fldCharType="end"/>
                                  </w:r>
                                </w:p>
                              </w:tc>
                              <w:tc>
                                <w:tcPr>
                                  <w:tcW w:w="1943" w:type="dxa"/>
                                  <w:tcBorders>
                                    <w:top w:val="single" w:sz="12" w:space="0" w:color="000000" w:themeColor="text1"/>
                                    <w:left w:val="nil"/>
                                    <w:bottom w:val="single" w:sz="4" w:space="0" w:color="999999" w:themeColor="text1" w:themeTint="66"/>
                                    <w:right w:val="nil"/>
                                  </w:tcBorders>
                                  <w:tcMar>
                                    <w:top w:w="0" w:type="dxa"/>
                                    <w:left w:w="57" w:type="dxa"/>
                                    <w:bottom w:w="0" w:type="dxa"/>
                                    <w:right w:w="57" w:type="dxa"/>
                                  </w:tcMar>
                                  <w:vAlign w:val="center"/>
                                  <w:hideMark/>
                                </w:tcPr>
                                <w:p w14:paraId="7F1EAD9B"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 xml:space="preserve">Comparison of relevance in approximated P wave, QRS complex (total, left vs. right) and ST segment across LQTS classes (Student’s </w:t>
                                  </w:r>
                                  <w:r>
                                    <w:rPr>
                                      <w:rFonts w:eastAsia="Times New Roman" w:cstheme="minorHAnsi"/>
                                      <w:i/>
                                      <w:iCs/>
                                      <w:color w:val="000000"/>
                                      <w:sz w:val="16"/>
                                      <w:szCs w:val="16"/>
                                      <w:lang w:eastAsia="de-DE"/>
                                    </w:rPr>
                                    <w:t>t</w:t>
                                  </w:r>
                                  <w:r>
                                    <w:rPr>
                                      <w:rFonts w:eastAsia="Times New Roman" w:cstheme="minorHAnsi"/>
                                      <w:color w:val="000000"/>
                                      <w:sz w:val="16"/>
                                      <w:szCs w:val="16"/>
                                      <w:lang w:eastAsia="de-DE"/>
                                    </w:rPr>
                                    <w:t>-test)</w:t>
                                  </w:r>
                                </w:p>
                              </w:tc>
                            </w:tr>
                            <w:tr w:rsidR="0094389A" w14:paraId="75010A60" w14:textId="77777777">
                              <w:trPr>
                                <w:cantSplit/>
                                <w:trHeight w:val="393"/>
                              </w:trPr>
                              <w:tc>
                                <w:tcPr>
                                  <w:cnfStyle w:val="001000000000" w:firstRow="0" w:lastRow="0" w:firstColumn="1" w:lastColumn="0" w:oddVBand="0" w:evenVBand="0" w:oddHBand="0" w:evenHBand="0" w:firstRowFirstColumn="0" w:firstRowLastColumn="0" w:lastRowFirstColumn="0" w:lastRowLastColumn="0"/>
                                  <w:tcW w:w="431" w:type="dxa"/>
                                  <w:vMerge w:val="restart"/>
                                  <w:tcBorders>
                                    <w:top w:val="single" w:sz="4" w:space="0" w:color="auto"/>
                                    <w:left w:val="nil"/>
                                    <w:bottom w:val="single" w:sz="4" w:space="0" w:color="auto"/>
                                    <w:right w:val="nil"/>
                                  </w:tcBorders>
                                  <w:noWrap/>
                                  <w:textDirection w:val="btLr"/>
                                  <w:vAlign w:val="center"/>
                                  <w:hideMark/>
                                </w:tcPr>
                                <w:p w14:paraId="5EBD2575" w14:textId="77777777" w:rsidR="0094389A" w:rsidRDefault="0094389A">
                                  <w:pPr>
                                    <w:ind w:left="113" w:right="113"/>
                                    <w:jc w:val="center"/>
                                    <w:rPr>
                                      <w:rFonts w:eastAsia="Times New Roman" w:cstheme="minorHAnsi"/>
                                      <w:b w:val="0"/>
                                      <w:bCs w:val="0"/>
                                      <w:color w:val="000000"/>
                                      <w:sz w:val="16"/>
                                      <w:szCs w:val="16"/>
                                      <w:lang w:val="de-DE" w:eastAsia="de-DE"/>
                                    </w:rPr>
                                  </w:pPr>
                                  <w:r>
                                    <w:rPr>
                                      <w:rFonts w:eastAsia="Times New Roman" w:cstheme="minorHAnsi"/>
                                      <w:b w:val="0"/>
                                      <w:bCs w:val="0"/>
                                      <w:color w:val="000000"/>
                                      <w:sz w:val="16"/>
                                      <w:szCs w:val="16"/>
                                      <w:lang w:eastAsia="de-DE"/>
                                    </w:rPr>
                                    <w:t xml:space="preserve">Bender </w:t>
                                  </w:r>
                                  <w:r>
                                    <w:rPr>
                                      <w:rFonts w:eastAsia="Times New Roman" w:cstheme="minorHAnsi"/>
                                      <w:b w:val="0"/>
                                      <w:bCs w:val="0"/>
                                      <w:i/>
                                      <w:iCs/>
                                      <w:color w:val="000000"/>
                                      <w:sz w:val="16"/>
                                      <w:szCs w:val="16"/>
                                      <w:lang w:eastAsia="de-DE"/>
                                    </w:rPr>
                                    <w:t>et al.</w:t>
                                  </w:r>
                                  <w:r>
                                    <w:rPr>
                                      <w:rFonts w:eastAsia="Times New Roman" w:cstheme="minorHAnsi"/>
                                      <w:b w:val="0"/>
                                      <w:bCs w:val="0"/>
                                      <w:color w:val="000000"/>
                                      <w:sz w:val="16"/>
                                      <w:szCs w:val="16"/>
                                      <w:lang w:eastAsia="de-DE"/>
                                    </w:rPr>
                                    <w:t xml:space="preserve"> (2023)</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eastAsia="de-DE"/>
                                    </w:rPr>
                                    <w:instrText xml:space="preserve"> ADDIN ZOTERO_ITEM CSL_CITATION {"citationID":"Lx7jPlJd","properties":{"formattedCitation":"\\super 14\\nosupersub{}","plainCitation":"14","noteIndex":0},"citationItems":[{"id":2375,"uris":["http://zotero.org/users/3633911/items/MGMNVULB","http://zotero.org/users/3633911/items/NW5I6YEB"],"itemData":{"id":2375,"type":"article-journal","abstract":"Despite their remarkable performance, deep neural networks remain unadopted in clinical practice, which is considered to be partially due to their lack of explainability. In this work, we apply explainable attribution methods to a pre-trained deep neural network for abnormality classification in 12-lead electrocardiography to open this \"black box\" and understand the relationship between model prediction and learned features. We classify data from two public databases (CPSC 2018, PTB-XL) and the attribution methods assign a \"relevance score\" to each sample of the classified signals. This allows analyzing what the network learned during training, for which we propose quantitative methods: average relevance scores over a) classes, b) leads, and c) average beats. The analyses of relevance scores for atrial fibrillation and left bundle branch block compared to healthy controls show that their mean values a) increase with higher classification probability and correspond to false classifications when around zero, and b) correspond to clinical recommendations regarding which lead to consider. Furthermore, c) visible P-waves and concordant T-waves result in clearly negative relevance scores in atrial fibrillation and left bundle branch block classification, respectively. Results are similar across both databases despite differences in study population and hardware. In summary, our analysis suggests that the DNN learned features similar to cardiology textbook knowledge.","container-title":"IEEE journal of biomedical and health informatics","DOI":"10.1109/JBHI.2023.3271858","ISSN":"2168-2208","issue":"4","journalAbbreviation":"IEEE J Biomed Health Inform","note":"PMID: 37126621","page":"1-12","source":"PubMed","title":"Analysis of a Deep Learning Model for 12-Lead ECG Classification Reveals Learned Features Similar to Diagnostic Criteria","volume":"28","author":[{"family":"Bender","given":"Theresa"},{"family":"Beinecke","given":"Jacqueline M."},{"family":"Krefting","given":"Dagmar"},{"family":"Muller","given":"Carolin"},{"family":"Dathe","given":"Henning"},{"family":"Seidler","given":"Tim"},{"family":"Spicher","given":"Nicolai"},{"family":"Hauschild","given":"Anne-Christin"}],"issued":{"date-parts":[["2023"]]},"citation-key":"benderAnalysisDeepLearning2023"}}],"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14</w:t>
                                  </w:r>
                                  <w:r>
                                    <w:rPr>
                                      <w:rFonts w:eastAsia="Times New Roman" w:cstheme="minorHAnsi"/>
                                      <w:color w:val="000000"/>
                                      <w:sz w:val="16"/>
                                      <w:szCs w:val="16"/>
                                      <w:lang w:val="de-DE" w:eastAsia="de-DE"/>
                                    </w:rPr>
                                    <w:fldChar w:fldCharType="end"/>
                                  </w:r>
                                </w:p>
                              </w:tc>
                              <w:tc>
                                <w:tcPr>
                                  <w:tcW w:w="283" w:type="dxa"/>
                                  <w:vMerge w:val="restart"/>
                                  <w:tcBorders>
                                    <w:top w:val="single" w:sz="4" w:space="0" w:color="auto"/>
                                    <w:left w:val="nil"/>
                                    <w:bottom w:val="single" w:sz="4" w:space="0" w:color="auto"/>
                                    <w:right w:val="nil"/>
                                  </w:tcBorders>
                                  <w:noWrap/>
                                  <w:vAlign w:val="center"/>
                                  <w:hideMark/>
                                </w:tcPr>
                                <w:p w14:paraId="1952E30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12</w:t>
                                  </w:r>
                                </w:p>
                              </w:tc>
                              <w:tc>
                                <w:tcPr>
                                  <w:tcW w:w="1375" w:type="dxa"/>
                                  <w:vMerge w:val="restart"/>
                                  <w:tcBorders>
                                    <w:top w:val="single" w:sz="4" w:space="0" w:color="auto"/>
                                    <w:left w:val="nil"/>
                                    <w:bottom w:val="single" w:sz="4" w:space="0" w:color="auto"/>
                                    <w:right w:val="nil"/>
                                  </w:tcBorders>
                                  <w:tcMar>
                                    <w:top w:w="0" w:type="dxa"/>
                                    <w:left w:w="57" w:type="dxa"/>
                                    <w:bottom w:w="0" w:type="dxa"/>
                                    <w:right w:w="57" w:type="dxa"/>
                                  </w:tcMar>
                                  <w:vAlign w:val="center"/>
                                </w:tcPr>
                                <w:p w14:paraId="1BDB6D9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Cardiac anomaly detection (multiclass)</w:t>
                                  </w:r>
                                </w:p>
                                <w:p w14:paraId="4C08E81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0CBD96B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3</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yes</w:t>
                                  </w:r>
                                </w:p>
                              </w:tc>
                              <w:tc>
                                <w:tcPr>
                                  <w:tcW w:w="964" w:type="dxa"/>
                                  <w:vMerge w:val="restart"/>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604B15A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Pre-trained CNN</w:t>
                                  </w:r>
                                </w:p>
                                <w:p w14:paraId="3B8ADCE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(ResNet)</w:t>
                                  </w:r>
                                  <w:r>
                                    <w:rPr>
                                      <w:rFonts w:eastAsia="Times New Roman" w:cstheme="minorHAnsi"/>
                                      <w:color w:val="000000"/>
                                      <w:sz w:val="16"/>
                                      <w:szCs w:val="16"/>
                                      <w:lang w:val="de-DE" w:eastAsia="de-DE"/>
                                    </w:rPr>
                                    <w:fldChar w:fldCharType="begin"/>
                                  </w:r>
                                  <w:r>
                                    <w:rPr>
                                      <w:rFonts w:eastAsia="Times New Roman" w:cstheme="minorHAnsi"/>
                                      <w:color w:val="000000"/>
                                      <w:sz w:val="16"/>
                                      <w:szCs w:val="16"/>
                                      <w:lang w:val="de-DE" w:eastAsia="de-DE"/>
                                    </w:rPr>
                                    <w:instrText xml:space="preserve"> ADDIN ZOTERO_ITEM CSL_CITATION {"citationID":"RhlFIeCK","properties":{"formattedCitation":"\\super 33\\nosupersub{}","plainCitation":"33","noteIndex":0},"citationItems":[{"id":2380,"uris":["http://zotero.org/users/3633911/items/7232ACND"],"itemData":{"id":2380,"type":"article-journal","abstract":"The role of automatic electrocardiogram (ECG) analysis in clinical practice is limited by the accuracy of existing models. Deep Neural Networks (DNNs) are models composed of stacked transformations that learn tasks by examples. This technology has recently achieved striking success in a variety of task and there are great expectations on how it might improve clinical practice. Here we present a DNN model trained in a dataset with more than 2 million labeled exams analyzed by the Telehealth Network of Minas Gerais and collected under the scope of the CODE (Clinical Outcomes in Digital Electrocardiology) study. The DNN outperform cardiology resident medical doctors in recognizing 6 types of abnormalities in 12-lead ECG recordings, with F1 scores above 80% and specificity over 99%. These results indicate ECG analysis based on DNNs, previously studied in a single-lead setup, generalizes well to 12-lead exams, taking the technology closer to the standard clinical practice.","container-title":"Nature Communications","DOI":"10.1038/s41467-020-15432-4","ISSN":"2041-1723","issue":"1","journalAbbreviation":"Nat Commun","license":"2020 The Author(s)","note":"number: 1\npublisher: Nature Publishing Group","page":"1760","source":"www.nature.com","title":"Automatic diagnosis of the 12-lead ECG using a deep neural network","volume":"11","author":[{"family":"Ribeiro","given":"Antônio H."},{"family":"Ribeiro","given":"Manoel Horta"},{"family":"Paixão","given":"Gabriela M. M."},{"family":"Oliveira","given":"Derick M."},{"family":"Gomes","given":"Paulo R."},{"family":"Canazart","given":"Jéssica A."},{"family":"Ferreira","given":"Milton P. S."},{"family":"Andersson","given":"Carl R."},{"family":"Macfarlane","given":"Peter W."},{"family":"Meira Jr.","given":"Wagner"},{"family":"Schön","given":"Thomas B."},{"family":"Ribeiro","given":"Antonio Luiz P."}],"issued":{"date-parts":[["2020",4,9]]},"citation-key":"ribeiroAutomaticDiagnosis12lead2020"}}],"schema":"https://github.com/citation-style-language/schema/raw/master/csl-citation.json"}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33</w:t>
                                  </w:r>
                                  <w:r>
                                    <w:rPr>
                                      <w:rFonts w:eastAsia="Times New Roman" w:cstheme="minorHAnsi"/>
                                      <w:color w:val="000000"/>
                                      <w:sz w:val="16"/>
                                      <w:szCs w:val="16"/>
                                      <w:lang w:val="de-DE" w:eastAsia="de-DE"/>
                                    </w:rPr>
                                    <w:fldChar w:fldCharType="end"/>
                                  </w:r>
                                </w:p>
                              </w:tc>
                              <w:tc>
                                <w:tcPr>
                                  <w:tcW w:w="991" w:type="dxa"/>
                                  <w:vMerge w:val="restart"/>
                                  <w:tcBorders>
                                    <w:top w:val="single" w:sz="4" w:space="0" w:color="auto"/>
                                    <w:left w:val="nil"/>
                                    <w:bottom w:val="single" w:sz="4" w:space="0" w:color="auto"/>
                                    <w:right w:val="nil"/>
                                  </w:tcBorders>
                                  <w:tcMar>
                                    <w:top w:w="0" w:type="dxa"/>
                                    <w:left w:w="57" w:type="dxa"/>
                                    <w:bottom w:w="0" w:type="dxa"/>
                                    <w:right w:w="57" w:type="dxa"/>
                                  </w:tcMar>
                                  <w:vAlign w:val="center"/>
                                  <w:hideMark/>
                                </w:tcPr>
                                <w:p w14:paraId="594A0C1F"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Brazilian telehealth network</w:t>
                                  </w:r>
                                  <w:r>
                                    <w:rPr>
                                      <w:rFonts w:eastAsia="Times New Roman" w:cstheme="minorHAnsi"/>
                                      <w:color w:val="000000"/>
                                      <w:sz w:val="16"/>
                                      <w:szCs w:val="16"/>
                                      <w:lang w:eastAsia="de-DE"/>
                                    </w:rPr>
                                    <w:fldChar w:fldCharType="begin"/>
                                  </w:r>
                                  <w:r>
                                    <w:rPr>
                                      <w:rFonts w:eastAsia="Times New Roman" w:cstheme="minorHAnsi"/>
                                      <w:color w:val="000000"/>
                                      <w:sz w:val="16"/>
                                      <w:szCs w:val="16"/>
                                      <w:lang w:eastAsia="de-DE"/>
                                    </w:rPr>
                                    <w:instrText xml:space="preserve"> ADDIN ZOTERO_ITEM CSL_CITATION {"citationID":"z89L9UJI","properties":{"formattedCitation":"\\super 33\\nosupersub{}","plainCitation":"33","noteIndex":0},"citationItems":[{"id":2380,"uris":["http://zotero.org/users/3633911/items/7232ACND"],"itemData":{"id":2380,"type":"article-journal","abstract":"The role of automatic electrocardiogram (ECG) analysis in clinical practice is limited by the accuracy of existing models. Deep Neural Networks (DNNs) are models composed of stacked transformations that learn tasks by examples. This technology has recently achieved striking success in a variety of task and there are great expectations on how it might improve clinical practice. Here we present a DNN model trained in a dataset with more than 2 million labeled exams analyzed by the Telehealth Network of Minas Gerais and collected under the scope of the CODE (Clinical Outcomes in Digital Electrocardiology) study. The DNN outperform cardiology resident medical doctors in recognizing 6 types of abnormalities in 12-lead ECG recordings, with F1 scores above 80% and specificity over 99%. These results indicate ECG analysis based on DNNs, previously studied in a single-lead setup, generalizes well to 12-lead exams, taking the technology closer to the standard clinical practice.","container-title":"Nature Communications","DOI":"10.1038/s41467-020-15432-4","ISSN":"2041-1723","issue":"1","journalAbbreviation":"Nat Commun","license":"2020 The Author(s)","note":"number: 1\npublisher: Nature Publishing Group","page":"1760","source":"www.nature.com","title":"Automatic diagnosis of the 12-lead ECG using a deep neural network","volume":"11","author":[{"family":"Ribeiro","given":"Antônio H."},{"family":"Ribeiro","given":"Manoel Horta"},{"family":"Paixão","given":"Gabriela M. M."},{"family":"Oliveira","given":"Derick M."},{"family":"Gomes","given":"Paulo R."},{"family":"Canazart","given":"Jéssica A."},{"family":"Ferreira","given":"Milton P. S."},{"family":"Andersson","given":"Carl R."},{"family":"Macfarlane","given":"Peter W."},{"family":"Meira Jr.","given":"Wagner"},{"family":"Schön","given":"Thomas B."},{"family":"Ribeiro","given":"Antonio Luiz P."}],"issued":{"date-parts":[["2020",4,9]]},"citation-key":"ribeiroAutomaticDiagnosis12lead2020"}}],"schema":"https://github.com/citation-style-language/schema/raw/master/csl-citation.json"} </w:instrText>
                                  </w:r>
                                  <w:r>
                                    <w:rPr>
                                      <w:rFonts w:eastAsia="Times New Roman" w:cstheme="minorHAnsi"/>
                                      <w:color w:val="000000"/>
                                      <w:sz w:val="16"/>
                                      <w:szCs w:val="16"/>
                                      <w:lang w:eastAsia="de-DE"/>
                                    </w:rPr>
                                    <w:fldChar w:fldCharType="separate"/>
                                  </w:r>
                                  <w:r>
                                    <w:rPr>
                                      <w:rFonts w:ascii="Calibri" w:hAnsi="Calibri" w:cs="Calibri"/>
                                      <w:sz w:val="16"/>
                                      <w:vertAlign w:val="superscript"/>
                                    </w:rPr>
                                    <w:t>33</w:t>
                                  </w:r>
                                  <w:r>
                                    <w:rPr>
                                      <w:rFonts w:eastAsia="Times New Roman" w:cstheme="minorHAnsi"/>
                                      <w:color w:val="000000"/>
                                      <w:sz w:val="16"/>
                                      <w:szCs w:val="16"/>
                                      <w:lang w:eastAsia="de-DE"/>
                                    </w:rPr>
                                    <w:fldChar w:fldCharType="end"/>
                                  </w:r>
                                  <w:r>
                                    <w:rPr>
                                      <w:rFonts w:eastAsia="Times New Roman" w:cstheme="minorHAnsi"/>
                                      <w:color w:val="000000"/>
                                      <w:sz w:val="16"/>
                                      <w:szCs w:val="16"/>
                                      <w:lang w:eastAsia="de-DE"/>
                                    </w:rPr>
                                    <w:br/>
                                  </w: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2,322,513</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subjects</w:t>
                                  </w:r>
                                  <w:r>
                                    <w:rPr>
                                      <w:rFonts w:eastAsia="Times New Roman" w:cstheme="minorHAnsi"/>
                                      <w:color w:val="000000"/>
                                      <w:sz w:val="16"/>
                                      <w:szCs w:val="16"/>
                                      <w:lang w:eastAsia="de-DE"/>
                                    </w:rPr>
                                    <w:t>: 1,676,384</w:t>
                                  </w:r>
                                </w:p>
                              </w:tc>
                              <w:tc>
                                <w:tcPr>
                                  <w:tcW w:w="2013" w:type="dxa"/>
                                  <w:gridSpan w:val="4"/>
                                  <w:tcBorders>
                                    <w:top w:val="single" w:sz="4" w:space="0" w:color="auto"/>
                                    <w:left w:val="nil"/>
                                    <w:bottom w:val="single" w:sz="4" w:space="0" w:color="auto"/>
                                    <w:right w:val="nil"/>
                                  </w:tcBorders>
                                  <w:tcMar>
                                    <w:top w:w="0" w:type="dxa"/>
                                    <w:left w:w="57" w:type="dxa"/>
                                    <w:bottom w:w="0" w:type="dxa"/>
                                    <w:right w:w="57" w:type="dxa"/>
                                  </w:tcMar>
                                  <w:vAlign w:val="center"/>
                                  <w:hideMark/>
                                </w:tcPr>
                                <w:p w14:paraId="08BFD88F"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i/>
                                      <w:iCs/>
                                      <w:color w:val="000000"/>
                                      <w:sz w:val="16"/>
                                      <w:szCs w:val="16"/>
                                      <w:lang w:eastAsia="de-DE"/>
                                    </w:rPr>
                                  </w:pPr>
                                  <w:r>
                                    <w:rPr>
                                      <w:rFonts w:eastAsia="Times New Roman" w:cstheme="minorHAnsi"/>
                                      <w:i/>
                                      <w:iCs/>
                                      <w:color w:val="000000"/>
                                      <w:sz w:val="16"/>
                                      <w:szCs w:val="16"/>
                                      <w:lang w:eastAsia="de-DE"/>
                                    </w:rPr>
                                    <w:t>Taken from Ribeiro et al. (2020)</w:t>
                                  </w:r>
                                  <w:r>
                                    <w:rPr>
                                      <w:rFonts w:eastAsia="Times New Roman" w:cstheme="minorHAnsi"/>
                                      <w:i/>
                                      <w:iCs/>
                                      <w:color w:val="000000"/>
                                      <w:sz w:val="16"/>
                                      <w:szCs w:val="16"/>
                                      <w:lang w:eastAsia="de-DE"/>
                                    </w:rPr>
                                    <w:fldChar w:fldCharType="begin"/>
                                  </w:r>
                                  <w:r>
                                    <w:rPr>
                                      <w:rFonts w:eastAsia="Times New Roman" w:cstheme="minorHAnsi"/>
                                      <w:i/>
                                      <w:iCs/>
                                      <w:color w:val="000000"/>
                                      <w:sz w:val="16"/>
                                      <w:szCs w:val="16"/>
                                      <w:lang w:eastAsia="de-DE"/>
                                    </w:rPr>
                                    <w:instrText xml:space="preserve"> ADDIN ZOTERO_ITEM CSL_CITATION {"citationID":"GTrhy4RN","properties":{"formattedCitation":"\\super 33\\nosupersub{}","plainCitation":"33","noteIndex":0},"citationItems":[{"id":2380,"uris":["http://zotero.org/users/3633911/items/7232ACND"],"itemData":{"id":2380,"type":"article-journal","abstract":"The role of automatic electrocardiogram (ECG) analysis in clinical practice is limited by the accuracy of existing models. Deep Neural Networks (DNNs) are models composed of stacked transformations that learn tasks by examples. This technology has recently achieved striking success in a variety of task and there are great expectations on how it might improve clinical practice. Here we present a DNN model trained in a dataset with more than 2 million labeled exams analyzed by the Telehealth Network of Minas Gerais and collected under the scope of the CODE (Clinical Outcomes in Digital Electrocardiology) study. The DNN outperform cardiology resident medical doctors in recognizing 6 types of abnormalities in 12-lead ECG recordings, with F1 scores above 80% and specificity over 99%. These results indicate ECG analysis based on DNNs, previously studied in a single-lead setup, generalizes well to 12-lead exams, taking the technology closer to the standard clinical practice.","container-title":"Nature Communications","DOI":"10.1038/s41467-020-15432-4","ISSN":"2041-1723","issue":"1","journalAbbreviation":"Nat Commun","license":"2020 The Author(s)","note":"number: 1\npublisher: Nature Publishing Group","page":"1760","source":"www.nature.com","title":"Automatic diagnosis of the 12-lead ECG using a deep neural network","volume":"11","author":[{"family":"Ribeiro","given":"Antônio H."},{"family":"Ribeiro","given":"Manoel Horta"},{"family":"Paixão","given":"Gabriela M. M."},{"family":"Oliveira","given":"Derick M."},{"family":"Gomes","given":"Paulo R."},{"family":"Canazart","given":"Jéssica A."},{"family":"Ferreira","given":"Milton P. S."},{"family":"Andersson","given":"Carl R."},{"family":"Macfarlane","given":"Peter W."},{"family":"Meira Jr.","given":"Wagner"},{"family":"Schön","given":"Thomas B."},{"family":"Ribeiro","given":"Antonio Luiz P."}],"issued":{"date-parts":[["2020",4,9]]},"citation-key":"ribeiroAutomaticDiagnosis12lead2020"}}],"schema":"https://github.com/citation-style-language/schema/raw/master/csl-citation.json"} </w:instrText>
                                  </w:r>
                                  <w:r>
                                    <w:rPr>
                                      <w:rFonts w:eastAsia="Times New Roman" w:cstheme="minorHAnsi"/>
                                      <w:i/>
                                      <w:iCs/>
                                      <w:color w:val="000000"/>
                                      <w:sz w:val="16"/>
                                      <w:szCs w:val="16"/>
                                      <w:lang w:eastAsia="de-DE"/>
                                    </w:rPr>
                                    <w:fldChar w:fldCharType="separate"/>
                                  </w:r>
                                  <w:r>
                                    <w:rPr>
                                      <w:rFonts w:ascii="Calibri" w:hAnsi="Calibri" w:cs="Calibri"/>
                                      <w:sz w:val="16"/>
                                      <w:vertAlign w:val="superscript"/>
                                    </w:rPr>
                                    <w:t>33</w:t>
                                  </w:r>
                                  <w:r>
                                    <w:rPr>
                                      <w:rFonts w:eastAsia="Times New Roman" w:cstheme="minorHAnsi"/>
                                      <w:i/>
                                      <w:iCs/>
                                      <w:color w:val="000000"/>
                                      <w:sz w:val="16"/>
                                      <w:szCs w:val="16"/>
                                      <w:lang w:eastAsia="de-DE"/>
                                    </w:rPr>
                                    <w:fldChar w:fldCharType="end"/>
                                  </w:r>
                                </w:p>
                              </w:tc>
                              <w:tc>
                                <w:tcPr>
                                  <w:tcW w:w="1049" w:type="dxa"/>
                                  <w:vMerge w:val="restart"/>
                                  <w:tcBorders>
                                    <w:top w:val="single" w:sz="4" w:space="0" w:color="auto"/>
                                    <w:left w:val="nil"/>
                                    <w:bottom w:val="single" w:sz="4" w:space="0" w:color="auto"/>
                                    <w:right w:val="nil"/>
                                  </w:tcBorders>
                                  <w:tcMar>
                                    <w:top w:w="0" w:type="dxa"/>
                                    <w:left w:w="57" w:type="dxa"/>
                                    <w:bottom w:w="0" w:type="dxa"/>
                                    <w:right w:w="57" w:type="dxa"/>
                                  </w:tcMar>
                                  <w:vAlign w:val="center"/>
                                  <w:hideMark/>
                                </w:tcPr>
                                <w:p w14:paraId="42E38A8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Integrated gradients</w:t>
                                  </w:r>
                                  <w:r>
                                    <w:rPr>
                                      <w:rFonts w:eastAsia="Times New Roman" w:cstheme="minorHAnsi"/>
                                      <w:color w:val="000000"/>
                                      <w:sz w:val="16"/>
                                      <w:szCs w:val="16"/>
                                      <w:lang w:eastAsia="de-DE"/>
                                    </w:rPr>
                                    <w:br/>
                                    <w:t>(vs. 4 LRP configurations)</w:t>
                                  </w:r>
                                </w:p>
                              </w:tc>
                              <w:tc>
                                <w:tcPr>
                                  <w:tcW w:w="1943" w:type="dxa"/>
                                  <w:vMerge w:val="restart"/>
                                  <w:tcBorders>
                                    <w:top w:val="single" w:sz="4" w:space="0" w:color="auto"/>
                                    <w:left w:val="nil"/>
                                    <w:bottom w:val="single" w:sz="4" w:space="0" w:color="auto"/>
                                    <w:right w:val="nil"/>
                                  </w:tcBorders>
                                  <w:tcMar>
                                    <w:top w:w="0" w:type="dxa"/>
                                    <w:left w:w="57" w:type="dxa"/>
                                    <w:bottom w:w="0" w:type="dxa"/>
                                    <w:right w:w="57" w:type="dxa"/>
                                  </w:tcMar>
                                  <w:vAlign w:val="center"/>
                                  <w:hideMark/>
                                </w:tcPr>
                                <w:p w14:paraId="2E45B602"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Averaged template beat relevance per class</w:t>
                                  </w:r>
                                </w:p>
                                <w:p w14:paraId="43642C37"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Averaged relevance per lead and class</w:t>
                                  </w:r>
                                </w:p>
                              </w:tc>
                            </w:tr>
                            <w:tr w:rsidR="0094389A" w14:paraId="1C959C63" w14:textId="77777777">
                              <w:trPr>
                                <w:cantSplit/>
                                <w:trHeight w:val="261"/>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left w:val="nil"/>
                                    <w:bottom w:val="single" w:sz="4" w:space="0" w:color="auto"/>
                                    <w:right w:val="nil"/>
                                  </w:tcBorders>
                                  <w:vAlign w:val="center"/>
                                  <w:hideMark/>
                                </w:tcPr>
                                <w:p w14:paraId="43F80142" w14:textId="77777777" w:rsidR="0094389A" w:rsidRDefault="0094389A">
                                  <w:pPr>
                                    <w:rPr>
                                      <w:rFonts w:eastAsia="Times New Roman" w:cstheme="minorHAnsi"/>
                                      <w:color w:val="000000"/>
                                      <w:sz w:val="16"/>
                                      <w:szCs w:val="16"/>
                                      <w:lang w:val="de-DE" w:eastAsia="de-DE"/>
                                    </w:rPr>
                                  </w:pPr>
                                </w:p>
                              </w:tc>
                              <w:tc>
                                <w:tcPr>
                                  <w:tcW w:w="0" w:type="auto"/>
                                  <w:vMerge/>
                                  <w:tcBorders>
                                    <w:top w:val="single" w:sz="4" w:space="0" w:color="auto"/>
                                    <w:left w:val="nil"/>
                                    <w:bottom w:val="single" w:sz="4" w:space="0" w:color="auto"/>
                                    <w:right w:val="nil"/>
                                  </w:tcBorders>
                                  <w:vAlign w:val="center"/>
                                  <w:hideMark/>
                                </w:tcPr>
                                <w:p w14:paraId="1C550889"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p>
                              </w:tc>
                              <w:tc>
                                <w:tcPr>
                                  <w:tcW w:w="0" w:type="auto"/>
                                  <w:vMerge/>
                                  <w:tcBorders>
                                    <w:top w:val="single" w:sz="4" w:space="0" w:color="auto"/>
                                    <w:left w:val="nil"/>
                                    <w:bottom w:val="single" w:sz="4" w:space="0" w:color="auto"/>
                                    <w:right w:val="nil"/>
                                  </w:tcBorders>
                                  <w:vAlign w:val="center"/>
                                  <w:hideMark/>
                                </w:tcPr>
                                <w:p w14:paraId="05353528"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tc>
                              <w:tc>
                                <w:tcPr>
                                  <w:tcW w:w="0" w:type="auto"/>
                                  <w:vMerge/>
                                  <w:tcBorders>
                                    <w:top w:val="single" w:sz="4" w:space="0" w:color="auto"/>
                                    <w:left w:val="nil"/>
                                    <w:bottom w:val="single" w:sz="4" w:space="0" w:color="auto"/>
                                    <w:right w:val="nil"/>
                                  </w:tcBorders>
                                  <w:vAlign w:val="center"/>
                                  <w:hideMark/>
                                </w:tcPr>
                                <w:p w14:paraId="6544FAA6"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p>
                              </w:tc>
                              <w:tc>
                                <w:tcPr>
                                  <w:tcW w:w="0" w:type="auto"/>
                                  <w:vMerge/>
                                  <w:tcBorders>
                                    <w:top w:val="single" w:sz="4" w:space="0" w:color="auto"/>
                                    <w:left w:val="nil"/>
                                    <w:bottom w:val="single" w:sz="4" w:space="0" w:color="auto"/>
                                    <w:right w:val="nil"/>
                                  </w:tcBorders>
                                  <w:vAlign w:val="center"/>
                                  <w:hideMark/>
                                </w:tcPr>
                                <w:p w14:paraId="22509836"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08EC044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HV:</w:t>
                                  </w:r>
                                </w:p>
                                <w:p w14:paraId="616D7F52"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98 % / 2 %</w:t>
                                  </w:r>
                                </w:p>
                                <w:p w14:paraId="40BA50F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46C10E50"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Test: 0.036 %</w:t>
                                  </w:r>
                                </w:p>
                              </w:tc>
                              <w:tc>
                                <w:tcPr>
                                  <w:tcW w:w="426" w:type="dxa"/>
                                  <w:tcBorders>
                                    <w:top w:val="single" w:sz="4" w:space="0" w:color="auto"/>
                                    <w:left w:val="nil"/>
                                    <w:bottom w:val="single" w:sz="4" w:space="0" w:color="auto"/>
                                    <w:right w:val="nil"/>
                                  </w:tcBorders>
                                  <w:vAlign w:val="center"/>
                                  <w:hideMark/>
                                </w:tcPr>
                                <w:p w14:paraId="774EF33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99.6</w:t>
                                  </w:r>
                                </w:p>
                                <w:p w14:paraId="2AD4A0B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92.6</w:t>
                                  </w:r>
                                </w:p>
                                <w:p w14:paraId="3A26D8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93.5</w:t>
                                  </w:r>
                                </w:p>
                                <w:p w14:paraId="7F4164E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99.7</w:t>
                                  </w:r>
                                </w:p>
                              </w:tc>
                              <w:tc>
                                <w:tcPr>
                                  <w:tcW w:w="141" w:type="dxa"/>
                                  <w:tcBorders>
                                    <w:top w:val="single" w:sz="4" w:space="0" w:color="auto"/>
                                    <w:left w:val="nil"/>
                                    <w:bottom w:val="single" w:sz="4" w:space="0" w:color="auto"/>
                                    <w:right w:val="nil"/>
                                  </w:tcBorders>
                                  <w:vAlign w:val="center"/>
                                  <w:hideMark/>
                                </w:tcPr>
                                <w:p w14:paraId="0AC8271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3B8F7F7B"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0B1A766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113C929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tc>
                              <w:tc>
                                <w:tcPr>
                                  <w:tcW w:w="426" w:type="dxa"/>
                                  <w:tcBorders>
                                    <w:top w:val="single" w:sz="4" w:space="0" w:color="auto"/>
                                    <w:left w:val="nil"/>
                                    <w:bottom w:val="single" w:sz="4" w:space="0" w:color="auto"/>
                                    <w:right w:val="nil"/>
                                  </w:tcBorders>
                                  <w:vAlign w:val="center"/>
                                  <w:hideMark/>
                                </w:tcPr>
                                <w:p w14:paraId="5BD0E13B"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99.6</w:t>
                                  </w:r>
                                </w:p>
                                <w:p w14:paraId="775D729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87.0</w:t>
                                  </w:r>
                                </w:p>
                                <w:p w14:paraId="5702FD9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76.9</w:t>
                                  </w:r>
                                </w:p>
                                <w:p w14:paraId="28C7CD7F"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100.0</w:t>
                                  </w:r>
                                </w:p>
                              </w:tc>
                              <w:tc>
                                <w:tcPr>
                                  <w:tcW w:w="0" w:type="auto"/>
                                  <w:vMerge/>
                                  <w:tcBorders>
                                    <w:top w:val="single" w:sz="4" w:space="0" w:color="auto"/>
                                    <w:left w:val="nil"/>
                                    <w:bottom w:val="single" w:sz="4" w:space="0" w:color="auto"/>
                                    <w:right w:val="nil"/>
                                  </w:tcBorders>
                                  <w:vAlign w:val="center"/>
                                  <w:hideMark/>
                                </w:tcPr>
                                <w:p w14:paraId="14233EBB"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tc>
                              <w:tc>
                                <w:tcPr>
                                  <w:tcW w:w="0" w:type="auto"/>
                                  <w:vMerge/>
                                  <w:tcBorders>
                                    <w:top w:val="single" w:sz="4" w:space="0" w:color="auto"/>
                                    <w:left w:val="nil"/>
                                    <w:bottom w:val="single" w:sz="4" w:space="0" w:color="auto"/>
                                    <w:right w:val="nil"/>
                                  </w:tcBorders>
                                  <w:vAlign w:val="center"/>
                                  <w:hideMark/>
                                </w:tcPr>
                                <w:p w14:paraId="272A4B40"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tc>
                            </w:tr>
                            <w:tr w:rsidR="0094389A" w14:paraId="42EFE64D" w14:textId="77777777">
                              <w:trPr>
                                <w:cantSplit/>
                                <w:trHeight w:val="1043"/>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4" w:space="0" w:color="auto"/>
                                    <w:right w:val="nil"/>
                                  </w:tcBorders>
                                  <w:noWrap/>
                                  <w:textDirection w:val="btLr"/>
                                  <w:vAlign w:val="center"/>
                                  <w:hideMark/>
                                </w:tcPr>
                                <w:p w14:paraId="329D360B" w14:textId="77777777" w:rsidR="0094389A" w:rsidRDefault="0094389A">
                                  <w:pPr>
                                    <w:ind w:left="113" w:right="113"/>
                                    <w:jc w:val="center"/>
                                    <w:rPr>
                                      <w:rFonts w:eastAsia="Times New Roman" w:cstheme="minorHAnsi"/>
                                      <w:b w:val="0"/>
                                      <w:bCs w:val="0"/>
                                      <w:color w:val="000000"/>
                                      <w:sz w:val="16"/>
                                      <w:szCs w:val="16"/>
                                      <w:lang w:val="de-DE" w:eastAsia="de-DE"/>
                                    </w:rPr>
                                  </w:pPr>
                                  <w:r>
                                    <w:rPr>
                                      <w:rFonts w:eastAsia="Times New Roman" w:cstheme="minorHAnsi"/>
                                      <w:b w:val="0"/>
                                      <w:bCs w:val="0"/>
                                      <w:color w:val="000000"/>
                                      <w:sz w:val="16"/>
                                      <w:szCs w:val="16"/>
                                      <w:lang w:val="de-DE" w:eastAsia="de-DE"/>
                                    </w:rPr>
                                    <w:t xml:space="preserve">Goettling </w:t>
                                  </w:r>
                                  <w:r>
                                    <w:rPr>
                                      <w:rFonts w:eastAsia="Times New Roman" w:cstheme="minorHAnsi"/>
                                      <w:b w:val="0"/>
                                      <w:bCs w:val="0"/>
                                      <w:i/>
                                      <w:iCs/>
                                      <w:color w:val="000000"/>
                                      <w:sz w:val="16"/>
                                      <w:szCs w:val="16"/>
                                      <w:lang w:val="de-DE" w:eastAsia="de-DE"/>
                                    </w:rPr>
                                    <w:t>et al.</w:t>
                                  </w:r>
                                  <w:r>
                                    <w:rPr>
                                      <w:rFonts w:eastAsia="Times New Roman" w:cstheme="minorHAnsi"/>
                                      <w:b w:val="0"/>
                                      <w:bCs w:val="0"/>
                                      <w:color w:val="000000"/>
                                      <w:sz w:val="16"/>
                                      <w:szCs w:val="16"/>
                                      <w:lang w:val="de-DE" w:eastAsia="de-DE"/>
                                    </w:rPr>
                                    <w:t xml:space="preserve"> (2024)</w:t>
                                  </w:r>
                                  <w:r>
                                    <w:rPr>
                                      <w:rStyle w:val="rynqvb"/>
                                      <w:noProof/>
                                      <w:sz w:val="16"/>
                                      <w:szCs w:val="16"/>
                                    </w:rPr>
                                    <w:fldChar w:fldCharType="begin"/>
                                  </w:r>
                                  <w:r>
                                    <w:rPr>
                                      <w:rStyle w:val="rynqvb"/>
                                      <w:b w:val="0"/>
                                      <w:bCs w:val="0"/>
                                      <w:noProof/>
                                      <w:sz w:val="16"/>
                                      <w:szCs w:val="16"/>
                                    </w:rPr>
                                    <w:instrText xml:space="preserve"> ADDIN ZOTERO_ITEM CSL_CITATION {"citationID":"KFny9pDp","properties":{"formattedCitation":"\\super 15\\nosupersub{}","plainCitation":"15","noteIndex":0},"citationItems":[{"id":2317,"uris":["http://zotero.org/users/3633911/items/VVSAXM3D"],"itemData":{"id":2317,"type":"article-journal","container-title":"Scientific Reports","DOI":"10.1038/s41598-024-63656-x","journalAbbreviation":"Sci Rep","license":"All rights reserved","page":"13122","title":"xECGArch: a trustworthy deep learning architecture for interpretable ECG analysis considering short-term and long-term features","volume":"14","author":[{"family":"Goettling","given":"Marc"},{"family":"Hammer","given":"Alexander"},{"family":"Malberg","given":"Hagen"},{"family":"Schmidt","given":"Martin"}],"issued":{"date-parts":[["2024",6,7]]},"citation-key":"goettlingXECGArchTrustworthyDeep2024"}}],"schema":"https://github.com/citation-style-language/schema/raw/master/csl-citation.json"} </w:instrText>
                                  </w:r>
                                  <w:r>
                                    <w:rPr>
                                      <w:rStyle w:val="rynqvb"/>
                                      <w:noProof/>
                                      <w:sz w:val="16"/>
                                      <w:szCs w:val="16"/>
                                    </w:rPr>
                                    <w:fldChar w:fldCharType="separate"/>
                                  </w:r>
                                  <w:r>
                                    <w:rPr>
                                      <w:rFonts w:ascii="Calibri" w:hAnsi="Calibri" w:cs="Calibri"/>
                                      <w:sz w:val="16"/>
                                      <w:vertAlign w:val="superscript"/>
                                    </w:rPr>
                                    <w:t>15</w:t>
                                  </w:r>
                                  <w:r>
                                    <w:rPr>
                                      <w:rStyle w:val="rynqvb"/>
                                      <w:noProof/>
                                      <w:sz w:val="16"/>
                                      <w:szCs w:val="16"/>
                                    </w:rPr>
                                    <w:fldChar w:fldCharType="end"/>
                                  </w:r>
                                </w:p>
                              </w:tc>
                              <w:tc>
                                <w:tcPr>
                                  <w:tcW w:w="283" w:type="dxa"/>
                                  <w:tcBorders>
                                    <w:top w:val="single" w:sz="4" w:space="0" w:color="auto"/>
                                    <w:left w:val="nil"/>
                                    <w:bottom w:val="single" w:sz="4" w:space="0" w:color="auto"/>
                                    <w:right w:val="nil"/>
                                  </w:tcBorders>
                                  <w:noWrap/>
                                  <w:vAlign w:val="center"/>
                                  <w:hideMark/>
                                </w:tcPr>
                                <w:p w14:paraId="542F00B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1</w:t>
                                  </w:r>
                                </w:p>
                              </w:tc>
                              <w:tc>
                                <w:tcPr>
                                  <w:tcW w:w="1375" w:type="dxa"/>
                                  <w:tcBorders>
                                    <w:top w:val="single" w:sz="4" w:space="0" w:color="auto"/>
                                    <w:left w:val="nil"/>
                                    <w:bottom w:val="single" w:sz="4" w:space="0" w:color="auto"/>
                                    <w:right w:val="nil"/>
                                  </w:tcBorders>
                                  <w:tcMar>
                                    <w:top w:w="0" w:type="dxa"/>
                                    <w:left w:w="57" w:type="dxa"/>
                                    <w:bottom w:w="0" w:type="dxa"/>
                                    <w:right w:w="57" w:type="dxa"/>
                                  </w:tcMar>
                                  <w:vAlign w:val="center"/>
                                </w:tcPr>
                                <w:p w14:paraId="2A3A3EB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AF detection (AF, n-AF)</w:t>
                                  </w:r>
                                </w:p>
                                <w:p w14:paraId="1785106F"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66D421E7"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2</w:t>
                                  </w:r>
                                </w:p>
                                <w:p w14:paraId="732581D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yes</w:t>
                                  </w:r>
                                </w:p>
                              </w:tc>
                              <w:tc>
                                <w:tcPr>
                                  <w:tcW w:w="964"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00F4118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roofErr w:type="spellStart"/>
                                  <w:r>
                                    <w:rPr>
                                      <w:rFonts w:eastAsia="Times New Roman" w:cstheme="minorHAnsi"/>
                                      <w:color w:val="000000"/>
                                      <w:sz w:val="16"/>
                                      <w:szCs w:val="16"/>
                                      <w:lang w:eastAsia="de-DE"/>
                                    </w:rPr>
                                    <w:t>xECGArch</w:t>
                                  </w:r>
                                  <w:proofErr w:type="spellEnd"/>
                                  <w:r>
                                    <w:rPr>
                                      <w:rFonts w:eastAsia="Times New Roman" w:cstheme="minorHAnsi"/>
                                      <w:color w:val="000000"/>
                                      <w:sz w:val="16"/>
                                      <w:szCs w:val="16"/>
                                      <w:lang w:eastAsia="de-DE"/>
                                    </w:rPr>
                                    <w:t xml:space="preserve"> (long-term + short-term CNN)</w:t>
                                  </w:r>
                                </w:p>
                              </w:tc>
                              <w:tc>
                                <w:tcPr>
                                  <w:tcW w:w="991"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2E50D62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Chapman/ Shaoxing</w:t>
                                  </w:r>
                                  <w:r>
                                    <w:rPr>
                                      <w:rFonts w:cstheme="minorHAnsi"/>
                                      <w:noProof/>
                                      <w:sz w:val="16"/>
                                      <w:szCs w:val="16"/>
                                    </w:rPr>
                                    <w:fldChar w:fldCharType="begin"/>
                                  </w:r>
                                  <w:r>
                                    <w:rPr>
                                      <w:rFonts w:cstheme="minorHAnsi"/>
                                      <w:noProof/>
                                      <w:sz w:val="16"/>
                                      <w:szCs w:val="16"/>
                                    </w:rPr>
                                    <w:instrText xml:space="preserve"> ADDIN ZOTERO_ITEM CSL_CITATION {"citationID":"wKpZwN5d","properties":{"formattedCitation":"\\super 36\\nosupersub{}","plainCitation":"36","noteIndex":0},"citationItems":[{"id":2240,"uris":["http://zotero.org/users/3633911/items/QTHLTFHT"],"itemData":{"id":2240,"type":"article-journal","abstract":"This newly inaugurated research database for 12-lead electrocardiogram signals was created under the auspices of Chapman University and Shaoxing People’s Hospital (Shaoxing Hospital Zhejiang University School of Medicine) and aims to enable the scientific community in conducting new studies on arrhythmia and other cardiovascular conditions. Certain types of arrhythmias, such as atrial fibrillation, have a pronounced negative impact on public health, quality of life, and medical expenditures. As a non-invasive test, long term ECG monitoring is a major and vital diagnostic tool for detecting these conditions. This practice, however, generates large amounts of data, the analysis of which requires considerable time and effort by human experts. Advancement of modern machine learning and statistical tools can be trained on high quality, large data to achieve exceptional levels of automated diagnostic accuracy. Thus, we collected and disseminated this novel database that contains 12-lead ECGs of 10,646 patients with a 500</w:instrText>
                                  </w:r>
                                  <w:r>
                                    <w:rPr>
                                      <w:rFonts w:ascii="Arial" w:hAnsi="Arial" w:cs="Arial"/>
                                      <w:noProof/>
                                      <w:sz w:val="16"/>
                                      <w:szCs w:val="16"/>
                                    </w:rPr>
                                    <w:instrText> </w:instrText>
                                  </w:r>
                                  <w:r>
                                    <w:rPr>
                                      <w:rFonts w:cstheme="minorHAnsi"/>
                                      <w:noProof/>
                                      <w:sz w:val="16"/>
                                      <w:szCs w:val="16"/>
                                    </w:rPr>
                                    <w:instrText xml:space="preserve">Hz sampling rate that features 11 common rhythms and 67 additional cardiovascular conditions, all labeled by professional experts. The dataset consists of 10-second, 12-dimension ECGs and labels for rhythms and other conditions for each subject. The dataset can be used to design, compare, and fine-tune new and classical statistical and machine learning techniques in studies focused on arrhythmia and other cardiovascular conditions.","container-title":"Scientific Reports","DOI":"10.1038/s41598-020-59821-7","ISSN":"2045-2322","issue":"1","journalAbbreviation":"Sci Rep","page":"2898","source":"www.nature.com","title":"Optimal Multi-Stage Arrhythmia Classification Approach","volume":"10","author":[{"family":"Zheng","given":"Jianwei"},{"family":"Chu","given":"Huimin"},{"family":"Struppa","given":"Daniele"},{"family":"Zhang","given":"Jianming"},{"family":"Yacoub","given":"Magdi"},{"family":"El-Askary","given":"Hesham"},{"family":"Chang","given":"Anthony"},{"family":"Ehwerhemuepha","given":"Louis"},{"family":"Abudayyeh","given":"Islam"},{"family":"Barrett","given":"Alexander"},{"family":"Fu","given":"Guohua"},{"family":"Yao","given":"Hai"},{"family":"Li","given":"Dongbo"},{"family":"Guo","given":"Hangyuan"},{"family":"Rakovski","given":"Cyril"}],"issued":{"date-parts":[["2020",2,19]]},"citation-key":"zhengOptimalMultiStageArrhythmia2020"}}],"schema":"https://github.com/citation-style-language/schema/raw/master/csl-citation.json"} </w:instrText>
                                  </w:r>
                                  <w:r>
                                    <w:rPr>
                                      <w:rFonts w:cstheme="minorHAnsi"/>
                                      <w:noProof/>
                                      <w:sz w:val="16"/>
                                      <w:szCs w:val="16"/>
                                    </w:rPr>
                                    <w:fldChar w:fldCharType="separate"/>
                                  </w:r>
                                  <w:r>
                                    <w:rPr>
                                      <w:rFonts w:ascii="Calibri" w:hAnsi="Calibri" w:cs="Calibri"/>
                                      <w:sz w:val="16"/>
                                      <w:vertAlign w:val="superscript"/>
                                    </w:rPr>
                                    <w:t>36</w:t>
                                  </w:r>
                                  <w:r>
                                    <w:rPr>
                                      <w:rFonts w:cstheme="minorHAnsi"/>
                                      <w:noProof/>
                                      <w:sz w:val="16"/>
                                      <w:szCs w:val="16"/>
                                    </w:rPr>
                                    <w:fldChar w:fldCharType="end"/>
                                  </w:r>
                                  <w:r>
                                    <w:rPr>
                                      <w:rFonts w:cstheme="minorHAnsi"/>
                                      <w:noProof/>
                                      <w:sz w:val="16"/>
                                      <w:szCs w:val="16"/>
                                    </w:rPr>
                                    <w:t>, CPSC2018</w:t>
                                  </w:r>
                                  <w:r>
                                    <w:rPr>
                                      <w:rFonts w:cstheme="minorHAnsi"/>
                                      <w:noProof/>
                                      <w:sz w:val="16"/>
                                      <w:szCs w:val="16"/>
                                    </w:rPr>
                                    <w:fldChar w:fldCharType="begin"/>
                                  </w:r>
                                  <w:r>
                                    <w:rPr>
                                      <w:rFonts w:cstheme="minorHAnsi"/>
                                      <w:noProof/>
                                      <w:sz w:val="16"/>
                                      <w:szCs w:val="16"/>
                                    </w:rPr>
                                    <w:instrText xml:space="preserve"> ADDIN ZOTERO_ITEM CSL_CITATION {"citationID":"MpCY8Wix","properties":{"formattedCitation":"\\super 35\\nosupersub{}","plainCitation":"35","noteIndex":0},"citationItems":[{"id":2242,"uris":["http://zotero.org/users/3633911/items/4G88PYSW"],"itemData":{"id":2242,"type":"article-journal","container-title":"Journal of Medical Imaging and Health Informatics","DOI":"10.1166/jmihi.2018.2442","issue":"7","journalAbbreviation":"J Med Imaging Health Infor","page":"1368-1373","title":"An open access database for evaluating the algorithms of ECG rhythm and morphology abnormal detection","volume":"8","author":[{"family":"Liu","given":"F. F."},{"family":"Liu","given":"C. Y."},{"family":"Zhao","given":"L. N."},{"family":"Zhang","given":"X. Y."},{"family":"Wu","given":"X. L."},{"family":"Xu","given":"X. Y."},{"family":"Liu","given":"Y. L."},{"family":"Ma","given":"C. Y."},{"family":"Wei","given":"S. S."},{"family":"He","given":"Z. Q."},{"family":"Li","given":"J. Q."},{"family":"Kwee","given":"N. Y."}],"issued":{"date-parts":[["2018",9,1]]},"citation-key":"liuOpenAccessDatabase2018"}}],"schema":"https://github.com/citation-style-language/schema/raw/master/csl-citation.json"} </w:instrText>
                                  </w:r>
                                  <w:r>
                                    <w:rPr>
                                      <w:rFonts w:cstheme="minorHAnsi"/>
                                      <w:noProof/>
                                      <w:sz w:val="16"/>
                                      <w:szCs w:val="16"/>
                                    </w:rPr>
                                    <w:fldChar w:fldCharType="separate"/>
                                  </w:r>
                                  <w:r>
                                    <w:rPr>
                                      <w:rFonts w:ascii="Calibri" w:hAnsi="Calibri" w:cs="Calibri"/>
                                      <w:sz w:val="16"/>
                                      <w:vertAlign w:val="superscript"/>
                                    </w:rPr>
                                    <w:t>35</w:t>
                                  </w:r>
                                  <w:r>
                                    <w:rPr>
                                      <w:rFonts w:cstheme="minorHAnsi"/>
                                      <w:noProof/>
                                      <w:sz w:val="16"/>
                                      <w:szCs w:val="16"/>
                                    </w:rPr>
                                    <w:fldChar w:fldCharType="end"/>
                                  </w:r>
                                  <w:r>
                                    <w:rPr>
                                      <w:rFonts w:cstheme="minorHAnsi"/>
                                      <w:noProof/>
                                      <w:sz w:val="16"/>
                                      <w:szCs w:val="16"/>
                                    </w:rPr>
                                    <w:t>, Georgia</w:t>
                                  </w:r>
                                  <w:r>
                                    <w:rPr>
                                      <w:rFonts w:cstheme="minorHAnsi"/>
                                      <w:noProof/>
                                      <w:sz w:val="16"/>
                                      <w:szCs w:val="16"/>
                                    </w:rPr>
                                    <w:fldChar w:fldCharType="begin"/>
                                  </w:r>
                                  <w:r>
                                    <w:rPr>
                                      <w:rFonts w:cstheme="minorHAnsi"/>
                                      <w:noProof/>
                                      <w:sz w:val="16"/>
                                      <w:szCs w:val="16"/>
                                    </w:rPr>
                                    <w:instrText xml:space="preserve"> ADDIN ZOTERO_ITEM CSL_CITATION {"citationID":"pyKEx2Wq","properties":{"formattedCitation":"\\super 38,39\\nosupersub{}","plainCitation":"38,39","noteIndex":0},"citationItems":[{"id":1788,"uris":["http://zotero.org/users/3633911/items/C7Y6EF7Z"],"itemData":{"id":1788,"type":"article-journal","abstract":"Objective: Vast 12-lead ECGs repositories provide opportunities to develop new machine learning approaches for creating accurate and automatic diagnostic systems for cardiac abnormalities. However, most 12-lead ECG classification studies are trained, tested, or developed in single, small, or relatively homogeneous datasets. In addition, most algorithms focus on identifying small numbers of cardiac arrhythmias that do not represent the complexity and difficulty of ECG interpretation. This work addresses these issues by providing a standard, multi-institutional database and a novel scoring metric through a public competition: the PhysioNet/Computing in Cardiology Challenge 2020. Approach: A total of 66 361 12-lead ECG recordings were sourced from six hospital systems from four countries across three continents; 43 101 recordings were posted publicly with a focus on 27 diagnoses. For the first time in a public competition, we required teams to publish open-source code for both training and testing their algorithms, ensuring full scientific reproducibility. Main results: A total of 217 teams submitted 1395 algorithms during the Challenge, representing a diversity of approaches for identifying cardiac abnormalities from both academia and industry. As with previous Challenges, high-performing algorithms exhibited significant drops (10%) in performance on the hidden test data. Significance: Data from diverse institutions allowed us to assess algorithmic generalizability. A novel evaluation metric considered different misclassification errors for different cardiac abnormalities, capturing the outcomes and risks of different diagnoses. Requiring both trained models and code for training models improved the generalizability of submissions, setting a new bar in reproducibility for public data science competitions.","container-title":"Physiological Measurement","DOI":"10.1088/1361-6579/abc960","ISSN":"0967-3334","issue":"12","journalAbbreviation":"Physiol. Meas.","note":"publisher: IOP Publishing","page":"124003","source":"Institute of Physics","title":"Classification of 12-lead ECGs: The PhysioNet/Computing in Cardiology Challenge 2020","title-short":"Classification of 12-lead ECGs","volume":"41","author":[{"family":"Perez Alday","given":"Eric A."},{"family":"Gu","given":"A"},{"family":"Shah","given":"A"},{"family":"Robichaux","given":"C"},{"family":"Wong","given":"AI"},{"family":"Liu","given":"C"},{"family":"Liu","given":"F"},{"family":"Rad","given":"AB"},{"family":"Elola","given":"A"},{"family":"Seyedi","given":"S"},{"family":"Li","given":"Q"},{"family":"Sharma","given":"A"},{"family":"Clifford","given":"GD"},{"family":"Reyna","given":"MA"}],"issued":{"date-parts":[["2021",1,1]]},"citation-key":"perezaldayClassification12leadECGs2021"}},{"id":2245,"uris":["http://zotero.org/users/3633911/items/JIF37HL5"],"itemData":{"id":2245,"type":"dataset","DOI":"10.13026/dvyd-kd57","publisher":"PhysioNet","title":"Classification of 12-lead ECGs: The PhysioNet/Computing in Cardiology Challenge 2020","URL":"https://doi.org/10.13026/dvyd-kd57","version":"1.0.2","author":[{"family":"Perez Alday","given":"Eric A"},{"family":"Gu","given":"A"},{"family":"Shah","given":"AJ"},{"family":"Liu","given":"C"},{"family":"Sharma","given":"A"},{"family":"Seyedi","given":"S"},{"family":"Bahrami Rad","given":"A"},{"family":"Reyna","given":"M"},{"family":"Clifford","given":"Gari D"}],"citation-key":"perezaldayClassification12leadECGs"}}],"schema":"https://github.com/citation-style-language/schema/raw/master/csl-citation.json"} </w:instrText>
                                  </w:r>
                                  <w:r>
                                    <w:rPr>
                                      <w:rFonts w:cstheme="minorHAnsi"/>
                                      <w:noProof/>
                                      <w:sz w:val="16"/>
                                      <w:szCs w:val="16"/>
                                    </w:rPr>
                                    <w:fldChar w:fldCharType="separate"/>
                                  </w:r>
                                  <w:r>
                                    <w:rPr>
                                      <w:rFonts w:ascii="Calibri" w:hAnsi="Calibri" w:cs="Calibri"/>
                                      <w:sz w:val="16"/>
                                      <w:vertAlign w:val="superscript"/>
                                    </w:rPr>
                                    <w:t>38,39</w:t>
                                  </w:r>
                                  <w:r>
                                    <w:rPr>
                                      <w:rFonts w:cstheme="minorHAnsi"/>
                                      <w:noProof/>
                                      <w:sz w:val="16"/>
                                      <w:szCs w:val="16"/>
                                    </w:rPr>
                                    <w:fldChar w:fldCharType="end"/>
                                  </w:r>
                                  <w:r>
                                    <w:rPr>
                                      <w:rFonts w:cstheme="minorHAnsi"/>
                                      <w:noProof/>
                                      <w:sz w:val="16"/>
                                      <w:szCs w:val="16"/>
                                    </w:rPr>
                                    <w:t>, PTB-XL</w:t>
                                  </w:r>
                                  <w:r>
                                    <w:rPr>
                                      <w:rFonts w:cstheme="minorHAnsi"/>
                                      <w:noProof/>
                                      <w:sz w:val="16"/>
                                      <w:szCs w:val="16"/>
                                    </w:rPr>
                                    <w:fldChar w:fldCharType="begin"/>
                                  </w:r>
                                  <w:r>
                                    <w:rPr>
                                      <w:rFonts w:cstheme="minorHAnsi"/>
                                      <w:noProof/>
                                      <w:sz w:val="16"/>
                                      <w:szCs w:val="16"/>
                                    </w:rPr>
                                    <w:instrText xml:space="preserve"> ADDIN ZOTERO_ITEM CSL_CITATION {"citationID":"nGEQhAFy","properties":{"formattedCitation":"\\super 5,40\\nosupersub{}","plainCitation":"5,40","noteIndex":0},"citationItems":[{"id":2237,"uris":["http://zotero.org/users/3633911/items/L6A454RE"],"itemData":{"id":2237,"type":"article-journal","abstract":"Electrocardiography (ECG) is a key non-invasive diagnostic tool for cardiovascular diseases which is increasingly supported by algorithms based on machine learning. Major obstacles for the development of automatic ECG interpretation algorithms are both the lack of public datasets and well-defined benchmarking procedures to allow comparison s of different algorithms. To address these issues, we put forward PTB-XL, the to-date largest freely accessible clinical 12-lead ECG-waveform dataset comprising 21837 records from 18885 patients of 10</w:instrText>
                                  </w:r>
                                  <w:r>
                                    <w:rPr>
                                      <w:rFonts w:ascii="Arial" w:hAnsi="Arial" w:cs="Arial"/>
                                      <w:noProof/>
                                      <w:sz w:val="16"/>
                                      <w:szCs w:val="16"/>
                                    </w:rPr>
                                    <w:instrText> </w:instrText>
                                  </w:r>
                                  <w:r>
                                    <w:rPr>
                                      <w:rFonts w:cstheme="minorHAnsi"/>
                                      <w:noProof/>
                                      <w:sz w:val="16"/>
                                      <w:szCs w:val="16"/>
                                    </w:rPr>
                                    <w:instrText xml:space="preserve">seconds length. The ECG-waveform data was annotated by up to two cardiologists as a multi-label dataset, where diagnostic labels were further aggregated into super and subclasses. The dataset covers a broad range of diagnostic classes including, in particular, a large fraction of healthy records. The combination with additional metadata on demographics, additional diagnostic statements, diagnosis likelihoods, manually annotated signal properties as well as suggested folds for splitting training and test sets turns the dataset into a rich resource for the development and the evaluation of automatic ECG interpretation algorithms.","container-title":"Scientific Data","DOI":"10.1038/s41597-020-0495-6","ISSN":"2052-4463","issue":"1","journalAbbreviation":"Sci Data","page":"154","source":"www.nature.com","title":"PTB-XL, a large publicly available electrocardiography dataset","volume":"7","author":[{"family":"Wagner","given":"Patrick"},{"family":"Strodthoff","given":"Nils"},{"family":"Bousseljot","given":"Ralf-Dieter"},{"family":"Kreiseler","given":"Dieter"},{"family":"Lunze","given":"Fatima I."},{"family":"Samek","given":"Wojciech"},{"family":"Schaeffter","given":"Tobias"}],"issued":{"date-parts":[["2020",5,25]]},"citation-key":"wagnerPTBXLLargePublicly2020"}},{"id":2239,"uris":["http://zotero.org/users/3633911/items/CKP3R6W3"],"itemData":{"id":2239,"type":"dataset","DOI":"10.13026/kfzx-aw45","publisher":"PhysioNet","title":"PTB-XL, a large publicly available electrocardiography dataset","URL":"https://doi.org/10.13026/kfzx-aw45","version":"1.0.3","author":[{"family":"Wagner","given":"Patrick"},{"family":"Strodthoff","given":"Nils"},{"family":"Bousseljot","given":"Ralf-Dieter"},{"family":"Samek","given":"Wojciech"},{"family":"Schaeffter","given":"Tobias"}],"issued":{"date-parts":[["2022"]]},"citation-key":"wagnerPTBXLLargePublicly2022"}}],"schema":"https://github.com/citation-style-language/schema/raw/master/csl-citation.json"} </w:instrText>
                                  </w:r>
                                  <w:r>
                                    <w:rPr>
                                      <w:rFonts w:cstheme="minorHAnsi"/>
                                      <w:noProof/>
                                      <w:sz w:val="16"/>
                                      <w:szCs w:val="16"/>
                                    </w:rPr>
                                    <w:fldChar w:fldCharType="separate"/>
                                  </w:r>
                                  <w:r>
                                    <w:rPr>
                                      <w:rFonts w:ascii="Calibri" w:hAnsi="Calibri" w:cs="Calibri"/>
                                      <w:sz w:val="16"/>
                                      <w:vertAlign w:val="superscript"/>
                                    </w:rPr>
                                    <w:t>5,40</w:t>
                                  </w:r>
                                  <w:r>
                                    <w:rPr>
                                      <w:rFonts w:cstheme="minorHAnsi"/>
                                      <w:noProof/>
                                      <w:sz w:val="16"/>
                                      <w:szCs w:val="16"/>
                                    </w:rPr>
                                    <w:fldChar w:fldCharType="end"/>
                                  </w:r>
                                </w:p>
                                <w:p w14:paraId="6E33C6B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9,854</w:t>
                                  </w:r>
                                </w:p>
                                <w:p w14:paraId="535C5E0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color w:val="000000"/>
                                      <w:sz w:val="16"/>
                                      <w:szCs w:val="16"/>
                                      <w:lang w:eastAsia="de-DE"/>
                                    </w:rPr>
                                    <w:t>(AF: 50 %)</w:t>
                                  </w: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1990CDB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CV: 5-fold</w:t>
                                  </w:r>
                                </w:p>
                                <w:p w14:paraId="63300F9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
                                <w:p w14:paraId="45D3CDBB"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Test: 10 %</w:t>
                                  </w:r>
                                </w:p>
                              </w:tc>
                              <w:tc>
                                <w:tcPr>
                                  <w:tcW w:w="426" w:type="dxa"/>
                                  <w:tcBorders>
                                    <w:top w:val="single" w:sz="4" w:space="0" w:color="auto"/>
                                    <w:left w:val="nil"/>
                                    <w:bottom w:val="single" w:sz="4" w:space="0" w:color="auto"/>
                                    <w:right w:val="nil"/>
                                  </w:tcBorders>
                                  <w:vAlign w:val="center"/>
                                  <w:hideMark/>
                                </w:tcPr>
                                <w:p w14:paraId="698854A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E245CB7"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4405AE5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8FE6C5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41" w:type="dxa"/>
                                  <w:tcBorders>
                                    <w:top w:val="single" w:sz="4" w:space="0" w:color="auto"/>
                                    <w:left w:val="nil"/>
                                    <w:bottom w:val="single" w:sz="4" w:space="0" w:color="auto"/>
                                    <w:right w:val="nil"/>
                                  </w:tcBorders>
                                  <w:vAlign w:val="center"/>
                                  <w:hideMark/>
                                </w:tcPr>
                                <w:p w14:paraId="438E2D0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40632C7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37AD4B1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E2668E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426" w:type="dxa"/>
                                  <w:tcBorders>
                                    <w:top w:val="single" w:sz="4" w:space="0" w:color="auto"/>
                                    <w:left w:val="nil"/>
                                    <w:bottom w:val="single" w:sz="4" w:space="0" w:color="auto"/>
                                    <w:right w:val="nil"/>
                                  </w:tcBorders>
                                  <w:vAlign w:val="center"/>
                                  <w:hideMark/>
                                </w:tcPr>
                                <w:p w14:paraId="72924A1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95.3</w:t>
                                  </w:r>
                                </w:p>
                                <w:p w14:paraId="71304F3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95.4</w:t>
                                  </w:r>
                                </w:p>
                                <w:p w14:paraId="655B86C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94.9</w:t>
                                  </w:r>
                                </w:p>
                                <w:p w14:paraId="034EA17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95.8</w:t>
                                  </w:r>
                                </w:p>
                              </w:tc>
                              <w:tc>
                                <w:tcPr>
                                  <w:tcW w:w="1049"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7A9520E7" w14:textId="77777777" w:rsidR="0094389A" w:rsidRDefault="0094389A">
                                  <w:pPr>
                                    <w:suppressAutoHyphens/>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 xml:space="preserve">13 methods, including DTD, </w:t>
                                  </w:r>
                                  <w:proofErr w:type="spellStart"/>
                                  <w:r>
                                    <w:rPr>
                                      <w:rFonts w:eastAsia="Times New Roman" w:cstheme="minorHAnsi"/>
                                      <w:color w:val="000000"/>
                                      <w:sz w:val="16"/>
                                      <w:szCs w:val="16"/>
                                      <w:lang w:eastAsia="de-DE"/>
                                    </w:rPr>
                                    <w:t>GradCAM</w:t>
                                  </w:r>
                                  <w:proofErr w:type="spellEnd"/>
                                  <w:r>
                                    <w:rPr>
                                      <w:rFonts w:eastAsia="Times New Roman" w:cstheme="minorHAnsi"/>
                                      <w:color w:val="000000"/>
                                      <w:sz w:val="16"/>
                                      <w:szCs w:val="16"/>
                                      <w:lang w:eastAsia="de-DE"/>
                                    </w:rPr>
                                    <w:t>, and 4 LRP configurations</w:t>
                                  </w:r>
                                </w:p>
                              </w:tc>
                              <w:tc>
                                <w:tcPr>
                                  <w:tcW w:w="1943"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461C337C"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Averaged template beat relevance per class and model</w:t>
                                  </w:r>
                                </w:p>
                              </w:tc>
                            </w:tr>
                            <w:tr w:rsidR="0094389A" w14:paraId="1EE9B595" w14:textId="77777777">
                              <w:trPr>
                                <w:cantSplit/>
                                <w:trHeight w:val="1043"/>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4" w:space="0" w:color="auto"/>
                                    <w:right w:val="nil"/>
                                  </w:tcBorders>
                                  <w:noWrap/>
                                  <w:textDirection w:val="btLr"/>
                                  <w:vAlign w:val="center"/>
                                  <w:hideMark/>
                                </w:tcPr>
                                <w:p w14:paraId="0862F20A" w14:textId="77777777" w:rsidR="0094389A" w:rsidRDefault="0094389A">
                                  <w:pPr>
                                    <w:ind w:left="113" w:right="113"/>
                                    <w:jc w:val="center"/>
                                    <w:rPr>
                                      <w:rFonts w:eastAsia="Times New Roman" w:cstheme="minorHAnsi"/>
                                      <w:color w:val="000000"/>
                                      <w:sz w:val="16"/>
                                      <w:szCs w:val="16"/>
                                      <w:lang w:val="de-DE" w:eastAsia="de-DE"/>
                                    </w:rPr>
                                  </w:pPr>
                                  <w:r>
                                    <w:rPr>
                                      <w:rFonts w:eastAsia="Times New Roman" w:cstheme="minorHAnsi"/>
                                      <w:b w:val="0"/>
                                      <w:bCs w:val="0"/>
                                      <w:color w:val="000000"/>
                                      <w:sz w:val="16"/>
                                      <w:szCs w:val="16"/>
                                      <w:lang w:val="de-DE" w:eastAsia="de-DE"/>
                                    </w:rPr>
                                    <w:t xml:space="preserve">Honarvar </w:t>
                                  </w:r>
                                  <w:r>
                                    <w:rPr>
                                      <w:rFonts w:eastAsia="Times New Roman" w:cstheme="minorHAnsi"/>
                                      <w:b w:val="0"/>
                                      <w:bCs w:val="0"/>
                                      <w:i/>
                                      <w:iCs/>
                                      <w:color w:val="000000"/>
                                      <w:sz w:val="16"/>
                                      <w:szCs w:val="16"/>
                                      <w:lang w:val="de-DE" w:eastAsia="de-DE"/>
                                    </w:rPr>
                                    <w:t>et al.</w:t>
                                  </w:r>
                                  <w:r>
                                    <w:rPr>
                                      <w:rFonts w:eastAsia="Times New Roman" w:cstheme="minorHAnsi"/>
                                      <w:b w:val="0"/>
                                      <w:bCs w:val="0"/>
                                      <w:color w:val="000000"/>
                                      <w:sz w:val="16"/>
                                      <w:szCs w:val="16"/>
                                      <w:lang w:val="de-DE" w:eastAsia="de-DE"/>
                                    </w:rPr>
                                    <w:t xml:space="preserve"> (2022)</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val="de-DE" w:eastAsia="de-DE"/>
                                    </w:rPr>
                                    <w:instrText xml:space="preserve"> ADDIN ZOTERO_ITEM CSL_CITATION {"citationID":"o1LunNsF","properties":{"formattedCitation":"\\super 23\\nosupersub{}","plainCitation":"23","noteIndex":0},"citationItems":[{"id":2370,"uris":["http://zotero.org/users/3633911/items/Y6MUYT2Q"],"itemData":{"id":2370,"type":"article-journal","container-title":"Cardiovascular Digital Health Journal","DOI":"10.1016/j.cvdhj.2022.07.074","ISSN":"2666-6936","issue":"5","journalAbbreviation":"Cardiovasc Digit Health J","note":"publisher: Elsevier","page":"220-231","source":"www.cvdigitalhealthjournal.com","title":"Enhancing convolutional neural network predictions of electrocardiograms with left ventricular dysfunction using a novel sub-waveform representation","volume":"3","author":[{"family":"Honarvar","given":"Hossein"},{"family":"Agarwal","given":"Chirag"},{"family":"Somani","given":"Sulaiman"},{"family":"Vaid","given":"Akhil"},{"family":"Lampert","given":"Joshua"},{"family":"Wanyan","given":"Tingyi"},{"family":"Reddy","given":"Vivek Y."},{"family":"Nadkarni","given":"Girish N."},{"family":"Miotto","given":"Riccardo"},{"family":"Zitnik","given":"Marinka"},{"family":"Wang","given":"Fei"},{"family":"Glicksberg","given":"Benjamin S."}],"issued":{"date-parts":[["2022",8,11]]},"citation-key":"honarvarEnhancingConvolutionalNeural2022"}}],"schema":"https://github.com/citation-style-language/schema/raw/master/csl-citation.json"}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23</w:t>
                                  </w:r>
                                  <w:r>
                                    <w:rPr>
                                      <w:rFonts w:eastAsia="Times New Roman" w:cstheme="minorHAnsi"/>
                                      <w:color w:val="000000"/>
                                      <w:sz w:val="16"/>
                                      <w:szCs w:val="16"/>
                                      <w:lang w:val="de-DE" w:eastAsia="de-DE"/>
                                    </w:rPr>
                                    <w:fldChar w:fldCharType="end"/>
                                  </w:r>
                                </w:p>
                              </w:tc>
                              <w:tc>
                                <w:tcPr>
                                  <w:tcW w:w="283" w:type="dxa"/>
                                  <w:tcBorders>
                                    <w:top w:val="single" w:sz="4" w:space="0" w:color="auto"/>
                                    <w:left w:val="nil"/>
                                    <w:bottom w:val="single" w:sz="4" w:space="0" w:color="auto"/>
                                    <w:right w:val="nil"/>
                                  </w:tcBorders>
                                  <w:noWrap/>
                                  <w:vAlign w:val="center"/>
                                  <w:hideMark/>
                                </w:tcPr>
                                <w:p w14:paraId="56EC29D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8</w:t>
                                  </w:r>
                                </w:p>
                              </w:tc>
                              <w:tc>
                                <w:tcPr>
                                  <w:tcW w:w="1375" w:type="dxa"/>
                                  <w:tcBorders>
                                    <w:top w:val="single" w:sz="4" w:space="0" w:color="auto"/>
                                    <w:left w:val="nil"/>
                                    <w:bottom w:val="single" w:sz="4" w:space="0" w:color="auto"/>
                                    <w:right w:val="nil"/>
                                  </w:tcBorders>
                                  <w:tcMar>
                                    <w:top w:w="0" w:type="dxa"/>
                                    <w:left w:w="57" w:type="dxa"/>
                                    <w:bottom w:w="0" w:type="dxa"/>
                                    <w:right w:w="57" w:type="dxa"/>
                                  </w:tcMar>
                                  <w:vAlign w:val="center"/>
                                </w:tcPr>
                                <w:p w14:paraId="3D0E36D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LVD detection</w:t>
                                  </w:r>
                                </w:p>
                                <w:p w14:paraId="655B6545"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7E48EF9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2</w:t>
                                  </w:r>
                                </w:p>
                                <w:p w14:paraId="4F1D5B4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(LVD, n-LVD)</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no</w:t>
                                  </w:r>
                                </w:p>
                              </w:tc>
                              <w:tc>
                                <w:tcPr>
                                  <w:tcW w:w="964"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3443E61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CNN</w:t>
                                  </w:r>
                                </w:p>
                                <w:p w14:paraId="2BDF1A1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(ECG maps)</w:t>
                                  </w:r>
                                </w:p>
                              </w:tc>
                              <w:tc>
                                <w:tcPr>
                                  <w:tcW w:w="991"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28F97386"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Own dataset</w:t>
                                  </w:r>
                                </w:p>
                                <w:p w14:paraId="04D19CDF"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=101,710 (LVD: 7.6 %)</w:t>
                                  </w: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787BCB8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Stratified HV:</w:t>
                                  </w:r>
                                </w:p>
                                <w:p w14:paraId="403C2D46"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90 % / 10 %</w:t>
                                  </w:r>
                                </w:p>
                                <w:p w14:paraId="5FA19C7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
                                <w:p w14:paraId="55FD3AE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sz w:val="16"/>
                                      <w:szCs w:val="16"/>
                                      <w:lang w:eastAsia="de-DE"/>
                                    </w:rPr>
                                    <w:t>Test: -</w:t>
                                  </w:r>
                                </w:p>
                              </w:tc>
                              <w:tc>
                                <w:tcPr>
                                  <w:tcW w:w="426" w:type="dxa"/>
                                  <w:tcBorders>
                                    <w:top w:val="single" w:sz="4" w:space="0" w:color="auto"/>
                                    <w:left w:val="nil"/>
                                    <w:bottom w:val="single" w:sz="4" w:space="0" w:color="auto"/>
                                    <w:right w:val="nil"/>
                                  </w:tcBorders>
                                  <w:vAlign w:val="center"/>
                                  <w:hideMark/>
                                </w:tcPr>
                                <w:p w14:paraId="6EC8B0E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437DF6B"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E82E09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4DEFD19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41" w:type="dxa"/>
                                  <w:tcBorders>
                                    <w:top w:val="single" w:sz="4" w:space="0" w:color="auto"/>
                                    <w:left w:val="nil"/>
                                    <w:bottom w:val="single" w:sz="4" w:space="0" w:color="auto"/>
                                    <w:right w:val="nil"/>
                                  </w:tcBorders>
                                  <w:vAlign w:val="center"/>
                                  <w:hideMark/>
                                </w:tcPr>
                                <w:p w14:paraId="044826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EEE9A5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2A4DD3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9C680D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426" w:type="dxa"/>
                                  <w:tcBorders>
                                    <w:top w:val="single" w:sz="4" w:space="0" w:color="auto"/>
                                    <w:left w:val="nil"/>
                                    <w:bottom w:val="single" w:sz="4" w:space="0" w:color="auto"/>
                                    <w:right w:val="nil"/>
                                  </w:tcBorders>
                                  <w:vAlign w:val="center"/>
                                  <w:hideMark/>
                                </w:tcPr>
                                <w:p w14:paraId="1F4A4C8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066579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7139DDF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404C96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049"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56AF1FF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DeepLIFT</w:t>
                                  </w:r>
                                  <w:r>
                                    <w:rPr>
                                      <w:rFonts w:eastAsia="Times New Roman" w:cstheme="minorHAnsi"/>
                                      <w:color w:val="000000"/>
                                      <w:sz w:val="16"/>
                                      <w:szCs w:val="16"/>
                                      <w:lang w:eastAsia="de-DE"/>
                                    </w:rPr>
                                    <w:fldChar w:fldCharType="begin"/>
                                  </w:r>
                                  <w:r>
                                    <w:rPr>
                                      <w:rFonts w:eastAsia="Times New Roman" w:cstheme="minorHAnsi"/>
                                      <w:color w:val="000000"/>
                                      <w:sz w:val="16"/>
                                      <w:szCs w:val="16"/>
                                      <w:lang w:eastAsia="de-DE"/>
                                    </w:rPr>
                                    <w:instrText xml:space="preserve"> ADDIN ZOTERO_ITEM CSL_CITATION {"citationID":"PdOF5Jil","properties":{"formattedCitation":"\\super 56\\nosupersub{}","plainCitation":"56","noteIndex":0},"citationItems":[{"id":2402,"uris":["http://zotero.org/users/3633911/items/FMGY45IX"],"itemData":{"id":2402,"type":"paper-conference","abstract":"The purported \"black box\" nature of neural networks is a barrier to adoption in applications where interpretability is essential. Here we present DeepLIFT (Deep Learning Important FeaTures), a method for decomposing the output prediction of a neural network on a specific input by backpropagating the contributions of all neurons in the network to every feature of the input. DeepLIFT compares the activation of each neuron to its 'reference activation' and assigns contribution scores according to the difference. By optionally giving separate consideration to positive and negative contributions, DeepLIFT can also reveal dependencies which are missed by other approaches. Scores can be computed efficiently in a single backward pass. We apply DeepLIFT to models trained on MNIST and simulated genomic data, and show significant advantages over gradient-based methods. Video tutorial: http://goo.gl/qKb7pL, code: http://goo.gl/RM8jvH.","collection-title":"ICML'17","container-title":"Proceedings of the 34th International Conference on Machine Learning - Volume 70","event-place":"Sydney, NSW, Australia","page":"3145–3153","publisher":"JMLR.org","publisher-place":"Sydney, NSW, Australia","source":"ACM Digital Library","title":"Learning important features through propagating activation differences","author":[{"family":"Shrikumar","given":"Avanti"},{"family":"Greenside","given":"Peyton"},{"family":"Kundaje","given":"Anshul"}],"accessed":{"date-parts":[["2023",12,5]]},"issued":{"date-parts":[["2017",8,6]]},"citation-key":"shrikumarLearningImportantFeatures2017"}}],"schema":"https://github.com/citation-style-language/schema/raw/master/csl-citation.json"} </w:instrText>
                                  </w:r>
                                  <w:r>
                                    <w:rPr>
                                      <w:rFonts w:eastAsia="Times New Roman" w:cstheme="minorHAnsi"/>
                                      <w:color w:val="000000"/>
                                      <w:sz w:val="16"/>
                                      <w:szCs w:val="16"/>
                                      <w:lang w:eastAsia="de-DE"/>
                                    </w:rPr>
                                    <w:fldChar w:fldCharType="separate"/>
                                  </w:r>
                                  <w:r>
                                    <w:rPr>
                                      <w:rFonts w:ascii="Calibri" w:hAnsi="Calibri" w:cs="Calibri"/>
                                      <w:sz w:val="16"/>
                                      <w:vertAlign w:val="superscript"/>
                                    </w:rPr>
                                    <w:t>56</w:t>
                                  </w:r>
                                  <w:r>
                                    <w:rPr>
                                      <w:rFonts w:eastAsia="Times New Roman" w:cstheme="minorHAnsi"/>
                                      <w:color w:val="000000"/>
                                      <w:sz w:val="16"/>
                                      <w:szCs w:val="16"/>
                                      <w:lang w:eastAsia="de-DE"/>
                                    </w:rPr>
                                    <w:fldChar w:fldCharType="end"/>
                                  </w:r>
                                </w:p>
                              </w:tc>
                              <w:tc>
                                <w:tcPr>
                                  <w:tcW w:w="1943"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17699B93"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 relevance of full- and sub-waveforms from 88 ECGs with common heart rate</w:t>
                                  </w:r>
                                </w:p>
                                <w:p w14:paraId="49821844"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 xml:space="preserve">Relevance per beat interval for </w:t>
                                  </w: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5 subjects for full- and sub-waveform</w:t>
                                  </w:r>
                                </w:p>
                              </w:tc>
                            </w:tr>
                            <w:tr w:rsidR="0094389A" w14:paraId="5F9FB109" w14:textId="77777777">
                              <w:trPr>
                                <w:cantSplit/>
                                <w:trHeight w:val="935"/>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4" w:space="0" w:color="auto"/>
                                    <w:right w:val="nil"/>
                                  </w:tcBorders>
                                  <w:noWrap/>
                                  <w:textDirection w:val="btLr"/>
                                  <w:vAlign w:val="center"/>
                                  <w:hideMark/>
                                </w:tcPr>
                                <w:p w14:paraId="06E7D68C" w14:textId="77777777" w:rsidR="0094389A" w:rsidRDefault="0094389A">
                                  <w:pPr>
                                    <w:ind w:left="113" w:right="113"/>
                                    <w:jc w:val="center"/>
                                    <w:rPr>
                                      <w:rFonts w:eastAsia="Times New Roman" w:cstheme="minorHAnsi"/>
                                      <w:color w:val="000000"/>
                                      <w:sz w:val="16"/>
                                      <w:szCs w:val="16"/>
                                      <w:lang w:val="de-DE" w:eastAsia="de-DE"/>
                                    </w:rPr>
                                  </w:pPr>
                                  <w:r>
                                    <w:rPr>
                                      <w:rFonts w:eastAsia="Times New Roman" w:cstheme="minorHAnsi"/>
                                      <w:b w:val="0"/>
                                      <w:bCs w:val="0"/>
                                      <w:color w:val="000000"/>
                                      <w:sz w:val="16"/>
                                      <w:szCs w:val="16"/>
                                      <w:lang w:val="de-DE" w:eastAsia="de-DE"/>
                                    </w:rPr>
                                    <w:t xml:space="preserve">Ivaturi </w:t>
                                  </w:r>
                                  <w:r>
                                    <w:rPr>
                                      <w:rFonts w:eastAsia="Times New Roman" w:cstheme="minorHAnsi"/>
                                      <w:b w:val="0"/>
                                      <w:bCs w:val="0"/>
                                      <w:i/>
                                      <w:iCs/>
                                      <w:color w:val="000000"/>
                                      <w:sz w:val="16"/>
                                      <w:szCs w:val="16"/>
                                      <w:lang w:val="de-DE" w:eastAsia="de-DE"/>
                                    </w:rPr>
                                    <w:t>et al.</w:t>
                                  </w:r>
                                  <w:r>
                                    <w:rPr>
                                      <w:rFonts w:eastAsia="Times New Roman" w:cstheme="minorHAnsi"/>
                                      <w:b w:val="0"/>
                                      <w:bCs w:val="0"/>
                                      <w:color w:val="000000"/>
                                      <w:sz w:val="16"/>
                                      <w:szCs w:val="16"/>
                                      <w:lang w:val="de-DE" w:eastAsia="de-DE"/>
                                    </w:rPr>
                                    <w:t xml:space="preserve"> (2021)</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val="de-DE" w:eastAsia="de-DE"/>
                                    </w:rPr>
                                    <w:instrText xml:space="preserve"> ADDIN ZOTERO_ITEM CSL_CITATION {"citationID":"O8yXmmkY","properties":{"formattedCitation":"\\super 13\\nosupersub{}","plainCitation":"13","noteIndex":0},"citationItems":[{"id":2372,"uris":["http://zotero.org/users/3633911/items/46WAJN5J"],"itemData":{"id":2372,"type":"article-journal","abstract":"In this study, we propose a post-hoc explainability framework for deep learning models applied to quasi-periodic biomedical time-series classification. As a case study, we focus on the problem of atrial fibrillation (AF) detection from electrocardiography signals, which has strong clinical relevance. Starting from a state-of-the-art pretrained model, we tackle the problem from two different perspectives: global and local explanation. With global explanation, we analyze the model behavior by looking at entire classes of data, showing which regions of the input repetitive patterns have the most influence for a specific outcome of the model. Our explanation results align with the expectations of clinical experts, showing that features crucial for AF detection contribute heavily to the final decision. These features include R-R interval regularity, absence of the P-wave or presence of electrical activity in the isoelectric period. On the other hand, with local explanation, we analyze specific input signals and model outcomes. We present a comprehensive analysis of the network facing different conditions, whether the model has correctly classified the input signal or not. This enables a deeper understanding of the network's behavior, showing the most informative regions that trigger the classification decision and highlighting possible causes of misbehavior.","container-title":"IEEE journal of biomedical and health informatics","DOI":"10.1109/JBHI.2021.3060997","ISSN":"2168-2208","issue":"7","journalAbbreviation":"IEEE J Biomed Health Inform","note":"PMID: 33617456\nPMCID: PMC8513820","page":"2398-2408","source":"PubMed","title":"A Comprehensive Explanation Framework for Biomedical Time Series Classification","volume":"25","author":[{"family":"Ivaturi","given":"Praharsh"},{"family":"Gadaleta","given":"Matteo"},{"family":"Pandey","given":"Amitabh C."},{"family":"Pazzani","given":"Michael"},{"family":"Steinhubl","given":"Steven R."},{"family":"Quer","given":"Giorgio"}],"issued":{"date-parts":[["2021"]]},"citation-key":"ivaturiComprehensiveExplanationFramework2021"}}],"schema":"https://github.com/citation-style-language/schema/raw/master/csl-citation.json"}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13</w:t>
                                  </w:r>
                                  <w:r>
                                    <w:rPr>
                                      <w:rFonts w:eastAsia="Times New Roman" w:cstheme="minorHAnsi"/>
                                      <w:color w:val="000000"/>
                                      <w:sz w:val="16"/>
                                      <w:szCs w:val="16"/>
                                      <w:lang w:val="de-DE" w:eastAsia="de-DE"/>
                                    </w:rPr>
                                    <w:fldChar w:fldCharType="end"/>
                                  </w:r>
                                </w:p>
                              </w:tc>
                              <w:tc>
                                <w:tcPr>
                                  <w:tcW w:w="283" w:type="dxa"/>
                                  <w:tcBorders>
                                    <w:top w:val="single" w:sz="4" w:space="0" w:color="auto"/>
                                    <w:left w:val="nil"/>
                                    <w:bottom w:val="single" w:sz="4" w:space="0" w:color="auto"/>
                                    <w:right w:val="nil"/>
                                  </w:tcBorders>
                                  <w:noWrap/>
                                  <w:vAlign w:val="center"/>
                                  <w:hideMark/>
                                </w:tcPr>
                                <w:p w14:paraId="071E5BE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1</w:t>
                                  </w:r>
                                </w:p>
                              </w:tc>
                              <w:tc>
                                <w:tcPr>
                                  <w:tcW w:w="1375" w:type="dxa"/>
                                  <w:tcBorders>
                                    <w:top w:val="single" w:sz="4" w:space="0" w:color="auto"/>
                                    <w:left w:val="nil"/>
                                    <w:bottom w:val="single" w:sz="4" w:space="0" w:color="auto"/>
                                    <w:right w:val="nil"/>
                                  </w:tcBorders>
                                  <w:tcMar>
                                    <w:top w:w="0" w:type="dxa"/>
                                    <w:left w:w="57" w:type="dxa"/>
                                    <w:bottom w:w="0" w:type="dxa"/>
                                    <w:right w:w="57" w:type="dxa"/>
                                  </w:tcMar>
                                  <w:vAlign w:val="center"/>
                                </w:tcPr>
                                <w:p w14:paraId="32B96D3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Cardiac anomaly detection (multiclass)</w:t>
                                  </w:r>
                                </w:p>
                                <w:p w14:paraId="0EA0845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3F01ECE0"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4 (CinC2017)</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yes</w:t>
                                  </w:r>
                                </w:p>
                              </w:tc>
                              <w:tc>
                                <w:tcPr>
                                  <w:tcW w:w="964"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47E91D1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Lightweight CNN</w:t>
                                  </w:r>
                                </w:p>
                                <w:p w14:paraId="550E2C1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(MobileNet)</w:t>
                                  </w:r>
                                </w:p>
                              </w:tc>
                              <w:tc>
                                <w:tcPr>
                                  <w:tcW w:w="991"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1BBF1AD2"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CinC2017</w:t>
                                  </w:r>
                                  <w:r>
                                    <w:rPr>
                                      <w:rFonts w:eastAsia="Times New Roman" w:cstheme="minorHAnsi"/>
                                      <w:color w:val="000000"/>
                                      <w:sz w:val="16"/>
                                      <w:szCs w:val="16"/>
                                      <w:lang w:eastAsia="de-DE"/>
                                    </w:rPr>
                                    <w:fldChar w:fldCharType="begin"/>
                                  </w:r>
                                  <w:r>
                                    <w:rPr>
                                      <w:rFonts w:eastAsia="Times New Roman" w:cstheme="minorHAnsi"/>
                                      <w:color w:val="000000"/>
                                      <w:sz w:val="16"/>
                                      <w:szCs w:val="16"/>
                                      <w:lang w:eastAsia="de-DE"/>
                                    </w:rPr>
                                    <w:instrText xml:space="preserve"> ADDIN ZOTERO_ITEM CSL_CITATION {"citationID":"vb5U2GQV","properties":{"formattedCitation":"\\super 34,57\\nosupersub{}","plainCitation":"34,57","noteIndex":0},"citationItems":[{"id":1988,"uris":["http://zotero.org/users/3633911/items/UAIKGAZG"],"itemData":{"id":1988,"type":"article-journal","abstract":"The PhysioNet/Computing in Cardiology (CinC) Challenge 2017 focused on differentiating AF from noise, normal or other rhythms in short term (from 9–61 s) ECG recordings performed by patients. A total of 12,186 ECGs were used: 8,528 in the public training set and 3,658 in the private hidden test set. Due to the high degree of inter-expert disagreement between a significant fraction of the expert labels we implemented a mid-competition bootstrap approach to expert relabeling of the data, levering the best performing Challenge entrants’ algorithms to identify contentious labels., A total of 75 independent teams entered the Challenge using a variety of traditional and novel methods, ranging from random forests to a deep learning approach applied to the raw data in the spectral domain. Four teams won the Challenge with an equal high F1 score (averaged across all classes) of 0.83, although the top 11 algorithms scored within 2% of this. A combination of 45 algorithms identified using LASSO achieved an F1 of 0.87, indicating that a voting approach can boost performance.","container-title":"2017 Computing in Cardiology","DOI":"10.22489/CinC.2017.065-469","ISSN":"2325-8861","journalAbbreviation":"Comput Cardiol (2010)","source":"PubMed Central","title":"AF Classification from a Short Single Lead ECG Recording: the PhysioNet/Computing in Cardiology Challenge 2017","title-short":"AF Classification from a Short Single Lead ECG Recording","volume":"44","author":[{"family":"Clifford","given":"Gari D"},{"family":"Liu","given":"Chengyu"},{"family":"Moody","given":"Benjamin"},{"family":"Lehman","given":"Li-wei H."},{"family":"Silva","given":"Ikaro"},{"family":"Li","given":"Qiao"},{"family":"Johnson","given":"A E"},{"family":"Mark","given":"Roger G."}],"accessed":{"date-parts":[["2023",3,16]]},"issued":{"date-parts":[["2017",9]]},"citation-key":"cliffordAFClassificationShort2017"}},{"id":1791,"uris":["http://zotero.org/users/3633911/items/VZI734FG"],"itemData":{"id":1791,"type":"article-journal","container-title":"Circulation","DOI":"10.1161/01.cir.101.23.e215","issue":"23","journalAbbreviation":"Circulation","page":"e215-e220","title":"PhysioBank, PhysioToolkit, and PhysioNet: Components of a New Research Resource for Complex Physiologic Signals","volume":"101","author":[{"family":"Goldberger","given":"A"},{"family":"Amaral","given":"L"},{"family":"Glass","given":"L"},{"family":"Hausdorff","given":"J"},{"family":"Ivanov","given":"PC"},{"family":"Mark","given":"R"},{"family":"Mietus","given":"JE"},{"family":"Moody","given":"GB"},{"family":"Peng","given":"CK"},{"family":"Stanley","given":"HE"}],"issued":{"date-parts":[["2000",6,13]]},"citation-key":"goldbergerPhysioBankPhysioToolkitPhysioNet2000"}}],"schema":"https://github.com/citation-style-language/schema/raw/master/csl-citation.json"} </w:instrText>
                                  </w:r>
                                  <w:r>
                                    <w:rPr>
                                      <w:rFonts w:eastAsia="Times New Roman" w:cstheme="minorHAnsi"/>
                                      <w:color w:val="000000"/>
                                      <w:sz w:val="16"/>
                                      <w:szCs w:val="16"/>
                                      <w:lang w:eastAsia="de-DE"/>
                                    </w:rPr>
                                    <w:fldChar w:fldCharType="separate"/>
                                  </w:r>
                                  <w:r>
                                    <w:rPr>
                                      <w:rFonts w:ascii="Calibri" w:hAnsi="Calibri" w:cs="Calibri"/>
                                      <w:sz w:val="16"/>
                                      <w:vertAlign w:val="superscript"/>
                                    </w:rPr>
                                    <w:t>34,57</w:t>
                                  </w:r>
                                  <w:r>
                                    <w:rPr>
                                      <w:rFonts w:eastAsia="Times New Roman" w:cstheme="minorHAnsi"/>
                                      <w:color w:val="000000"/>
                                      <w:sz w:val="16"/>
                                      <w:szCs w:val="16"/>
                                      <w:lang w:eastAsia="de-DE"/>
                                    </w:rPr>
                                    <w:fldChar w:fldCharType="end"/>
                                  </w:r>
                                  <w:r>
                                    <w:rPr>
                                      <w:rFonts w:eastAsia="Times New Roman" w:cstheme="minorHAnsi"/>
                                      <w:color w:val="000000"/>
                                      <w:sz w:val="16"/>
                                      <w:szCs w:val="16"/>
                                      <w:lang w:eastAsia="de-DE"/>
                                    </w:rPr>
                                    <w:br/>
                                  </w: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8,528</w:t>
                                  </w: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0D74AC4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Stratified CV:</w:t>
                                  </w:r>
                                </w:p>
                                <w:p w14:paraId="5002E0C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5-fold</w:t>
                                  </w:r>
                                </w:p>
                                <w:p w14:paraId="19765E8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6D1637C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Test: -</w:t>
                                  </w:r>
                                </w:p>
                              </w:tc>
                              <w:tc>
                                <w:tcPr>
                                  <w:tcW w:w="426" w:type="dxa"/>
                                  <w:tcBorders>
                                    <w:top w:val="single" w:sz="4" w:space="0" w:color="auto"/>
                                    <w:left w:val="nil"/>
                                    <w:bottom w:val="single" w:sz="4" w:space="0" w:color="auto"/>
                                    <w:right w:val="nil"/>
                                  </w:tcBorders>
                                  <w:vAlign w:val="center"/>
                                  <w:hideMark/>
                                </w:tcPr>
                                <w:p w14:paraId="08662D4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92.6</w:t>
                                  </w:r>
                                </w:p>
                                <w:p w14:paraId="52E4A76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70.1</w:t>
                                  </w:r>
                                </w:p>
                                <w:p w14:paraId="28F62E3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73.2</w:t>
                                  </w:r>
                                </w:p>
                                <w:p w14:paraId="07580F7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92.9</w:t>
                                  </w:r>
                                </w:p>
                              </w:tc>
                              <w:tc>
                                <w:tcPr>
                                  <w:tcW w:w="141" w:type="dxa"/>
                                  <w:tcBorders>
                                    <w:top w:val="single" w:sz="4" w:space="0" w:color="auto"/>
                                    <w:left w:val="nil"/>
                                    <w:bottom w:val="single" w:sz="4" w:space="0" w:color="auto"/>
                                    <w:right w:val="nil"/>
                                  </w:tcBorders>
                                  <w:vAlign w:val="center"/>
                                  <w:hideMark/>
                                </w:tcPr>
                                <w:p w14:paraId="5855D1A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6F5988F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58E8C25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7473CC6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w:t>
                                  </w:r>
                                </w:p>
                              </w:tc>
                              <w:tc>
                                <w:tcPr>
                                  <w:tcW w:w="426" w:type="dxa"/>
                                  <w:tcBorders>
                                    <w:top w:val="single" w:sz="4" w:space="0" w:color="auto"/>
                                    <w:left w:val="nil"/>
                                    <w:bottom w:val="single" w:sz="4" w:space="0" w:color="auto"/>
                                    <w:right w:val="nil"/>
                                  </w:tcBorders>
                                  <w:vAlign w:val="center"/>
                                  <w:hideMark/>
                                </w:tcPr>
                                <w:p w14:paraId="1974AA77"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96.5</w:t>
                                  </w:r>
                                </w:p>
                                <w:p w14:paraId="2BBC49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80.7</w:t>
                                  </w:r>
                                </w:p>
                                <w:p w14:paraId="7151560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80.0</w:t>
                                  </w:r>
                                </w:p>
                                <w:p w14:paraId="585D902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98.2</w:t>
                                  </w:r>
                                </w:p>
                              </w:tc>
                              <w:tc>
                                <w:tcPr>
                                  <w:tcW w:w="1049"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1870D52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Ablation, permutation, LIME</w:t>
                                  </w:r>
                                </w:p>
                              </w:tc>
                              <w:tc>
                                <w:tcPr>
                                  <w:tcW w:w="1943"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3BAE2BF5"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 relevance within 7 equally sized segments in RR interval per class</w:t>
                                  </w:r>
                                </w:p>
                                <w:p w14:paraId="23D93A56"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Approximative relevance of RR variability (changes in R-peak relevance when unifying RR intervals)</w:t>
                                  </w:r>
                                </w:p>
                              </w:tc>
                            </w:tr>
                            <w:tr w:rsidR="0094389A" w14:paraId="1D5FA01C" w14:textId="77777777">
                              <w:trPr>
                                <w:cantSplit/>
                                <w:trHeight w:val="1384"/>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4" w:space="0" w:color="auto"/>
                                    <w:right w:val="nil"/>
                                  </w:tcBorders>
                                  <w:noWrap/>
                                  <w:textDirection w:val="btLr"/>
                                  <w:vAlign w:val="center"/>
                                  <w:hideMark/>
                                </w:tcPr>
                                <w:p w14:paraId="0C577E2A" w14:textId="77777777" w:rsidR="0094389A" w:rsidRDefault="0094389A">
                                  <w:pPr>
                                    <w:ind w:left="113" w:right="113"/>
                                    <w:jc w:val="center"/>
                                    <w:rPr>
                                      <w:rFonts w:eastAsia="Times New Roman" w:cstheme="minorHAnsi"/>
                                      <w:b w:val="0"/>
                                      <w:bCs w:val="0"/>
                                      <w:color w:val="000000"/>
                                      <w:sz w:val="16"/>
                                      <w:szCs w:val="16"/>
                                      <w:lang w:eastAsia="de-DE"/>
                                    </w:rPr>
                                  </w:pPr>
                                  <w:r>
                                    <w:rPr>
                                      <w:rFonts w:eastAsia="Times New Roman" w:cstheme="minorHAnsi"/>
                                      <w:b w:val="0"/>
                                      <w:bCs w:val="0"/>
                                      <w:color w:val="000000"/>
                                      <w:sz w:val="16"/>
                                      <w:szCs w:val="16"/>
                                      <w:lang w:val="de-DE" w:eastAsia="de-DE"/>
                                    </w:rPr>
                                    <w:t>Singh &amp; Sharma (2022)</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val="de-DE" w:eastAsia="de-DE"/>
                                    </w:rPr>
                                    <w:instrText xml:space="preserve"> ADDIN ZOTERO_ITEM CSL_CITATION {"citationID":"n2LLgHBq","properties":{"formattedCitation":"\\super 20\\nosupersub{}","plainCitation":"20","noteIndex":0},"citationItems":[{"id":2378,"uris":["http://zotero.org/users/3633911/items/MK7TIXLA"],"itemData":{"id":2378,"type":"article-journal","abstract":"Electrocardiogram (ECG) signal analysis can be time-consuming, tedious, and error-prone. Therefore, automated analysis is need of time that will assist clinicians in detecting cardiac abnormalities accurately and efficiently. Recently, deep learning (DL) models have shown unprecedented progress and strong arrhythmia classification capabilities, but their deployment in the medical sector is constrained due to their “black-box” nature. This article proposes a robust explainability method to assist in explaining the underlying decision-making process in deep neural networks (DNNs) and help provide feedback on biases that would benefit in improving DNN models. To achieve these objectives, initially, a DL model is trained on the MIT-BIH Arrhythmia Database and their classification performance is evaluated. The classification findings are then interpreted using the post-hoc explanation methods such as the SHapley Additive exPlanations (SHAP), local interpretable model-agnostic explanations (LIME), and gradient-weighted class activation mapping (Grad-CAM) that interpret the decision rationale. As these methods are initially proposed for image applications therefore a new masking approach is proposed to cater these post-hoc explainability methods for ECG time-series data. After evaluating these methods for ECG arrhythmia classification, several drawbacks are drawn such as they fail to locate a feature’s importance if there are multiple occurrences of the same feature in a signal and also, SHAP and LIME perform random perturbations that sometimes produce unreliable explanations. Therefore, to overcome the drawbacks associated with these post-hoc explainability methods on time-series data, a novel K-GradCam method is proposed. The proposed K-GradCam method ensemble the benefits of these gradient-based and perturbation-based approaches and has demonstrated advantages over SHAP, Grad-CAM and LIME in terms of interpreting the models’ decisions. To compare the proposed technique with post-hoc explainability methods quantitatively, the confidence index of the proposed method is evaluated using dice loss. The proposed method shares 71% similarity with SHAP and 81% similarity with Grad-CAM methods; however, it shares the benefits of both methods and is computationally faster than SHAP and LIME.","container-title":"IEEE Transactions on Instrumentation and Measurement","DOI":"10.1109/TIM.2022.3204316","ISSN":"1557-9662","journalAbbreviation":"IEEE Trans Instrum Meas","note":"event-title: IEEE Transactions on Instrumentation and Measurement","page":"1-12","source":"IEEE Xplore","title":"Interpretation and Classification of Arrhythmia Using Deep Convolutional Network","volume":"71","author":[{"family":"Singh","given":"Prateek"},{"family":"Sharma","given":"Ambalika"}],"issued":{"date-parts":[["2022"]]},"citation-key":"singhInterpretationClassificationArrhythmia2022"}}],"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20</w:t>
                                  </w:r>
                                  <w:r>
                                    <w:rPr>
                                      <w:rFonts w:eastAsia="Times New Roman" w:cstheme="minorHAnsi"/>
                                      <w:color w:val="000000"/>
                                      <w:sz w:val="16"/>
                                      <w:szCs w:val="16"/>
                                      <w:lang w:val="de-DE" w:eastAsia="de-DE"/>
                                    </w:rPr>
                                    <w:fldChar w:fldCharType="end"/>
                                  </w:r>
                                </w:p>
                              </w:tc>
                              <w:tc>
                                <w:tcPr>
                                  <w:tcW w:w="283" w:type="dxa"/>
                                  <w:tcBorders>
                                    <w:top w:val="single" w:sz="4" w:space="0" w:color="auto"/>
                                    <w:left w:val="nil"/>
                                    <w:bottom w:val="single" w:sz="4" w:space="0" w:color="auto"/>
                                    <w:right w:val="nil"/>
                                  </w:tcBorders>
                                  <w:noWrap/>
                                  <w:vAlign w:val="center"/>
                                  <w:hideMark/>
                                </w:tcPr>
                                <w:p w14:paraId="138FC7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2</w:t>
                                  </w:r>
                                </w:p>
                              </w:tc>
                              <w:tc>
                                <w:tcPr>
                                  <w:tcW w:w="1375" w:type="dxa"/>
                                  <w:tcBorders>
                                    <w:top w:val="single" w:sz="4" w:space="0" w:color="auto"/>
                                    <w:left w:val="nil"/>
                                    <w:bottom w:val="single" w:sz="4" w:space="0" w:color="auto"/>
                                    <w:right w:val="nil"/>
                                  </w:tcBorders>
                                  <w:tcMar>
                                    <w:top w:w="0" w:type="dxa"/>
                                    <w:left w:w="57" w:type="dxa"/>
                                    <w:bottom w:w="0" w:type="dxa"/>
                                    <w:right w:w="57" w:type="dxa"/>
                                  </w:tcMar>
                                  <w:vAlign w:val="center"/>
                                </w:tcPr>
                                <w:p w14:paraId="0DDA0DB4"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ECG beat classification (multiclass)</w:t>
                                  </w:r>
                                </w:p>
                                <w:p w14:paraId="014C76E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6D7949F6"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6</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no</w:t>
                                  </w:r>
                                </w:p>
                              </w:tc>
                              <w:tc>
                                <w:tcPr>
                                  <w:tcW w:w="964"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6117535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CNN</w:t>
                                  </w:r>
                                </w:p>
                                <w:p w14:paraId="56E5D28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roofErr w:type="spellStart"/>
                                  <w:r>
                                    <w:rPr>
                                      <w:rFonts w:eastAsia="Times New Roman" w:cstheme="minorHAnsi"/>
                                      <w:color w:val="000000"/>
                                      <w:sz w:val="16"/>
                                      <w:szCs w:val="16"/>
                                      <w:lang w:eastAsia="de-DE"/>
                                    </w:rPr>
                                    <w:t>ResNet</w:t>
                                  </w:r>
                                  <w:proofErr w:type="spellEnd"/>
                                  <w:r>
                                    <w:rPr>
                                      <w:rFonts w:eastAsia="Times New Roman" w:cstheme="minorHAnsi"/>
                                      <w:color w:val="000000"/>
                                      <w:sz w:val="16"/>
                                      <w:szCs w:val="16"/>
                                      <w:lang w:eastAsia="de-DE"/>
                                    </w:rPr>
                                    <w:t>)</w:t>
                                  </w:r>
                                </w:p>
                              </w:tc>
                              <w:tc>
                                <w:tcPr>
                                  <w:tcW w:w="991"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49C96FC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MITDB</w:t>
                                  </w:r>
                                  <w:r>
                                    <w:rPr>
                                      <w:rFonts w:eastAsia="Times New Roman" w:cstheme="minorHAnsi"/>
                                      <w:color w:val="000000"/>
                                      <w:sz w:val="16"/>
                                      <w:szCs w:val="16"/>
                                      <w:lang w:eastAsia="de-DE"/>
                                    </w:rPr>
                                    <w:fldChar w:fldCharType="begin"/>
                                  </w:r>
                                  <w:r>
                                    <w:rPr>
                                      <w:rFonts w:eastAsia="Times New Roman" w:cstheme="minorHAnsi"/>
                                      <w:color w:val="000000"/>
                                      <w:sz w:val="16"/>
                                      <w:szCs w:val="16"/>
                                      <w:lang w:eastAsia="de-DE"/>
                                    </w:rPr>
                                    <w:instrText xml:space="preserve"> ADDIN ZOTERO_ITEM CSL_CITATION {"citationID":"PLI2yDtK","properties":{"formattedCitation":"\\super 34,58\\nosupersub{}","plainCitation":"34,58","noteIndex":0},"citationItems":[{"id":2383,"uris":["http://zotero.org/users/3633911/items/V6MW3SUL"],"itemData":{"id":2383,"type":"article-journal","container-title":"IEEE Engineering in Medicine and Biology Magazine","DOI":"10.1109/51.932724","ISSN":"07395175","issue":"3","journalAbbreviation":"IEEE Eng Med Biol Mag","page":"45-50","source":"DOI.org (Crossref)","title":"The impact of the MIT-BIH Arrhythmia Database","volume":"20","author":[{"family":"Moody","given":"G.B."},{"family":"Mark","given":"R.G."}],"issued":{"date-parts":[["2001",6]]},"citation-key":"moodyImpactMITBIHArrhythmia2001"}},{"id":1791,"uris":["http://zotero.org/users/3633911/items/VZI734FG"],"itemData":{"id":1791,"type":"article-journal","container-title":"Circulation","DOI":"10.1161/01.cir.101.23.e215","issue":"23","journalAbbreviation":"Circulation","page":"e215-e220","title":"PhysioBank, PhysioToolkit, and PhysioNet: Components of a New Research Resource for Complex Physiologic Signals","volume":"101","author":[{"family":"Goldberger","given":"A"},{"family":"Amaral","given":"L"},{"family":"Glass","given":"L"},{"family":"Hausdorff","given":"J"},{"family":"Ivanov","given":"PC"},{"family":"Mark","given":"R"},{"family":"Mietus","given":"JE"},{"family":"Moody","given":"GB"},{"family":"Peng","given":"CK"},{"family":"Stanley","given":"HE"}],"issued":{"date-parts":[["2000",6,13]]},"citation-key":"goldbergerPhysioBankPhysioToolkitPhysioNet2000"}}],"schema":"https://github.com/citation-style-language/schema/raw/master/csl-citation.json"} </w:instrText>
                                  </w:r>
                                  <w:r>
                                    <w:rPr>
                                      <w:rFonts w:eastAsia="Times New Roman" w:cstheme="minorHAnsi"/>
                                      <w:color w:val="000000"/>
                                      <w:sz w:val="16"/>
                                      <w:szCs w:val="16"/>
                                      <w:lang w:eastAsia="de-DE"/>
                                    </w:rPr>
                                    <w:fldChar w:fldCharType="separate"/>
                                  </w:r>
                                  <w:r>
                                    <w:rPr>
                                      <w:rFonts w:ascii="Calibri" w:hAnsi="Calibri" w:cs="Calibri"/>
                                      <w:sz w:val="16"/>
                                      <w:vertAlign w:val="superscript"/>
                                    </w:rPr>
                                    <w:t>34,58</w:t>
                                  </w:r>
                                  <w:r>
                                    <w:rPr>
                                      <w:rFonts w:eastAsia="Times New Roman" w:cstheme="minorHAnsi"/>
                                      <w:color w:val="000000"/>
                                      <w:sz w:val="16"/>
                                      <w:szCs w:val="16"/>
                                      <w:lang w:eastAsia="de-DE"/>
                                    </w:rPr>
                                    <w:fldChar w:fldCharType="end"/>
                                  </w:r>
                                </w:p>
                                <w:p w14:paraId="4FD25274"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60,000 (beats)</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records</w:t>
                                  </w:r>
                                  <w:r>
                                    <w:rPr>
                                      <w:rFonts w:eastAsia="Times New Roman" w:cstheme="minorHAnsi"/>
                                      <w:color w:val="000000"/>
                                      <w:sz w:val="16"/>
                                      <w:szCs w:val="16"/>
                                      <w:lang w:eastAsia="de-DE"/>
                                    </w:rPr>
                                    <w:t>: 48</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subjects</w:t>
                                  </w:r>
                                  <w:r>
                                    <w:rPr>
                                      <w:rFonts w:eastAsia="Times New Roman" w:cstheme="minorHAnsi"/>
                                      <w:color w:val="000000"/>
                                      <w:sz w:val="16"/>
                                      <w:szCs w:val="16"/>
                                      <w:lang w:eastAsia="de-DE"/>
                                    </w:rPr>
                                    <w:t>: 47</w:t>
                                  </w: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52B1FD36"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Balanced HV:</w:t>
                                  </w:r>
                                </w:p>
                                <w:p w14:paraId="114BEEF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85 % / 15 %</w:t>
                                  </w:r>
                                </w:p>
                                <w:p w14:paraId="291C28B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3853C9C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Test: -</w:t>
                                  </w:r>
                                </w:p>
                              </w:tc>
                              <w:tc>
                                <w:tcPr>
                                  <w:tcW w:w="426" w:type="dxa"/>
                                  <w:tcBorders>
                                    <w:top w:val="single" w:sz="4" w:space="0" w:color="auto"/>
                                    <w:left w:val="nil"/>
                                    <w:bottom w:val="single" w:sz="4" w:space="0" w:color="auto"/>
                                    <w:right w:val="nil"/>
                                  </w:tcBorders>
                                  <w:vAlign w:val="center"/>
                                  <w:hideMark/>
                                </w:tcPr>
                                <w:p w14:paraId="0170BF7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D6D3E5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98.9</w:t>
                                  </w:r>
                                </w:p>
                                <w:p w14:paraId="42FCBBB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98.9</w:t>
                                  </w:r>
                                </w:p>
                                <w:p w14:paraId="74B9237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41" w:type="dxa"/>
                                  <w:tcBorders>
                                    <w:top w:val="single" w:sz="4" w:space="0" w:color="auto"/>
                                    <w:left w:val="nil"/>
                                    <w:bottom w:val="single" w:sz="4" w:space="0" w:color="auto"/>
                                    <w:right w:val="nil"/>
                                  </w:tcBorders>
                                  <w:vAlign w:val="center"/>
                                  <w:hideMark/>
                                </w:tcPr>
                                <w:p w14:paraId="7D92152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68421DF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4B84210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6F438B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426" w:type="dxa"/>
                                  <w:tcBorders>
                                    <w:top w:val="single" w:sz="4" w:space="0" w:color="auto"/>
                                    <w:left w:val="nil"/>
                                    <w:bottom w:val="single" w:sz="4" w:space="0" w:color="auto"/>
                                    <w:right w:val="nil"/>
                                  </w:tcBorders>
                                  <w:vAlign w:val="center"/>
                                  <w:hideMark/>
                                </w:tcPr>
                                <w:p w14:paraId="023104F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D98904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0E41377"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8CBAFF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049"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192B9578" w14:textId="77777777" w:rsidR="0094389A" w:rsidRDefault="0094389A">
                                  <w:pPr>
                                    <w:suppressAutoHyphens/>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K-GradCam</w:t>
                                  </w:r>
                                  <w:r>
                                    <w:rPr>
                                      <w:rFonts w:eastAsia="Times New Roman" w:cstheme="minorHAnsi"/>
                                      <w:color w:val="000000"/>
                                      <w:sz w:val="16"/>
                                      <w:szCs w:val="16"/>
                                      <w:lang w:val="de-DE" w:eastAsia="de-DE"/>
                                    </w:rPr>
                                    <w:fldChar w:fldCharType="begin"/>
                                  </w:r>
                                  <w:r>
                                    <w:rPr>
                                      <w:rFonts w:eastAsia="Times New Roman" w:cstheme="minorHAnsi"/>
                                      <w:color w:val="000000"/>
                                      <w:sz w:val="16"/>
                                      <w:szCs w:val="16"/>
                                      <w:lang w:eastAsia="de-DE"/>
                                    </w:rPr>
                                    <w:instrText xml:space="preserve"> ADDIN ZOTERO_ITEM CSL_CITATION {"citationID":"JL3pXnsT","properties":{"formattedCitation":"\\super 20\\nosupersub{}","plainCitation":"20","noteIndex":0},"citationItems":[{"id":2378,"uris":["http://zotero.org/users/3633911/items/MK7TIXLA"],"itemData":{"id":2378,"type":"article-journal","abstract":"Electrocardiogram (ECG) signal analysis can be time-consuming, tedious, and error-prone. Therefore, automated analysis is need of time that will assist clinicians in detecting cardiac abnormalities accurately and efficiently. Recently, deep learning (DL) models have shown unprecedented progress and strong arrhythmia classification capabilities, but their deployment in the medical sector is constrained due to their “black-box” nature. This article proposes a robust explainability method to assist in explaining the underlying decision-making process in deep neural networks (DNNs) and help provide feedback on biases that would benefit in improving DNN models. To achieve these objectives, initially, a DL model is trained on the MIT-BIH Arrhythmia Database and their classification performance is evaluated. The classification findings are then interpreted using the post-hoc explanation methods such as the SHapley Additive exPlanations (SHAP), local interpretable model-agnostic explanations (LIME), and gradient-weighted class activation mapping (Grad-CAM) that interpret the decision rationale. As these methods are initially proposed for image applications therefore a new masking approach is proposed to cater these post-hoc explainability methods for ECG time-series data. After evaluating these methods for ECG arrhythmia classification, several drawbacks are drawn such as they fail to locate a feature’s importance if there are multiple occurrences of the same feature in a signal and also, SHAP and LIME perform random perturbations that sometimes produce unreliable explanations. Therefore, to overcome the drawbacks associated with these post-hoc explainability methods on time-series data, a novel K-GradCam method is proposed. The proposed K-GradCam method ensemble the benefits of these gradient-based and perturbation-based approaches and has demonstrated advantages over SHAP, Grad-CAM and LIME in terms of interpreting the models’ decisions. To compare the proposed technique with post-hoc explainability methods quantitatively, the confidence index of the proposed method is evaluated using dice loss. The proposed method shares 71% similarity with SHAP and 81% similarity with Grad-CAM methods; however, it shares the benefits of both methods and is computationally faster than SHAP and LIME.","container-title":"IEEE Transactions on Instrumentation and Measurement","DOI":"10.1109/TIM.2022.3204316","ISSN":"1557-9662","journalAbbreviation":"IEEE Trans Instrum Meas","note":"event-title: IEEE Transactions on Instrumentation and Measurement","page":"1-12","source":"IEEE Xplore","title":"Interpretation and Classification of Arrhythmia Using Deep Convolutional Network","volume":"71","author":[{"family":"Singh","given":"Prateek"},{"family":"Sharma","given":"Ambalika"}],"issued":{"date-parts":[["2022"]]},"citation-key":"singhInterpretationClassificationArrhythmia2022"}}],"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20</w:t>
                                  </w:r>
                                  <w:r>
                                    <w:rPr>
                                      <w:rFonts w:eastAsia="Times New Roman" w:cstheme="minorHAnsi"/>
                                      <w:color w:val="000000"/>
                                      <w:sz w:val="16"/>
                                      <w:szCs w:val="16"/>
                                      <w:lang w:val="de-DE" w:eastAsia="de-DE"/>
                                    </w:rPr>
                                    <w:fldChar w:fldCharType="end"/>
                                  </w:r>
                                  <w:r>
                                    <w:rPr>
                                      <w:rFonts w:eastAsia="Times New Roman" w:cstheme="minorHAnsi"/>
                                      <w:color w:val="000000"/>
                                      <w:sz w:val="16"/>
                                      <w:szCs w:val="16"/>
                                      <w:lang w:val="de-DE" w:eastAsia="de-DE"/>
                                    </w:rPr>
                                    <w:t xml:space="preserve"> </w:t>
                                  </w:r>
                                  <w:r>
                                    <w:rPr>
                                      <w:rFonts w:eastAsia="Times New Roman" w:cstheme="minorHAnsi"/>
                                      <w:color w:val="000000"/>
                                      <w:sz w:val="16"/>
                                      <w:szCs w:val="16"/>
                                      <w:lang w:eastAsia="de-DE"/>
                                    </w:rPr>
                                    <w:t xml:space="preserve">vs. SHAP, LIME, </w:t>
                                  </w:r>
                                  <w:proofErr w:type="spellStart"/>
                                  <w:r>
                                    <w:rPr>
                                      <w:rFonts w:eastAsia="Times New Roman" w:cstheme="minorHAnsi"/>
                                      <w:color w:val="000000"/>
                                      <w:sz w:val="16"/>
                                      <w:szCs w:val="16"/>
                                      <w:lang w:eastAsia="de-DE"/>
                                    </w:rPr>
                                    <w:t>GradCAM</w:t>
                                  </w:r>
                                  <w:proofErr w:type="spellEnd"/>
                                </w:p>
                              </w:tc>
                              <w:tc>
                                <w:tcPr>
                                  <w:tcW w:w="1943"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3811C92D"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 xml:space="preserve">Average relevance within 10 equally sized segments in ECG beat </w:t>
                                  </w:r>
                                  <w:r>
                                    <w:rPr>
                                      <w:rFonts w:eastAsia="Times New Roman" w:cstheme="minorHAnsi"/>
                                      <w:color w:val="000000"/>
                                      <w:sz w:val="16"/>
                                      <w:szCs w:val="16"/>
                                      <w:lang w:eastAsia="de-DE"/>
                                    </w:rPr>
                                    <w:sym w:font="Wingdings" w:char="F0E0"/>
                                  </w:r>
                                  <w:r>
                                    <w:rPr>
                                      <w:rFonts w:eastAsia="Times New Roman" w:cstheme="minorHAnsi"/>
                                      <w:color w:val="000000"/>
                                      <w:sz w:val="16"/>
                                      <w:szCs w:val="16"/>
                                      <w:lang w:eastAsia="de-DE"/>
                                    </w:rPr>
                                    <w:t xml:space="preserve"> comparison between classes</w:t>
                                  </w:r>
                                </w:p>
                              </w:tc>
                            </w:tr>
                            <w:tr w:rsidR="0094389A" w14:paraId="3EFF08F0" w14:textId="77777777">
                              <w:trPr>
                                <w:cantSplit/>
                                <w:trHeight w:val="1250"/>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12" w:space="0" w:color="auto"/>
                                    <w:right w:val="nil"/>
                                  </w:tcBorders>
                                  <w:noWrap/>
                                  <w:textDirection w:val="btLr"/>
                                  <w:vAlign w:val="center"/>
                                  <w:hideMark/>
                                </w:tcPr>
                                <w:p w14:paraId="788E2710" w14:textId="77777777" w:rsidR="0094389A" w:rsidRDefault="0094389A">
                                  <w:pPr>
                                    <w:ind w:left="113" w:right="113"/>
                                    <w:jc w:val="center"/>
                                    <w:rPr>
                                      <w:rFonts w:eastAsia="Times New Roman" w:cstheme="minorHAnsi"/>
                                      <w:color w:val="000000"/>
                                      <w:sz w:val="16"/>
                                      <w:szCs w:val="16"/>
                                      <w:lang w:val="de-DE" w:eastAsia="de-DE"/>
                                    </w:rPr>
                                  </w:pPr>
                                  <w:r>
                                    <w:rPr>
                                      <w:rFonts w:eastAsia="Times New Roman" w:cstheme="minorHAnsi"/>
                                      <w:b w:val="0"/>
                                      <w:bCs w:val="0"/>
                                      <w:color w:val="000000"/>
                                      <w:sz w:val="16"/>
                                      <w:szCs w:val="16"/>
                                      <w:lang w:eastAsia="de-DE"/>
                                    </w:rPr>
                                    <w:t xml:space="preserve">Taniguchi </w:t>
                                  </w:r>
                                  <w:r>
                                    <w:rPr>
                                      <w:rFonts w:eastAsia="Times New Roman" w:cstheme="minorHAnsi"/>
                                      <w:b w:val="0"/>
                                      <w:bCs w:val="0"/>
                                      <w:i/>
                                      <w:iCs/>
                                      <w:color w:val="000000"/>
                                      <w:sz w:val="16"/>
                                      <w:szCs w:val="16"/>
                                      <w:lang w:eastAsia="de-DE"/>
                                    </w:rPr>
                                    <w:t>et al.</w:t>
                                  </w:r>
                                  <w:r>
                                    <w:rPr>
                                      <w:rFonts w:eastAsia="Times New Roman" w:cstheme="minorHAnsi"/>
                                      <w:b w:val="0"/>
                                      <w:bCs w:val="0"/>
                                      <w:color w:val="000000"/>
                                      <w:sz w:val="16"/>
                                      <w:szCs w:val="16"/>
                                      <w:lang w:eastAsia="de-DE"/>
                                    </w:rPr>
                                    <w:t xml:space="preserve"> (2021)</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eastAsia="de-DE"/>
                                    </w:rPr>
                                    <w:instrText xml:space="preserve"> ADDIN ZOTERO_ITEM CSL_CITATION {"citationID":"MZVi2Nyn","properties":{"formattedCitation":"\\super 12\\nosupersub{}","plainCitation":"12","noteIndex":0},"citationItems":[{"id":2367,"uris":["http://zotero.org/users/3633911/items/PQ8AKV2V"],"itemData":{"id":2367,"type":"article-journal","abstract":"Atrial fibrillation is a clinically important arrhythmia. There are some reports on machine learning models for AF diagnosis using electrocardiogram data. However, few reports have proposed an eXplainable Artificial Intelligence (XAI) model to enable physicians to easily understand the machine learning model's diagnosis results.We developed and validated an XAI-enabled atrial fibrillation diagnosis model based on a convolutional neural network (CNN) algorithm. We used Holter electrocardiogram monitoring data and the gradient-weighted class activation mapping (Grad-CAM) method.Electrocardiogram data recorded from patients between January 4, 2016, and October 31, 2019, totaling 57,273 electrocardiogram waveform slots of 30 seconds each with diagnostic information annotated by cardiologists, were used for training our proposed model. Performance metrics of our AI model for AF diagnosis are as follows: sensitivity, 97.1% (95% CI: 0.969-0.972); specificity, 94.5% (95% CI: 0.943-0.946); accuracy, 95.3% (95% CI: 0.952-0.955); positive predictive value, 89.3% (95% CI: 0.892-0.897); and F-value, 93.1% (95% CI: 0.929-0.933). The area under the receiver operating characteristic curve for AF detection using our model was 0.988 (95% CI: 0.987-0.988). Furthermore, using the XAI method, 94.5 ± 3.5% of the areas identified as regions of interest using our machine learning model were identified as characteristic sites for AF diagnosis by cardiologists.AF was accurately diagnosed and favorably explained with Holter ECG waveforms using our proposed CNN-based XAI model. Our study presents another step toward realizing a viable XAI-based detection model for AF diagnoses for use by physicians.","container-title":"International Heart Journal","DOI":"10.1536/ihj.21-094","ISSN":"1349-3299","issue":"3","journalAbbreviation":"Int Heart J","note":"PMID: 34053998","page":"534-539","source":"PubMed","title":"Explainable Artificial Intelligence Model for Diagnosis of Atrial Fibrillation Using Holter Electrocardiogram Waveforms","volume":"62","author":[{"family":"Taniguchi","given":"Hirohisa"},{"family":"Takata","given":"Tomohiro"},{"family":"Takechi","given":"Mineki"},{"family":"Furukawa","given":"Asuka"},{"family":"Iwasawa","given":"Jin"},{"family":"Kawamura","given":"Akio"},{"family":"Taniguchi","given":"Tadahiro"},{"family":"Tamura","given":"Yuichi"}],"issued":{"date-parts":[["2021"]]},"citation-key":"taniguchiExplainableArtificialIntelligence2021"}}],"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12</w:t>
                                  </w:r>
                                  <w:r>
                                    <w:rPr>
                                      <w:rFonts w:eastAsia="Times New Roman" w:cstheme="minorHAnsi"/>
                                      <w:color w:val="000000"/>
                                      <w:sz w:val="16"/>
                                      <w:szCs w:val="16"/>
                                      <w:lang w:val="de-DE" w:eastAsia="de-DE"/>
                                    </w:rPr>
                                    <w:fldChar w:fldCharType="end"/>
                                  </w:r>
                                </w:p>
                              </w:tc>
                              <w:tc>
                                <w:tcPr>
                                  <w:tcW w:w="283" w:type="dxa"/>
                                  <w:tcBorders>
                                    <w:top w:val="single" w:sz="4" w:space="0" w:color="auto"/>
                                    <w:left w:val="nil"/>
                                    <w:bottom w:val="single" w:sz="12" w:space="0" w:color="auto"/>
                                    <w:right w:val="nil"/>
                                  </w:tcBorders>
                                  <w:noWrap/>
                                  <w:vAlign w:val="center"/>
                                  <w:hideMark/>
                                </w:tcPr>
                                <w:p w14:paraId="007D894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1</w:t>
                                  </w:r>
                                </w:p>
                              </w:tc>
                              <w:tc>
                                <w:tcPr>
                                  <w:tcW w:w="1375" w:type="dxa"/>
                                  <w:tcBorders>
                                    <w:top w:val="single" w:sz="4" w:space="0" w:color="auto"/>
                                    <w:left w:val="nil"/>
                                    <w:bottom w:val="single" w:sz="12" w:space="0" w:color="auto"/>
                                    <w:right w:val="nil"/>
                                  </w:tcBorders>
                                  <w:tcMar>
                                    <w:top w:w="0" w:type="dxa"/>
                                    <w:left w:w="57" w:type="dxa"/>
                                    <w:bottom w:w="0" w:type="dxa"/>
                                    <w:right w:w="57" w:type="dxa"/>
                                  </w:tcMar>
                                  <w:vAlign w:val="center"/>
                                </w:tcPr>
                                <w:p w14:paraId="6B09057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AF detection</w:t>
                                  </w:r>
                                  <w:r>
                                    <w:rPr>
                                      <w:rFonts w:eastAsia="Times New Roman" w:cstheme="minorHAnsi"/>
                                      <w:color w:val="000000"/>
                                      <w:sz w:val="16"/>
                                      <w:szCs w:val="16"/>
                                      <w:lang w:eastAsia="de-DE"/>
                                    </w:rPr>
                                    <w:br/>
                                    <w:t>(AF, NSR)</w:t>
                                  </w:r>
                                </w:p>
                                <w:p w14:paraId="5422C247"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p>
                                <w:p w14:paraId="5483F755"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2</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yes</w:t>
                                  </w:r>
                                </w:p>
                              </w:tc>
                              <w:tc>
                                <w:tcPr>
                                  <w:tcW w:w="964" w:type="dxa"/>
                                  <w:tcBorders>
                                    <w:top w:val="single" w:sz="4" w:space="0" w:color="auto"/>
                                    <w:left w:val="nil"/>
                                    <w:bottom w:val="single" w:sz="12" w:space="0" w:color="auto"/>
                                    <w:right w:val="nil"/>
                                  </w:tcBorders>
                                  <w:noWrap/>
                                  <w:tcMar>
                                    <w:top w:w="0" w:type="dxa"/>
                                    <w:left w:w="57" w:type="dxa"/>
                                    <w:bottom w:w="0" w:type="dxa"/>
                                    <w:right w:w="57" w:type="dxa"/>
                                  </w:tcMar>
                                  <w:vAlign w:val="center"/>
                                  <w:hideMark/>
                                </w:tcPr>
                                <w:p w14:paraId="65B4540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CNN</w:t>
                                  </w:r>
                                </w:p>
                              </w:tc>
                              <w:tc>
                                <w:tcPr>
                                  <w:tcW w:w="991" w:type="dxa"/>
                                  <w:tcBorders>
                                    <w:top w:val="single" w:sz="4" w:space="0" w:color="auto"/>
                                    <w:left w:val="nil"/>
                                    <w:bottom w:val="single" w:sz="12" w:space="0" w:color="auto"/>
                                    <w:right w:val="nil"/>
                                  </w:tcBorders>
                                  <w:tcMar>
                                    <w:top w:w="0" w:type="dxa"/>
                                    <w:left w:w="57" w:type="dxa"/>
                                    <w:bottom w:w="0" w:type="dxa"/>
                                    <w:right w:w="57" w:type="dxa"/>
                                  </w:tcMar>
                                  <w:vAlign w:val="center"/>
                                  <w:hideMark/>
                                </w:tcPr>
                                <w:p w14:paraId="5208ED8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Own dataset</w:t>
                                  </w:r>
                                  <w:r>
                                    <w:rPr>
                                      <w:rFonts w:eastAsia="Times New Roman" w:cstheme="minorHAnsi"/>
                                      <w:color w:val="000000"/>
                                      <w:sz w:val="16"/>
                                      <w:szCs w:val="16"/>
                                      <w:lang w:eastAsia="de-DE"/>
                                    </w:rPr>
                                    <w:br/>
                                  </w:r>
                                  <m:oMath>
                                    <m:r>
                                      <m:rPr>
                                        <m:sty m:val="bi"/>
                                      </m:rPr>
                                      <w:rPr>
                                        <w:rFonts w:ascii="Cambria Math" w:eastAsia="Times New Roman" w:hAnsi="Cambria Math" w:cstheme="minorHAnsi"/>
                                        <w:sz w:val="16"/>
                                        <w:szCs w:val="16"/>
                                        <w:lang w:eastAsia="de-DE"/>
                                      </w:rPr>
                                      <m:t>n</m:t>
                                    </m:r>
                                  </m:oMath>
                                  <w:r>
                                    <w:rPr>
                                      <w:rFonts w:eastAsia="Times New Roman" w:cstheme="minorHAnsi"/>
                                      <w:color w:val="000000"/>
                                      <w:sz w:val="16"/>
                                      <w:szCs w:val="16"/>
                                      <w:lang w:eastAsia="de-DE"/>
                                    </w:rPr>
                                    <w:t>=87,273</w:t>
                                  </w:r>
                                </w:p>
                                <w:p w14:paraId="3B8C60F4"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(AF: 18,622)</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subjects</w:t>
                                  </w:r>
                                  <w:r>
                                    <w:rPr>
                                      <w:rFonts w:eastAsia="Times New Roman" w:cstheme="minorHAnsi"/>
                                      <w:color w:val="000000"/>
                                      <w:sz w:val="16"/>
                                      <w:szCs w:val="16"/>
                                      <w:lang w:eastAsia="de-DE"/>
                                    </w:rPr>
                                    <w:t>: 60</w:t>
                                  </w:r>
                                </w:p>
                              </w:tc>
                              <w:tc>
                                <w:tcPr>
                                  <w:tcW w:w="1020" w:type="dxa"/>
                                  <w:tcBorders>
                                    <w:top w:val="single" w:sz="4" w:space="0" w:color="auto"/>
                                    <w:left w:val="nil"/>
                                    <w:bottom w:val="single" w:sz="12" w:space="0" w:color="auto"/>
                                    <w:right w:val="nil"/>
                                  </w:tcBorders>
                                  <w:tcMar>
                                    <w:top w:w="0" w:type="dxa"/>
                                    <w:left w:w="57" w:type="dxa"/>
                                    <w:bottom w:w="0" w:type="dxa"/>
                                    <w:right w:w="57" w:type="dxa"/>
                                  </w:tcMar>
                                  <w:vAlign w:val="center"/>
                                </w:tcPr>
                                <w:p w14:paraId="13704A7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Subject-based HV:</w:t>
                                  </w:r>
                                </w:p>
                                <w:p w14:paraId="55E6225B"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75 % / 25 %</w:t>
                                  </w:r>
                                </w:p>
                                <w:p w14:paraId="78C0D672"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p>
                                <w:p w14:paraId="18EFC80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Test: -</w:t>
                                  </w:r>
                                </w:p>
                              </w:tc>
                              <w:tc>
                                <w:tcPr>
                                  <w:tcW w:w="426" w:type="dxa"/>
                                  <w:tcBorders>
                                    <w:top w:val="single" w:sz="4" w:space="0" w:color="auto"/>
                                    <w:left w:val="nil"/>
                                    <w:bottom w:val="single" w:sz="12" w:space="0" w:color="auto"/>
                                    <w:right w:val="nil"/>
                                  </w:tcBorders>
                                  <w:vAlign w:val="center"/>
                                  <w:hideMark/>
                                </w:tcPr>
                                <w:p w14:paraId="41D89A1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2D9D3CE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04353E4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09A23E8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w:t>
                                  </w:r>
                                </w:p>
                              </w:tc>
                              <w:tc>
                                <w:tcPr>
                                  <w:tcW w:w="141" w:type="dxa"/>
                                  <w:tcBorders>
                                    <w:top w:val="single" w:sz="4" w:space="0" w:color="auto"/>
                                    <w:left w:val="nil"/>
                                    <w:bottom w:val="single" w:sz="12" w:space="0" w:color="auto"/>
                                    <w:right w:val="nil"/>
                                  </w:tcBorders>
                                  <w:vAlign w:val="center"/>
                                  <w:hideMark/>
                                </w:tcPr>
                                <w:p w14:paraId="304463C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4AB4BAB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126C984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6B1B082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w:t>
                                  </w:r>
                                </w:p>
                              </w:tc>
                              <w:tc>
                                <w:tcPr>
                                  <w:tcW w:w="426" w:type="dxa"/>
                                  <w:tcBorders>
                                    <w:top w:val="single" w:sz="4" w:space="0" w:color="auto"/>
                                    <w:left w:val="nil"/>
                                    <w:bottom w:val="single" w:sz="12" w:space="0" w:color="auto"/>
                                    <w:right w:val="nil"/>
                                  </w:tcBorders>
                                  <w:vAlign w:val="center"/>
                                  <w:hideMark/>
                                </w:tcPr>
                                <w:p w14:paraId="0713AB2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95.3</w:t>
                                  </w:r>
                                </w:p>
                                <w:p w14:paraId="18992CC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93.1</w:t>
                                  </w:r>
                                </w:p>
                                <w:p w14:paraId="475726E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97.1</w:t>
                                  </w:r>
                                </w:p>
                                <w:p w14:paraId="757B711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94.5</w:t>
                                  </w:r>
                                </w:p>
                              </w:tc>
                              <w:tc>
                                <w:tcPr>
                                  <w:tcW w:w="1049" w:type="dxa"/>
                                  <w:tcBorders>
                                    <w:top w:val="single" w:sz="4" w:space="0" w:color="auto"/>
                                    <w:left w:val="nil"/>
                                    <w:bottom w:val="single" w:sz="12" w:space="0" w:color="auto"/>
                                    <w:right w:val="nil"/>
                                  </w:tcBorders>
                                  <w:noWrap/>
                                  <w:tcMar>
                                    <w:top w:w="0" w:type="dxa"/>
                                    <w:left w:w="57" w:type="dxa"/>
                                    <w:bottom w:w="0" w:type="dxa"/>
                                    <w:right w:w="57" w:type="dxa"/>
                                  </w:tcMar>
                                  <w:vAlign w:val="center"/>
                                  <w:hideMark/>
                                </w:tcPr>
                                <w:p w14:paraId="1BAF242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GradCAM</w:t>
                                  </w:r>
                                </w:p>
                              </w:tc>
                              <w:tc>
                                <w:tcPr>
                                  <w:tcW w:w="1943" w:type="dxa"/>
                                  <w:tcBorders>
                                    <w:top w:val="single" w:sz="4" w:space="0" w:color="auto"/>
                                    <w:left w:val="nil"/>
                                    <w:bottom w:val="single" w:sz="12" w:space="0" w:color="auto"/>
                                    <w:right w:val="nil"/>
                                  </w:tcBorders>
                                  <w:tcMar>
                                    <w:top w:w="0" w:type="dxa"/>
                                    <w:left w:w="57" w:type="dxa"/>
                                    <w:bottom w:w="0" w:type="dxa"/>
                                    <w:right w:w="57" w:type="dxa"/>
                                  </w:tcMar>
                                  <w:vAlign w:val="center"/>
                                  <w:hideMark/>
                                </w:tcPr>
                                <w:p w14:paraId="290BA67E"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Review of the areas relevant according to CNN for agree-</w:t>
                                  </w:r>
                                  <w:proofErr w:type="spellStart"/>
                                  <w:r>
                                    <w:rPr>
                                      <w:rFonts w:eastAsia="Times New Roman" w:cstheme="minorHAnsi"/>
                                      <w:color w:val="000000"/>
                                      <w:sz w:val="16"/>
                                      <w:szCs w:val="16"/>
                                      <w:lang w:eastAsia="de-DE"/>
                                    </w:rPr>
                                    <w:t>ment</w:t>
                                  </w:r>
                                  <w:proofErr w:type="spellEnd"/>
                                  <w:r>
                                    <w:rPr>
                                      <w:rFonts w:eastAsia="Times New Roman" w:cstheme="minorHAnsi"/>
                                      <w:color w:val="000000"/>
                                      <w:sz w:val="16"/>
                                      <w:szCs w:val="16"/>
                                      <w:lang w:eastAsia="de-DE"/>
                                    </w:rPr>
                                    <w:t xml:space="preserve"> with AF characteristics by 6 cardiologists (94.5 ± 3.5 % agreement)</w:t>
                                  </w:r>
                                </w:p>
                              </w:tc>
                            </w:tr>
                          </w:tbl>
                          <w:p w14:paraId="5906BEDF" w14:textId="77777777" w:rsidR="0094389A" w:rsidRDefault="0094389A" w:rsidP="0094389A">
                            <w:pPr>
                              <w:rPr>
                                <w:rFonts w:eastAsiaTheme="minorEastAsia"/>
                              </w:rPr>
                            </w:pPr>
                          </w:p>
                          <w:p w14:paraId="72D54920" w14:textId="77777777" w:rsidR="0094389A" w:rsidRDefault="0094389A" w:rsidP="0094389A"/>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5B3D80" id="_x0000_t202" coordsize="21600,21600" o:spt="202" path="m,l,21600r21600,l21600,xe">
                <v:stroke joinstyle="miter"/>
                <v:path gradientshapeok="t" o:connecttype="rect"/>
              </v:shapetype>
              <v:shape id="Text Box 4" o:spid="_x0000_s1026" type="#_x0000_t202" style="position:absolute;margin-left:0;margin-top:.05pt;width:453.5pt;height:711.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" fillcolor="white [3201]" stroked="f" strokeweight=".5pt">
                <v:textbox inset="0,0,0,0">
                  <w:txbxContent>
                    <w:p w14:paraId="5B533024" w14:textId="77777777" w:rsidR="0094389A" w:rsidRDefault="0094389A" w:rsidP="0094389A">
                      <w:pPr>
                        <w:pStyle w:val="Caption"/>
                        <w:keepNext/>
                      </w:pPr>
                      <w:bookmarkStart w:id="2" w:name="_Ref153532491"/>
                      <w:r>
                        <w:t xml:space="preserve">Table </w:t>
                      </w:r>
                      <w:r>
                        <w:fldChar w:fldCharType="begin"/>
                      </w:r>
                      <w:r>
                        <w:instrText xml:space="preserve"> SEQ Table \* ARABIC </w:instrText>
                      </w:r>
                      <w:r>
                        <w:fldChar w:fldCharType="separate"/>
                      </w:r>
                      <w:r>
                        <w:rPr>
                          <w:noProof/>
                        </w:rPr>
                        <w:t>1</w:t>
                      </w:r>
                      <w:r>
                        <w:fldChar w:fldCharType="end"/>
                      </w:r>
                      <w:bookmarkEnd w:id="2"/>
                      <w:r>
                        <w:t xml:space="preserve">: </w:t>
                      </w:r>
                      <w:r>
                        <w:rPr>
                          <w:rStyle w:val="rynqvb"/>
                          <w:lang w:val="en"/>
                        </w:rPr>
                        <w:t>State of the art regarding the quantitative analysis on methods of explainable artificial intelligence (</w:t>
                      </w:r>
                      <w:proofErr w:type="spellStart"/>
                      <w:r>
                        <w:rPr>
                          <w:rStyle w:val="rynqvb"/>
                          <w:lang w:val="en"/>
                        </w:rPr>
                        <w:t>xAI</w:t>
                      </w:r>
                      <w:proofErr w:type="spellEnd"/>
                      <w:r>
                        <w:rPr>
                          <w:rStyle w:val="rynqvb"/>
                          <w:lang w:val="en"/>
                        </w:rPr>
                        <w:t xml:space="preserve">), applied to the detection of anomalies in the electrocardiogram (ECG). AF, atrial fibrillation; </w:t>
                      </w:r>
                      <w:proofErr w:type="spellStart"/>
                      <w:r>
                        <w:rPr>
                          <w:rStyle w:val="rynqvb"/>
                          <w:lang w:val="en"/>
                        </w:rPr>
                        <w:t>CinC</w:t>
                      </w:r>
                      <w:proofErr w:type="spellEnd"/>
                      <w:r>
                        <w:rPr>
                          <w:rStyle w:val="rynqvb"/>
                          <w:lang w:val="en"/>
                        </w:rPr>
                        <w:t xml:space="preserve">, computing in cardiology; CNN, convolutional neural network; CPSC, China physiological signal challenge; CV, cross validation; DTD, deep Taylor decomposition; </w:t>
                      </w:r>
                      <w:proofErr w:type="spellStart"/>
                      <w:r>
                        <w:rPr>
                          <w:rStyle w:val="rynqvb"/>
                          <w:lang w:val="en"/>
                        </w:rPr>
                        <w:t>GradCAM</w:t>
                      </w:r>
                      <w:proofErr w:type="spellEnd"/>
                      <w:r>
                        <w:rPr>
                          <w:rStyle w:val="rynqvb"/>
                          <w:lang w:val="en"/>
                        </w:rPr>
                        <w:t xml:space="preserve">, gradient class activation maps; HV, hold-out validation; LIME, local interpretable model-agnostic explanations; LRP, layer-wise relevance propagation; LVD, left-ventricular dysfunction; NSR, normal sinus rhythm; PTB, </w:t>
                      </w:r>
                      <w:proofErr w:type="spellStart"/>
                      <w:r>
                        <w:rPr>
                          <w:rStyle w:val="rynqvb"/>
                          <w:lang w:val="en"/>
                        </w:rPr>
                        <w:t>Physikalisch-Technische</w:t>
                      </w:r>
                      <w:proofErr w:type="spellEnd"/>
                      <w:r>
                        <w:rPr>
                          <w:rStyle w:val="rynqvb"/>
                          <w:lang w:val="en"/>
                        </w:rPr>
                        <w:t xml:space="preserve"> </w:t>
                      </w:r>
                      <w:proofErr w:type="spellStart"/>
                      <w:r>
                        <w:rPr>
                          <w:rStyle w:val="rynqvb"/>
                          <w:lang w:val="en"/>
                        </w:rPr>
                        <w:t>Bundesanstalt</w:t>
                      </w:r>
                      <w:proofErr w:type="spellEnd"/>
                      <w:r>
                        <w:rPr>
                          <w:rStyle w:val="rynqvb"/>
                          <w:lang w:val="en"/>
                        </w:rPr>
                        <w:t xml:space="preserve">; </w:t>
                      </w:r>
                      <w:proofErr w:type="spellStart"/>
                      <w:r>
                        <w:rPr>
                          <w:rStyle w:val="rynqvb"/>
                          <w:lang w:val="en"/>
                        </w:rPr>
                        <w:t>ResNet</w:t>
                      </w:r>
                      <w:proofErr w:type="spellEnd"/>
                      <w:r>
                        <w:rPr>
                          <w:rStyle w:val="rynqvb"/>
                          <w:lang w:val="en"/>
                        </w:rPr>
                        <w:t>, residual neural network; SHAP, Shapley additive explanations.</w:t>
                      </w:r>
                    </w:p>
                    <w:tbl>
                      <w:tblPr>
                        <w:tblStyle w:val="GridTable1Light"/>
                        <w:tblOverlap w:val="never"/>
                        <w:tblW w:w="9072" w:type="dxa"/>
                        <w:tblInd w:w="0" w:type="dxa"/>
                        <w:tblCellMar>
                          <w:left w:w="6" w:type="dxa"/>
                          <w:right w:w="6" w:type="dxa"/>
                        </w:tblCellMar>
                        <w:tblLook w:val="04A0" w:firstRow="1" w:lastRow="0" w:firstColumn="1" w:lastColumn="0" w:noHBand="0" w:noVBand="1"/>
                      </w:tblPr>
                      <w:tblGrid>
                        <w:gridCol w:w="431"/>
                        <w:gridCol w:w="283"/>
                        <w:gridCol w:w="1375"/>
                        <w:gridCol w:w="964"/>
                        <w:gridCol w:w="1032"/>
                        <w:gridCol w:w="985"/>
                        <w:gridCol w:w="429"/>
                        <w:gridCol w:w="137"/>
                        <w:gridCol w:w="477"/>
                        <w:gridCol w:w="1158"/>
                        <w:gridCol w:w="1801"/>
                      </w:tblGrid>
                      <w:tr w:rsidR="0094389A" w14:paraId="2196E0FF" w14:textId="77777777">
                        <w:trPr>
                          <w:cnfStyle w:val="100000000000" w:firstRow="1" w:lastRow="0" w:firstColumn="0" w:lastColumn="0" w:oddVBand="0" w:evenVBand="0" w:oddHBand="0" w:evenHBand="0" w:firstRowFirstColumn="0" w:firstRowLastColumn="0" w:lastRowFirstColumn="0" w:lastRowLastColumn="0"/>
                          <w:cantSplit/>
                          <w:trHeight w:val="1019"/>
                          <w:tblHeader/>
                        </w:trPr>
                        <w:tc>
                          <w:tcPr>
                            <w:cnfStyle w:val="001000000000" w:firstRow="0" w:lastRow="0" w:firstColumn="1" w:lastColumn="0" w:oddVBand="0" w:evenVBand="0" w:oddHBand="0" w:evenHBand="0" w:firstRowFirstColumn="0" w:firstRowLastColumn="0" w:lastRowFirstColumn="0" w:lastRowLastColumn="0"/>
                            <w:tcW w:w="431" w:type="dxa"/>
                            <w:tcBorders>
                              <w:top w:val="single" w:sz="12" w:space="0" w:color="000000" w:themeColor="text1"/>
                              <w:left w:val="nil"/>
                              <w:bottom w:val="single" w:sz="12" w:space="0" w:color="000000" w:themeColor="text1"/>
                              <w:right w:val="nil"/>
                            </w:tcBorders>
                            <w:noWrap/>
                            <w:textDirection w:val="btLr"/>
                            <w:vAlign w:val="center"/>
                            <w:hideMark/>
                          </w:tcPr>
                          <w:p w14:paraId="216AAA59" w14:textId="77777777" w:rsidR="0094389A" w:rsidRDefault="0094389A">
                            <w:pPr>
                              <w:ind w:left="113" w:right="113"/>
                              <w:jc w:val="center"/>
                              <w:rPr>
                                <w:rFonts w:eastAsia="Times New Roman" w:cstheme="minorHAnsi"/>
                                <w:sz w:val="16"/>
                                <w:szCs w:val="16"/>
                                <w:lang w:val="de-DE" w:eastAsia="de-DE"/>
                              </w:rPr>
                            </w:pPr>
                            <w:r>
                              <w:rPr>
                                <w:rFonts w:eastAsia="Times New Roman" w:cstheme="minorHAnsi"/>
                                <w:sz w:val="16"/>
                                <w:szCs w:val="16"/>
                                <w:lang w:val="de-DE" w:eastAsia="de-DE"/>
                              </w:rPr>
                              <w:t>Author</w:t>
                            </w:r>
                          </w:p>
                        </w:tc>
                        <w:tc>
                          <w:tcPr>
                            <w:tcW w:w="283" w:type="dxa"/>
                            <w:tcBorders>
                              <w:top w:val="single" w:sz="12" w:space="0" w:color="000000" w:themeColor="text1"/>
                              <w:left w:val="nil"/>
                              <w:bottom w:val="single" w:sz="12" w:space="0" w:color="000000" w:themeColor="text1"/>
                              <w:right w:val="nil"/>
                            </w:tcBorders>
                            <w:noWrap/>
                            <w:textDirection w:val="btLr"/>
                            <w:vAlign w:val="center"/>
                            <w:hideMark/>
                          </w:tcPr>
                          <w:p w14:paraId="1415E6EF" w14:textId="77777777" w:rsidR="0094389A" w:rsidRDefault="0094389A">
                            <w:pPr>
                              <w:ind w:left="113" w:right="113"/>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ECG leads</w:t>
                            </w:r>
                          </w:p>
                        </w:tc>
                        <w:tc>
                          <w:tcPr>
                            <w:tcW w:w="1375" w:type="dxa"/>
                            <w:tcBorders>
                              <w:top w:val="single" w:sz="12" w:space="0" w:color="000000" w:themeColor="text1"/>
                              <w:left w:val="nil"/>
                              <w:bottom w:val="single" w:sz="12" w:space="0" w:color="000000" w:themeColor="text1"/>
                              <w:right w:val="nil"/>
                            </w:tcBorders>
                            <w:noWrap/>
                            <w:tcMar>
                              <w:top w:w="0" w:type="dxa"/>
                              <w:left w:w="57" w:type="dxa"/>
                              <w:bottom w:w="0" w:type="dxa"/>
                              <w:right w:w="57" w:type="dxa"/>
                            </w:tcMar>
                            <w:vAlign w:val="center"/>
                            <w:hideMark/>
                          </w:tcPr>
                          <w:p w14:paraId="2749270F"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Task</w:t>
                            </w:r>
                          </w:p>
                        </w:tc>
                        <w:tc>
                          <w:tcPr>
                            <w:tcW w:w="964" w:type="dxa"/>
                            <w:tcBorders>
                              <w:top w:val="single" w:sz="12" w:space="0" w:color="000000" w:themeColor="text1"/>
                              <w:left w:val="nil"/>
                              <w:bottom w:val="single" w:sz="12" w:space="0" w:color="000000" w:themeColor="text1"/>
                              <w:right w:val="nil"/>
                            </w:tcBorders>
                            <w:noWrap/>
                            <w:tcMar>
                              <w:top w:w="0" w:type="dxa"/>
                              <w:left w:w="57" w:type="dxa"/>
                              <w:bottom w:w="0" w:type="dxa"/>
                              <w:right w:w="57" w:type="dxa"/>
                            </w:tcMar>
                            <w:vAlign w:val="center"/>
                            <w:hideMark/>
                          </w:tcPr>
                          <w:p w14:paraId="3C6C21D2"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Classifier</w:t>
                            </w:r>
                          </w:p>
                        </w:tc>
                        <w:tc>
                          <w:tcPr>
                            <w:tcW w:w="991" w:type="dxa"/>
                            <w:tcBorders>
                              <w:top w:val="single" w:sz="12" w:space="0" w:color="000000" w:themeColor="text1"/>
                              <w:left w:val="nil"/>
                              <w:bottom w:val="single" w:sz="12" w:space="0" w:color="000000" w:themeColor="text1"/>
                              <w:right w:val="nil"/>
                            </w:tcBorders>
                            <w:tcMar>
                              <w:top w:w="0" w:type="dxa"/>
                              <w:left w:w="57" w:type="dxa"/>
                              <w:bottom w:w="0" w:type="dxa"/>
                              <w:right w:w="57" w:type="dxa"/>
                            </w:tcMar>
                            <w:vAlign w:val="center"/>
                            <w:hideMark/>
                          </w:tcPr>
                          <w:p w14:paraId="1B5A580C"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Dataset</w:t>
                            </w:r>
                          </w:p>
                        </w:tc>
                        <w:tc>
                          <w:tcPr>
                            <w:tcW w:w="1020" w:type="dxa"/>
                            <w:tcBorders>
                              <w:top w:val="single" w:sz="12" w:space="0" w:color="000000" w:themeColor="text1"/>
                              <w:left w:val="nil"/>
                              <w:bottom w:val="single" w:sz="12" w:space="0" w:color="auto"/>
                              <w:right w:val="nil"/>
                            </w:tcBorders>
                            <w:tcMar>
                              <w:top w:w="0" w:type="dxa"/>
                              <w:left w:w="57" w:type="dxa"/>
                              <w:bottom w:w="0" w:type="dxa"/>
                              <w:right w:w="57" w:type="dxa"/>
                            </w:tcMar>
                            <w:vAlign w:val="center"/>
                            <w:hideMark/>
                          </w:tcPr>
                          <w:p w14:paraId="73F08744"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Validation / Test</w:t>
                            </w:r>
                          </w:p>
                        </w:tc>
                        <w:tc>
                          <w:tcPr>
                            <w:tcW w:w="993" w:type="dxa"/>
                            <w:gridSpan w:val="3"/>
                            <w:tcBorders>
                              <w:top w:val="single" w:sz="12" w:space="0" w:color="000000" w:themeColor="text1"/>
                              <w:left w:val="nil"/>
                              <w:bottom w:val="single" w:sz="12" w:space="0" w:color="auto"/>
                              <w:right w:val="nil"/>
                            </w:tcBorders>
                            <w:noWrap/>
                            <w:vAlign w:val="center"/>
                            <w:hideMark/>
                          </w:tcPr>
                          <w:p w14:paraId="6D8243C5"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Classification quality</w:t>
                            </w:r>
                          </w:p>
                          <w:p w14:paraId="396ED760"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Accuracy</w:t>
                            </w:r>
                          </w:p>
                          <w:p w14:paraId="6C494C9F"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F1-score</w:t>
                            </w:r>
                          </w:p>
                          <w:p w14:paraId="530D6C4B"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Sensitivity</w:t>
                            </w:r>
                          </w:p>
                          <w:p w14:paraId="45004EE4"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Specificity</w:t>
                            </w:r>
                          </w:p>
                          <w:p w14:paraId="37DF4BE8"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i/>
                                <w:iCs/>
                                <w:sz w:val="16"/>
                                <w:szCs w:val="16"/>
                                <w:lang w:eastAsia="de-DE"/>
                              </w:rPr>
                            </w:pPr>
                            <w:r>
                              <w:rPr>
                                <w:rFonts w:eastAsia="Times New Roman" w:cstheme="minorHAnsi"/>
                                <w:b w:val="0"/>
                                <w:bCs w:val="0"/>
                                <w:i/>
                                <w:iCs/>
                                <w:sz w:val="16"/>
                                <w:szCs w:val="16"/>
                                <w:lang w:eastAsia="de-DE"/>
                              </w:rPr>
                              <w:t>(%, Full/AF)</w:t>
                            </w:r>
                          </w:p>
                        </w:tc>
                        <w:tc>
                          <w:tcPr>
                            <w:tcW w:w="1049" w:type="dxa"/>
                            <w:tcBorders>
                              <w:top w:val="single" w:sz="12" w:space="0" w:color="000000" w:themeColor="text1"/>
                              <w:left w:val="nil"/>
                              <w:bottom w:val="single" w:sz="12" w:space="0" w:color="auto"/>
                              <w:right w:val="nil"/>
                            </w:tcBorders>
                            <w:noWrap/>
                            <w:tcMar>
                              <w:top w:w="0" w:type="dxa"/>
                              <w:left w:w="57" w:type="dxa"/>
                              <w:bottom w:w="0" w:type="dxa"/>
                              <w:right w:w="57" w:type="dxa"/>
                            </w:tcMar>
                            <w:vAlign w:val="center"/>
                            <w:hideMark/>
                          </w:tcPr>
                          <w:p w14:paraId="0C6FDD46"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xAI method</w:t>
                            </w:r>
                          </w:p>
                        </w:tc>
                        <w:tc>
                          <w:tcPr>
                            <w:tcW w:w="1943" w:type="dxa"/>
                            <w:tcBorders>
                              <w:top w:val="single" w:sz="12" w:space="0" w:color="000000" w:themeColor="text1"/>
                              <w:left w:val="nil"/>
                              <w:bottom w:val="single" w:sz="12" w:space="0" w:color="000000" w:themeColor="text1"/>
                              <w:right w:val="nil"/>
                            </w:tcBorders>
                            <w:tcMar>
                              <w:top w:w="0" w:type="dxa"/>
                              <w:left w:w="57" w:type="dxa"/>
                              <w:bottom w:w="0" w:type="dxa"/>
                              <w:right w:w="57" w:type="dxa"/>
                            </w:tcMar>
                            <w:vAlign w:val="center"/>
                            <w:hideMark/>
                          </w:tcPr>
                          <w:p w14:paraId="3A887FAD" w14:textId="77777777" w:rsidR="0094389A" w:rsidRDefault="0094389A">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lang w:val="de-DE" w:eastAsia="de-DE"/>
                              </w:rPr>
                            </w:pPr>
                            <w:r>
                              <w:rPr>
                                <w:rFonts w:eastAsia="Times New Roman" w:cstheme="minorHAnsi"/>
                                <w:sz w:val="16"/>
                                <w:szCs w:val="16"/>
                                <w:lang w:val="de-DE" w:eastAsia="de-DE"/>
                              </w:rPr>
                              <w:t>Quantitative relevance analysis</w:t>
                            </w:r>
                          </w:p>
                        </w:tc>
                      </w:tr>
                      <w:tr w:rsidR="0094389A" w14:paraId="56F70D11" w14:textId="77777777">
                        <w:trPr>
                          <w:cantSplit/>
                          <w:trHeight w:val="1112"/>
                        </w:trPr>
                        <w:tc>
                          <w:tcPr>
                            <w:cnfStyle w:val="001000000000" w:firstRow="0" w:lastRow="0" w:firstColumn="1" w:lastColumn="0" w:oddVBand="0" w:evenVBand="0" w:oddHBand="0" w:evenHBand="0" w:firstRowFirstColumn="0" w:firstRowLastColumn="0" w:lastRowFirstColumn="0" w:lastRowLastColumn="0"/>
                            <w:tcW w:w="431" w:type="dxa"/>
                            <w:tcBorders>
                              <w:top w:val="single" w:sz="12" w:space="0" w:color="000000" w:themeColor="text1"/>
                              <w:left w:val="nil"/>
                              <w:bottom w:val="single" w:sz="4" w:space="0" w:color="auto"/>
                              <w:right w:val="nil"/>
                            </w:tcBorders>
                            <w:noWrap/>
                            <w:textDirection w:val="btLr"/>
                            <w:vAlign w:val="center"/>
                            <w:hideMark/>
                          </w:tcPr>
                          <w:p w14:paraId="3442659D" w14:textId="77777777" w:rsidR="0094389A" w:rsidRDefault="0094389A">
                            <w:pPr>
                              <w:ind w:left="113" w:right="113"/>
                              <w:jc w:val="center"/>
                              <w:rPr>
                                <w:rFonts w:eastAsia="Times New Roman" w:cstheme="minorHAnsi"/>
                                <w:color w:val="000000"/>
                                <w:sz w:val="16"/>
                                <w:szCs w:val="16"/>
                                <w:lang w:val="de-DE" w:eastAsia="de-DE"/>
                              </w:rPr>
                            </w:pPr>
                            <w:r>
                              <w:rPr>
                                <w:rFonts w:eastAsia="Times New Roman" w:cstheme="minorHAnsi"/>
                                <w:b w:val="0"/>
                                <w:bCs w:val="0"/>
                                <w:color w:val="000000"/>
                                <w:sz w:val="16"/>
                                <w:szCs w:val="16"/>
                                <w:lang w:val="de-DE" w:eastAsia="de-DE"/>
                              </w:rPr>
                              <w:t xml:space="preserve">Aufiero </w:t>
                            </w:r>
                            <w:r>
                              <w:rPr>
                                <w:rFonts w:eastAsia="Times New Roman" w:cstheme="minorHAnsi"/>
                                <w:b w:val="0"/>
                                <w:bCs w:val="0"/>
                                <w:i/>
                                <w:iCs/>
                                <w:color w:val="000000"/>
                                <w:sz w:val="16"/>
                                <w:szCs w:val="16"/>
                                <w:lang w:val="de-DE" w:eastAsia="de-DE"/>
                              </w:rPr>
                              <w:t>et al.</w:t>
                            </w:r>
                            <w:r>
                              <w:rPr>
                                <w:rFonts w:eastAsia="Times New Roman" w:cstheme="minorHAnsi"/>
                                <w:b w:val="0"/>
                                <w:bCs w:val="0"/>
                                <w:color w:val="000000"/>
                                <w:sz w:val="16"/>
                                <w:szCs w:val="16"/>
                                <w:lang w:val="de-DE" w:eastAsia="de-DE"/>
                              </w:rPr>
                              <w:t xml:space="preserve"> (2022)</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val="de-DE" w:eastAsia="de-DE"/>
                              </w:rPr>
                              <w:instrText xml:space="preserve"> ADDIN ZOTERO_ITEM CSL_CITATION {"citationID":"oBHwu6A1","properties":{"formattedCitation":"\\super 16\\nosupersub{}","plainCitation":"16","noteIndex":0},"citationItems":[{"id":2364,"uris":["http://zotero.org/users/3633911/items/YDW23D38"],"itemData":{"id":2364,"type":"article-journal","abstract":"BACKGROUND: Congenital long QT syndrome (LQTS) is a rare heart disease caused by various underlying mutations. Most general cardiologists do not routinely see patients with congenital LQTS and may not always recognize the accompanying ECG features. In addition, a proportion of disease carriers do not display obvious abnormalities on their ECG. Combined, this can cause underdiagnosing of this potentially life-threatening disease.\nMETHODS: This study presents 1D convolutional neural network models trained to identify genotype positive LQTS patients from electrocardiogram as input. The deep learning (DL) models were trained with a large 10-s 12-lead ECGs dataset provided by Amsterdam UMC and externally validated with a dataset provided by University Hospital Leuven. The Amsterdam dataset included ECGs from 10000 controls, 172 LQTS1, 214 LQTS2, and 72 LQTS3 patients. The Leuven dataset included ECGs from 2200 controls, 32 LQTS1, and 80 LQTS2 patients. The performance of the DL models was compared with conventional QTc measurement and with that of an international expert in congenital LQTS (A.A.M.W). Lastly, an explainable artificial intelligence (AI) technique was used to better understand the prediction models.\nRESULTS: Overall, the best performing DL models, across 5-fold cross-validation, achieved on average a sensitivity of 84 ± 2%, 90 ± 2% and 87 ± 6%, specificity of 96 ± 2%, 95 ± 1%, and 92 ± 4%, and AUC of 0.90 ± 0.01, 0.92 ± 0.02, and 0.89 ± 0.03, for LQTS 1, 2, and 3 respectively. The DL models were also shown to perform better than conventional QTc measurements in detecting LQTS patients. Furthermore, the performances held up when the DL models were validated on a novel external cohort and outperformed the expert cardiologist in terms of specificity, while in terms of sensitivity, the DL models and the expert cardiologist in LQTS performed the same. Finally, the explainable AI technique identified the onset of the QRS complex as the most informative region to classify LQTS from non-LQTS patients, a feature previously not associated with this disease.\nCONCLUSIONS: This study suggests that DL models can potentially be used to aid cardiologists in diagnosing LQTS. Furthermore, explainable DL models can be used to possibly identify new features for LQTS on the ECG, thus increasing our understanding of this syndrome.","container-title":"BMC medicine","DOI":"10.1186/s12916-022-02350-z","ISSN":"1741-7015","issue":"1","journalAbbreviation":"BMC Med","note":"PMID: 35501785\nPMCID: PMC9063181","page":"162","source":"PubMed","title":"A deep learning approach identifies new ECG features in congenital long QT syndrome","volume":"20","author":[{"family":"Aufiero","given":"Simona"},{"family":"Bleijendaal","given":"Hidde"},{"family":"Robyns","given":"Tomas"},{"family":"Vandenberk","given":"Bert"},{"family":"Krijger","given":"Christian"},{"family":"Bezzina","given":"Connie"},{"family":"Zwinderman","given":"Aeilko H."},{"family":"Wilde","given":"Arthur A. M."},{"family":"Pinto","given":"Yigal M."}],"issued":{"date-parts":[["2022",5,3]]},"citation-key":"aufieroDeepLearningApproach2022"}}],"schema":"https://github.com/citation-style-language/schema/raw/master/csl-citation.json"}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16</w:t>
                            </w:r>
                            <w:r>
                              <w:rPr>
                                <w:rFonts w:eastAsia="Times New Roman" w:cstheme="minorHAnsi"/>
                                <w:color w:val="000000"/>
                                <w:sz w:val="16"/>
                                <w:szCs w:val="16"/>
                                <w:lang w:val="de-DE" w:eastAsia="de-DE"/>
                              </w:rPr>
                              <w:fldChar w:fldCharType="end"/>
                            </w:r>
                          </w:p>
                        </w:tc>
                        <w:tc>
                          <w:tcPr>
                            <w:tcW w:w="283" w:type="dxa"/>
                            <w:tcBorders>
                              <w:top w:val="single" w:sz="12" w:space="0" w:color="000000" w:themeColor="text1"/>
                              <w:left w:val="nil"/>
                              <w:bottom w:val="single" w:sz="4" w:space="0" w:color="auto"/>
                              <w:right w:val="nil"/>
                            </w:tcBorders>
                            <w:noWrap/>
                            <w:vAlign w:val="center"/>
                            <w:hideMark/>
                          </w:tcPr>
                          <w:p w14:paraId="7240FCB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12</w:t>
                            </w:r>
                          </w:p>
                        </w:tc>
                        <w:tc>
                          <w:tcPr>
                            <w:tcW w:w="1375" w:type="dxa"/>
                            <w:tcBorders>
                              <w:top w:val="single" w:sz="12" w:space="0" w:color="000000" w:themeColor="text1"/>
                              <w:left w:val="nil"/>
                              <w:bottom w:val="single" w:sz="4" w:space="0" w:color="auto"/>
                              <w:right w:val="nil"/>
                            </w:tcBorders>
                            <w:tcMar>
                              <w:top w:w="0" w:type="dxa"/>
                              <w:left w:w="57" w:type="dxa"/>
                              <w:bottom w:w="0" w:type="dxa"/>
                              <w:right w:w="57" w:type="dxa"/>
                            </w:tcMar>
                            <w:vAlign w:val="center"/>
                          </w:tcPr>
                          <w:p w14:paraId="422CF484"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LQTS detection and classification</w:t>
                            </w:r>
                          </w:p>
                          <w:p w14:paraId="51AD5095"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00F93BC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4</w:t>
                            </w:r>
                          </w:p>
                          <w:p w14:paraId="7477C88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(LQTS1-3, n-LQTS)</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no</w:t>
                            </w:r>
                          </w:p>
                        </w:tc>
                        <w:tc>
                          <w:tcPr>
                            <w:tcW w:w="964" w:type="dxa"/>
                            <w:tcBorders>
                              <w:top w:val="single" w:sz="12" w:space="0" w:color="000000" w:themeColor="text1"/>
                              <w:left w:val="nil"/>
                              <w:bottom w:val="single" w:sz="4" w:space="0" w:color="auto"/>
                              <w:right w:val="nil"/>
                            </w:tcBorders>
                            <w:noWrap/>
                            <w:tcMar>
                              <w:top w:w="0" w:type="dxa"/>
                              <w:left w:w="57" w:type="dxa"/>
                              <w:bottom w:w="0" w:type="dxa"/>
                              <w:right w:w="57" w:type="dxa"/>
                            </w:tcMar>
                            <w:vAlign w:val="center"/>
                            <w:hideMark/>
                          </w:tcPr>
                          <w:p w14:paraId="32544DC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1D-CNN</w:t>
                            </w:r>
                          </w:p>
                        </w:tc>
                        <w:tc>
                          <w:tcPr>
                            <w:tcW w:w="991" w:type="dxa"/>
                            <w:tcBorders>
                              <w:top w:val="single" w:sz="12" w:space="0" w:color="000000" w:themeColor="text1"/>
                              <w:left w:val="nil"/>
                              <w:bottom w:val="single" w:sz="4" w:space="0" w:color="auto"/>
                              <w:right w:val="nil"/>
                            </w:tcBorders>
                            <w:tcMar>
                              <w:top w:w="0" w:type="dxa"/>
                              <w:left w:w="57" w:type="dxa"/>
                              <w:bottom w:w="0" w:type="dxa"/>
                              <w:right w:w="57" w:type="dxa"/>
                            </w:tcMar>
                            <w:vAlign w:val="center"/>
                            <w:hideMark/>
                          </w:tcPr>
                          <w:p w14:paraId="6738271A"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Own dataset</w:t>
                            </w:r>
                          </w:p>
                          <w:p w14:paraId="7040F48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=10,458</w:t>
                            </w:r>
                          </w:p>
                          <w:p w14:paraId="06F2927A"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sz w:val="16"/>
                                <w:szCs w:val="16"/>
                                <w:lang w:eastAsia="de-DE"/>
                              </w:rPr>
                              <w:t>(LQTS: 458)</w:t>
                            </w:r>
                          </w:p>
                        </w:tc>
                        <w:tc>
                          <w:tcPr>
                            <w:tcW w:w="1020" w:type="dxa"/>
                            <w:tcBorders>
                              <w:top w:val="single" w:sz="12" w:space="0" w:color="auto"/>
                              <w:left w:val="nil"/>
                              <w:bottom w:val="single" w:sz="4" w:space="0" w:color="auto"/>
                              <w:right w:val="nil"/>
                            </w:tcBorders>
                            <w:tcMar>
                              <w:top w:w="0" w:type="dxa"/>
                              <w:left w:w="57" w:type="dxa"/>
                              <w:bottom w:w="0" w:type="dxa"/>
                              <w:right w:w="57" w:type="dxa"/>
                            </w:tcMar>
                            <w:vAlign w:val="center"/>
                          </w:tcPr>
                          <w:p w14:paraId="22EA104A"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HV:</w:t>
                            </w:r>
                          </w:p>
                          <w:p w14:paraId="087FA2A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64 % / 16 %</w:t>
                            </w:r>
                          </w:p>
                          <w:p w14:paraId="23909EB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
                          <w:p w14:paraId="7E2694F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Test: 20 %</w:t>
                            </w:r>
                          </w:p>
                          <w:p w14:paraId="292DE5E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sz w:val="16"/>
                                <w:szCs w:val="16"/>
                                <w:lang w:eastAsia="de-DE"/>
                              </w:rPr>
                              <w:t>(5-fold CV)</w:t>
                            </w:r>
                          </w:p>
                        </w:tc>
                        <w:tc>
                          <w:tcPr>
                            <w:tcW w:w="426" w:type="dxa"/>
                            <w:tcBorders>
                              <w:top w:val="single" w:sz="12" w:space="0" w:color="auto"/>
                              <w:left w:val="nil"/>
                              <w:bottom w:val="single" w:sz="4" w:space="0" w:color="auto"/>
                              <w:right w:val="nil"/>
                            </w:tcBorders>
                            <w:vAlign w:val="center"/>
                            <w:hideMark/>
                          </w:tcPr>
                          <w:p w14:paraId="60D9B9D7"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1BBB4EA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7BC5964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87.0</w:t>
                            </w:r>
                          </w:p>
                          <w:p w14:paraId="6622859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sz w:val="16"/>
                                <w:szCs w:val="16"/>
                                <w:lang w:eastAsia="de-DE"/>
                              </w:rPr>
                              <w:t>94.0</w:t>
                            </w:r>
                          </w:p>
                        </w:tc>
                        <w:tc>
                          <w:tcPr>
                            <w:tcW w:w="141" w:type="dxa"/>
                            <w:tcBorders>
                              <w:top w:val="single" w:sz="12" w:space="0" w:color="auto"/>
                              <w:left w:val="nil"/>
                              <w:bottom w:val="single" w:sz="4" w:space="0" w:color="auto"/>
                              <w:right w:val="nil"/>
                            </w:tcBorders>
                            <w:vAlign w:val="center"/>
                            <w:hideMark/>
                          </w:tcPr>
                          <w:p w14:paraId="556CF3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4FBB3F4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5D77466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w:t>
                            </w:r>
                          </w:p>
                          <w:p w14:paraId="43D4E5C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sz w:val="16"/>
                                <w:szCs w:val="16"/>
                                <w:lang w:eastAsia="de-DE"/>
                              </w:rPr>
                              <w:t>/</w:t>
                            </w:r>
                          </w:p>
                        </w:tc>
                        <w:tc>
                          <w:tcPr>
                            <w:tcW w:w="426" w:type="dxa"/>
                            <w:tcBorders>
                              <w:top w:val="single" w:sz="12" w:space="0" w:color="auto"/>
                              <w:left w:val="nil"/>
                              <w:bottom w:val="single" w:sz="4" w:space="0" w:color="auto"/>
                              <w:right w:val="nil"/>
                            </w:tcBorders>
                            <w:vAlign w:val="center"/>
                            <w:hideMark/>
                          </w:tcPr>
                          <w:p w14:paraId="5980405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83107C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7C04EDC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6423E9B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eastAsia="de-DE"/>
                              </w:rPr>
                              <w:t>-</w:t>
                            </w:r>
                          </w:p>
                        </w:tc>
                        <w:tc>
                          <w:tcPr>
                            <w:tcW w:w="1049" w:type="dxa"/>
                            <w:tcBorders>
                              <w:top w:val="single" w:sz="12" w:space="0" w:color="auto"/>
                              <w:left w:val="nil"/>
                              <w:bottom w:val="single" w:sz="4" w:space="0" w:color="auto"/>
                              <w:right w:val="nil"/>
                            </w:tcBorders>
                            <w:noWrap/>
                            <w:tcMar>
                              <w:top w:w="0" w:type="dxa"/>
                              <w:left w:w="57" w:type="dxa"/>
                              <w:bottom w:w="0" w:type="dxa"/>
                              <w:right w:w="57" w:type="dxa"/>
                            </w:tcMar>
                            <w:vAlign w:val="center"/>
                            <w:hideMark/>
                          </w:tcPr>
                          <w:p w14:paraId="50CA620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Guided GradCAM</w:t>
                            </w:r>
                            <w:r>
                              <w:rPr>
                                <w:rFonts w:eastAsia="Times New Roman" w:cstheme="minorHAnsi"/>
                                <w:color w:val="000000"/>
                                <w:sz w:val="16"/>
                                <w:szCs w:val="16"/>
                                <w:lang w:val="de-DE" w:eastAsia="de-DE"/>
                              </w:rPr>
                              <w:fldChar w:fldCharType="begin"/>
                            </w:r>
                            <w:r>
                              <w:rPr>
                                <w:rFonts w:eastAsia="Times New Roman" w:cstheme="minorHAnsi"/>
                                <w:color w:val="000000"/>
                                <w:sz w:val="16"/>
                                <w:szCs w:val="16"/>
                                <w:lang w:val="de-DE" w:eastAsia="de-DE"/>
                              </w:rPr>
                              <w:instrText xml:space="preserve"> ADDIN ZOTERO_ITEM CSL_CITATION {"citationID":"ur2h981I","properties":{"formattedCitation":"\\super 55\\nosupersub{}","plainCitation":"55","noteIndex":0},"citationItems":[{"id":2399,"uris":["http://zotero.org/users/3633911/items/UWVGD57W"],"itemData":{"id":2399,"type":"paper-conference","abstract":"We propose a technique for producing `visual explanations' for decisions from a large class of Convolutional Neural Network (CNN)-based models, making them more transparent. Our approach - Gradient-weighted Class Activation Mapping (Grad-CAM), uses the gradients of any target concept (say logits for `dog' or even a caption), flowing into the final convolutional layer to produce a coarse localization map highlighting the important regions in the image for predicting the concept. Unlike previous approaches, Grad- CAM is applicable to a wide variety of CNN model-families: (1) CNNs with fully-connected layers (e.g. VGG), (2) CNNs used for structured outputs (e.g. captioning), (3) CNNs used in tasks with multi-modal inputs (e.g. visual question answering) or reinforcement learning, without architectural changes or re-training. We combine Grad-CAM with existing fine-grained visualizations to create a high-resolution class-discriminative visualization, Guided Grad-CAM, and apply it to image classification, image captioning, and visual question answering (VQA) models, including ResNet-based architectures. In the context of image classification models, our visualizations (a) lend insights into failure modes of these models (showing that seemingly unreasonable predictions have reasonable explanations), (b) outperform previous methods on the ILSVRC-15 weakly-supervised localization task, (c) are more faithful to the underlying model, and (d) help achieve model generalization by identifying dataset bias. </w:instrText>
                            </w:r>
                            <w:r>
                              <w:rPr>
                                <w:rFonts w:eastAsia="Times New Roman" w:cstheme="minorHAnsi"/>
                                <w:color w:val="000000"/>
                                <w:sz w:val="16"/>
                                <w:szCs w:val="16"/>
                                <w:lang w:eastAsia="de-DE"/>
                              </w:rPr>
                              <w:instrText xml:space="preserve">For image captioning and VQA, our visualizations show even non-attention based models can localize inputs. Finally, we design and conduct human studies to measure if Grad-CAM explanations help users establish appropriate trust in predictions from deep networks and show that Grad-CAM helps untrained users successfully discern a `stronger' deep network from a `weaker' one even when both make identical predictions. Our code is available at https: //github.com/ramprs/grad-cam/ along with a demo on CloudCV [2] and video at youtu.be/COjUB9Izk6E.","container-title":"2017 IEEE International Conference on Computer Vision","DOI":"10.1109/ICCV.2017.74","event-place":"Venezia, Italy","event-title":"2017 IEEE International Conference on Computer Vision","note":"ISSN: 2380-7504","page":"618-626","publisher-place":"Venezia, Italy","source":"IEEE Xplore","title":"Grad-CAM: Visual Explanations from Deep Networks via Gradient-Based Localization","title-short":"Grad-CAM","URL":"https://ieeexplore.ieee.org/document/8237336","author":[{"family":"Selvaraju","given":"Ramprasaath R."},{"family":"Cogswell","given":"Michael"},{"family":"Das","given":"Abhishek"},{"family":"Vedantam","given":"Ramakrishna"},{"family":"Parikh","given":"Devi"},{"family":"Batra","given":"Dhruv"}],"accessed":{"date-parts":[["2023",12,5]]},"issued":{"date-parts":[["2017",10]]},"citation-key":"selvarajuGradCAMVisualExplanations2017"}}],"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55</w:t>
                            </w:r>
                            <w:r>
                              <w:rPr>
                                <w:rFonts w:eastAsia="Times New Roman" w:cstheme="minorHAnsi"/>
                                <w:color w:val="000000"/>
                                <w:sz w:val="16"/>
                                <w:szCs w:val="16"/>
                                <w:lang w:val="de-DE" w:eastAsia="de-DE"/>
                              </w:rPr>
                              <w:fldChar w:fldCharType="end"/>
                            </w:r>
                          </w:p>
                        </w:tc>
                        <w:tc>
                          <w:tcPr>
                            <w:tcW w:w="1943" w:type="dxa"/>
                            <w:tcBorders>
                              <w:top w:val="single" w:sz="12" w:space="0" w:color="000000" w:themeColor="text1"/>
                              <w:left w:val="nil"/>
                              <w:bottom w:val="single" w:sz="4" w:space="0" w:color="999999" w:themeColor="text1" w:themeTint="66"/>
                              <w:right w:val="nil"/>
                            </w:tcBorders>
                            <w:tcMar>
                              <w:top w:w="0" w:type="dxa"/>
                              <w:left w:w="57" w:type="dxa"/>
                              <w:bottom w:w="0" w:type="dxa"/>
                              <w:right w:w="57" w:type="dxa"/>
                            </w:tcMar>
                            <w:vAlign w:val="center"/>
                            <w:hideMark/>
                          </w:tcPr>
                          <w:p w14:paraId="7F1EAD9B"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 xml:space="preserve">Comparison of relevance in approximated P wave, QRS complex (total, left vs. right) and ST segment across LQTS classes (Student’s </w:t>
                            </w:r>
                            <w:r>
                              <w:rPr>
                                <w:rFonts w:eastAsia="Times New Roman" w:cstheme="minorHAnsi"/>
                                <w:i/>
                                <w:iCs/>
                                <w:color w:val="000000"/>
                                <w:sz w:val="16"/>
                                <w:szCs w:val="16"/>
                                <w:lang w:eastAsia="de-DE"/>
                              </w:rPr>
                              <w:t>t</w:t>
                            </w:r>
                            <w:r>
                              <w:rPr>
                                <w:rFonts w:eastAsia="Times New Roman" w:cstheme="minorHAnsi"/>
                                <w:color w:val="000000"/>
                                <w:sz w:val="16"/>
                                <w:szCs w:val="16"/>
                                <w:lang w:eastAsia="de-DE"/>
                              </w:rPr>
                              <w:t>-test)</w:t>
                            </w:r>
                          </w:p>
                        </w:tc>
                      </w:tr>
                      <w:tr w:rsidR="0094389A" w14:paraId="75010A60" w14:textId="77777777">
                        <w:trPr>
                          <w:cantSplit/>
                          <w:trHeight w:val="393"/>
                        </w:trPr>
                        <w:tc>
                          <w:tcPr>
                            <w:cnfStyle w:val="001000000000" w:firstRow="0" w:lastRow="0" w:firstColumn="1" w:lastColumn="0" w:oddVBand="0" w:evenVBand="0" w:oddHBand="0" w:evenHBand="0" w:firstRowFirstColumn="0" w:firstRowLastColumn="0" w:lastRowFirstColumn="0" w:lastRowLastColumn="0"/>
                            <w:tcW w:w="431" w:type="dxa"/>
                            <w:vMerge w:val="restart"/>
                            <w:tcBorders>
                              <w:top w:val="single" w:sz="4" w:space="0" w:color="auto"/>
                              <w:left w:val="nil"/>
                              <w:bottom w:val="single" w:sz="4" w:space="0" w:color="auto"/>
                              <w:right w:val="nil"/>
                            </w:tcBorders>
                            <w:noWrap/>
                            <w:textDirection w:val="btLr"/>
                            <w:vAlign w:val="center"/>
                            <w:hideMark/>
                          </w:tcPr>
                          <w:p w14:paraId="5EBD2575" w14:textId="77777777" w:rsidR="0094389A" w:rsidRDefault="0094389A">
                            <w:pPr>
                              <w:ind w:left="113" w:right="113"/>
                              <w:jc w:val="center"/>
                              <w:rPr>
                                <w:rFonts w:eastAsia="Times New Roman" w:cstheme="minorHAnsi"/>
                                <w:b w:val="0"/>
                                <w:bCs w:val="0"/>
                                <w:color w:val="000000"/>
                                <w:sz w:val="16"/>
                                <w:szCs w:val="16"/>
                                <w:lang w:val="de-DE" w:eastAsia="de-DE"/>
                              </w:rPr>
                            </w:pPr>
                            <w:r>
                              <w:rPr>
                                <w:rFonts w:eastAsia="Times New Roman" w:cstheme="minorHAnsi"/>
                                <w:b w:val="0"/>
                                <w:bCs w:val="0"/>
                                <w:color w:val="000000"/>
                                <w:sz w:val="16"/>
                                <w:szCs w:val="16"/>
                                <w:lang w:eastAsia="de-DE"/>
                              </w:rPr>
                              <w:t xml:space="preserve">Bender </w:t>
                            </w:r>
                            <w:r>
                              <w:rPr>
                                <w:rFonts w:eastAsia="Times New Roman" w:cstheme="minorHAnsi"/>
                                <w:b w:val="0"/>
                                <w:bCs w:val="0"/>
                                <w:i/>
                                <w:iCs/>
                                <w:color w:val="000000"/>
                                <w:sz w:val="16"/>
                                <w:szCs w:val="16"/>
                                <w:lang w:eastAsia="de-DE"/>
                              </w:rPr>
                              <w:t>et al.</w:t>
                            </w:r>
                            <w:r>
                              <w:rPr>
                                <w:rFonts w:eastAsia="Times New Roman" w:cstheme="minorHAnsi"/>
                                <w:b w:val="0"/>
                                <w:bCs w:val="0"/>
                                <w:color w:val="000000"/>
                                <w:sz w:val="16"/>
                                <w:szCs w:val="16"/>
                                <w:lang w:eastAsia="de-DE"/>
                              </w:rPr>
                              <w:t xml:space="preserve"> (2023)</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eastAsia="de-DE"/>
                              </w:rPr>
                              <w:instrText xml:space="preserve"> ADDIN ZOTERO_ITEM CSL_CITATION {"citationID":"Lx7jPlJd","properties":{"formattedCitation":"\\super 14\\nosupersub{}","plainCitation":"14","noteIndex":0},"citationItems":[{"id":2375,"uris":["http://zotero.org/users/3633911/items/MGMNVULB","http://zotero.org/users/3633911/items/NW5I6YEB"],"itemData":{"id":2375,"type":"article-journal","abstract":"Despite their remarkable performance, deep neural networks remain unadopted in clinical practice, which is considered to be partially due to their lack of explainability. In this work, we apply explainable attribution methods to a pre-trained deep neural network for abnormality classification in 12-lead electrocardiography to open this \"black box\" and understand the relationship between model prediction and learned features. We classify data from two public databases (CPSC 2018, PTB-XL) and the attribution methods assign a \"relevance score\" to each sample of the classified signals. This allows analyzing what the network learned during training, for which we propose quantitative methods: average relevance scores over a) classes, b) leads, and c) average beats. The analyses of relevance scores for atrial fibrillation and left bundle branch block compared to healthy controls show that their mean values a) increase with higher classification probability and correspond to false classifications when around zero, and b) correspond to clinical recommendations regarding which lead to consider. Furthermore, c) visible P-waves and concordant T-waves result in clearly negative relevance scores in atrial fibrillation and left bundle branch block classification, respectively. Results are similar across both databases despite differences in study population and hardware. In summary, our analysis suggests that the DNN learned features similar to cardiology textbook knowledge.","container-title":"IEEE journal of biomedical and health informatics","DOI":"10.1109/JBHI.2023.3271858","ISSN":"2168-2208","issue":"4","journalAbbreviation":"IEEE J Biomed Health Inform","note":"PMID: 37126621","page":"1-12","source":"PubMed","title":"Analysis of a Deep Learning Model for 12-Lead ECG Classification Reveals Learned Features Similar to Diagnostic Criteria","volume":"28","author":[{"family":"Bender","given":"Theresa"},{"family":"Beinecke","given":"Jacqueline M."},{"family":"Krefting","given":"Dagmar"},{"family":"Muller","given":"Carolin"},{"family":"Dathe","given":"Henning"},{"family":"Seidler","given":"Tim"},{"family":"Spicher","given":"Nicolai"},{"family":"Hauschild","given":"Anne-Christin"}],"issued":{"date-parts":[["2023"]]},"citation-key":"benderAnalysisDeepLearning2023"}}],"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14</w:t>
                            </w:r>
                            <w:r>
                              <w:rPr>
                                <w:rFonts w:eastAsia="Times New Roman" w:cstheme="minorHAnsi"/>
                                <w:color w:val="000000"/>
                                <w:sz w:val="16"/>
                                <w:szCs w:val="16"/>
                                <w:lang w:val="de-DE" w:eastAsia="de-DE"/>
                              </w:rPr>
                              <w:fldChar w:fldCharType="end"/>
                            </w:r>
                          </w:p>
                        </w:tc>
                        <w:tc>
                          <w:tcPr>
                            <w:tcW w:w="283" w:type="dxa"/>
                            <w:vMerge w:val="restart"/>
                            <w:tcBorders>
                              <w:top w:val="single" w:sz="4" w:space="0" w:color="auto"/>
                              <w:left w:val="nil"/>
                              <w:bottom w:val="single" w:sz="4" w:space="0" w:color="auto"/>
                              <w:right w:val="nil"/>
                            </w:tcBorders>
                            <w:noWrap/>
                            <w:vAlign w:val="center"/>
                            <w:hideMark/>
                          </w:tcPr>
                          <w:p w14:paraId="1952E30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12</w:t>
                            </w:r>
                          </w:p>
                        </w:tc>
                        <w:tc>
                          <w:tcPr>
                            <w:tcW w:w="1375" w:type="dxa"/>
                            <w:vMerge w:val="restart"/>
                            <w:tcBorders>
                              <w:top w:val="single" w:sz="4" w:space="0" w:color="auto"/>
                              <w:left w:val="nil"/>
                              <w:bottom w:val="single" w:sz="4" w:space="0" w:color="auto"/>
                              <w:right w:val="nil"/>
                            </w:tcBorders>
                            <w:tcMar>
                              <w:top w:w="0" w:type="dxa"/>
                              <w:left w:w="57" w:type="dxa"/>
                              <w:bottom w:w="0" w:type="dxa"/>
                              <w:right w:w="57" w:type="dxa"/>
                            </w:tcMar>
                            <w:vAlign w:val="center"/>
                          </w:tcPr>
                          <w:p w14:paraId="1BDB6D9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Cardiac anomaly detection (multiclass)</w:t>
                            </w:r>
                          </w:p>
                          <w:p w14:paraId="4C08E81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0CBD96B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3</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yes</w:t>
                            </w:r>
                          </w:p>
                        </w:tc>
                        <w:tc>
                          <w:tcPr>
                            <w:tcW w:w="964" w:type="dxa"/>
                            <w:vMerge w:val="restart"/>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604B15A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Pre-trained CNN</w:t>
                            </w:r>
                          </w:p>
                          <w:p w14:paraId="3B8ADCE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(ResNet)</w:t>
                            </w:r>
                            <w:r>
                              <w:rPr>
                                <w:rFonts w:eastAsia="Times New Roman" w:cstheme="minorHAnsi"/>
                                <w:color w:val="000000"/>
                                <w:sz w:val="16"/>
                                <w:szCs w:val="16"/>
                                <w:lang w:val="de-DE" w:eastAsia="de-DE"/>
                              </w:rPr>
                              <w:fldChar w:fldCharType="begin"/>
                            </w:r>
                            <w:r>
                              <w:rPr>
                                <w:rFonts w:eastAsia="Times New Roman" w:cstheme="minorHAnsi"/>
                                <w:color w:val="000000"/>
                                <w:sz w:val="16"/>
                                <w:szCs w:val="16"/>
                                <w:lang w:val="de-DE" w:eastAsia="de-DE"/>
                              </w:rPr>
                              <w:instrText xml:space="preserve"> ADDIN ZOTERO_ITEM CSL_CITATION {"citationID":"RhlFIeCK","properties":{"formattedCitation":"\\super 33\\nosupersub{}","plainCitation":"33","noteIndex":0},"citationItems":[{"id":2380,"uris":["http://zotero.org/users/3633911/items/7232ACND"],"itemData":{"id":2380,"type":"article-journal","abstract":"The role of automatic electrocardiogram (ECG) analysis in clinical practice is limited by the accuracy of existing models. Deep Neural Networks (DNNs) are models composed of stacked transformations that learn tasks by examples. This technology has recently achieved striking success in a variety of task and there are great expectations on how it might improve clinical practice. Here we present a DNN model trained in a dataset with more than 2 million labeled exams analyzed by the Telehealth Network of Minas Gerais and collected under the scope of the CODE (Clinical Outcomes in Digital Electrocardiology) study. The DNN outperform cardiology resident medical doctors in recognizing 6 types of abnormalities in 12-lead ECG recordings, with F1 scores above 80% and specificity over 99%. These results indicate ECG analysis based on DNNs, previously studied in a single-lead setup, generalizes well to 12-lead exams, taking the technology closer to the standard clinical practice.","container-title":"Nature Communications","DOI":"10.1038/s41467-020-15432-4","ISSN":"2041-1723","issue":"1","journalAbbreviation":"Nat Commun","license":"2020 The Author(s)","note":"number: 1\npublisher: Nature Publishing Group","page":"1760","source":"www.nature.com","title":"Automatic diagnosis of the 12-lead ECG using a deep neural network","volume":"11","author":[{"family":"Ribeiro","given":"Antônio H."},{"family":"Ribeiro","given":"Manoel Horta"},{"family":"Paixão","given":"Gabriela M. M."},{"family":"Oliveira","given":"Derick M."},{"family":"Gomes","given":"Paulo R."},{"family":"Canazart","given":"Jéssica A."},{"family":"Ferreira","given":"Milton P. S."},{"family":"Andersson","given":"Carl R."},{"family":"Macfarlane","given":"Peter W."},{"family":"Meira Jr.","given":"Wagner"},{"family":"Schön","given":"Thomas B."},{"family":"Ribeiro","given":"Antonio Luiz P."}],"issued":{"date-parts":[["2020",4,9]]},"citation-key":"ribeiroAutomaticDiagnosis12lead2020"}}],"schema":"https://github.com/citation-style-language/schema/raw/master/csl-citation.json"}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33</w:t>
                            </w:r>
                            <w:r>
                              <w:rPr>
                                <w:rFonts w:eastAsia="Times New Roman" w:cstheme="minorHAnsi"/>
                                <w:color w:val="000000"/>
                                <w:sz w:val="16"/>
                                <w:szCs w:val="16"/>
                                <w:lang w:val="de-DE" w:eastAsia="de-DE"/>
                              </w:rPr>
                              <w:fldChar w:fldCharType="end"/>
                            </w:r>
                          </w:p>
                        </w:tc>
                        <w:tc>
                          <w:tcPr>
                            <w:tcW w:w="991" w:type="dxa"/>
                            <w:vMerge w:val="restart"/>
                            <w:tcBorders>
                              <w:top w:val="single" w:sz="4" w:space="0" w:color="auto"/>
                              <w:left w:val="nil"/>
                              <w:bottom w:val="single" w:sz="4" w:space="0" w:color="auto"/>
                              <w:right w:val="nil"/>
                            </w:tcBorders>
                            <w:tcMar>
                              <w:top w:w="0" w:type="dxa"/>
                              <w:left w:w="57" w:type="dxa"/>
                              <w:bottom w:w="0" w:type="dxa"/>
                              <w:right w:w="57" w:type="dxa"/>
                            </w:tcMar>
                            <w:vAlign w:val="center"/>
                            <w:hideMark/>
                          </w:tcPr>
                          <w:p w14:paraId="594A0C1F"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Brazilian telehealth network</w:t>
                            </w:r>
                            <w:r>
                              <w:rPr>
                                <w:rFonts w:eastAsia="Times New Roman" w:cstheme="minorHAnsi"/>
                                <w:color w:val="000000"/>
                                <w:sz w:val="16"/>
                                <w:szCs w:val="16"/>
                                <w:lang w:eastAsia="de-DE"/>
                              </w:rPr>
                              <w:fldChar w:fldCharType="begin"/>
                            </w:r>
                            <w:r>
                              <w:rPr>
                                <w:rFonts w:eastAsia="Times New Roman" w:cstheme="minorHAnsi"/>
                                <w:color w:val="000000"/>
                                <w:sz w:val="16"/>
                                <w:szCs w:val="16"/>
                                <w:lang w:eastAsia="de-DE"/>
                              </w:rPr>
                              <w:instrText xml:space="preserve"> ADDIN ZOTERO_ITEM CSL_CITATION {"citationID":"z89L9UJI","properties":{"formattedCitation":"\\super 33\\nosupersub{}","plainCitation":"33","noteIndex":0},"citationItems":[{"id":2380,"uris":["http://zotero.org/users/3633911/items/7232ACND"],"itemData":{"id":2380,"type":"article-journal","abstract":"The role of automatic electrocardiogram (ECG) analysis in clinical practice is limited by the accuracy of existing models. Deep Neural Networks (DNNs) are models composed of stacked transformations that learn tasks by examples. This technology has recently achieved striking success in a variety of task and there are great expectations on how it might improve clinical practice. Here we present a DNN model trained in a dataset with more than 2 million labeled exams analyzed by the Telehealth Network of Minas Gerais and collected under the scope of the CODE (Clinical Outcomes in Digital Electrocardiology) study. The DNN outperform cardiology resident medical doctors in recognizing 6 types of abnormalities in 12-lead ECG recordings, with F1 scores above 80% and specificity over 99%. These results indicate ECG analysis based on DNNs, previously studied in a single-lead setup, generalizes well to 12-lead exams, taking the technology closer to the standard clinical practice.","container-title":"Nature Communications","DOI":"10.1038/s41467-020-15432-4","ISSN":"2041-1723","issue":"1","journalAbbreviation":"Nat Commun","license":"2020 The Author(s)","note":"number: 1\npublisher: Nature Publishing Group","page":"1760","source":"www.nature.com","title":"Automatic diagnosis of the 12-lead ECG using a deep neural network","volume":"11","author":[{"family":"Ribeiro","given":"Antônio H."},{"family":"Ribeiro","given":"Manoel Horta"},{"family":"Paixão","given":"Gabriela M. M."},{"family":"Oliveira","given":"Derick M."},{"family":"Gomes","given":"Paulo R."},{"family":"Canazart","given":"Jéssica A."},{"family":"Ferreira","given":"Milton P. S."},{"family":"Andersson","given":"Carl R."},{"family":"Macfarlane","given":"Peter W."},{"family":"Meira Jr.","given":"Wagner"},{"family":"Schön","given":"Thomas B."},{"family":"Ribeiro","given":"Antonio Luiz P."}],"issued":{"date-parts":[["2020",4,9]]},"citation-key":"ribeiroAutomaticDiagnosis12lead2020"}}],"schema":"https://github.com/citation-style-language/schema/raw/master/csl-citation.json"} </w:instrText>
                            </w:r>
                            <w:r>
                              <w:rPr>
                                <w:rFonts w:eastAsia="Times New Roman" w:cstheme="minorHAnsi"/>
                                <w:color w:val="000000"/>
                                <w:sz w:val="16"/>
                                <w:szCs w:val="16"/>
                                <w:lang w:eastAsia="de-DE"/>
                              </w:rPr>
                              <w:fldChar w:fldCharType="separate"/>
                            </w:r>
                            <w:r>
                              <w:rPr>
                                <w:rFonts w:ascii="Calibri" w:hAnsi="Calibri" w:cs="Calibri"/>
                                <w:sz w:val="16"/>
                                <w:vertAlign w:val="superscript"/>
                              </w:rPr>
                              <w:t>33</w:t>
                            </w:r>
                            <w:r>
                              <w:rPr>
                                <w:rFonts w:eastAsia="Times New Roman" w:cstheme="minorHAnsi"/>
                                <w:color w:val="000000"/>
                                <w:sz w:val="16"/>
                                <w:szCs w:val="16"/>
                                <w:lang w:eastAsia="de-DE"/>
                              </w:rPr>
                              <w:fldChar w:fldCharType="end"/>
                            </w:r>
                            <w:r>
                              <w:rPr>
                                <w:rFonts w:eastAsia="Times New Roman" w:cstheme="minorHAnsi"/>
                                <w:color w:val="000000"/>
                                <w:sz w:val="16"/>
                                <w:szCs w:val="16"/>
                                <w:lang w:eastAsia="de-DE"/>
                              </w:rPr>
                              <w:br/>
                            </w: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2,322,513</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subjects</w:t>
                            </w:r>
                            <w:r>
                              <w:rPr>
                                <w:rFonts w:eastAsia="Times New Roman" w:cstheme="minorHAnsi"/>
                                <w:color w:val="000000"/>
                                <w:sz w:val="16"/>
                                <w:szCs w:val="16"/>
                                <w:lang w:eastAsia="de-DE"/>
                              </w:rPr>
                              <w:t>: 1,676,384</w:t>
                            </w:r>
                          </w:p>
                        </w:tc>
                        <w:tc>
                          <w:tcPr>
                            <w:tcW w:w="2013" w:type="dxa"/>
                            <w:gridSpan w:val="4"/>
                            <w:tcBorders>
                              <w:top w:val="single" w:sz="4" w:space="0" w:color="auto"/>
                              <w:left w:val="nil"/>
                              <w:bottom w:val="single" w:sz="4" w:space="0" w:color="auto"/>
                              <w:right w:val="nil"/>
                            </w:tcBorders>
                            <w:tcMar>
                              <w:top w:w="0" w:type="dxa"/>
                              <w:left w:w="57" w:type="dxa"/>
                              <w:bottom w:w="0" w:type="dxa"/>
                              <w:right w:w="57" w:type="dxa"/>
                            </w:tcMar>
                            <w:vAlign w:val="center"/>
                            <w:hideMark/>
                          </w:tcPr>
                          <w:p w14:paraId="08BFD88F"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i/>
                                <w:iCs/>
                                <w:color w:val="000000"/>
                                <w:sz w:val="16"/>
                                <w:szCs w:val="16"/>
                                <w:lang w:eastAsia="de-DE"/>
                              </w:rPr>
                            </w:pPr>
                            <w:r>
                              <w:rPr>
                                <w:rFonts w:eastAsia="Times New Roman" w:cstheme="minorHAnsi"/>
                                <w:i/>
                                <w:iCs/>
                                <w:color w:val="000000"/>
                                <w:sz w:val="16"/>
                                <w:szCs w:val="16"/>
                                <w:lang w:eastAsia="de-DE"/>
                              </w:rPr>
                              <w:t>Taken from Ribeiro et al. (2020)</w:t>
                            </w:r>
                            <w:r>
                              <w:rPr>
                                <w:rFonts w:eastAsia="Times New Roman" w:cstheme="minorHAnsi"/>
                                <w:i/>
                                <w:iCs/>
                                <w:color w:val="000000"/>
                                <w:sz w:val="16"/>
                                <w:szCs w:val="16"/>
                                <w:lang w:eastAsia="de-DE"/>
                              </w:rPr>
                              <w:fldChar w:fldCharType="begin"/>
                            </w:r>
                            <w:r>
                              <w:rPr>
                                <w:rFonts w:eastAsia="Times New Roman" w:cstheme="minorHAnsi"/>
                                <w:i/>
                                <w:iCs/>
                                <w:color w:val="000000"/>
                                <w:sz w:val="16"/>
                                <w:szCs w:val="16"/>
                                <w:lang w:eastAsia="de-DE"/>
                              </w:rPr>
                              <w:instrText xml:space="preserve"> ADDIN ZOTERO_ITEM CSL_CITATION {"citationID":"GTrhy4RN","properties":{"formattedCitation":"\\super 33\\nosupersub{}","plainCitation":"33","noteIndex":0},"citationItems":[{"id":2380,"uris":["http://zotero.org/users/3633911/items/7232ACND"],"itemData":{"id":2380,"type":"article-journal","abstract":"The role of automatic electrocardiogram (ECG) analysis in clinical practice is limited by the accuracy of existing models. Deep Neural Networks (DNNs) are models composed of stacked transformations that learn tasks by examples. This technology has recently achieved striking success in a variety of task and there are great expectations on how it might improve clinical practice. Here we present a DNN model trained in a dataset with more than 2 million labeled exams analyzed by the Telehealth Network of Minas Gerais and collected under the scope of the CODE (Clinical Outcomes in Digital Electrocardiology) study. The DNN outperform cardiology resident medical doctors in recognizing 6 types of abnormalities in 12-lead ECG recordings, with F1 scores above 80% and specificity over 99%. These results indicate ECG analysis based on DNNs, previously studied in a single-lead setup, generalizes well to 12-lead exams, taking the technology closer to the standard clinical practice.","container-title":"Nature Communications","DOI":"10.1038/s41467-020-15432-4","ISSN":"2041-1723","issue":"1","journalAbbreviation":"Nat Commun","license":"2020 The Author(s)","note":"number: 1\npublisher: Nature Publishing Group","page":"1760","source":"www.nature.com","title":"Automatic diagnosis of the 12-lead ECG using a deep neural network","volume":"11","author":[{"family":"Ribeiro","given":"Antônio H."},{"family":"Ribeiro","given":"Manoel Horta"},{"family":"Paixão","given":"Gabriela M. M."},{"family":"Oliveira","given":"Derick M."},{"family":"Gomes","given":"Paulo R."},{"family":"Canazart","given":"Jéssica A."},{"family":"Ferreira","given":"Milton P. S."},{"family":"Andersson","given":"Carl R."},{"family":"Macfarlane","given":"Peter W."},{"family":"Meira Jr.","given":"Wagner"},{"family":"Schön","given":"Thomas B."},{"family":"Ribeiro","given":"Antonio Luiz P."}],"issued":{"date-parts":[["2020",4,9]]},"citation-key":"ribeiroAutomaticDiagnosis12lead2020"}}],"schema":"https://github.com/citation-style-language/schema/raw/master/csl-citation.json"} </w:instrText>
                            </w:r>
                            <w:r>
                              <w:rPr>
                                <w:rFonts w:eastAsia="Times New Roman" w:cstheme="minorHAnsi"/>
                                <w:i/>
                                <w:iCs/>
                                <w:color w:val="000000"/>
                                <w:sz w:val="16"/>
                                <w:szCs w:val="16"/>
                                <w:lang w:eastAsia="de-DE"/>
                              </w:rPr>
                              <w:fldChar w:fldCharType="separate"/>
                            </w:r>
                            <w:r>
                              <w:rPr>
                                <w:rFonts w:ascii="Calibri" w:hAnsi="Calibri" w:cs="Calibri"/>
                                <w:sz w:val="16"/>
                                <w:vertAlign w:val="superscript"/>
                              </w:rPr>
                              <w:t>33</w:t>
                            </w:r>
                            <w:r>
                              <w:rPr>
                                <w:rFonts w:eastAsia="Times New Roman" w:cstheme="minorHAnsi"/>
                                <w:i/>
                                <w:iCs/>
                                <w:color w:val="000000"/>
                                <w:sz w:val="16"/>
                                <w:szCs w:val="16"/>
                                <w:lang w:eastAsia="de-DE"/>
                              </w:rPr>
                              <w:fldChar w:fldCharType="end"/>
                            </w:r>
                          </w:p>
                        </w:tc>
                        <w:tc>
                          <w:tcPr>
                            <w:tcW w:w="1049" w:type="dxa"/>
                            <w:vMerge w:val="restart"/>
                            <w:tcBorders>
                              <w:top w:val="single" w:sz="4" w:space="0" w:color="auto"/>
                              <w:left w:val="nil"/>
                              <w:bottom w:val="single" w:sz="4" w:space="0" w:color="auto"/>
                              <w:right w:val="nil"/>
                            </w:tcBorders>
                            <w:tcMar>
                              <w:top w:w="0" w:type="dxa"/>
                              <w:left w:w="57" w:type="dxa"/>
                              <w:bottom w:w="0" w:type="dxa"/>
                              <w:right w:w="57" w:type="dxa"/>
                            </w:tcMar>
                            <w:vAlign w:val="center"/>
                            <w:hideMark/>
                          </w:tcPr>
                          <w:p w14:paraId="42E38A8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Integrated gradients</w:t>
                            </w:r>
                            <w:r>
                              <w:rPr>
                                <w:rFonts w:eastAsia="Times New Roman" w:cstheme="minorHAnsi"/>
                                <w:color w:val="000000"/>
                                <w:sz w:val="16"/>
                                <w:szCs w:val="16"/>
                                <w:lang w:eastAsia="de-DE"/>
                              </w:rPr>
                              <w:br/>
                              <w:t>(vs. 4 LRP configurations)</w:t>
                            </w:r>
                          </w:p>
                        </w:tc>
                        <w:tc>
                          <w:tcPr>
                            <w:tcW w:w="1943" w:type="dxa"/>
                            <w:vMerge w:val="restart"/>
                            <w:tcBorders>
                              <w:top w:val="single" w:sz="4" w:space="0" w:color="auto"/>
                              <w:left w:val="nil"/>
                              <w:bottom w:val="single" w:sz="4" w:space="0" w:color="auto"/>
                              <w:right w:val="nil"/>
                            </w:tcBorders>
                            <w:tcMar>
                              <w:top w:w="0" w:type="dxa"/>
                              <w:left w:w="57" w:type="dxa"/>
                              <w:bottom w:w="0" w:type="dxa"/>
                              <w:right w:w="57" w:type="dxa"/>
                            </w:tcMar>
                            <w:vAlign w:val="center"/>
                            <w:hideMark/>
                          </w:tcPr>
                          <w:p w14:paraId="2E45B602"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Averaged template beat relevance per class</w:t>
                            </w:r>
                          </w:p>
                          <w:p w14:paraId="43642C37"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Averaged relevance per lead and class</w:t>
                            </w:r>
                          </w:p>
                        </w:tc>
                      </w:tr>
                      <w:tr w:rsidR="0094389A" w14:paraId="1C959C63" w14:textId="77777777">
                        <w:trPr>
                          <w:cantSplit/>
                          <w:trHeight w:val="261"/>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left w:val="nil"/>
                              <w:bottom w:val="single" w:sz="4" w:space="0" w:color="auto"/>
                              <w:right w:val="nil"/>
                            </w:tcBorders>
                            <w:vAlign w:val="center"/>
                            <w:hideMark/>
                          </w:tcPr>
                          <w:p w14:paraId="43F80142" w14:textId="77777777" w:rsidR="0094389A" w:rsidRDefault="0094389A">
                            <w:pPr>
                              <w:rPr>
                                <w:rFonts w:eastAsia="Times New Roman" w:cstheme="minorHAnsi"/>
                                <w:color w:val="000000"/>
                                <w:sz w:val="16"/>
                                <w:szCs w:val="16"/>
                                <w:lang w:val="de-DE" w:eastAsia="de-DE"/>
                              </w:rPr>
                            </w:pPr>
                          </w:p>
                        </w:tc>
                        <w:tc>
                          <w:tcPr>
                            <w:tcW w:w="0" w:type="auto"/>
                            <w:vMerge/>
                            <w:tcBorders>
                              <w:top w:val="single" w:sz="4" w:space="0" w:color="auto"/>
                              <w:left w:val="nil"/>
                              <w:bottom w:val="single" w:sz="4" w:space="0" w:color="auto"/>
                              <w:right w:val="nil"/>
                            </w:tcBorders>
                            <w:vAlign w:val="center"/>
                            <w:hideMark/>
                          </w:tcPr>
                          <w:p w14:paraId="1C550889"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p>
                        </w:tc>
                        <w:tc>
                          <w:tcPr>
                            <w:tcW w:w="0" w:type="auto"/>
                            <w:vMerge/>
                            <w:tcBorders>
                              <w:top w:val="single" w:sz="4" w:space="0" w:color="auto"/>
                              <w:left w:val="nil"/>
                              <w:bottom w:val="single" w:sz="4" w:space="0" w:color="auto"/>
                              <w:right w:val="nil"/>
                            </w:tcBorders>
                            <w:vAlign w:val="center"/>
                            <w:hideMark/>
                          </w:tcPr>
                          <w:p w14:paraId="05353528"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tc>
                        <w:tc>
                          <w:tcPr>
                            <w:tcW w:w="0" w:type="auto"/>
                            <w:vMerge/>
                            <w:tcBorders>
                              <w:top w:val="single" w:sz="4" w:space="0" w:color="auto"/>
                              <w:left w:val="nil"/>
                              <w:bottom w:val="single" w:sz="4" w:space="0" w:color="auto"/>
                              <w:right w:val="nil"/>
                            </w:tcBorders>
                            <w:vAlign w:val="center"/>
                            <w:hideMark/>
                          </w:tcPr>
                          <w:p w14:paraId="6544FAA6"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p>
                        </w:tc>
                        <w:tc>
                          <w:tcPr>
                            <w:tcW w:w="0" w:type="auto"/>
                            <w:vMerge/>
                            <w:tcBorders>
                              <w:top w:val="single" w:sz="4" w:space="0" w:color="auto"/>
                              <w:left w:val="nil"/>
                              <w:bottom w:val="single" w:sz="4" w:space="0" w:color="auto"/>
                              <w:right w:val="nil"/>
                            </w:tcBorders>
                            <w:vAlign w:val="center"/>
                            <w:hideMark/>
                          </w:tcPr>
                          <w:p w14:paraId="22509836"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08EC044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HV:</w:t>
                            </w:r>
                          </w:p>
                          <w:p w14:paraId="616D7F52"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98 % / 2 %</w:t>
                            </w:r>
                          </w:p>
                          <w:p w14:paraId="40BA50F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46C10E50"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Test: 0.036 %</w:t>
                            </w:r>
                          </w:p>
                        </w:tc>
                        <w:tc>
                          <w:tcPr>
                            <w:tcW w:w="426" w:type="dxa"/>
                            <w:tcBorders>
                              <w:top w:val="single" w:sz="4" w:space="0" w:color="auto"/>
                              <w:left w:val="nil"/>
                              <w:bottom w:val="single" w:sz="4" w:space="0" w:color="auto"/>
                              <w:right w:val="nil"/>
                            </w:tcBorders>
                            <w:vAlign w:val="center"/>
                            <w:hideMark/>
                          </w:tcPr>
                          <w:p w14:paraId="774EF33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99.6</w:t>
                            </w:r>
                          </w:p>
                          <w:p w14:paraId="2AD4A0B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92.6</w:t>
                            </w:r>
                          </w:p>
                          <w:p w14:paraId="3A26D8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93.5</w:t>
                            </w:r>
                          </w:p>
                          <w:p w14:paraId="7F4164E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99.7</w:t>
                            </w:r>
                          </w:p>
                        </w:tc>
                        <w:tc>
                          <w:tcPr>
                            <w:tcW w:w="141" w:type="dxa"/>
                            <w:tcBorders>
                              <w:top w:val="single" w:sz="4" w:space="0" w:color="auto"/>
                              <w:left w:val="nil"/>
                              <w:bottom w:val="single" w:sz="4" w:space="0" w:color="auto"/>
                              <w:right w:val="nil"/>
                            </w:tcBorders>
                            <w:vAlign w:val="center"/>
                            <w:hideMark/>
                          </w:tcPr>
                          <w:p w14:paraId="0AC8271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3B8F7F7B"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0B1A766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113C929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tc>
                        <w:tc>
                          <w:tcPr>
                            <w:tcW w:w="426" w:type="dxa"/>
                            <w:tcBorders>
                              <w:top w:val="single" w:sz="4" w:space="0" w:color="auto"/>
                              <w:left w:val="nil"/>
                              <w:bottom w:val="single" w:sz="4" w:space="0" w:color="auto"/>
                              <w:right w:val="nil"/>
                            </w:tcBorders>
                            <w:vAlign w:val="center"/>
                            <w:hideMark/>
                          </w:tcPr>
                          <w:p w14:paraId="5BD0E13B"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99.6</w:t>
                            </w:r>
                          </w:p>
                          <w:p w14:paraId="775D729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87.0</w:t>
                            </w:r>
                          </w:p>
                          <w:p w14:paraId="5702FD9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76.9</w:t>
                            </w:r>
                          </w:p>
                          <w:p w14:paraId="28C7CD7F"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100.0</w:t>
                            </w:r>
                          </w:p>
                        </w:tc>
                        <w:tc>
                          <w:tcPr>
                            <w:tcW w:w="0" w:type="auto"/>
                            <w:vMerge/>
                            <w:tcBorders>
                              <w:top w:val="single" w:sz="4" w:space="0" w:color="auto"/>
                              <w:left w:val="nil"/>
                              <w:bottom w:val="single" w:sz="4" w:space="0" w:color="auto"/>
                              <w:right w:val="nil"/>
                            </w:tcBorders>
                            <w:vAlign w:val="center"/>
                            <w:hideMark/>
                          </w:tcPr>
                          <w:p w14:paraId="14233EBB"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tc>
                        <w:tc>
                          <w:tcPr>
                            <w:tcW w:w="0" w:type="auto"/>
                            <w:vMerge/>
                            <w:tcBorders>
                              <w:top w:val="single" w:sz="4" w:space="0" w:color="auto"/>
                              <w:left w:val="nil"/>
                              <w:bottom w:val="single" w:sz="4" w:space="0" w:color="auto"/>
                              <w:right w:val="nil"/>
                            </w:tcBorders>
                            <w:vAlign w:val="center"/>
                            <w:hideMark/>
                          </w:tcPr>
                          <w:p w14:paraId="272A4B40"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tc>
                      </w:tr>
                      <w:tr w:rsidR="0094389A" w14:paraId="42EFE64D" w14:textId="77777777">
                        <w:trPr>
                          <w:cantSplit/>
                          <w:trHeight w:val="1043"/>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4" w:space="0" w:color="auto"/>
                              <w:right w:val="nil"/>
                            </w:tcBorders>
                            <w:noWrap/>
                            <w:textDirection w:val="btLr"/>
                            <w:vAlign w:val="center"/>
                            <w:hideMark/>
                          </w:tcPr>
                          <w:p w14:paraId="329D360B" w14:textId="77777777" w:rsidR="0094389A" w:rsidRDefault="0094389A">
                            <w:pPr>
                              <w:ind w:left="113" w:right="113"/>
                              <w:jc w:val="center"/>
                              <w:rPr>
                                <w:rFonts w:eastAsia="Times New Roman" w:cstheme="minorHAnsi"/>
                                <w:b w:val="0"/>
                                <w:bCs w:val="0"/>
                                <w:color w:val="000000"/>
                                <w:sz w:val="16"/>
                                <w:szCs w:val="16"/>
                                <w:lang w:val="de-DE" w:eastAsia="de-DE"/>
                              </w:rPr>
                            </w:pPr>
                            <w:r>
                              <w:rPr>
                                <w:rFonts w:eastAsia="Times New Roman" w:cstheme="minorHAnsi"/>
                                <w:b w:val="0"/>
                                <w:bCs w:val="0"/>
                                <w:color w:val="000000"/>
                                <w:sz w:val="16"/>
                                <w:szCs w:val="16"/>
                                <w:lang w:val="de-DE" w:eastAsia="de-DE"/>
                              </w:rPr>
                              <w:t xml:space="preserve">Goettling </w:t>
                            </w:r>
                            <w:r>
                              <w:rPr>
                                <w:rFonts w:eastAsia="Times New Roman" w:cstheme="minorHAnsi"/>
                                <w:b w:val="0"/>
                                <w:bCs w:val="0"/>
                                <w:i/>
                                <w:iCs/>
                                <w:color w:val="000000"/>
                                <w:sz w:val="16"/>
                                <w:szCs w:val="16"/>
                                <w:lang w:val="de-DE" w:eastAsia="de-DE"/>
                              </w:rPr>
                              <w:t>et al.</w:t>
                            </w:r>
                            <w:r>
                              <w:rPr>
                                <w:rFonts w:eastAsia="Times New Roman" w:cstheme="minorHAnsi"/>
                                <w:b w:val="0"/>
                                <w:bCs w:val="0"/>
                                <w:color w:val="000000"/>
                                <w:sz w:val="16"/>
                                <w:szCs w:val="16"/>
                                <w:lang w:val="de-DE" w:eastAsia="de-DE"/>
                              </w:rPr>
                              <w:t xml:space="preserve"> (2024)</w:t>
                            </w:r>
                            <w:r>
                              <w:rPr>
                                <w:rStyle w:val="rynqvb"/>
                                <w:noProof/>
                                <w:sz w:val="16"/>
                                <w:szCs w:val="16"/>
                              </w:rPr>
                              <w:fldChar w:fldCharType="begin"/>
                            </w:r>
                            <w:r>
                              <w:rPr>
                                <w:rStyle w:val="rynqvb"/>
                                <w:b w:val="0"/>
                                <w:bCs w:val="0"/>
                                <w:noProof/>
                                <w:sz w:val="16"/>
                                <w:szCs w:val="16"/>
                              </w:rPr>
                              <w:instrText xml:space="preserve"> ADDIN ZOTERO_ITEM CSL_CITATION {"citationID":"KFny9pDp","properties":{"formattedCitation":"\\super 15\\nosupersub{}","plainCitation":"15","noteIndex":0},"citationItems":[{"id":2317,"uris":["http://zotero.org/users/3633911/items/VVSAXM3D"],"itemData":{"id":2317,"type":"article-journal","container-title":"Scientific Reports","DOI":"10.1038/s41598-024-63656-x","journalAbbreviation":"Sci Rep","license":"All rights reserved","page":"13122","title":"xECGArch: a trustworthy deep learning architecture for interpretable ECG analysis considering short-term and long-term features","volume":"14","author":[{"family":"Goettling","given":"Marc"},{"family":"Hammer","given":"Alexander"},{"family":"Malberg","given":"Hagen"},{"family":"Schmidt","given":"Martin"}],"issued":{"date-parts":[["2024",6,7]]},"citation-key":"goettlingXECGArchTrustworthyDeep2024"}}],"schema":"https://github.com/citation-style-language/schema/raw/master/csl-citation.json"} </w:instrText>
                            </w:r>
                            <w:r>
                              <w:rPr>
                                <w:rStyle w:val="rynqvb"/>
                                <w:noProof/>
                                <w:sz w:val="16"/>
                                <w:szCs w:val="16"/>
                              </w:rPr>
                              <w:fldChar w:fldCharType="separate"/>
                            </w:r>
                            <w:r>
                              <w:rPr>
                                <w:rFonts w:ascii="Calibri" w:hAnsi="Calibri" w:cs="Calibri"/>
                                <w:sz w:val="16"/>
                                <w:vertAlign w:val="superscript"/>
                              </w:rPr>
                              <w:t>15</w:t>
                            </w:r>
                            <w:r>
                              <w:rPr>
                                <w:rStyle w:val="rynqvb"/>
                                <w:noProof/>
                                <w:sz w:val="16"/>
                                <w:szCs w:val="16"/>
                              </w:rPr>
                              <w:fldChar w:fldCharType="end"/>
                            </w:r>
                          </w:p>
                        </w:tc>
                        <w:tc>
                          <w:tcPr>
                            <w:tcW w:w="283" w:type="dxa"/>
                            <w:tcBorders>
                              <w:top w:val="single" w:sz="4" w:space="0" w:color="auto"/>
                              <w:left w:val="nil"/>
                              <w:bottom w:val="single" w:sz="4" w:space="0" w:color="auto"/>
                              <w:right w:val="nil"/>
                            </w:tcBorders>
                            <w:noWrap/>
                            <w:vAlign w:val="center"/>
                            <w:hideMark/>
                          </w:tcPr>
                          <w:p w14:paraId="542F00B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1</w:t>
                            </w:r>
                          </w:p>
                        </w:tc>
                        <w:tc>
                          <w:tcPr>
                            <w:tcW w:w="1375" w:type="dxa"/>
                            <w:tcBorders>
                              <w:top w:val="single" w:sz="4" w:space="0" w:color="auto"/>
                              <w:left w:val="nil"/>
                              <w:bottom w:val="single" w:sz="4" w:space="0" w:color="auto"/>
                              <w:right w:val="nil"/>
                            </w:tcBorders>
                            <w:tcMar>
                              <w:top w:w="0" w:type="dxa"/>
                              <w:left w:w="57" w:type="dxa"/>
                              <w:bottom w:w="0" w:type="dxa"/>
                              <w:right w:w="57" w:type="dxa"/>
                            </w:tcMar>
                            <w:vAlign w:val="center"/>
                          </w:tcPr>
                          <w:p w14:paraId="2A3A3EB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AF detection (AF, n-AF)</w:t>
                            </w:r>
                          </w:p>
                          <w:p w14:paraId="1785106F"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66D421E7"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2</w:t>
                            </w:r>
                          </w:p>
                          <w:p w14:paraId="732581D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yes</w:t>
                            </w:r>
                          </w:p>
                        </w:tc>
                        <w:tc>
                          <w:tcPr>
                            <w:tcW w:w="964"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00F4118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roofErr w:type="spellStart"/>
                            <w:r>
                              <w:rPr>
                                <w:rFonts w:eastAsia="Times New Roman" w:cstheme="minorHAnsi"/>
                                <w:color w:val="000000"/>
                                <w:sz w:val="16"/>
                                <w:szCs w:val="16"/>
                                <w:lang w:eastAsia="de-DE"/>
                              </w:rPr>
                              <w:t>xECGArch</w:t>
                            </w:r>
                            <w:proofErr w:type="spellEnd"/>
                            <w:r>
                              <w:rPr>
                                <w:rFonts w:eastAsia="Times New Roman" w:cstheme="minorHAnsi"/>
                                <w:color w:val="000000"/>
                                <w:sz w:val="16"/>
                                <w:szCs w:val="16"/>
                                <w:lang w:eastAsia="de-DE"/>
                              </w:rPr>
                              <w:t xml:space="preserve"> (long-term + short-term CNN)</w:t>
                            </w:r>
                          </w:p>
                        </w:tc>
                        <w:tc>
                          <w:tcPr>
                            <w:tcW w:w="991"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2E50D62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Chapman/ Shaoxing</w:t>
                            </w:r>
                            <w:r>
                              <w:rPr>
                                <w:rFonts w:cstheme="minorHAnsi"/>
                                <w:noProof/>
                                <w:sz w:val="16"/>
                                <w:szCs w:val="16"/>
                              </w:rPr>
                              <w:fldChar w:fldCharType="begin"/>
                            </w:r>
                            <w:r>
                              <w:rPr>
                                <w:rFonts w:cstheme="minorHAnsi"/>
                                <w:noProof/>
                                <w:sz w:val="16"/>
                                <w:szCs w:val="16"/>
                              </w:rPr>
                              <w:instrText xml:space="preserve"> ADDIN ZOTERO_ITEM CSL_CITATION {"citationID":"wKpZwN5d","properties":{"formattedCitation":"\\super 36\\nosupersub{}","plainCitation":"36","noteIndex":0},"citationItems":[{"id":2240,"uris":["http://zotero.org/users/3633911/items/QTHLTFHT"],"itemData":{"id":2240,"type":"article-journal","abstract":"This newly inaugurated research database for 12-lead electrocardiogram signals was created under the auspices of Chapman University and Shaoxing People’s Hospital (Shaoxing Hospital Zhejiang University School of Medicine) and aims to enable the scientific community in conducting new studies on arrhythmia and other cardiovascular conditions. Certain types of arrhythmias, such as atrial fibrillation, have a pronounced negative impact on public health, quality of life, and medical expenditures. As a non-invasive test, long term ECG monitoring is a major and vital diagnostic tool for detecting these conditions. This practice, however, generates large amounts of data, the analysis of which requires considerable time and effort by human experts. Advancement of modern machine learning and statistical tools can be trained on high quality, large data to achieve exceptional levels of automated diagnostic accuracy. Thus, we collected and disseminated this novel database that contains 12-lead ECGs of 10,646 patients with a 500</w:instrText>
                            </w:r>
                            <w:r>
                              <w:rPr>
                                <w:rFonts w:ascii="Arial" w:hAnsi="Arial" w:cs="Arial"/>
                                <w:noProof/>
                                <w:sz w:val="16"/>
                                <w:szCs w:val="16"/>
                              </w:rPr>
                              <w:instrText> </w:instrText>
                            </w:r>
                            <w:r>
                              <w:rPr>
                                <w:rFonts w:cstheme="minorHAnsi"/>
                                <w:noProof/>
                                <w:sz w:val="16"/>
                                <w:szCs w:val="16"/>
                              </w:rPr>
                              <w:instrText xml:space="preserve">Hz sampling rate that features 11 common rhythms and 67 additional cardiovascular conditions, all labeled by professional experts. The dataset consists of 10-second, 12-dimension ECGs and labels for rhythms and other conditions for each subject. The dataset can be used to design, compare, and fine-tune new and classical statistical and machine learning techniques in studies focused on arrhythmia and other cardiovascular conditions.","container-title":"Scientific Reports","DOI":"10.1038/s41598-020-59821-7","ISSN":"2045-2322","issue":"1","journalAbbreviation":"Sci Rep","page":"2898","source":"www.nature.com","title":"Optimal Multi-Stage Arrhythmia Classification Approach","volume":"10","author":[{"family":"Zheng","given":"Jianwei"},{"family":"Chu","given":"Huimin"},{"family":"Struppa","given":"Daniele"},{"family":"Zhang","given":"Jianming"},{"family":"Yacoub","given":"Magdi"},{"family":"El-Askary","given":"Hesham"},{"family":"Chang","given":"Anthony"},{"family":"Ehwerhemuepha","given":"Louis"},{"family":"Abudayyeh","given":"Islam"},{"family":"Barrett","given":"Alexander"},{"family":"Fu","given":"Guohua"},{"family":"Yao","given":"Hai"},{"family":"Li","given":"Dongbo"},{"family":"Guo","given":"Hangyuan"},{"family":"Rakovski","given":"Cyril"}],"issued":{"date-parts":[["2020",2,19]]},"citation-key":"zhengOptimalMultiStageArrhythmia2020"}}],"schema":"https://github.com/citation-style-language/schema/raw/master/csl-citation.json"} </w:instrText>
                            </w:r>
                            <w:r>
                              <w:rPr>
                                <w:rFonts w:cstheme="minorHAnsi"/>
                                <w:noProof/>
                                <w:sz w:val="16"/>
                                <w:szCs w:val="16"/>
                              </w:rPr>
                              <w:fldChar w:fldCharType="separate"/>
                            </w:r>
                            <w:r>
                              <w:rPr>
                                <w:rFonts w:ascii="Calibri" w:hAnsi="Calibri" w:cs="Calibri"/>
                                <w:sz w:val="16"/>
                                <w:vertAlign w:val="superscript"/>
                              </w:rPr>
                              <w:t>36</w:t>
                            </w:r>
                            <w:r>
                              <w:rPr>
                                <w:rFonts w:cstheme="minorHAnsi"/>
                                <w:noProof/>
                                <w:sz w:val="16"/>
                                <w:szCs w:val="16"/>
                              </w:rPr>
                              <w:fldChar w:fldCharType="end"/>
                            </w:r>
                            <w:r>
                              <w:rPr>
                                <w:rFonts w:cstheme="minorHAnsi"/>
                                <w:noProof/>
                                <w:sz w:val="16"/>
                                <w:szCs w:val="16"/>
                              </w:rPr>
                              <w:t>, CPSC2018</w:t>
                            </w:r>
                            <w:r>
                              <w:rPr>
                                <w:rFonts w:cstheme="minorHAnsi"/>
                                <w:noProof/>
                                <w:sz w:val="16"/>
                                <w:szCs w:val="16"/>
                              </w:rPr>
                              <w:fldChar w:fldCharType="begin"/>
                            </w:r>
                            <w:r>
                              <w:rPr>
                                <w:rFonts w:cstheme="minorHAnsi"/>
                                <w:noProof/>
                                <w:sz w:val="16"/>
                                <w:szCs w:val="16"/>
                              </w:rPr>
                              <w:instrText xml:space="preserve"> ADDIN ZOTERO_ITEM CSL_CITATION {"citationID":"MpCY8Wix","properties":{"formattedCitation":"\\super 35\\nosupersub{}","plainCitation":"35","noteIndex":0},"citationItems":[{"id":2242,"uris":["http://zotero.org/users/3633911/items/4G88PYSW"],"itemData":{"id":2242,"type":"article-journal","container-title":"Journal of Medical Imaging and Health Informatics","DOI":"10.1166/jmihi.2018.2442","issue":"7","journalAbbreviation":"J Med Imaging Health Infor","page":"1368-1373","title":"An open access database for evaluating the algorithms of ECG rhythm and morphology abnormal detection","volume":"8","author":[{"family":"Liu","given":"F. F."},{"family":"Liu","given":"C. Y."},{"family":"Zhao","given":"L. N."},{"family":"Zhang","given":"X. Y."},{"family":"Wu","given":"X. L."},{"family":"Xu","given":"X. Y."},{"family":"Liu","given":"Y. L."},{"family":"Ma","given":"C. Y."},{"family":"Wei","given":"S. S."},{"family":"He","given":"Z. Q."},{"family":"Li","given":"J. Q."},{"family":"Kwee","given":"N. Y."}],"issued":{"date-parts":[["2018",9,1]]},"citation-key":"liuOpenAccessDatabase2018"}}],"schema":"https://github.com/citation-style-language/schema/raw/master/csl-citation.json"} </w:instrText>
                            </w:r>
                            <w:r>
                              <w:rPr>
                                <w:rFonts w:cstheme="minorHAnsi"/>
                                <w:noProof/>
                                <w:sz w:val="16"/>
                                <w:szCs w:val="16"/>
                              </w:rPr>
                              <w:fldChar w:fldCharType="separate"/>
                            </w:r>
                            <w:r>
                              <w:rPr>
                                <w:rFonts w:ascii="Calibri" w:hAnsi="Calibri" w:cs="Calibri"/>
                                <w:sz w:val="16"/>
                                <w:vertAlign w:val="superscript"/>
                              </w:rPr>
                              <w:t>35</w:t>
                            </w:r>
                            <w:r>
                              <w:rPr>
                                <w:rFonts w:cstheme="minorHAnsi"/>
                                <w:noProof/>
                                <w:sz w:val="16"/>
                                <w:szCs w:val="16"/>
                              </w:rPr>
                              <w:fldChar w:fldCharType="end"/>
                            </w:r>
                            <w:r>
                              <w:rPr>
                                <w:rFonts w:cstheme="minorHAnsi"/>
                                <w:noProof/>
                                <w:sz w:val="16"/>
                                <w:szCs w:val="16"/>
                              </w:rPr>
                              <w:t>, Georgia</w:t>
                            </w:r>
                            <w:r>
                              <w:rPr>
                                <w:rFonts w:cstheme="minorHAnsi"/>
                                <w:noProof/>
                                <w:sz w:val="16"/>
                                <w:szCs w:val="16"/>
                              </w:rPr>
                              <w:fldChar w:fldCharType="begin"/>
                            </w:r>
                            <w:r>
                              <w:rPr>
                                <w:rFonts w:cstheme="minorHAnsi"/>
                                <w:noProof/>
                                <w:sz w:val="16"/>
                                <w:szCs w:val="16"/>
                              </w:rPr>
                              <w:instrText xml:space="preserve"> ADDIN ZOTERO_ITEM CSL_CITATION {"citationID":"pyKEx2Wq","properties":{"formattedCitation":"\\super 38,39\\nosupersub{}","plainCitation":"38,39","noteIndex":0},"citationItems":[{"id":1788,"uris":["http://zotero.org/users/3633911/items/C7Y6EF7Z"],"itemData":{"id":1788,"type":"article-journal","abstract":"Objective: Vast 12-lead ECGs repositories provide opportunities to develop new machine learning approaches for creating accurate and automatic diagnostic systems for cardiac abnormalities. However, most 12-lead ECG classification studies are trained, tested, or developed in single, small, or relatively homogeneous datasets. In addition, most algorithms focus on identifying small numbers of cardiac arrhythmias that do not represent the complexity and difficulty of ECG interpretation. This work addresses these issues by providing a standard, multi-institutional database and a novel scoring metric through a public competition: the PhysioNet/Computing in Cardiology Challenge 2020. Approach: A total of 66 361 12-lead ECG recordings were sourced from six hospital systems from four countries across three continents; 43 101 recordings were posted publicly with a focus on 27 diagnoses. For the first time in a public competition, we required teams to publish open-source code for both training and testing their algorithms, ensuring full scientific reproducibility. Main results: A total of 217 teams submitted 1395 algorithms during the Challenge, representing a diversity of approaches for identifying cardiac abnormalities from both academia and industry. As with previous Challenges, high-performing algorithms exhibited significant drops (10%) in performance on the hidden test data. Significance: Data from diverse institutions allowed us to assess algorithmic generalizability. A novel evaluation metric considered different misclassification errors for different cardiac abnormalities, capturing the outcomes and risks of different diagnoses. Requiring both trained models and code for training models improved the generalizability of submissions, setting a new bar in reproducibility for public data science competitions.","container-title":"Physiological Measurement","DOI":"10.1088/1361-6579/abc960","ISSN":"0967-3334","issue":"12","journalAbbreviation":"Physiol. Meas.","note":"publisher: IOP Publishing","page":"124003","source":"Institute of Physics","title":"Classification of 12-lead ECGs: The PhysioNet/Computing in Cardiology Challenge 2020","title-short":"Classification of 12-lead ECGs","volume":"41","author":[{"family":"Perez Alday","given":"Eric A."},{"family":"Gu","given":"A"},{"family":"Shah","given":"A"},{"family":"Robichaux","given":"C"},{"family":"Wong","given":"AI"},{"family":"Liu","given":"C"},{"family":"Liu","given":"F"},{"family":"Rad","given":"AB"},{"family":"Elola","given":"A"},{"family":"Seyedi","given":"S"},{"family":"Li","given":"Q"},{"family":"Sharma","given":"A"},{"family":"Clifford","given":"GD"},{"family":"Reyna","given":"MA"}],"issued":{"date-parts":[["2021",1,1]]},"citation-key":"perezaldayClassification12leadECGs2021"}},{"id":2245,"uris":["http://zotero.org/users/3633911/items/JIF37HL5"],"itemData":{"id":2245,"type":"dataset","DOI":"10.13026/dvyd-kd57","publisher":"PhysioNet","title":"Classification of 12-lead ECGs: The PhysioNet/Computing in Cardiology Challenge 2020","URL":"https://doi.org/10.13026/dvyd-kd57","version":"1.0.2","author":[{"family":"Perez Alday","given":"Eric A"},{"family":"Gu","given":"A"},{"family":"Shah","given":"AJ"},{"family":"Liu","given":"C"},{"family":"Sharma","given":"A"},{"family":"Seyedi","given":"S"},{"family":"Bahrami Rad","given":"A"},{"family":"Reyna","given":"M"},{"family":"Clifford","given":"Gari D"}],"citation-key":"perezaldayClassification12leadECGs"}}],"schema":"https://github.com/citation-style-language/schema/raw/master/csl-citation.json"} </w:instrText>
                            </w:r>
                            <w:r>
                              <w:rPr>
                                <w:rFonts w:cstheme="minorHAnsi"/>
                                <w:noProof/>
                                <w:sz w:val="16"/>
                                <w:szCs w:val="16"/>
                              </w:rPr>
                              <w:fldChar w:fldCharType="separate"/>
                            </w:r>
                            <w:r>
                              <w:rPr>
                                <w:rFonts w:ascii="Calibri" w:hAnsi="Calibri" w:cs="Calibri"/>
                                <w:sz w:val="16"/>
                                <w:vertAlign w:val="superscript"/>
                              </w:rPr>
                              <w:t>38,39</w:t>
                            </w:r>
                            <w:r>
                              <w:rPr>
                                <w:rFonts w:cstheme="minorHAnsi"/>
                                <w:noProof/>
                                <w:sz w:val="16"/>
                                <w:szCs w:val="16"/>
                              </w:rPr>
                              <w:fldChar w:fldCharType="end"/>
                            </w:r>
                            <w:r>
                              <w:rPr>
                                <w:rFonts w:cstheme="minorHAnsi"/>
                                <w:noProof/>
                                <w:sz w:val="16"/>
                                <w:szCs w:val="16"/>
                              </w:rPr>
                              <w:t>, PTB-XL</w:t>
                            </w:r>
                            <w:r>
                              <w:rPr>
                                <w:rFonts w:cstheme="minorHAnsi"/>
                                <w:noProof/>
                                <w:sz w:val="16"/>
                                <w:szCs w:val="16"/>
                              </w:rPr>
                              <w:fldChar w:fldCharType="begin"/>
                            </w:r>
                            <w:r>
                              <w:rPr>
                                <w:rFonts w:cstheme="minorHAnsi"/>
                                <w:noProof/>
                                <w:sz w:val="16"/>
                                <w:szCs w:val="16"/>
                              </w:rPr>
                              <w:instrText xml:space="preserve"> ADDIN ZOTERO_ITEM CSL_CITATION {"citationID":"nGEQhAFy","properties":{"formattedCitation":"\\super 5,40\\nosupersub{}","plainCitation":"5,40","noteIndex":0},"citationItems":[{"id":2237,"uris":["http://zotero.org/users/3633911/items/L6A454RE"],"itemData":{"id":2237,"type":"article-journal","abstract":"Electrocardiography (ECG) is a key non-invasive diagnostic tool for cardiovascular diseases which is increasingly supported by algorithms based on machine learning. Major obstacles for the development of automatic ECG interpretation algorithms are both the lack of public datasets and well-defined benchmarking procedures to allow comparison s of different algorithms. To address these issues, we put forward PTB-XL, the to-date largest freely accessible clinical 12-lead ECG-waveform dataset comprising 21837 records from 18885 patients of 10</w:instrText>
                            </w:r>
                            <w:r>
                              <w:rPr>
                                <w:rFonts w:ascii="Arial" w:hAnsi="Arial" w:cs="Arial"/>
                                <w:noProof/>
                                <w:sz w:val="16"/>
                                <w:szCs w:val="16"/>
                              </w:rPr>
                              <w:instrText> </w:instrText>
                            </w:r>
                            <w:r>
                              <w:rPr>
                                <w:rFonts w:cstheme="minorHAnsi"/>
                                <w:noProof/>
                                <w:sz w:val="16"/>
                                <w:szCs w:val="16"/>
                              </w:rPr>
                              <w:instrText xml:space="preserve">seconds length. The ECG-waveform data was annotated by up to two cardiologists as a multi-label dataset, where diagnostic labels were further aggregated into super and subclasses. The dataset covers a broad range of diagnostic classes including, in particular, a large fraction of healthy records. The combination with additional metadata on demographics, additional diagnostic statements, diagnosis likelihoods, manually annotated signal properties as well as suggested folds for splitting training and test sets turns the dataset into a rich resource for the development and the evaluation of automatic ECG interpretation algorithms.","container-title":"Scientific Data","DOI":"10.1038/s41597-020-0495-6","ISSN":"2052-4463","issue":"1","journalAbbreviation":"Sci Data","page":"154","source":"www.nature.com","title":"PTB-XL, a large publicly available electrocardiography dataset","volume":"7","author":[{"family":"Wagner","given":"Patrick"},{"family":"Strodthoff","given":"Nils"},{"family":"Bousseljot","given":"Ralf-Dieter"},{"family":"Kreiseler","given":"Dieter"},{"family":"Lunze","given":"Fatima I."},{"family":"Samek","given":"Wojciech"},{"family":"Schaeffter","given":"Tobias"}],"issued":{"date-parts":[["2020",5,25]]},"citation-key":"wagnerPTBXLLargePublicly2020"}},{"id":2239,"uris":["http://zotero.org/users/3633911/items/CKP3R6W3"],"itemData":{"id":2239,"type":"dataset","DOI":"10.13026/kfzx-aw45","publisher":"PhysioNet","title":"PTB-XL, a large publicly available electrocardiography dataset","URL":"https://doi.org/10.13026/kfzx-aw45","version":"1.0.3","author":[{"family":"Wagner","given":"Patrick"},{"family":"Strodthoff","given":"Nils"},{"family":"Bousseljot","given":"Ralf-Dieter"},{"family":"Samek","given":"Wojciech"},{"family":"Schaeffter","given":"Tobias"}],"issued":{"date-parts":[["2022"]]},"citation-key":"wagnerPTBXLLargePublicly2022"}}],"schema":"https://github.com/citation-style-language/schema/raw/master/csl-citation.json"} </w:instrText>
                            </w:r>
                            <w:r>
                              <w:rPr>
                                <w:rFonts w:cstheme="minorHAnsi"/>
                                <w:noProof/>
                                <w:sz w:val="16"/>
                                <w:szCs w:val="16"/>
                              </w:rPr>
                              <w:fldChar w:fldCharType="separate"/>
                            </w:r>
                            <w:r>
                              <w:rPr>
                                <w:rFonts w:ascii="Calibri" w:hAnsi="Calibri" w:cs="Calibri"/>
                                <w:sz w:val="16"/>
                                <w:vertAlign w:val="superscript"/>
                              </w:rPr>
                              <w:t>5,40</w:t>
                            </w:r>
                            <w:r>
                              <w:rPr>
                                <w:rFonts w:cstheme="minorHAnsi"/>
                                <w:noProof/>
                                <w:sz w:val="16"/>
                                <w:szCs w:val="16"/>
                              </w:rPr>
                              <w:fldChar w:fldCharType="end"/>
                            </w:r>
                          </w:p>
                          <w:p w14:paraId="6E33C6B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9,854</w:t>
                            </w:r>
                          </w:p>
                          <w:p w14:paraId="535C5E0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color w:val="000000"/>
                                <w:sz w:val="16"/>
                                <w:szCs w:val="16"/>
                                <w:lang w:eastAsia="de-DE"/>
                              </w:rPr>
                              <w:t>(AF: 50 %)</w:t>
                            </w: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1990CDB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CV: 5-fold</w:t>
                            </w:r>
                          </w:p>
                          <w:p w14:paraId="63300F9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
                          <w:p w14:paraId="45D3CDBB"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Test: 10 %</w:t>
                            </w:r>
                          </w:p>
                        </w:tc>
                        <w:tc>
                          <w:tcPr>
                            <w:tcW w:w="426" w:type="dxa"/>
                            <w:tcBorders>
                              <w:top w:val="single" w:sz="4" w:space="0" w:color="auto"/>
                              <w:left w:val="nil"/>
                              <w:bottom w:val="single" w:sz="4" w:space="0" w:color="auto"/>
                              <w:right w:val="nil"/>
                            </w:tcBorders>
                            <w:vAlign w:val="center"/>
                            <w:hideMark/>
                          </w:tcPr>
                          <w:p w14:paraId="698854A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E245CB7"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4405AE5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8FE6C5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41" w:type="dxa"/>
                            <w:tcBorders>
                              <w:top w:val="single" w:sz="4" w:space="0" w:color="auto"/>
                              <w:left w:val="nil"/>
                              <w:bottom w:val="single" w:sz="4" w:space="0" w:color="auto"/>
                              <w:right w:val="nil"/>
                            </w:tcBorders>
                            <w:vAlign w:val="center"/>
                            <w:hideMark/>
                          </w:tcPr>
                          <w:p w14:paraId="438E2D0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40632C7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37AD4B1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E2668E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426" w:type="dxa"/>
                            <w:tcBorders>
                              <w:top w:val="single" w:sz="4" w:space="0" w:color="auto"/>
                              <w:left w:val="nil"/>
                              <w:bottom w:val="single" w:sz="4" w:space="0" w:color="auto"/>
                              <w:right w:val="nil"/>
                            </w:tcBorders>
                            <w:vAlign w:val="center"/>
                            <w:hideMark/>
                          </w:tcPr>
                          <w:p w14:paraId="72924A1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95.3</w:t>
                            </w:r>
                          </w:p>
                          <w:p w14:paraId="71304F3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95.4</w:t>
                            </w:r>
                          </w:p>
                          <w:p w14:paraId="655B86C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94.9</w:t>
                            </w:r>
                          </w:p>
                          <w:p w14:paraId="034EA17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95.8</w:t>
                            </w:r>
                          </w:p>
                        </w:tc>
                        <w:tc>
                          <w:tcPr>
                            <w:tcW w:w="1049"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7A9520E7" w14:textId="77777777" w:rsidR="0094389A" w:rsidRDefault="0094389A">
                            <w:pPr>
                              <w:suppressAutoHyphens/>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 xml:space="preserve">13 methods, including DTD, </w:t>
                            </w:r>
                            <w:proofErr w:type="spellStart"/>
                            <w:r>
                              <w:rPr>
                                <w:rFonts w:eastAsia="Times New Roman" w:cstheme="minorHAnsi"/>
                                <w:color w:val="000000"/>
                                <w:sz w:val="16"/>
                                <w:szCs w:val="16"/>
                                <w:lang w:eastAsia="de-DE"/>
                              </w:rPr>
                              <w:t>GradCAM</w:t>
                            </w:r>
                            <w:proofErr w:type="spellEnd"/>
                            <w:r>
                              <w:rPr>
                                <w:rFonts w:eastAsia="Times New Roman" w:cstheme="minorHAnsi"/>
                                <w:color w:val="000000"/>
                                <w:sz w:val="16"/>
                                <w:szCs w:val="16"/>
                                <w:lang w:eastAsia="de-DE"/>
                              </w:rPr>
                              <w:t>, and 4 LRP configurations</w:t>
                            </w:r>
                          </w:p>
                        </w:tc>
                        <w:tc>
                          <w:tcPr>
                            <w:tcW w:w="1943"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461C337C"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Averaged template beat relevance per class and model</w:t>
                            </w:r>
                          </w:p>
                        </w:tc>
                      </w:tr>
                      <w:tr w:rsidR="0094389A" w14:paraId="1EE9B595" w14:textId="77777777">
                        <w:trPr>
                          <w:cantSplit/>
                          <w:trHeight w:val="1043"/>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4" w:space="0" w:color="auto"/>
                              <w:right w:val="nil"/>
                            </w:tcBorders>
                            <w:noWrap/>
                            <w:textDirection w:val="btLr"/>
                            <w:vAlign w:val="center"/>
                            <w:hideMark/>
                          </w:tcPr>
                          <w:p w14:paraId="0862F20A" w14:textId="77777777" w:rsidR="0094389A" w:rsidRDefault="0094389A">
                            <w:pPr>
                              <w:ind w:left="113" w:right="113"/>
                              <w:jc w:val="center"/>
                              <w:rPr>
                                <w:rFonts w:eastAsia="Times New Roman" w:cstheme="minorHAnsi"/>
                                <w:color w:val="000000"/>
                                <w:sz w:val="16"/>
                                <w:szCs w:val="16"/>
                                <w:lang w:val="de-DE" w:eastAsia="de-DE"/>
                              </w:rPr>
                            </w:pPr>
                            <w:r>
                              <w:rPr>
                                <w:rFonts w:eastAsia="Times New Roman" w:cstheme="minorHAnsi"/>
                                <w:b w:val="0"/>
                                <w:bCs w:val="0"/>
                                <w:color w:val="000000"/>
                                <w:sz w:val="16"/>
                                <w:szCs w:val="16"/>
                                <w:lang w:val="de-DE" w:eastAsia="de-DE"/>
                              </w:rPr>
                              <w:t xml:space="preserve">Honarvar </w:t>
                            </w:r>
                            <w:r>
                              <w:rPr>
                                <w:rFonts w:eastAsia="Times New Roman" w:cstheme="minorHAnsi"/>
                                <w:b w:val="0"/>
                                <w:bCs w:val="0"/>
                                <w:i/>
                                <w:iCs/>
                                <w:color w:val="000000"/>
                                <w:sz w:val="16"/>
                                <w:szCs w:val="16"/>
                                <w:lang w:val="de-DE" w:eastAsia="de-DE"/>
                              </w:rPr>
                              <w:t>et al.</w:t>
                            </w:r>
                            <w:r>
                              <w:rPr>
                                <w:rFonts w:eastAsia="Times New Roman" w:cstheme="minorHAnsi"/>
                                <w:b w:val="0"/>
                                <w:bCs w:val="0"/>
                                <w:color w:val="000000"/>
                                <w:sz w:val="16"/>
                                <w:szCs w:val="16"/>
                                <w:lang w:val="de-DE" w:eastAsia="de-DE"/>
                              </w:rPr>
                              <w:t xml:space="preserve"> (2022)</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val="de-DE" w:eastAsia="de-DE"/>
                              </w:rPr>
                              <w:instrText xml:space="preserve"> ADDIN ZOTERO_ITEM CSL_CITATION {"citationID":"o1LunNsF","properties":{"formattedCitation":"\\super 23\\nosupersub{}","plainCitation":"23","noteIndex":0},"citationItems":[{"id":2370,"uris":["http://zotero.org/users/3633911/items/Y6MUYT2Q"],"itemData":{"id":2370,"type":"article-journal","container-title":"Cardiovascular Digital Health Journal","DOI":"10.1016/j.cvdhj.2022.07.074","ISSN":"2666-6936","issue":"5","journalAbbreviation":"Cardiovasc Digit Health J","note":"publisher: Elsevier","page":"220-231","source":"www.cvdigitalhealthjournal.com","title":"Enhancing convolutional neural network predictions of electrocardiograms with left ventricular dysfunction using a novel sub-waveform representation","volume":"3","author":[{"family":"Honarvar","given":"Hossein"},{"family":"Agarwal","given":"Chirag"},{"family":"Somani","given":"Sulaiman"},{"family":"Vaid","given":"Akhil"},{"family":"Lampert","given":"Joshua"},{"family":"Wanyan","given":"Tingyi"},{"family":"Reddy","given":"Vivek Y."},{"family":"Nadkarni","given":"Girish N."},{"family":"Miotto","given":"Riccardo"},{"family":"Zitnik","given":"Marinka"},{"family":"Wang","given":"Fei"},{"family":"Glicksberg","given":"Benjamin S."}],"issued":{"date-parts":[["2022",8,11]]},"citation-key":"honarvarEnhancingConvolutionalNeural2022"}}],"schema":"https://github.com/citation-style-language/schema/raw/master/csl-citation.json"}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23</w:t>
                            </w:r>
                            <w:r>
                              <w:rPr>
                                <w:rFonts w:eastAsia="Times New Roman" w:cstheme="minorHAnsi"/>
                                <w:color w:val="000000"/>
                                <w:sz w:val="16"/>
                                <w:szCs w:val="16"/>
                                <w:lang w:val="de-DE" w:eastAsia="de-DE"/>
                              </w:rPr>
                              <w:fldChar w:fldCharType="end"/>
                            </w:r>
                          </w:p>
                        </w:tc>
                        <w:tc>
                          <w:tcPr>
                            <w:tcW w:w="283" w:type="dxa"/>
                            <w:tcBorders>
                              <w:top w:val="single" w:sz="4" w:space="0" w:color="auto"/>
                              <w:left w:val="nil"/>
                              <w:bottom w:val="single" w:sz="4" w:space="0" w:color="auto"/>
                              <w:right w:val="nil"/>
                            </w:tcBorders>
                            <w:noWrap/>
                            <w:vAlign w:val="center"/>
                            <w:hideMark/>
                          </w:tcPr>
                          <w:p w14:paraId="56EC29D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8</w:t>
                            </w:r>
                          </w:p>
                        </w:tc>
                        <w:tc>
                          <w:tcPr>
                            <w:tcW w:w="1375" w:type="dxa"/>
                            <w:tcBorders>
                              <w:top w:val="single" w:sz="4" w:space="0" w:color="auto"/>
                              <w:left w:val="nil"/>
                              <w:bottom w:val="single" w:sz="4" w:space="0" w:color="auto"/>
                              <w:right w:val="nil"/>
                            </w:tcBorders>
                            <w:tcMar>
                              <w:top w:w="0" w:type="dxa"/>
                              <w:left w:w="57" w:type="dxa"/>
                              <w:bottom w:w="0" w:type="dxa"/>
                              <w:right w:w="57" w:type="dxa"/>
                            </w:tcMar>
                            <w:vAlign w:val="center"/>
                          </w:tcPr>
                          <w:p w14:paraId="3D0E36D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LVD detection</w:t>
                            </w:r>
                          </w:p>
                          <w:p w14:paraId="655B6545"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7E48EF9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2</w:t>
                            </w:r>
                          </w:p>
                          <w:p w14:paraId="4F1D5B4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(LVD, n-LVD)</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no</w:t>
                            </w:r>
                          </w:p>
                        </w:tc>
                        <w:tc>
                          <w:tcPr>
                            <w:tcW w:w="964"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3443E61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CNN</w:t>
                            </w:r>
                          </w:p>
                          <w:p w14:paraId="2BDF1A1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(ECG maps)</w:t>
                            </w:r>
                          </w:p>
                        </w:tc>
                        <w:tc>
                          <w:tcPr>
                            <w:tcW w:w="991"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28F97386"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Own dataset</w:t>
                            </w:r>
                          </w:p>
                          <w:p w14:paraId="04D19CDF"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=101,710 (LVD: 7.6 %)</w:t>
                            </w: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787BCB8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Stratified HV:</w:t>
                            </w:r>
                          </w:p>
                          <w:p w14:paraId="403C2D46"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r>
                              <w:rPr>
                                <w:rFonts w:eastAsia="Times New Roman" w:cstheme="minorHAnsi"/>
                                <w:sz w:val="16"/>
                                <w:szCs w:val="16"/>
                                <w:lang w:eastAsia="de-DE"/>
                              </w:rPr>
                              <w:t>90 % / 10 %</w:t>
                            </w:r>
                          </w:p>
                          <w:p w14:paraId="5FA19C7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sz w:val="16"/>
                                <w:szCs w:val="16"/>
                                <w:lang w:eastAsia="de-DE"/>
                              </w:rPr>
                            </w:pPr>
                          </w:p>
                          <w:p w14:paraId="55FD3AE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sz w:val="16"/>
                                <w:szCs w:val="16"/>
                                <w:lang w:eastAsia="de-DE"/>
                              </w:rPr>
                              <w:t>Test: -</w:t>
                            </w:r>
                          </w:p>
                        </w:tc>
                        <w:tc>
                          <w:tcPr>
                            <w:tcW w:w="426" w:type="dxa"/>
                            <w:tcBorders>
                              <w:top w:val="single" w:sz="4" w:space="0" w:color="auto"/>
                              <w:left w:val="nil"/>
                              <w:bottom w:val="single" w:sz="4" w:space="0" w:color="auto"/>
                              <w:right w:val="nil"/>
                            </w:tcBorders>
                            <w:vAlign w:val="center"/>
                            <w:hideMark/>
                          </w:tcPr>
                          <w:p w14:paraId="6EC8B0E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437DF6B"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E82E09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4DEFD19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41" w:type="dxa"/>
                            <w:tcBorders>
                              <w:top w:val="single" w:sz="4" w:space="0" w:color="auto"/>
                              <w:left w:val="nil"/>
                              <w:bottom w:val="single" w:sz="4" w:space="0" w:color="auto"/>
                              <w:right w:val="nil"/>
                            </w:tcBorders>
                            <w:vAlign w:val="center"/>
                            <w:hideMark/>
                          </w:tcPr>
                          <w:p w14:paraId="044826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EEE9A5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2A4DD3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9C680D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426" w:type="dxa"/>
                            <w:tcBorders>
                              <w:top w:val="single" w:sz="4" w:space="0" w:color="auto"/>
                              <w:left w:val="nil"/>
                              <w:bottom w:val="single" w:sz="4" w:space="0" w:color="auto"/>
                              <w:right w:val="nil"/>
                            </w:tcBorders>
                            <w:vAlign w:val="center"/>
                            <w:hideMark/>
                          </w:tcPr>
                          <w:p w14:paraId="1F4A4C8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0066579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7139DDF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404C96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049"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56AF1FF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DeepLIFT</w:t>
                            </w:r>
                            <w:r>
                              <w:rPr>
                                <w:rFonts w:eastAsia="Times New Roman" w:cstheme="minorHAnsi"/>
                                <w:color w:val="000000"/>
                                <w:sz w:val="16"/>
                                <w:szCs w:val="16"/>
                                <w:lang w:eastAsia="de-DE"/>
                              </w:rPr>
                              <w:fldChar w:fldCharType="begin"/>
                            </w:r>
                            <w:r>
                              <w:rPr>
                                <w:rFonts w:eastAsia="Times New Roman" w:cstheme="minorHAnsi"/>
                                <w:color w:val="000000"/>
                                <w:sz w:val="16"/>
                                <w:szCs w:val="16"/>
                                <w:lang w:eastAsia="de-DE"/>
                              </w:rPr>
                              <w:instrText xml:space="preserve"> ADDIN ZOTERO_ITEM CSL_CITATION {"citationID":"PdOF5Jil","properties":{"formattedCitation":"\\super 56\\nosupersub{}","plainCitation":"56","noteIndex":0},"citationItems":[{"id":2402,"uris":["http://zotero.org/users/3633911/items/FMGY45IX"],"itemData":{"id":2402,"type":"paper-conference","abstract":"The purported \"black box\" nature of neural networks is a barrier to adoption in applications where interpretability is essential. Here we present DeepLIFT (Deep Learning Important FeaTures), a method for decomposing the output prediction of a neural network on a specific input by backpropagating the contributions of all neurons in the network to every feature of the input. DeepLIFT compares the activation of each neuron to its 'reference activation' and assigns contribution scores according to the difference. By optionally giving separate consideration to positive and negative contributions, DeepLIFT can also reveal dependencies which are missed by other approaches. Scores can be computed efficiently in a single backward pass. We apply DeepLIFT to models trained on MNIST and simulated genomic data, and show significant advantages over gradient-based methods. Video tutorial: http://goo.gl/qKb7pL, code: http://goo.gl/RM8jvH.","collection-title":"ICML'17","container-title":"Proceedings of the 34th International Conference on Machine Learning - Volume 70","event-place":"Sydney, NSW, Australia","page":"3145–3153","publisher":"JMLR.org","publisher-place":"Sydney, NSW, Australia","source":"ACM Digital Library","title":"Learning important features through propagating activation differences","author":[{"family":"Shrikumar","given":"Avanti"},{"family":"Greenside","given":"Peyton"},{"family":"Kundaje","given":"Anshul"}],"accessed":{"date-parts":[["2023",12,5]]},"issued":{"date-parts":[["2017",8,6]]},"citation-key":"shrikumarLearningImportantFeatures2017"}}],"schema":"https://github.com/citation-style-language/schema/raw/master/csl-citation.json"} </w:instrText>
                            </w:r>
                            <w:r>
                              <w:rPr>
                                <w:rFonts w:eastAsia="Times New Roman" w:cstheme="minorHAnsi"/>
                                <w:color w:val="000000"/>
                                <w:sz w:val="16"/>
                                <w:szCs w:val="16"/>
                                <w:lang w:eastAsia="de-DE"/>
                              </w:rPr>
                              <w:fldChar w:fldCharType="separate"/>
                            </w:r>
                            <w:r>
                              <w:rPr>
                                <w:rFonts w:ascii="Calibri" w:hAnsi="Calibri" w:cs="Calibri"/>
                                <w:sz w:val="16"/>
                                <w:vertAlign w:val="superscript"/>
                              </w:rPr>
                              <w:t>56</w:t>
                            </w:r>
                            <w:r>
                              <w:rPr>
                                <w:rFonts w:eastAsia="Times New Roman" w:cstheme="minorHAnsi"/>
                                <w:color w:val="000000"/>
                                <w:sz w:val="16"/>
                                <w:szCs w:val="16"/>
                                <w:lang w:eastAsia="de-DE"/>
                              </w:rPr>
                              <w:fldChar w:fldCharType="end"/>
                            </w:r>
                          </w:p>
                        </w:tc>
                        <w:tc>
                          <w:tcPr>
                            <w:tcW w:w="1943"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17699B93"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 relevance of full- and sub-waveforms from 88 ECGs with common heart rate</w:t>
                            </w:r>
                          </w:p>
                          <w:p w14:paraId="49821844"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 xml:space="preserve">Relevance per beat interval for </w:t>
                            </w: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5 subjects for full- and sub-waveform</w:t>
                            </w:r>
                          </w:p>
                        </w:tc>
                      </w:tr>
                      <w:tr w:rsidR="0094389A" w14:paraId="5F9FB109" w14:textId="77777777">
                        <w:trPr>
                          <w:cantSplit/>
                          <w:trHeight w:val="935"/>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4" w:space="0" w:color="auto"/>
                              <w:right w:val="nil"/>
                            </w:tcBorders>
                            <w:noWrap/>
                            <w:textDirection w:val="btLr"/>
                            <w:vAlign w:val="center"/>
                            <w:hideMark/>
                          </w:tcPr>
                          <w:p w14:paraId="06E7D68C" w14:textId="77777777" w:rsidR="0094389A" w:rsidRDefault="0094389A">
                            <w:pPr>
                              <w:ind w:left="113" w:right="113"/>
                              <w:jc w:val="center"/>
                              <w:rPr>
                                <w:rFonts w:eastAsia="Times New Roman" w:cstheme="minorHAnsi"/>
                                <w:color w:val="000000"/>
                                <w:sz w:val="16"/>
                                <w:szCs w:val="16"/>
                                <w:lang w:val="de-DE" w:eastAsia="de-DE"/>
                              </w:rPr>
                            </w:pPr>
                            <w:r>
                              <w:rPr>
                                <w:rFonts w:eastAsia="Times New Roman" w:cstheme="minorHAnsi"/>
                                <w:b w:val="0"/>
                                <w:bCs w:val="0"/>
                                <w:color w:val="000000"/>
                                <w:sz w:val="16"/>
                                <w:szCs w:val="16"/>
                                <w:lang w:val="de-DE" w:eastAsia="de-DE"/>
                              </w:rPr>
                              <w:t xml:space="preserve">Ivaturi </w:t>
                            </w:r>
                            <w:r>
                              <w:rPr>
                                <w:rFonts w:eastAsia="Times New Roman" w:cstheme="minorHAnsi"/>
                                <w:b w:val="0"/>
                                <w:bCs w:val="0"/>
                                <w:i/>
                                <w:iCs/>
                                <w:color w:val="000000"/>
                                <w:sz w:val="16"/>
                                <w:szCs w:val="16"/>
                                <w:lang w:val="de-DE" w:eastAsia="de-DE"/>
                              </w:rPr>
                              <w:t>et al.</w:t>
                            </w:r>
                            <w:r>
                              <w:rPr>
                                <w:rFonts w:eastAsia="Times New Roman" w:cstheme="minorHAnsi"/>
                                <w:b w:val="0"/>
                                <w:bCs w:val="0"/>
                                <w:color w:val="000000"/>
                                <w:sz w:val="16"/>
                                <w:szCs w:val="16"/>
                                <w:lang w:val="de-DE" w:eastAsia="de-DE"/>
                              </w:rPr>
                              <w:t xml:space="preserve"> (2021)</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val="de-DE" w:eastAsia="de-DE"/>
                              </w:rPr>
                              <w:instrText xml:space="preserve"> ADDIN ZOTERO_ITEM CSL_CITATION {"citationID":"O8yXmmkY","properties":{"formattedCitation":"\\super 13\\nosupersub{}","plainCitation":"13","noteIndex":0},"citationItems":[{"id":2372,"uris":["http://zotero.org/users/3633911/items/46WAJN5J"],"itemData":{"id":2372,"type":"article-journal","abstract":"In this study, we propose a post-hoc explainability framework for deep learning models applied to quasi-periodic biomedical time-series classification. As a case study, we focus on the problem of atrial fibrillation (AF) detection from electrocardiography signals, which has strong clinical relevance. Starting from a state-of-the-art pretrained model, we tackle the problem from two different perspectives: global and local explanation. With global explanation, we analyze the model behavior by looking at entire classes of data, showing which regions of the input repetitive patterns have the most influence for a specific outcome of the model. Our explanation results align with the expectations of clinical experts, showing that features crucial for AF detection contribute heavily to the final decision. These features include R-R interval regularity, absence of the P-wave or presence of electrical activity in the isoelectric period. On the other hand, with local explanation, we analyze specific input signals and model outcomes. We present a comprehensive analysis of the network facing different conditions, whether the model has correctly classified the input signal or not. This enables a deeper understanding of the network's behavior, showing the most informative regions that trigger the classification decision and highlighting possible causes of misbehavior.","container-title":"IEEE journal of biomedical and health informatics","DOI":"10.1109/JBHI.2021.3060997","ISSN":"2168-2208","issue":"7","journalAbbreviation":"IEEE J Biomed Health Inform","note":"PMID: 33617456\nPMCID: PMC8513820","page":"2398-2408","source":"PubMed","title":"A Comprehensive Explanation Framework for Biomedical Time Series Classification","volume":"25","author":[{"family":"Ivaturi","given":"Praharsh"},{"family":"Gadaleta","given":"Matteo"},{"family":"Pandey","given":"Amitabh C."},{"family":"Pazzani","given":"Michael"},{"family":"Steinhubl","given":"Steven R."},{"family":"Quer","given":"Giorgio"}],"issued":{"date-parts":[["2021"]]},"citation-key":"ivaturiComprehensiveExplanationFramework2021"}}],"schema":"https://github.com/citation-style-language/schema/raw/master/csl-citation.json"}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13</w:t>
                            </w:r>
                            <w:r>
                              <w:rPr>
                                <w:rFonts w:eastAsia="Times New Roman" w:cstheme="minorHAnsi"/>
                                <w:color w:val="000000"/>
                                <w:sz w:val="16"/>
                                <w:szCs w:val="16"/>
                                <w:lang w:val="de-DE" w:eastAsia="de-DE"/>
                              </w:rPr>
                              <w:fldChar w:fldCharType="end"/>
                            </w:r>
                          </w:p>
                        </w:tc>
                        <w:tc>
                          <w:tcPr>
                            <w:tcW w:w="283" w:type="dxa"/>
                            <w:tcBorders>
                              <w:top w:val="single" w:sz="4" w:space="0" w:color="auto"/>
                              <w:left w:val="nil"/>
                              <w:bottom w:val="single" w:sz="4" w:space="0" w:color="auto"/>
                              <w:right w:val="nil"/>
                            </w:tcBorders>
                            <w:noWrap/>
                            <w:vAlign w:val="center"/>
                            <w:hideMark/>
                          </w:tcPr>
                          <w:p w14:paraId="071E5BE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1</w:t>
                            </w:r>
                          </w:p>
                        </w:tc>
                        <w:tc>
                          <w:tcPr>
                            <w:tcW w:w="1375" w:type="dxa"/>
                            <w:tcBorders>
                              <w:top w:val="single" w:sz="4" w:space="0" w:color="auto"/>
                              <w:left w:val="nil"/>
                              <w:bottom w:val="single" w:sz="4" w:space="0" w:color="auto"/>
                              <w:right w:val="nil"/>
                            </w:tcBorders>
                            <w:tcMar>
                              <w:top w:w="0" w:type="dxa"/>
                              <w:left w:w="57" w:type="dxa"/>
                              <w:bottom w:w="0" w:type="dxa"/>
                              <w:right w:w="57" w:type="dxa"/>
                            </w:tcMar>
                            <w:vAlign w:val="center"/>
                          </w:tcPr>
                          <w:p w14:paraId="32B96D3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Cardiac anomaly detection (multiclass)</w:t>
                            </w:r>
                          </w:p>
                          <w:p w14:paraId="0EA0845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3F01ECE0"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4 (CinC2017)</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yes</w:t>
                            </w:r>
                          </w:p>
                        </w:tc>
                        <w:tc>
                          <w:tcPr>
                            <w:tcW w:w="964"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47E91D1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Lightweight CNN</w:t>
                            </w:r>
                          </w:p>
                          <w:p w14:paraId="550E2C1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(MobileNet)</w:t>
                            </w:r>
                          </w:p>
                        </w:tc>
                        <w:tc>
                          <w:tcPr>
                            <w:tcW w:w="991"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1BBF1AD2"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CinC2017</w:t>
                            </w:r>
                            <w:r>
                              <w:rPr>
                                <w:rFonts w:eastAsia="Times New Roman" w:cstheme="minorHAnsi"/>
                                <w:color w:val="000000"/>
                                <w:sz w:val="16"/>
                                <w:szCs w:val="16"/>
                                <w:lang w:eastAsia="de-DE"/>
                              </w:rPr>
                              <w:fldChar w:fldCharType="begin"/>
                            </w:r>
                            <w:r>
                              <w:rPr>
                                <w:rFonts w:eastAsia="Times New Roman" w:cstheme="minorHAnsi"/>
                                <w:color w:val="000000"/>
                                <w:sz w:val="16"/>
                                <w:szCs w:val="16"/>
                                <w:lang w:eastAsia="de-DE"/>
                              </w:rPr>
                              <w:instrText xml:space="preserve"> ADDIN ZOTERO_ITEM CSL_CITATION {"citationID":"vb5U2GQV","properties":{"formattedCitation":"\\super 34,57\\nosupersub{}","plainCitation":"34,57","noteIndex":0},"citationItems":[{"id":1988,"uris":["http://zotero.org/users/3633911/items/UAIKGAZG"],"itemData":{"id":1988,"type":"article-journal","abstract":"The PhysioNet/Computing in Cardiology (CinC) Challenge 2017 focused on differentiating AF from noise, normal or other rhythms in short term (from 9–61 s) ECG recordings performed by patients. A total of 12,186 ECGs were used: 8,528 in the public training set and 3,658 in the private hidden test set. Due to the high degree of inter-expert disagreement between a significant fraction of the expert labels we implemented a mid-competition bootstrap approach to expert relabeling of the data, levering the best performing Challenge entrants’ algorithms to identify contentious labels., A total of 75 independent teams entered the Challenge using a variety of traditional and novel methods, ranging from random forests to a deep learning approach applied to the raw data in the spectral domain. Four teams won the Challenge with an equal high F1 score (averaged across all classes) of 0.83, although the top 11 algorithms scored within 2% of this. A combination of 45 algorithms identified using LASSO achieved an F1 of 0.87, indicating that a voting approach can boost performance.","container-title":"2017 Computing in Cardiology","DOI":"10.22489/CinC.2017.065-469","ISSN":"2325-8861","journalAbbreviation":"Comput Cardiol (2010)","source":"PubMed Central","title":"AF Classification from a Short Single Lead ECG Recording: the PhysioNet/Computing in Cardiology Challenge 2017","title-short":"AF Classification from a Short Single Lead ECG Recording","volume":"44","author":[{"family":"Clifford","given":"Gari D"},{"family":"Liu","given":"Chengyu"},{"family":"Moody","given":"Benjamin"},{"family":"Lehman","given":"Li-wei H."},{"family":"Silva","given":"Ikaro"},{"family":"Li","given":"Qiao"},{"family":"Johnson","given":"A E"},{"family":"Mark","given":"Roger G."}],"accessed":{"date-parts":[["2023",3,16]]},"issued":{"date-parts":[["2017",9]]},"citation-key":"cliffordAFClassificationShort2017"}},{"id":1791,"uris":["http://zotero.org/users/3633911/items/VZI734FG"],"itemData":{"id":1791,"type":"article-journal","container-title":"Circulation","DOI":"10.1161/01.cir.101.23.e215","issue":"23","journalAbbreviation":"Circulation","page":"e215-e220","title":"PhysioBank, PhysioToolkit, and PhysioNet: Components of a New Research Resource for Complex Physiologic Signals","volume":"101","author":[{"family":"Goldberger","given":"A"},{"family":"Amaral","given":"L"},{"family":"Glass","given":"L"},{"family":"Hausdorff","given":"J"},{"family":"Ivanov","given":"PC"},{"family":"Mark","given":"R"},{"family":"Mietus","given":"JE"},{"family":"Moody","given":"GB"},{"family":"Peng","given":"CK"},{"family":"Stanley","given":"HE"}],"issued":{"date-parts":[["2000",6,13]]},"citation-key":"goldbergerPhysioBankPhysioToolkitPhysioNet2000"}}],"schema":"https://github.com/citation-style-language/schema/raw/master/csl-citation.json"} </w:instrText>
                            </w:r>
                            <w:r>
                              <w:rPr>
                                <w:rFonts w:eastAsia="Times New Roman" w:cstheme="minorHAnsi"/>
                                <w:color w:val="000000"/>
                                <w:sz w:val="16"/>
                                <w:szCs w:val="16"/>
                                <w:lang w:eastAsia="de-DE"/>
                              </w:rPr>
                              <w:fldChar w:fldCharType="separate"/>
                            </w:r>
                            <w:r>
                              <w:rPr>
                                <w:rFonts w:ascii="Calibri" w:hAnsi="Calibri" w:cs="Calibri"/>
                                <w:sz w:val="16"/>
                                <w:vertAlign w:val="superscript"/>
                              </w:rPr>
                              <w:t>34,57</w:t>
                            </w:r>
                            <w:r>
                              <w:rPr>
                                <w:rFonts w:eastAsia="Times New Roman" w:cstheme="minorHAnsi"/>
                                <w:color w:val="000000"/>
                                <w:sz w:val="16"/>
                                <w:szCs w:val="16"/>
                                <w:lang w:eastAsia="de-DE"/>
                              </w:rPr>
                              <w:fldChar w:fldCharType="end"/>
                            </w:r>
                            <w:r>
                              <w:rPr>
                                <w:rFonts w:eastAsia="Times New Roman" w:cstheme="minorHAnsi"/>
                                <w:color w:val="000000"/>
                                <w:sz w:val="16"/>
                                <w:szCs w:val="16"/>
                                <w:lang w:eastAsia="de-DE"/>
                              </w:rPr>
                              <w:br/>
                            </w: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8,528</w:t>
                            </w: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0D74AC4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Stratified CV:</w:t>
                            </w:r>
                          </w:p>
                          <w:p w14:paraId="5002E0C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5-fold</w:t>
                            </w:r>
                          </w:p>
                          <w:p w14:paraId="19765E8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6D1637C3"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Test: -</w:t>
                            </w:r>
                          </w:p>
                        </w:tc>
                        <w:tc>
                          <w:tcPr>
                            <w:tcW w:w="426" w:type="dxa"/>
                            <w:tcBorders>
                              <w:top w:val="single" w:sz="4" w:space="0" w:color="auto"/>
                              <w:left w:val="nil"/>
                              <w:bottom w:val="single" w:sz="4" w:space="0" w:color="auto"/>
                              <w:right w:val="nil"/>
                            </w:tcBorders>
                            <w:vAlign w:val="center"/>
                            <w:hideMark/>
                          </w:tcPr>
                          <w:p w14:paraId="08662D4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92.6</w:t>
                            </w:r>
                          </w:p>
                          <w:p w14:paraId="52E4A76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70.1</w:t>
                            </w:r>
                          </w:p>
                          <w:p w14:paraId="28F62E3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73.2</w:t>
                            </w:r>
                          </w:p>
                          <w:p w14:paraId="07580F7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92.9</w:t>
                            </w:r>
                          </w:p>
                        </w:tc>
                        <w:tc>
                          <w:tcPr>
                            <w:tcW w:w="141" w:type="dxa"/>
                            <w:tcBorders>
                              <w:top w:val="single" w:sz="4" w:space="0" w:color="auto"/>
                              <w:left w:val="nil"/>
                              <w:bottom w:val="single" w:sz="4" w:space="0" w:color="auto"/>
                              <w:right w:val="nil"/>
                            </w:tcBorders>
                            <w:vAlign w:val="center"/>
                            <w:hideMark/>
                          </w:tcPr>
                          <w:p w14:paraId="5855D1A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6F5988F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58E8C25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w:t>
                            </w:r>
                          </w:p>
                          <w:p w14:paraId="7473CC6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w:t>
                            </w:r>
                          </w:p>
                        </w:tc>
                        <w:tc>
                          <w:tcPr>
                            <w:tcW w:w="426" w:type="dxa"/>
                            <w:tcBorders>
                              <w:top w:val="single" w:sz="4" w:space="0" w:color="auto"/>
                              <w:left w:val="nil"/>
                              <w:bottom w:val="single" w:sz="4" w:space="0" w:color="auto"/>
                              <w:right w:val="nil"/>
                            </w:tcBorders>
                            <w:vAlign w:val="center"/>
                            <w:hideMark/>
                          </w:tcPr>
                          <w:p w14:paraId="1974AA77"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96.5</w:t>
                            </w:r>
                          </w:p>
                          <w:p w14:paraId="2BBC49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80.7</w:t>
                            </w:r>
                          </w:p>
                          <w:p w14:paraId="7151560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val="de-DE" w:eastAsia="de-DE"/>
                              </w:rPr>
                            </w:pPr>
                            <w:r>
                              <w:rPr>
                                <w:rFonts w:eastAsia="Times New Roman" w:cstheme="minorHAnsi"/>
                                <w:color w:val="000000"/>
                                <w:sz w:val="16"/>
                                <w:szCs w:val="16"/>
                                <w:lang w:val="de-DE" w:eastAsia="de-DE"/>
                              </w:rPr>
                              <w:t>80.0</w:t>
                            </w:r>
                          </w:p>
                          <w:p w14:paraId="585D902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val="de-DE" w:eastAsia="de-DE"/>
                              </w:rPr>
                              <w:t>98.2</w:t>
                            </w:r>
                          </w:p>
                        </w:tc>
                        <w:tc>
                          <w:tcPr>
                            <w:tcW w:w="1049"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1870D52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Ablation, permutation, LIME</w:t>
                            </w:r>
                          </w:p>
                        </w:tc>
                        <w:tc>
                          <w:tcPr>
                            <w:tcW w:w="1943"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3BAE2BF5"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Average relevance within 7 equally sized segments in RR interval per class</w:t>
                            </w:r>
                          </w:p>
                          <w:p w14:paraId="23D93A56" w14:textId="77777777" w:rsidR="0094389A" w:rsidRDefault="0094389A" w:rsidP="0094389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Approximative relevance of RR variability (changes in R-peak relevance when unifying RR intervals)</w:t>
                            </w:r>
                          </w:p>
                        </w:tc>
                      </w:tr>
                      <w:tr w:rsidR="0094389A" w14:paraId="1D5FA01C" w14:textId="77777777">
                        <w:trPr>
                          <w:cantSplit/>
                          <w:trHeight w:val="1384"/>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4" w:space="0" w:color="auto"/>
                              <w:right w:val="nil"/>
                            </w:tcBorders>
                            <w:noWrap/>
                            <w:textDirection w:val="btLr"/>
                            <w:vAlign w:val="center"/>
                            <w:hideMark/>
                          </w:tcPr>
                          <w:p w14:paraId="0C577E2A" w14:textId="77777777" w:rsidR="0094389A" w:rsidRDefault="0094389A">
                            <w:pPr>
                              <w:ind w:left="113" w:right="113"/>
                              <w:jc w:val="center"/>
                              <w:rPr>
                                <w:rFonts w:eastAsia="Times New Roman" w:cstheme="minorHAnsi"/>
                                <w:b w:val="0"/>
                                <w:bCs w:val="0"/>
                                <w:color w:val="000000"/>
                                <w:sz w:val="16"/>
                                <w:szCs w:val="16"/>
                                <w:lang w:eastAsia="de-DE"/>
                              </w:rPr>
                            </w:pPr>
                            <w:r>
                              <w:rPr>
                                <w:rFonts w:eastAsia="Times New Roman" w:cstheme="minorHAnsi"/>
                                <w:b w:val="0"/>
                                <w:bCs w:val="0"/>
                                <w:color w:val="000000"/>
                                <w:sz w:val="16"/>
                                <w:szCs w:val="16"/>
                                <w:lang w:val="de-DE" w:eastAsia="de-DE"/>
                              </w:rPr>
                              <w:t>Singh &amp; Sharma (2022)</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val="de-DE" w:eastAsia="de-DE"/>
                              </w:rPr>
                              <w:instrText xml:space="preserve"> ADDIN ZOTERO_ITEM CSL_CITATION {"citationID":"n2LLgHBq","properties":{"formattedCitation":"\\super 20\\nosupersub{}","plainCitation":"20","noteIndex":0},"citationItems":[{"id":2378,"uris":["http://zotero.org/users/3633911/items/MK7TIXLA"],"itemData":{"id":2378,"type":"article-journal","abstract":"Electrocardiogram (ECG) signal analysis can be time-consuming, tedious, and error-prone. Therefore, automated analysis is need of time that will assist clinicians in detecting cardiac abnormalities accurately and efficiently. Recently, deep learning (DL) models have shown unprecedented progress and strong arrhythmia classification capabilities, but their deployment in the medical sector is constrained due to their “black-box” nature. This article proposes a robust explainability method to assist in explaining the underlying decision-making process in deep neural networks (DNNs) and help provide feedback on biases that would benefit in improving DNN models. To achieve these objectives, initially, a DL model is trained on the MIT-BIH Arrhythmia Database and their classification performance is evaluated. The classification findings are then interpreted using the post-hoc explanation methods such as the SHapley Additive exPlanations (SHAP), local interpretable model-agnostic explanations (LIME), and gradient-weighted class activation mapping (Grad-CAM) that interpret the decision rationale. As these methods are initially proposed for image applications therefore a new masking approach is proposed to cater these post-hoc explainability methods for ECG time-series data. After evaluating these methods for ECG arrhythmia classification, several drawbacks are drawn such as they fail to locate a feature’s importance if there are multiple occurrences of the same feature in a signal and also, SHAP and LIME perform random perturbations that sometimes produce unreliable explanations. Therefore, to overcome the drawbacks associated with these post-hoc explainability methods on time-series data, a novel K-GradCam method is proposed. The proposed K-GradCam method ensemble the benefits of these gradient-based and perturbation-based approaches and has demonstrated advantages over SHAP, Grad-CAM and LIME in terms of interpreting the models’ decisions. To compare the proposed technique with post-hoc explainability methods quantitatively, the confidence index of the proposed method is evaluated using dice loss. The proposed method shares 71% similarity with SHAP and 81% similarity with Grad-CAM methods; however, it shares the benefits of both methods and is computationally faster than SHAP and LIME.","container-title":"IEEE Transactions on Instrumentation and Measurement","DOI":"10.1109/TIM.2022.3204316","ISSN":"1557-9662","journalAbbreviation":"IEEE Trans Instrum Meas","note":"event-title: IEEE Transactions on Instrumentation and Measurement","page":"1-12","source":"IEEE Xplore","title":"Interpretation and Classification of Arrhythmia Using Deep Convolutional Network","volume":"71","author":[{"family":"Singh","given":"Prateek"},{"family":"Sharma","given":"Ambalika"}],"issued":{"date-parts":[["2022"]]},"citation-key":"singhInterpretationClassificationArrhythmia2022"}}],"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20</w:t>
                            </w:r>
                            <w:r>
                              <w:rPr>
                                <w:rFonts w:eastAsia="Times New Roman" w:cstheme="minorHAnsi"/>
                                <w:color w:val="000000"/>
                                <w:sz w:val="16"/>
                                <w:szCs w:val="16"/>
                                <w:lang w:val="de-DE" w:eastAsia="de-DE"/>
                              </w:rPr>
                              <w:fldChar w:fldCharType="end"/>
                            </w:r>
                          </w:p>
                        </w:tc>
                        <w:tc>
                          <w:tcPr>
                            <w:tcW w:w="283" w:type="dxa"/>
                            <w:tcBorders>
                              <w:top w:val="single" w:sz="4" w:space="0" w:color="auto"/>
                              <w:left w:val="nil"/>
                              <w:bottom w:val="single" w:sz="4" w:space="0" w:color="auto"/>
                              <w:right w:val="nil"/>
                            </w:tcBorders>
                            <w:noWrap/>
                            <w:vAlign w:val="center"/>
                            <w:hideMark/>
                          </w:tcPr>
                          <w:p w14:paraId="138FC736"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2</w:t>
                            </w:r>
                          </w:p>
                        </w:tc>
                        <w:tc>
                          <w:tcPr>
                            <w:tcW w:w="1375" w:type="dxa"/>
                            <w:tcBorders>
                              <w:top w:val="single" w:sz="4" w:space="0" w:color="auto"/>
                              <w:left w:val="nil"/>
                              <w:bottom w:val="single" w:sz="4" w:space="0" w:color="auto"/>
                              <w:right w:val="nil"/>
                            </w:tcBorders>
                            <w:tcMar>
                              <w:top w:w="0" w:type="dxa"/>
                              <w:left w:w="57" w:type="dxa"/>
                              <w:bottom w:w="0" w:type="dxa"/>
                              <w:right w:w="57" w:type="dxa"/>
                            </w:tcMar>
                            <w:vAlign w:val="center"/>
                          </w:tcPr>
                          <w:p w14:paraId="0DDA0DB4"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ECG beat classification (multiclass)</w:t>
                            </w:r>
                          </w:p>
                          <w:p w14:paraId="014C76E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6D7949F6"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6</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no</w:t>
                            </w:r>
                          </w:p>
                        </w:tc>
                        <w:tc>
                          <w:tcPr>
                            <w:tcW w:w="964"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6117535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CNN</w:t>
                            </w:r>
                          </w:p>
                          <w:p w14:paraId="56E5D28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roofErr w:type="spellStart"/>
                            <w:r>
                              <w:rPr>
                                <w:rFonts w:eastAsia="Times New Roman" w:cstheme="minorHAnsi"/>
                                <w:color w:val="000000"/>
                                <w:sz w:val="16"/>
                                <w:szCs w:val="16"/>
                                <w:lang w:eastAsia="de-DE"/>
                              </w:rPr>
                              <w:t>ResNet</w:t>
                            </w:r>
                            <w:proofErr w:type="spellEnd"/>
                            <w:r>
                              <w:rPr>
                                <w:rFonts w:eastAsia="Times New Roman" w:cstheme="minorHAnsi"/>
                                <w:color w:val="000000"/>
                                <w:sz w:val="16"/>
                                <w:szCs w:val="16"/>
                                <w:lang w:eastAsia="de-DE"/>
                              </w:rPr>
                              <w:t>)</w:t>
                            </w:r>
                          </w:p>
                        </w:tc>
                        <w:tc>
                          <w:tcPr>
                            <w:tcW w:w="991"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49C96FC9"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MITDB</w:t>
                            </w:r>
                            <w:r>
                              <w:rPr>
                                <w:rFonts w:eastAsia="Times New Roman" w:cstheme="minorHAnsi"/>
                                <w:color w:val="000000"/>
                                <w:sz w:val="16"/>
                                <w:szCs w:val="16"/>
                                <w:lang w:eastAsia="de-DE"/>
                              </w:rPr>
                              <w:fldChar w:fldCharType="begin"/>
                            </w:r>
                            <w:r>
                              <w:rPr>
                                <w:rFonts w:eastAsia="Times New Roman" w:cstheme="minorHAnsi"/>
                                <w:color w:val="000000"/>
                                <w:sz w:val="16"/>
                                <w:szCs w:val="16"/>
                                <w:lang w:eastAsia="de-DE"/>
                              </w:rPr>
                              <w:instrText xml:space="preserve"> ADDIN ZOTERO_ITEM CSL_CITATION {"citationID":"PLI2yDtK","properties":{"formattedCitation":"\\super 34,58\\nosupersub{}","plainCitation":"34,58","noteIndex":0},"citationItems":[{"id":2383,"uris":["http://zotero.org/users/3633911/items/V6MW3SUL"],"itemData":{"id":2383,"type":"article-journal","container-title":"IEEE Engineering in Medicine and Biology Magazine","DOI":"10.1109/51.932724","ISSN":"07395175","issue":"3","journalAbbreviation":"IEEE Eng Med Biol Mag","page":"45-50","source":"DOI.org (Crossref)","title":"The impact of the MIT-BIH Arrhythmia Database","volume":"20","author":[{"family":"Moody","given":"G.B."},{"family":"Mark","given":"R.G."}],"issued":{"date-parts":[["2001",6]]},"citation-key":"moodyImpactMITBIHArrhythmia2001"}},{"id":1791,"uris":["http://zotero.org/users/3633911/items/VZI734FG"],"itemData":{"id":1791,"type":"article-journal","container-title":"Circulation","DOI":"10.1161/01.cir.101.23.e215","issue":"23","journalAbbreviation":"Circulation","page":"e215-e220","title":"PhysioBank, PhysioToolkit, and PhysioNet: Components of a New Research Resource for Complex Physiologic Signals","volume":"101","author":[{"family":"Goldberger","given":"A"},{"family":"Amaral","given":"L"},{"family":"Glass","given":"L"},{"family":"Hausdorff","given":"J"},{"family":"Ivanov","given":"PC"},{"family":"Mark","given":"R"},{"family":"Mietus","given":"JE"},{"family":"Moody","given":"GB"},{"family":"Peng","given":"CK"},{"family":"Stanley","given":"HE"}],"issued":{"date-parts":[["2000",6,13]]},"citation-key":"goldbergerPhysioBankPhysioToolkitPhysioNet2000"}}],"schema":"https://github.com/citation-style-language/schema/raw/master/csl-citation.json"} </w:instrText>
                            </w:r>
                            <w:r>
                              <w:rPr>
                                <w:rFonts w:eastAsia="Times New Roman" w:cstheme="minorHAnsi"/>
                                <w:color w:val="000000"/>
                                <w:sz w:val="16"/>
                                <w:szCs w:val="16"/>
                                <w:lang w:eastAsia="de-DE"/>
                              </w:rPr>
                              <w:fldChar w:fldCharType="separate"/>
                            </w:r>
                            <w:r>
                              <w:rPr>
                                <w:rFonts w:ascii="Calibri" w:hAnsi="Calibri" w:cs="Calibri"/>
                                <w:sz w:val="16"/>
                                <w:vertAlign w:val="superscript"/>
                              </w:rPr>
                              <w:t>34,58</w:t>
                            </w:r>
                            <w:r>
                              <w:rPr>
                                <w:rFonts w:eastAsia="Times New Roman" w:cstheme="minorHAnsi"/>
                                <w:color w:val="000000"/>
                                <w:sz w:val="16"/>
                                <w:szCs w:val="16"/>
                                <w:lang w:eastAsia="de-DE"/>
                              </w:rPr>
                              <w:fldChar w:fldCharType="end"/>
                            </w:r>
                          </w:p>
                          <w:p w14:paraId="4FD25274"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m:oMath>
                              <m:r>
                                <w:rPr>
                                  <w:rFonts w:ascii="Cambria Math" w:eastAsia="Times New Roman" w:hAnsi="Cambria Math" w:cstheme="minorHAnsi"/>
                                  <w:sz w:val="16"/>
                                  <w:szCs w:val="16"/>
                                  <w:lang w:eastAsia="de-DE"/>
                                </w:rPr>
                                <m:t>n</m:t>
                              </m:r>
                            </m:oMath>
                            <w:r>
                              <w:rPr>
                                <w:rFonts w:eastAsia="Times New Roman" w:cstheme="minorHAnsi"/>
                                <w:sz w:val="16"/>
                                <w:szCs w:val="16"/>
                                <w:lang w:eastAsia="de-DE"/>
                              </w:rPr>
                              <w:t>=</w:t>
                            </w:r>
                            <w:r>
                              <w:rPr>
                                <w:rFonts w:eastAsia="Times New Roman" w:cstheme="minorHAnsi"/>
                                <w:color w:val="000000"/>
                                <w:sz w:val="16"/>
                                <w:szCs w:val="16"/>
                                <w:lang w:eastAsia="de-DE"/>
                              </w:rPr>
                              <w:t>60,000 (beats)</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records</w:t>
                            </w:r>
                            <w:r>
                              <w:rPr>
                                <w:rFonts w:eastAsia="Times New Roman" w:cstheme="minorHAnsi"/>
                                <w:color w:val="000000"/>
                                <w:sz w:val="16"/>
                                <w:szCs w:val="16"/>
                                <w:lang w:eastAsia="de-DE"/>
                              </w:rPr>
                              <w:t>: 48</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subjects</w:t>
                            </w:r>
                            <w:r>
                              <w:rPr>
                                <w:rFonts w:eastAsia="Times New Roman" w:cstheme="minorHAnsi"/>
                                <w:color w:val="000000"/>
                                <w:sz w:val="16"/>
                                <w:szCs w:val="16"/>
                                <w:lang w:eastAsia="de-DE"/>
                              </w:rPr>
                              <w:t>: 47</w:t>
                            </w:r>
                          </w:p>
                        </w:tc>
                        <w:tc>
                          <w:tcPr>
                            <w:tcW w:w="1020" w:type="dxa"/>
                            <w:tcBorders>
                              <w:top w:val="single" w:sz="4" w:space="0" w:color="auto"/>
                              <w:left w:val="nil"/>
                              <w:bottom w:val="single" w:sz="4" w:space="0" w:color="auto"/>
                              <w:right w:val="nil"/>
                            </w:tcBorders>
                            <w:tcMar>
                              <w:top w:w="0" w:type="dxa"/>
                              <w:left w:w="57" w:type="dxa"/>
                              <w:bottom w:w="0" w:type="dxa"/>
                              <w:right w:w="57" w:type="dxa"/>
                            </w:tcMar>
                            <w:vAlign w:val="center"/>
                          </w:tcPr>
                          <w:p w14:paraId="52B1FD36"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Balanced HV:</w:t>
                            </w:r>
                          </w:p>
                          <w:p w14:paraId="114BEEFD"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85 % / 15 %</w:t>
                            </w:r>
                          </w:p>
                          <w:p w14:paraId="291C28BE"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p>
                          <w:p w14:paraId="3853C9C8"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Test: -</w:t>
                            </w:r>
                          </w:p>
                        </w:tc>
                        <w:tc>
                          <w:tcPr>
                            <w:tcW w:w="426" w:type="dxa"/>
                            <w:tcBorders>
                              <w:top w:val="single" w:sz="4" w:space="0" w:color="auto"/>
                              <w:left w:val="nil"/>
                              <w:bottom w:val="single" w:sz="4" w:space="0" w:color="auto"/>
                              <w:right w:val="nil"/>
                            </w:tcBorders>
                            <w:vAlign w:val="center"/>
                            <w:hideMark/>
                          </w:tcPr>
                          <w:p w14:paraId="0170BF7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D6D3E52"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98.9</w:t>
                            </w:r>
                          </w:p>
                          <w:p w14:paraId="42FCBBB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98.9</w:t>
                            </w:r>
                          </w:p>
                          <w:p w14:paraId="74B9237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41" w:type="dxa"/>
                            <w:tcBorders>
                              <w:top w:val="single" w:sz="4" w:space="0" w:color="auto"/>
                              <w:left w:val="nil"/>
                              <w:bottom w:val="single" w:sz="4" w:space="0" w:color="auto"/>
                              <w:right w:val="nil"/>
                            </w:tcBorders>
                            <w:vAlign w:val="center"/>
                            <w:hideMark/>
                          </w:tcPr>
                          <w:p w14:paraId="7D92152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68421DF5"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4B84210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6F438B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426" w:type="dxa"/>
                            <w:tcBorders>
                              <w:top w:val="single" w:sz="4" w:space="0" w:color="auto"/>
                              <w:left w:val="nil"/>
                              <w:bottom w:val="single" w:sz="4" w:space="0" w:color="auto"/>
                              <w:right w:val="nil"/>
                            </w:tcBorders>
                            <w:vAlign w:val="center"/>
                            <w:hideMark/>
                          </w:tcPr>
                          <w:p w14:paraId="023104F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2D989049"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0E41377"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p w14:paraId="58CBAFF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w:t>
                            </w:r>
                          </w:p>
                        </w:tc>
                        <w:tc>
                          <w:tcPr>
                            <w:tcW w:w="1049" w:type="dxa"/>
                            <w:tcBorders>
                              <w:top w:val="single" w:sz="4" w:space="0" w:color="auto"/>
                              <w:left w:val="nil"/>
                              <w:bottom w:val="single" w:sz="4" w:space="0" w:color="auto"/>
                              <w:right w:val="nil"/>
                            </w:tcBorders>
                            <w:noWrap/>
                            <w:tcMar>
                              <w:top w:w="0" w:type="dxa"/>
                              <w:left w:w="57" w:type="dxa"/>
                              <w:bottom w:w="0" w:type="dxa"/>
                              <w:right w:w="57" w:type="dxa"/>
                            </w:tcMar>
                            <w:vAlign w:val="center"/>
                            <w:hideMark/>
                          </w:tcPr>
                          <w:p w14:paraId="192B9578" w14:textId="77777777" w:rsidR="0094389A" w:rsidRDefault="0094389A">
                            <w:pPr>
                              <w:suppressAutoHyphens/>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K-GradCam</w:t>
                            </w:r>
                            <w:r>
                              <w:rPr>
                                <w:rFonts w:eastAsia="Times New Roman" w:cstheme="minorHAnsi"/>
                                <w:color w:val="000000"/>
                                <w:sz w:val="16"/>
                                <w:szCs w:val="16"/>
                                <w:lang w:val="de-DE" w:eastAsia="de-DE"/>
                              </w:rPr>
                              <w:fldChar w:fldCharType="begin"/>
                            </w:r>
                            <w:r>
                              <w:rPr>
                                <w:rFonts w:eastAsia="Times New Roman" w:cstheme="minorHAnsi"/>
                                <w:color w:val="000000"/>
                                <w:sz w:val="16"/>
                                <w:szCs w:val="16"/>
                                <w:lang w:eastAsia="de-DE"/>
                              </w:rPr>
                              <w:instrText xml:space="preserve"> ADDIN ZOTERO_ITEM CSL_CITATION {"citationID":"JL3pXnsT","properties":{"formattedCitation":"\\super 20\\nosupersub{}","plainCitation":"20","noteIndex":0},"citationItems":[{"id":2378,"uris":["http://zotero.org/users/3633911/items/MK7TIXLA"],"itemData":{"id":2378,"type":"article-journal","abstract":"Electrocardiogram (ECG) signal analysis can be time-consuming, tedious, and error-prone. Therefore, automated analysis is need of time that will assist clinicians in detecting cardiac abnormalities accurately and efficiently. Recently, deep learning (DL) models have shown unprecedented progress and strong arrhythmia classification capabilities, but their deployment in the medical sector is constrained due to their “black-box” nature. This article proposes a robust explainability method to assist in explaining the underlying decision-making process in deep neural networks (DNNs) and help provide feedback on biases that would benefit in improving DNN models. To achieve these objectives, initially, a DL model is trained on the MIT-BIH Arrhythmia Database and their classification performance is evaluated. The classification findings are then interpreted using the post-hoc explanation methods such as the SHapley Additive exPlanations (SHAP), local interpretable model-agnostic explanations (LIME), and gradient-weighted class activation mapping (Grad-CAM) that interpret the decision rationale. As these methods are initially proposed for image applications therefore a new masking approach is proposed to cater these post-hoc explainability methods for ECG time-series data. After evaluating these methods for ECG arrhythmia classification, several drawbacks are drawn such as they fail to locate a feature’s importance if there are multiple occurrences of the same feature in a signal and also, SHAP and LIME perform random perturbations that sometimes produce unreliable explanations. Therefore, to overcome the drawbacks associated with these post-hoc explainability methods on time-series data, a novel K-GradCam method is proposed. The proposed K-GradCam method ensemble the benefits of these gradient-based and perturbation-based approaches and has demonstrated advantages over SHAP, Grad-CAM and LIME in terms of interpreting the models’ decisions. To compare the proposed technique with post-hoc explainability methods quantitatively, the confidence index of the proposed method is evaluated using dice loss. The proposed method shares 71% similarity with SHAP and 81% similarity with Grad-CAM methods; however, it shares the benefits of both methods and is computationally faster than SHAP and LIME.","container-title":"IEEE Transactions on Instrumentation and Measurement","DOI":"10.1109/TIM.2022.3204316","ISSN":"1557-9662","journalAbbreviation":"IEEE Trans Instrum Meas","note":"event-title: IEEE Transactions on Instrumentation and Measurement","page":"1-12","source":"IEEE Xplore","title":"Interpretation and Classification of Arrhythmia Using Deep Convolutional Network","volume":"71","author":[{"family":"Singh","given":"Prateek"},{"family":"Sharma","given":"Ambalika"}],"issued":{"date-parts":[["2022"]]},"citation-key":"singhInterpretationClassificationArrhythmia2022"}}],"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20</w:t>
                            </w:r>
                            <w:r>
                              <w:rPr>
                                <w:rFonts w:eastAsia="Times New Roman" w:cstheme="minorHAnsi"/>
                                <w:color w:val="000000"/>
                                <w:sz w:val="16"/>
                                <w:szCs w:val="16"/>
                                <w:lang w:val="de-DE" w:eastAsia="de-DE"/>
                              </w:rPr>
                              <w:fldChar w:fldCharType="end"/>
                            </w:r>
                            <w:r>
                              <w:rPr>
                                <w:rFonts w:eastAsia="Times New Roman" w:cstheme="minorHAnsi"/>
                                <w:color w:val="000000"/>
                                <w:sz w:val="16"/>
                                <w:szCs w:val="16"/>
                                <w:lang w:val="de-DE" w:eastAsia="de-DE"/>
                              </w:rPr>
                              <w:t xml:space="preserve"> </w:t>
                            </w:r>
                            <w:r>
                              <w:rPr>
                                <w:rFonts w:eastAsia="Times New Roman" w:cstheme="minorHAnsi"/>
                                <w:color w:val="000000"/>
                                <w:sz w:val="16"/>
                                <w:szCs w:val="16"/>
                                <w:lang w:eastAsia="de-DE"/>
                              </w:rPr>
                              <w:t xml:space="preserve">vs. SHAP, LIME, </w:t>
                            </w:r>
                            <w:proofErr w:type="spellStart"/>
                            <w:r>
                              <w:rPr>
                                <w:rFonts w:eastAsia="Times New Roman" w:cstheme="minorHAnsi"/>
                                <w:color w:val="000000"/>
                                <w:sz w:val="16"/>
                                <w:szCs w:val="16"/>
                                <w:lang w:eastAsia="de-DE"/>
                              </w:rPr>
                              <w:t>GradCAM</w:t>
                            </w:r>
                            <w:proofErr w:type="spellEnd"/>
                          </w:p>
                        </w:tc>
                        <w:tc>
                          <w:tcPr>
                            <w:tcW w:w="1943" w:type="dxa"/>
                            <w:tcBorders>
                              <w:top w:val="single" w:sz="4" w:space="0" w:color="auto"/>
                              <w:left w:val="nil"/>
                              <w:bottom w:val="single" w:sz="4" w:space="0" w:color="auto"/>
                              <w:right w:val="nil"/>
                            </w:tcBorders>
                            <w:tcMar>
                              <w:top w:w="0" w:type="dxa"/>
                              <w:left w:w="57" w:type="dxa"/>
                              <w:bottom w:w="0" w:type="dxa"/>
                              <w:right w:w="57" w:type="dxa"/>
                            </w:tcMar>
                            <w:vAlign w:val="center"/>
                            <w:hideMark/>
                          </w:tcPr>
                          <w:p w14:paraId="3811C92D"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6"/>
                                <w:szCs w:val="16"/>
                                <w:lang w:eastAsia="de-DE"/>
                              </w:rPr>
                            </w:pPr>
                            <w:r>
                              <w:rPr>
                                <w:rFonts w:eastAsia="Times New Roman" w:cstheme="minorHAnsi"/>
                                <w:color w:val="000000"/>
                                <w:sz w:val="16"/>
                                <w:szCs w:val="16"/>
                                <w:lang w:eastAsia="de-DE"/>
                              </w:rPr>
                              <w:t xml:space="preserve">Average relevance within 10 equally sized segments in ECG beat </w:t>
                            </w:r>
                            <w:r>
                              <w:rPr>
                                <w:rFonts w:eastAsia="Times New Roman" w:cstheme="minorHAnsi"/>
                                <w:color w:val="000000"/>
                                <w:sz w:val="16"/>
                                <w:szCs w:val="16"/>
                                <w:lang w:eastAsia="de-DE"/>
                              </w:rPr>
                              <w:sym w:font="Wingdings" w:char="F0E0"/>
                            </w:r>
                            <w:r>
                              <w:rPr>
                                <w:rFonts w:eastAsia="Times New Roman" w:cstheme="minorHAnsi"/>
                                <w:color w:val="000000"/>
                                <w:sz w:val="16"/>
                                <w:szCs w:val="16"/>
                                <w:lang w:eastAsia="de-DE"/>
                              </w:rPr>
                              <w:t xml:space="preserve"> comparison between classes</w:t>
                            </w:r>
                          </w:p>
                        </w:tc>
                      </w:tr>
                      <w:tr w:rsidR="0094389A" w14:paraId="3EFF08F0" w14:textId="77777777">
                        <w:trPr>
                          <w:cantSplit/>
                          <w:trHeight w:val="1250"/>
                        </w:trPr>
                        <w:tc>
                          <w:tcPr>
                            <w:cnfStyle w:val="001000000000" w:firstRow="0" w:lastRow="0" w:firstColumn="1" w:lastColumn="0" w:oddVBand="0" w:evenVBand="0" w:oddHBand="0" w:evenHBand="0" w:firstRowFirstColumn="0" w:firstRowLastColumn="0" w:lastRowFirstColumn="0" w:lastRowLastColumn="0"/>
                            <w:tcW w:w="431" w:type="dxa"/>
                            <w:tcBorders>
                              <w:top w:val="single" w:sz="4" w:space="0" w:color="auto"/>
                              <w:left w:val="nil"/>
                              <w:bottom w:val="single" w:sz="12" w:space="0" w:color="auto"/>
                              <w:right w:val="nil"/>
                            </w:tcBorders>
                            <w:noWrap/>
                            <w:textDirection w:val="btLr"/>
                            <w:vAlign w:val="center"/>
                            <w:hideMark/>
                          </w:tcPr>
                          <w:p w14:paraId="788E2710" w14:textId="77777777" w:rsidR="0094389A" w:rsidRDefault="0094389A">
                            <w:pPr>
                              <w:ind w:left="113" w:right="113"/>
                              <w:jc w:val="center"/>
                              <w:rPr>
                                <w:rFonts w:eastAsia="Times New Roman" w:cstheme="minorHAnsi"/>
                                <w:color w:val="000000"/>
                                <w:sz w:val="16"/>
                                <w:szCs w:val="16"/>
                                <w:lang w:val="de-DE" w:eastAsia="de-DE"/>
                              </w:rPr>
                            </w:pPr>
                            <w:r>
                              <w:rPr>
                                <w:rFonts w:eastAsia="Times New Roman" w:cstheme="minorHAnsi"/>
                                <w:b w:val="0"/>
                                <w:bCs w:val="0"/>
                                <w:color w:val="000000"/>
                                <w:sz w:val="16"/>
                                <w:szCs w:val="16"/>
                                <w:lang w:eastAsia="de-DE"/>
                              </w:rPr>
                              <w:t xml:space="preserve">Taniguchi </w:t>
                            </w:r>
                            <w:r>
                              <w:rPr>
                                <w:rFonts w:eastAsia="Times New Roman" w:cstheme="minorHAnsi"/>
                                <w:b w:val="0"/>
                                <w:bCs w:val="0"/>
                                <w:i/>
                                <w:iCs/>
                                <w:color w:val="000000"/>
                                <w:sz w:val="16"/>
                                <w:szCs w:val="16"/>
                                <w:lang w:eastAsia="de-DE"/>
                              </w:rPr>
                              <w:t>et al.</w:t>
                            </w:r>
                            <w:r>
                              <w:rPr>
                                <w:rFonts w:eastAsia="Times New Roman" w:cstheme="minorHAnsi"/>
                                <w:b w:val="0"/>
                                <w:bCs w:val="0"/>
                                <w:color w:val="000000"/>
                                <w:sz w:val="16"/>
                                <w:szCs w:val="16"/>
                                <w:lang w:eastAsia="de-DE"/>
                              </w:rPr>
                              <w:t xml:space="preserve"> (2021)</w:t>
                            </w:r>
                            <w:r>
                              <w:rPr>
                                <w:rFonts w:eastAsia="Times New Roman" w:cstheme="minorHAnsi"/>
                                <w:color w:val="000000"/>
                                <w:sz w:val="16"/>
                                <w:szCs w:val="16"/>
                                <w:lang w:val="de-DE" w:eastAsia="de-DE"/>
                              </w:rPr>
                              <w:fldChar w:fldCharType="begin"/>
                            </w:r>
                            <w:r>
                              <w:rPr>
                                <w:rFonts w:eastAsia="Times New Roman" w:cstheme="minorHAnsi"/>
                                <w:b w:val="0"/>
                                <w:bCs w:val="0"/>
                                <w:color w:val="000000"/>
                                <w:sz w:val="16"/>
                                <w:szCs w:val="16"/>
                                <w:lang w:eastAsia="de-DE"/>
                              </w:rPr>
                              <w:instrText xml:space="preserve"> ADDIN ZOTERO_ITEM CSL_CITATION {"citationID":"MZVi2Nyn","properties":{"formattedCitation":"\\super 12\\nosupersub{}","plainCitation":"12","noteIndex":0},"citationItems":[{"id":2367,"uris":["http://zotero.org/users/3633911/items/PQ8AKV2V"],"itemData":{"id":2367,"type":"article-journal","abstract":"Atrial fibrillation is a clinically important arrhythmia. There are some reports on machine learning models for AF diagnosis using electrocardiogram data. However, few reports have proposed an eXplainable Artificial Intelligence (XAI) model to enable physicians to easily understand the machine learning model's diagnosis results.We developed and validated an XAI-enabled atrial fibrillation diagnosis model based on a convolutional neural network (CNN) algorithm. We used Holter electrocardiogram monitoring data and the gradient-weighted class activation mapping (Grad-CAM) method.Electrocardiogram data recorded from patients between January 4, 2016, and October 31, 2019, totaling 57,273 electrocardiogram waveform slots of 30 seconds each with diagnostic information annotated by cardiologists, were used for training our proposed model. Performance metrics of our AI model for AF diagnosis are as follows: sensitivity, 97.1% (95% CI: 0.969-0.972); specificity, 94.5% (95% CI: 0.943-0.946); accuracy, 95.3% (95% CI: 0.952-0.955); positive predictive value, 89.3% (95% CI: 0.892-0.897); and F-value, 93.1% (95% CI: 0.929-0.933). The area under the receiver operating characteristic curve for AF detection using our model was 0.988 (95% CI: 0.987-0.988). Furthermore, using the XAI method, 94.5 ± 3.5% of the areas identified as regions of interest using our machine learning model were identified as characteristic sites for AF diagnosis by cardiologists.AF was accurately diagnosed and favorably explained with Holter ECG waveforms using our proposed CNN-based XAI model. Our study presents another step toward realizing a viable XAI-based detection model for AF diagnoses for use by physicians.","container-title":"International Heart Journal","DOI":"10.1536/ihj.21-094","ISSN":"1349-3299","issue":"3","journalAbbreviation":"Int Heart J","note":"PMID: 34053998","page":"534-539","source":"PubMed","title":"Explainable Artificial Intelligence Model for Diagnosis of Atrial Fibrillation Using Holter Electrocardiogram Waveforms","volume":"62","author":[{"family":"Taniguchi","given":"Hirohisa"},{"family":"Takata","given":"Tomohiro"},{"family":"Takechi","given":"Mineki"},{"family":"Furukawa","given":"Asuka"},{"family":"Iwasawa","given":"Jin"},{"family":"Kawamura","given":"Akio"},{"family":"Taniguchi","given":"Tadahiro"},{"family":"Tamura","given":"Yuichi"}],"issued":{"date-parts":[["2021"]]},"citation-key":"taniguchiExplainableArtificialIntelligence2021"}}],"schema":"https://github.com/citation-style-language/schema/raw/master/csl-citation.json"} </w:instrText>
                            </w:r>
                            <w:r>
                              <w:rPr>
                                <w:rFonts w:eastAsia="Times New Roman" w:cstheme="minorHAnsi"/>
                                <w:color w:val="000000"/>
                                <w:sz w:val="16"/>
                                <w:szCs w:val="16"/>
                                <w:lang w:val="de-DE" w:eastAsia="de-DE"/>
                              </w:rPr>
                              <w:fldChar w:fldCharType="separate"/>
                            </w:r>
                            <w:r>
                              <w:rPr>
                                <w:rFonts w:ascii="Calibri" w:hAnsi="Calibri" w:cs="Calibri"/>
                                <w:sz w:val="16"/>
                                <w:vertAlign w:val="superscript"/>
                              </w:rPr>
                              <w:t>12</w:t>
                            </w:r>
                            <w:r>
                              <w:rPr>
                                <w:rFonts w:eastAsia="Times New Roman" w:cstheme="minorHAnsi"/>
                                <w:color w:val="000000"/>
                                <w:sz w:val="16"/>
                                <w:szCs w:val="16"/>
                                <w:lang w:val="de-DE" w:eastAsia="de-DE"/>
                              </w:rPr>
                              <w:fldChar w:fldCharType="end"/>
                            </w:r>
                          </w:p>
                        </w:tc>
                        <w:tc>
                          <w:tcPr>
                            <w:tcW w:w="283" w:type="dxa"/>
                            <w:tcBorders>
                              <w:top w:val="single" w:sz="4" w:space="0" w:color="auto"/>
                              <w:left w:val="nil"/>
                              <w:bottom w:val="single" w:sz="12" w:space="0" w:color="auto"/>
                              <w:right w:val="nil"/>
                            </w:tcBorders>
                            <w:noWrap/>
                            <w:vAlign w:val="center"/>
                            <w:hideMark/>
                          </w:tcPr>
                          <w:p w14:paraId="007D894D"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1</w:t>
                            </w:r>
                          </w:p>
                        </w:tc>
                        <w:tc>
                          <w:tcPr>
                            <w:tcW w:w="1375" w:type="dxa"/>
                            <w:tcBorders>
                              <w:top w:val="single" w:sz="4" w:space="0" w:color="auto"/>
                              <w:left w:val="nil"/>
                              <w:bottom w:val="single" w:sz="12" w:space="0" w:color="auto"/>
                              <w:right w:val="nil"/>
                            </w:tcBorders>
                            <w:tcMar>
                              <w:top w:w="0" w:type="dxa"/>
                              <w:left w:w="57" w:type="dxa"/>
                              <w:bottom w:w="0" w:type="dxa"/>
                              <w:right w:w="57" w:type="dxa"/>
                            </w:tcMar>
                            <w:vAlign w:val="center"/>
                          </w:tcPr>
                          <w:p w14:paraId="6B09057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AF detection</w:t>
                            </w:r>
                            <w:r>
                              <w:rPr>
                                <w:rFonts w:eastAsia="Times New Roman" w:cstheme="minorHAnsi"/>
                                <w:color w:val="000000"/>
                                <w:sz w:val="16"/>
                                <w:szCs w:val="16"/>
                                <w:lang w:eastAsia="de-DE"/>
                              </w:rPr>
                              <w:br/>
                              <w:t>(AF, NSR)</w:t>
                            </w:r>
                          </w:p>
                          <w:p w14:paraId="5422C247"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p>
                          <w:p w14:paraId="5483F755"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u w:val="single"/>
                                <w:lang w:eastAsia="de-DE"/>
                              </w:rPr>
                              <w:t>classes</w:t>
                            </w:r>
                            <w:r>
                              <w:rPr>
                                <w:rFonts w:eastAsia="Times New Roman" w:cstheme="minorHAnsi"/>
                                <w:color w:val="000000"/>
                                <w:sz w:val="16"/>
                                <w:szCs w:val="16"/>
                                <w:lang w:eastAsia="de-DE"/>
                              </w:rPr>
                              <w:t>: 2</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AF</w:t>
                            </w:r>
                            <w:r>
                              <w:rPr>
                                <w:rFonts w:eastAsia="Times New Roman" w:cstheme="minorHAnsi"/>
                                <w:color w:val="000000"/>
                                <w:sz w:val="16"/>
                                <w:szCs w:val="16"/>
                                <w:lang w:eastAsia="de-DE"/>
                              </w:rPr>
                              <w:t>: yes</w:t>
                            </w:r>
                          </w:p>
                        </w:tc>
                        <w:tc>
                          <w:tcPr>
                            <w:tcW w:w="964" w:type="dxa"/>
                            <w:tcBorders>
                              <w:top w:val="single" w:sz="4" w:space="0" w:color="auto"/>
                              <w:left w:val="nil"/>
                              <w:bottom w:val="single" w:sz="12" w:space="0" w:color="auto"/>
                              <w:right w:val="nil"/>
                            </w:tcBorders>
                            <w:noWrap/>
                            <w:tcMar>
                              <w:top w:w="0" w:type="dxa"/>
                              <w:left w:w="57" w:type="dxa"/>
                              <w:bottom w:w="0" w:type="dxa"/>
                              <w:right w:w="57" w:type="dxa"/>
                            </w:tcMar>
                            <w:vAlign w:val="center"/>
                            <w:hideMark/>
                          </w:tcPr>
                          <w:p w14:paraId="65B4540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CNN</w:t>
                            </w:r>
                          </w:p>
                        </w:tc>
                        <w:tc>
                          <w:tcPr>
                            <w:tcW w:w="991" w:type="dxa"/>
                            <w:tcBorders>
                              <w:top w:val="single" w:sz="4" w:space="0" w:color="auto"/>
                              <w:left w:val="nil"/>
                              <w:bottom w:val="single" w:sz="12" w:space="0" w:color="auto"/>
                              <w:right w:val="nil"/>
                            </w:tcBorders>
                            <w:tcMar>
                              <w:top w:w="0" w:type="dxa"/>
                              <w:left w:w="57" w:type="dxa"/>
                              <w:bottom w:w="0" w:type="dxa"/>
                              <w:right w:w="57" w:type="dxa"/>
                            </w:tcMar>
                            <w:vAlign w:val="center"/>
                            <w:hideMark/>
                          </w:tcPr>
                          <w:p w14:paraId="5208ED8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Own dataset</w:t>
                            </w:r>
                            <w:r>
                              <w:rPr>
                                <w:rFonts w:eastAsia="Times New Roman" w:cstheme="minorHAnsi"/>
                                <w:color w:val="000000"/>
                                <w:sz w:val="16"/>
                                <w:szCs w:val="16"/>
                                <w:lang w:eastAsia="de-DE"/>
                              </w:rPr>
                              <w:br/>
                            </w:r>
                            <m:oMath>
                              <m:r>
                                <m:rPr>
                                  <m:sty m:val="bi"/>
                                </m:rPr>
                                <w:rPr>
                                  <w:rFonts w:ascii="Cambria Math" w:eastAsia="Times New Roman" w:hAnsi="Cambria Math" w:cstheme="minorHAnsi"/>
                                  <w:sz w:val="16"/>
                                  <w:szCs w:val="16"/>
                                  <w:lang w:eastAsia="de-DE"/>
                                </w:rPr>
                                <m:t>n</m:t>
                              </m:r>
                            </m:oMath>
                            <w:r>
                              <w:rPr>
                                <w:rFonts w:eastAsia="Times New Roman" w:cstheme="minorHAnsi"/>
                                <w:color w:val="000000"/>
                                <w:sz w:val="16"/>
                                <w:szCs w:val="16"/>
                                <w:lang w:eastAsia="de-DE"/>
                              </w:rPr>
                              <w:t>=87,273</w:t>
                            </w:r>
                          </w:p>
                          <w:p w14:paraId="3B8C60F4"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(AF: 18,622)</w:t>
                            </w:r>
                            <w:r>
                              <w:rPr>
                                <w:rFonts w:eastAsia="Times New Roman" w:cstheme="minorHAnsi"/>
                                <w:color w:val="000000"/>
                                <w:sz w:val="16"/>
                                <w:szCs w:val="16"/>
                                <w:lang w:eastAsia="de-DE"/>
                              </w:rPr>
                              <w:br/>
                            </w:r>
                            <w:r>
                              <w:rPr>
                                <w:rFonts w:eastAsia="Times New Roman" w:cstheme="minorHAnsi"/>
                                <w:color w:val="000000"/>
                                <w:sz w:val="16"/>
                                <w:szCs w:val="16"/>
                                <w:u w:val="single"/>
                                <w:lang w:eastAsia="de-DE"/>
                              </w:rPr>
                              <w:t>subjects</w:t>
                            </w:r>
                            <w:r>
                              <w:rPr>
                                <w:rFonts w:eastAsia="Times New Roman" w:cstheme="minorHAnsi"/>
                                <w:color w:val="000000"/>
                                <w:sz w:val="16"/>
                                <w:szCs w:val="16"/>
                                <w:lang w:eastAsia="de-DE"/>
                              </w:rPr>
                              <w:t>: 60</w:t>
                            </w:r>
                          </w:p>
                        </w:tc>
                        <w:tc>
                          <w:tcPr>
                            <w:tcW w:w="1020" w:type="dxa"/>
                            <w:tcBorders>
                              <w:top w:val="single" w:sz="4" w:space="0" w:color="auto"/>
                              <w:left w:val="nil"/>
                              <w:bottom w:val="single" w:sz="12" w:space="0" w:color="auto"/>
                              <w:right w:val="nil"/>
                            </w:tcBorders>
                            <w:tcMar>
                              <w:top w:w="0" w:type="dxa"/>
                              <w:left w:w="57" w:type="dxa"/>
                              <w:bottom w:w="0" w:type="dxa"/>
                              <w:right w:w="57" w:type="dxa"/>
                            </w:tcMar>
                            <w:vAlign w:val="center"/>
                          </w:tcPr>
                          <w:p w14:paraId="13704A7C"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Subject-based HV:</w:t>
                            </w:r>
                          </w:p>
                          <w:p w14:paraId="55E6225B"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75 % / 25 %</w:t>
                            </w:r>
                          </w:p>
                          <w:p w14:paraId="78C0D672"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p>
                          <w:p w14:paraId="18EFC801" w14:textId="77777777" w:rsidR="0094389A" w:rsidRDefault="0094389A">
                            <w:pPr>
                              <w:jc w:val="lef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Test: -</w:t>
                            </w:r>
                          </w:p>
                        </w:tc>
                        <w:tc>
                          <w:tcPr>
                            <w:tcW w:w="426" w:type="dxa"/>
                            <w:tcBorders>
                              <w:top w:val="single" w:sz="4" w:space="0" w:color="auto"/>
                              <w:left w:val="nil"/>
                              <w:bottom w:val="single" w:sz="12" w:space="0" w:color="auto"/>
                              <w:right w:val="nil"/>
                            </w:tcBorders>
                            <w:vAlign w:val="center"/>
                            <w:hideMark/>
                          </w:tcPr>
                          <w:p w14:paraId="41D89A1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2D9D3CE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04353E43"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09A23E8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w:t>
                            </w:r>
                          </w:p>
                        </w:tc>
                        <w:tc>
                          <w:tcPr>
                            <w:tcW w:w="141" w:type="dxa"/>
                            <w:tcBorders>
                              <w:top w:val="single" w:sz="4" w:space="0" w:color="auto"/>
                              <w:left w:val="nil"/>
                              <w:bottom w:val="single" w:sz="12" w:space="0" w:color="auto"/>
                              <w:right w:val="nil"/>
                            </w:tcBorders>
                            <w:vAlign w:val="center"/>
                            <w:hideMark/>
                          </w:tcPr>
                          <w:p w14:paraId="304463C8"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4AB4BAB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126C984A"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w:t>
                            </w:r>
                          </w:p>
                          <w:p w14:paraId="6B1B0820"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w:t>
                            </w:r>
                          </w:p>
                        </w:tc>
                        <w:tc>
                          <w:tcPr>
                            <w:tcW w:w="426" w:type="dxa"/>
                            <w:tcBorders>
                              <w:top w:val="single" w:sz="4" w:space="0" w:color="auto"/>
                              <w:left w:val="nil"/>
                              <w:bottom w:val="single" w:sz="12" w:space="0" w:color="auto"/>
                              <w:right w:val="nil"/>
                            </w:tcBorders>
                            <w:vAlign w:val="center"/>
                            <w:hideMark/>
                          </w:tcPr>
                          <w:p w14:paraId="0713AB2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95.3</w:t>
                            </w:r>
                          </w:p>
                          <w:p w14:paraId="18992CC4"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93.1</w:t>
                            </w:r>
                          </w:p>
                          <w:p w14:paraId="475726E1"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val="de-DE" w:eastAsia="de-DE"/>
                              </w:rPr>
                            </w:pPr>
                            <w:r>
                              <w:rPr>
                                <w:rFonts w:eastAsia="Times New Roman" w:cstheme="minorHAnsi"/>
                                <w:color w:val="000000"/>
                                <w:sz w:val="16"/>
                                <w:szCs w:val="16"/>
                                <w:lang w:val="de-DE" w:eastAsia="de-DE"/>
                              </w:rPr>
                              <w:t>97.1</w:t>
                            </w:r>
                          </w:p>
                          <w:p w14:paraId="757B711C"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94.5</w:t>
                            </w:r>
                          </w:p>
                        </w:tc>
                        <w:tc>
                          <w:tcPr>
                            <w:tcW w:w="1049" w:type="dxa"/>
                            <w:tcBorders>
                              <w:top w:val="single" w:sz="4" w:space="0" w:color="auto"/>
                              <w:left w:val="nil"/>
                              <w:bottom w:val="single" w:sz="12" w:space="0" w:color="auto"/>
                              <w:right w:val="nil"/>
                            </w:tcBorders>
                            <w:noWrap/>
                            <w:tcMar>
                              <w:top w:w="0" w:type="dxa"/>
                              <w:left w:w="57" w:type="dxa"/>
                              <w:bottom w:w="0" w:type="dxa"/>
                              <w:right w:w="57" w:type="dxa"/>
                            </w:tcMar>
                            <w:vAlign w:val="center"/>
                            <w:hideMark/>
                          </w:tcPr>
                          <w:p w14:paraId="1BAF242E" w14:textId="77777777" w:rsidR="0094389A" w:rsidRDefault="0094389A">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val="de-DE" w:eastAsia="de-DE"/>
                              </w:rPr>
                              <w:t>GradCAM</w:t>
                            </w:r>
                          </w:p>
                        </w:tc>
                        <w:tc>
                          <w:tcPr>
                            <w:tcW w:w="1943" w:type="dxa"/>
                            <w:tcBorders>
                              <w:top w:val="single" w:sz="4" w:space="0" w:color="auto"/>
                              <w:left w:val="nil"/>
                              <w:bottom w:val="single" w:sz="12" w:space="0" w:color="auto"/>
                              <w:right w:val="nil"/>
                            </w:tcBorders>
                            <w:tcMar>
                              <w:top w:w="0" w:type="dxa"/>
                              <w:left w:w="57" w:type="dxa"/>
                              <w:bottom w:w="0" w:type="dxa"/>
                              <w:right w:w="57" w:type="dxa"/>
                            </w:tcMar>
                            <w:vAlign w:val="center"/>
                            <w:hideMark/>
                          </w:tcPr>
                          <w:p w14:paraId="290BA67E" w14:textId="77777777" w:rsidR="0094389A" w:rsidRDefault="0094389A">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sz w:val="16"/>
                                <w:szCs w:val="16"/>
                                <w:lang w:eastAsia="de-DE"/>
                              </w:rPr>
                            </w:pPr>
                            <w:r>
                              <w:rPr>
                                <w:rFonts w:eastAsia="Times New Roman" w:cstheme="minorHAnsi"/>
                                <w:color w:val="000000"/>
                                <w:sz w:val="16"/>
                                <w:szCs w:val="16"/>
                                <w:lang w:eastAsia="de-DE"/>
                              </w:rPr>
                              <w:t>Review of the areas relevant according to CNN for agree-</w:t>
                            </w:r>
                            <w:proofErr w:type="spellStart"/>
                            <w:r>
                              <w:rPr>
                                <w:rFonts w:eastAsia="Times New Roman" w:cstheme="minorHAnsi"/>
                                <w:color w:val="000000"/>
                                <w:sz w:val="16"/>
                                <w:szCs w:val="16"/>
                                <w:lang w:eastAsia="de-DE"/>
                              </w:rPr>
                              <w:t>ment</w:t>
                            </w:r>
                            <w:proofErr w:type="spellEnd"/>
                            <w:r>
                              <w:rPr>
                                <w:rFonts w:eastAsia="Times New Roman" w:cstheme="minorHAnsi"/>
                                <w:color w:val="000000"/>
                                <w:sz w:val="16"/>
                                <w:szCs w:val="16"/>
                                <w:lang w:eastAsia="de-DE"/>
                              </w:rPr>
                              <w:t xml:space="preserve"> with AF characteristics by 6 cardiologists (94.5 ± 3.5 % agreement)</w:t>
                            </w:r>
                          </w:p>
                        </w:tc>
                      </w:tr>
                    </w:tbl>
                    <w:p w14:paraId="5906BEDF" w14:textId="77777777" w:rsidR="0094389A" w:rsidRDefault="0094389A" w:rsidP="0094389A">
                      <w:pPr>
                        <w:rPr>
                          <w:rFonts w:eastAsiaTheme="minorEastAsia"/>
                        </w:rPr>
                      </w:pPr>
                    </w:p>
                    <w:p w14:paraId="72D54920" w14:textId="77777777" w:rsidR="0094389A" w:rsidRDefault="0094389A" w:rsidP="0094389A"/>
                  </w:txbxContent>
                </v:textbox>
                <w10:wrap type="tight" anchorx="margin"/>
              </v:shape>
            </w:pict>
          </mc:Fallback>
        </mc:AlternateContent>
      </w:r>
    </w:p>
    <w:p w14:paraId="43C1BB8F" w14:textId="577862CD" w:rsidR="0094389A" w:rsidRPr="0094389A" w:rsidRDefault="0094389A" w:rsidP="0094389A">
      <w:pPr>
        <w:rPr>
          <w:b/>
          <w:bCs/>
        </w:rPr>
      </w:pPr>
      <w:r w:rsidRPr="0094389A">
        <w:rPr>
          <w:b/>
          <w:bCs/>
        </w:rPr>
        <w:lastRenderedPageBreak/>
        <w:t xml:space="preserve">Table </w:t>
      </w:r>
      <w:r w:rsidRPr="0094389A">
        <w:rPr>
          <w:b/>
          <w:bCs/>
        </w:rPr>
        <w:fldChar w:fldCharType="begin"/>
      </w:r>
      <w:r w:rsidRPr="0094389A">
        <w:rPr>
          <w:b/>
          <w:bCs/>
        </w:rPr>
        <w:instrText xml:space="preserve"> SEQ Table \* ARABIC </w:instrText>
      </w:r>
      <w:r w:rsidRPr="0094389A">
        <w:rPr>
          <w:b/>
          <w:bCs/>
        </w:rPr>
        <w:fldChar w:fldCharType="separate"/>
      </w:r>
      <w:r w:rsidRPr="0094389A">
        <w:rPr>
          <w:b/>
          <w:bCs/>
        </w:rPr>
        <w:t>3</w:t>
      </w:r>
      <w:r w:rsidRPr="0094389A">
        <w:fldChar w:fldCharType="end"/>
      </w:r>
      <w:bookmarkEnd w:id="0"/>
      <w:r w:rsidRPr="0094389A">
        <w:rPr>
          <w:b/>
          <w:bCs/>
        </w:rPr>
        <w:t xml:space="preserve">: Correlations between absolute differences in consecutive RR intervals </w:t>
      </w:r>
      <m:oMath>
        <m:r>
          <m:rPr>
            <m:sty m:val="bi"/>
          </m:rPr>
          <w:rPr>
            <w:rFonts w:ascii="Cambria Math" w:hAnsi="Cambria Math"/>
          </w:rPr>
          <m:t>|δRR|</m:t>
        </m:r>
      </m:oMath>
      <w:r w:rsidRPr="0094389A">
        <w:rPr>
          <w:b/>
          <w:bCs/>
        </w:rPr>
        <w:t xml:space="preserve"> and mean absolute changes of segment-specific relative relevance in consecutive beats </w:t>
      </w:r>
      <m:oMath>
        <m:r>
          <m:rPr>
            <m:sty m:val="bi"/>
          </m:rPr>
          <w:rPr>
            <w:rFonts w:ascii="Cambria Math" w:hAnsi="Cambria Math"/>
          </w:rPr>
          <m:t>|δrR|</m:t>
        </m:r>
      </m:oMath>
      <w:r w:rsidRPr="0094389A">
        <w:rPr>
          <w:b/>
          <w:bCs/>
          <w:lang w:val="en"/>
        </w:rPr>
        <w:t xml:space="preserve"> </w:t>
      </w:r>
      <w:r w:rsidRPr="0094389A">
        <w:rPr>
          <w:b/>
          <w:bCs/>
        </w:rPr>
        <w:t xml:space="preserve">on beat-to-beat or recording level, separated by class and long-term or short-term model. Analyzes at beat-to-beat level are based on the Spearman’s correlation coefficient. Model- and segment-dependent relative relevance values are Euclidean normalized recording-wise. Analyzes on recording level are based on Pearson’s correlation coefficient, applied to the mean of </w:t>
      </w:r>
      <m:oMath>
        <m:r>
          <m:rPr>
            <m:sty m:val="bi"/>
          </m:rPr>
          <w:rPr>
            <w:rFonts w:ascii="Cambria Math" w:hAnsi="Cambria Math"/>
          </w:rPr>
          <m:t>|δRR|</m:t>
        </m:r>
      </m:oMath>
      <w:r w:rsidRPr="0094389A">
        <w:rPr>
          <w:b/>
          <w:bCs/>
        </w:rPr>
        <w:t xml:space="preserve"> (</w:t>
      </w:r>
      <m:oMath>
        <m:acc>
          <m:accPr>
            <m:chr m:val="̅"/>
            <m:ctrlPr>
              <w:rPr>
                <w:rFonts w:ascii="Cambria Math" w:hAnsi="Cambria Math"/>
                <w:b/>
                <w:bCs/>
                <w:i/>
              </w:rPr>
            </m:ctrlPr>
          </m:accPr>
          <m:e>
            <m:r>
              <m:rPr>
                <m:sty m:val="bi"/>
              </m:rPr>
              <w:rPr>
                <w:rFonts w:ascii="Cambria Math" w:hAnsi="Cambria Math"/>
              </w:rPr>
              <m:t>|δRR|</m:t>
            </m:r>
          </m:e>
        </m:acc>
      </m:oMath>
      <w:r w:rsidRPr="0094389A">
        <w:rPr>
          <w:b/>
          <w:bCs/>
        </w:rPr>
        <w:t xml:space="preserve">) and </w:t>
      </w:r>
      <m:oMath>
        <m:r>
          <m:rPr>
            <m:sty m:val="bi"/>
          </m:rPr>
          <w:rPr>
            <w:rFonts w:ascii="Cambria Math" w:hAnsi="Cambria Math"/>
          </w:rPr>
          <m:t>|δrR|</m:t>
        </m:r>
      </m:oMath>
      <w:r w:rsidRPr="0094389A">
        <w:rPr>
          <w:b/>
          <w:bCs/>
        </w:rPr>
        <w:t xml:space="preserve"> (</w:t>
      </w:r>
      <m:oMath>
        <m:acc>
          <m:accPr>
            <m:chr m:val="̅"/>
            <m:ctrlPr>
              <w:rPr>
                <w:rFonts w:ascii="Cambria Math" w:hAnsi="Cambria Math"/>
                <w:b/>
                <w:bCs/>
                <w:i/>
              </w:rPr>
            </m:ctrlPr>
          </m:accPr>
          <m:e>
            <m:r>
              <m:rPr>
                <m:sty m:val="bi"/>
              </m:rPr>
              <w:rPr>
                <w:rFonts w:ascii="Cambria Math" w:hAnsi="Cambria Math"/>
              </w:rPr>
              <m:t>|δrR|</m:t>
            </m:r>
          </m:e>
        </m:acc>
      </m:oMath>
      <w:r w:rsidRPr="0094389A">
        <w:rPr>
          <w:b/>
          <w:bCs/>
        </w:rPr>
        <w:t>) per recording. Correlation strengths according to the definition of Cohen</w:t>
      </w:r>
      <w:r w:rsidRPr="0094389A">
        <w:rPr>
          <w:b/>
          <w:bCs/>
        </w:rPr>
        <w:fldChar w:fldCharType="begin"/>
      </w:r>
      <w:r w:rsidRPr="0094389A">
        <w:rPr>
          <w:b/>
          <w:bCs/>
        </w:rPr>
        <w:instrText xml:space="preserve"> ADDIN ZOTERO_ITEM CSL_CITATION {"citationID":"L9CD8o8x","properties":{"formattedCitation":"\\super 30\\nosupersub{}","plainCitation":"30","noteIndex":0},"citationItems":[{"id":789,"uris":["http://zotero.org/users/3633911/items/GV763SEU"],"itemData":{"id":789,"type":"book","edition":"2","event-place":"Hillsdale, NJ","ISBN":"978-0-8058-0283-2","number-of-pages":"567","publisher":"Erlbaum","publisher-place":"Hillsdale, NJ","title":"Statistical Power Analysis for the Behavioral Sciences","author":[{"family":"Cohen","given":"Jacob"}],"issued":{"date-parts":[["1988"]]},"citation-key":"cohenStatisticalPowerAnalysis1988"}}],"schema":"https://github.com/citation-style-language/schema/raw/master/csl-citation.json"} </w:instrText>
      </w:r>
      <w:r w:rsidRPr="0094389A">
        <w:rPr>
          <w:b/>
          <w:bCs/>
        </w:rPr>
        <w:fldChar w:fldCharType="separate"/>
      </w:r>
      <w:r w:rsidRPr="0094389A">
        <w:rPr>
          <w:b/>
          <w:bCs/>
          <w:vertAlign w:val="superscript"/>
        </w:rPr>
        <w:t>30</w:t>
      </w:r>
      <w:r w:rsidRPr="0094389A">
        <w:fldChar w:fldCharType="end"/>
      </w:r>
      <w:r w:rsidRPr="0094389A">
        <w:rPr>
          <w:b/>
          <w:bCs/>
        </w:rPr>
        <w:t xml:space="preserve"> are highlighted by color. Significant correlations are marked according to the legend.</w:t>
      </w:r>
    </w:p>
    <w:tbl>
      <w:tblPr>
        <w:tblStyle w:val="PlainTable2"/>
        <w:tblpPr w:leftFromText="142" w:rightFromText="142" w:vertAnchor="text" w:horzAnchor="margin" w:tblpY="1"/>
        <w:tblW w:w="5000" w:type="pct"/>
        <w:tblBorders>
          <w:top w:val="single" w:sz="12" w:space="0" w:color="auto"/>
          <w:bottom w:val="single" w:sz="12" w:space="0" w:color="auto"/>
        </w:tblBorders>
        <w:tblLook w:val="04A0" w:firstRow="1" w:lastRow="0" w:firstColumn="1" w:lastColumn="0" w:noHBand="0" w:noVBand="1"/>
      </w:tblPr>
      <w:tblGrid>
        <w:gridCol w:w="1536"/>
        <w:gridCol w:w="128"/>
        <w:gridCol w:w="772"/>
        <w:gridCol w:w="448"/>
        <w:gridCol w:w="781"/>
        <w:gridCol w:w="452"/>
        <w:gridCol w:w="141"/>
        <w:gridCol w:w="765"/>
        <w:gridCol w:w="456"/>
        <w:gridCol w:w="772"/>
        <w:gridCol w:w="358"/>
        <w:gridCol w:w="137"/>
        <w:gridCol w:w="766"/>
        <w:gridCol w:w="457"/>
        <w:gridCol w:w="775"/>
        <w:gridCol w:w="616"/>
      </w:tblGrid>
      <w:tr w:rsidR="0094389A" w:rsidRPr="0094389A" w14:paraId="7E328039" w14:textId="77777777" w:rsidTr="0094389A">
        <w:trPr>
          <w:cnfStyle w:val="100000000000" w:firstRow="1" w:lastRow="0" w:firstColumn="0" w:lastColumn="0" w:oddVBand="0" w:evenVBand="0" w:oddHBand="0"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single" w:sz="12" w:space="0" w:color="auto"/>
              <w:left w:val="nil"/>
              <w:bottom w:val="nil"/>
              <w:right w:val="nil"/>
            </w:tcBorders>
            <w:tcMar>
              <w:top w:w="0" w:type="dxa"/>
              <w:left w:w="108" w:type="dxa"/>
              <w:bottom w:w="0" w:type="dxa"/>
              <w:right w:w="227" w:type="dxa"/>
            </w:tcMar>
            <w:vAlign w:val="center"/>
            <w:hideMark/>
          </w:tcPr>
          <w:p w14:paraId="7A4529E6" w14:textId="77777777" w:rsidR="0094389A" w:rsidRPr="0094389A" w:rsidRDefault="0094389A" w:rsidP="0094389A">
            <w:pPr>
              <w:spacing w:after="160" w:line="259" w:lineRule="auto"/>
            </w:pPr>
            <w:r w:rsidRPr="0094389A">
              <w:t>Class</w:t>
            </w:r>
          </w:p>
        </w:tc>
        <w:tc>
          <w:tcPr>
            <w:tcW w:w="70" w:type="pct"/>
            <w:tcBorders>
              <w:top w:val="single" w:sz="12" w:space="0" w:color="auto"/>
              <w:left w:val="nil"/>
              <w:bottom w:val="nil"/>
              <w:right w:val="nil"/>
            </w:tcBorders>
            <w:tcMar>
              <w:top w:w="0" w:type="dxa"/>
              <w:left w:w="28" w:type="dxa"/>
              <w:bottom w:w="0" w:type="dxa"/>
              <w:right w:w="28" w:type="dxa"/>
            </w:tcMar>
            <w:vAlign w:val="center"/>
          </w:tcPr>
          <w:p w14:paraId="4A654B4C"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p>
        </w:tc>
        <w:tc>
          <w:tcPr>
            <w:tcW w:w="1317" w:type="pct"/>
            <w:gridSpan w:val="4"/>
            <w:tcBorders>
              <w:top w:val="single" w:sz="12" w:space="0" w:color="auto"/>
              <w:left w:val="nil"/>
              <w:bottom w:val="nil"/>
              <w:right w:val="nil"/>
            </w:tcBorders>
            <w:noWrap/>
            <w:tcMar>
              <w:top w:w="0" w:type="dxa"/>
              <w:left w:w="0" w:type="dxa"/>
              <w:bottom w:w="0" w:type="dxa"/>
              <w:right w:w="0" w:type="dxa"/>
            </w:tcMar>
            <w:vAlign w:val="center"/>
            <w:hideMark/>
          </w:tcPr>
          <w:p w14:paraId="2B068E6F"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r w:rsidRPr="0094389A">
              <w:t>Atrial fibrillation</w:t>
            </w:r>
          </w:p>
          <w:p w14:paraId="3592FA69"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r w:rsidRPr="0094389A">
              <w:t>(AF)</w:t>
            </w:r>
          </w:p>
        </w:tc>
        <w:tc>
          <w:tcPr>
            <w:tcW w:w="77" w:type="pct"/>
            <w:tcBorders>
              <w:top w:val="single" w:sz="12" w:space="0" w:color="auto"/>
              <w:left w:val="nil"/>
              <w:bottom w:val="nil"/>
              <w:right w:val="nil"/>
            </w:tcBorders>
            <w:tcMar>
              <w:top w:w="0" w:type="dxa"/>
              <w:left w:w="0" w:type="dxa"/>
              <w:bottom w:w="0" w:type="dxa"/>
              <w:right w:w="0" w:type="dxa"/>
            </w:tcMar>
            <w:vAlign w:val="center"/>
          </w:tcPr>
          <w:p w14:paraId="629D6FED"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p>
        </w:tc>
        <w:tc>
          <w:tcPr>
            <w:tcW w:w="1239" w:type="pct"/>
            <w:gridSpan w:val="4"/>
            <w:tcBorders>
              <w:top w:val="single" w:sz="12" w:space="0" w:color="auto"/>
              <w:left w:val="nil"/>
              <w:bottom w:val="nil"/>
              <w:right w:val="nil"/>
            </w:tcBorders>
            <w:noWrap/>
            <w:tcMar>
              <w:top w:w="0" w:type="dxa"/>
              <w:left w:w="0" w:type="dxa"/>
              <w:bottom w:w="0" w:type="dxa"/>
              <w:right w:w="0" w:type="dxa"/>
            </w:tcMar>
            <w:vAlign w:val="center"/>
            <w:hideMark/>
          </w:tcPr>
          <w:p w14:paraId="4CDBB282"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r w:rsidRPr="0094389A">
              <w:t>Other anomalies</w:t>
            </w:r>
          </w:p>
          <w:p w14:paraId="235C1625"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r w:rsidRPr="0094389A">
              <w:t>(O)</w:t>
            </w:r>
          </w:p>
        </w:tc>
        <w:tc>
          <w:tcPr>
            <w:tcW w:w="75" w:type="pct"/>
            <w:tcBorders>
              <w:top w:val="single" w:sz="12" w:space="0" w:color="auto"/>
              <w:left w:val="nil"/>
              <w:bottom w:val="nil"/>
              <w:right w:val="nil"/>
            </w:tcBorders>
            <w:tcMar>
              <w:top w:w="0" w:type="dxa"/>
              <w:left w:w="0" w:type="dxa"/>
              <w:bottom w:w="0" w:type="dxa"/>
              <w:right w:w="0" w:type="dxa"/>
            </w:tcMar>
            <w:vAlign w:val="center"/>
          </w:tcPr>
          <w:p w14:paraId="1ECA5905"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p>
        </w:tc>
        <w:tc>
          <w:tcPr>
            <w:tcW w:w="1398" w:type="pct"/>
            <w:gridSpan w:val="4"/>
            <w:tcBorders>
              <w:top w:val="single" w:sz="12" w:space="0" w:color="auto"/>
              <w:left w:val="nil"/>
              <w:bottom w:val="nil"/>
              <w:right w:val="nil"/>
            </w:tcBorders>
            <w:tcMar>
              <w:top w:w="0" w:type="dxa"/>
              <w:left w:w="0" w:type="dxa"/>
              <w:bottom w:w="0" w:type="dxa"/>
              <w:right w:w="0" w:type="dxa"/>
            </w:tcMar>
            <w:vAlign w:val="center"/>
            <w:hideMark/>
          </w:tcPr>
          <w:p w14:paraId="53C5C48B"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r w:rsidRPr="0094389A">
              <w:t>Normal sinus rhythm</w:t>
            </w:r>
          </w:p>
          <w:p w14:paraId="6511FD62" w14:textId="77777777" w:rsidR="0094389A" w:rsidRPr="0094389A" w:rsidRDefault="0094389A" w:rsidP="0094389A">
            <w:pPr>
              <w:spacing w:after="160" w:line="259" w:lineRule="auto"/>
              <w:cnfStyle w:val="100000000000" w:firstRow="1" w:lastRow="0" w:firstColumn="0" w:lastColumn="0" w:oddVBand="0" w:evenVBand="0" w:oddHBand="0" w:evenHBand="0" w:firstRowFirstColumn="0" w:firstRowLastColumn="0" w:lastRowFirstColumn="0" w:lastRowLastColumn="0"/>
            </w:pPr>
            <w:r w:rsidRPr="0094389A">
              <w:t>(NSR)</w:t>
            </w:r>
          </w:p>
        </w:tc>
      </w:tr>
      <w:tr w:rsidR="0094389A" w:rsidRPr="0094389A" w14:paraId="0C03A1D0"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single" w:sz="4" w:space="0" w:color="auto"/>
              <w:left w:val="nil"/>
              <w:bottom w:val="single" w:sz="12" w:space="0" w:color="auto"/>
              <w:right w:val="nil"/>
            </w:tcBorders>
            <w:tcMar>
              <w:top w:w="0" w:type="dxa"/>
              <w:left w:w="108" w:type="dxa"/>
              <w:bottom w:w="0" w:type="dxa"/>
              <w:right w:w="227" w:type="dxa"/>
            </w:tcMar>
            <w:vAlign w:val="center"/>
            <w:hideMark/>
          </w:tcPr>
          <w:p w14:paraId="726E12ED" w14:textId="77777777" w:rsidR="0094389A" w:rsidRPr="0094389A" w:rsidRDefault="0094389A" w:rsidP="0094389A">
            <w:pPr>
              <w:spacing w:after="160" w:line="259" w:lineRule="auto"/>
            </w:pPr>
            <w:r w:rsidRPr="0094389A">
              <w:t>Model</w:t>
            </w:r>
          </w:p>
        </w:tc>
        <w:tc>
          <w:tcPr>
            <w:tcW w:w="70" w:type="pct"/>
            <w:tcBorders>
              <w:top w:val="nil"/>
              <w:left w:val="nil"/>
              <w:bottom w:val="single" w:sz="12" w:space="0" w:color="auto"/>
              <w:right w:val="nil"/>
            </w:tcBorders>
            <w:tcMar>
              <w:top w:w="0" w:type="dxa"/>
              <w:left w:w="28" w:type="dxa"/>
              <w:bottom w:w="0" w:type="dxa"/>
              <w:right w:w="28" w:type="dxa"/>
            </w:tcMar>
          </w:tcPr>
          <w:p w14:paraId="03D8F0A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655" w:type="pct"/>
            <w:gridSpan w:val="2"/>
            <w:tcBorders>
              <w:top w:val="single" w:sz="4" w:space="0" w:color="auto"/>
              <w:left w:val="nil"/>
              <w:bottom w:val="single" w:sz="12" w:space="0" w:color="auto"/>
              <w:right w:val="nil"/>
            </w:tcBorders>
            <w:noWrap/>
            <w:tcMar>
              <w:top w:w="0" w:type="dxa"/>
              <w:left w:w="28" w:type="dxa"/>
              <w:bottom w:w="0" w:type="dxa"/>
              <w:right w:w="28" w:type="dxa"/>
            </w:tcMar>
            <w:vAlign w:val="center"/>
            <w:hideMark/>
          </w:tcPr>
          <w:p w14:paraId="349424EF"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Long-term</w:t>
            </w:r>
          </w:p>
        </w:tc>
        <w:tc>
          <w:tcPr>
            <w:tcW w:w="662" w:type="pct"/>
            <w:gridSpan w:val="2"/>
            <w:tcBorders>
              <w:top w:val="single" w:sz="4" w:space="0" w:color="auto"/>
              <w:left w:val="nil"/>
              <w:bottom w:val="single" w:sz="12" w:space="0" w:color="auto"/>
              <w:right w:val="nil"/>
            </w:tcBorders>
            <w:tcMar>
              <w:top w:w="0" w:type="dxa"/>
              <w:left w:w="28" w:type="dxa"/>
              <w:bottom w:w="0" w:type="dxa"/>
              <w:right w:w="28" w:type="dxa"/>
            </w:tcMar>
            <w:vAlign w:val="center"/>
            <w:hideMark/>
          </w:tcPr>
          <w:p w14:paraId="3259B380"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Short-term</w:t>
            </w:r>
          </w:p>
        </w:tc>
        <w:tc>
          <w:tcPr>
            <w:tcW w:w="77" w:type="pct"/>
            <w:tcBorders>
              <w:top w:val="nil"/>
              <w:left w:val="nil"/>
              <w:bottom w:val="single" w:sz="12" w:space="0" w:color="auto"/>
              <w:right w:val="nil"/>
            </w:tcBorders>
            <w:tcMar>
              <w:top w:w="0" w:type="dxa"/>
              <w:left w:w="28" w:type="dxa"/>
              <w:bottom w:w="0" w:type="dxa"/>
              <w:right w:w="28" w:type="dxa"/>
            </w:tcMar>
            <w:vAlign w:val="center"/>
          </w:tcPr>
          <w:p w14:paraId="364804B3"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655" w:type="pct"/>
            <w:gridSpan w:val="2"/>
            <w:tcBorders>
              <w:top w:val="single" w:sz="4" w:space="0" w:color="auto"/>
              <w:left w:val="nil"/>
              <w:bottom w:val="single" w:sz="12" w:space="0" w:color="auto"/>
              <w:right w:val="nil"/>
            </w:tcBorders>
            <w:noWrap/>
            <w:tcMar>
              <w:top w:w="0" w:type="dxa"/>
              <w:left w:w="28" w:type="dxa"/>
              <w:bottom w:w="0" w:type="dxa"/>
              <w:right w:w="28" w:type="dxa"/>
            </w:tcMar>
            <w:vAlign w:val="center"/>
          </w:tcPr>
          <w:p w14:paraId="03E920A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584" w:type="pct"/>
            <w:gridSpan w:val="2"/>
            <w:tcBorders>
              <w:top w:val="single" w:sz="4" w:space="0" w:color="auto"/>
              <w:left w:val="nil"/>
              <w:bottom w:val="single" w:sz="12" w:space="0" w:color="auto"/>
              <w:right w:val="nil"/>
            </w:tcBorders>
            <w:tcMar>
              <w:top w:w="0" w:type="dxa"/>
              <w:left w:w="28" w:type="dxa"/>
              <w:bottom w:w="0" w:type="dxa"/>
              <w:right w:w="28" w:type="dxa"/>
            </w:tcMar>
            <w:vAlign w:val="center"/>
            <w:hideMark/>
          </w:tcPr>
          <w:p w14:paraId="219616B6"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Short-term</w:t>
            </w:r>
          </w:p>
        </w:tc>
        <w:tc>
          <w:tcPr>
            <w:tcW w:w="75" w:type="pct"/>
            <w:tcBorders>
              <w:top w:val="nil"/>
              <w:left w:val="nil"/>
              <w:bottom w:val="single" w:sz="12" w:space="0" w:color="auto"/>
              <w:right w:val="nil"/>
            </w:tcBorders>
            <w:tcMar>
              <w:top w:w="0" w:type="dxa"/>
              <w:left w:w="28" w:type="dxa"/>
              <w:bottom w:w="0" w:type="dxa"/>
              <w:right w:w="28" w:type="dxa"/>
            </w:tcMar>
            <w:vAlign w:val="center"/>
          </w:tcPr>
          <w:p w14:paraId="15F2038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655" w:type="pct"/>
            <w:gridSpan w:val="2"/>
            <w:tcBorders>
              <w:top w:val="single" w:sz="4" w:space="0" w:color="auto"/>
              <w:left w:val="nil"/>
              <w:bottom w:val="single" w:sz="12" w:space="0" w:color="auto"/>
              <w:right w:val="nil"/>
            </w:tcBorders>
            <w:tcMar>
              <w:top w:w="0" w:type="dxa"/>
              <w:left w:w="28" w:type="dxa"/>
              <w:bottom w:w="0" w:type="dxa"/>
              <w:right w:w="28" w:type="dxa"/>
            </w:tcMar>
            <w:vAlign w:val="center"/>
            <w:hideMark/>
          </w:tcPr>
          <w:p w14:paraId="007D5F5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Long-term</w:t>
            </w:r>
          </w:p>
        </w:tc>
        <w:tc>
          <w:tcPr>
            <w:tcW w:w="743" w:type="pct"/>
            <w:gridSpan w:val="2"/>
            <w:tcBorders>
              <w:top w:val="single" w:sz="4" w:space="0" w:color="auto"/>
              <w:left w:val="nil"/>
              <w:bottom w:val="nil"/>
              <w:right w:val="nil"/>
            </w:tcBorders>
            <w:tcMar>
              <w:top w:w="0" w:type="dxa"/>
              <w:left w:w="28" w:type="dxa"/>
              <w:bottom w:w="0" w:type="dxa"/>
              <w:right w:w="28" w:type="dxa"/>
            </w:tcMar>
            <w:vAlign w:val="center"/>
            <w:hideMark/>
          </w:tcPr>
          <w:p w14:paraId="64BEEFD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Short-term</w:t>
            </w:r>
          </w:p>
        </w:tc>
      </w:tr>
      <w:tr w:rsidR="0094389A" w:rsidRPr="0094389A" w14:paraId="3ABD2710"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5000" w:type="pct"/>
            <w:gridSpan w:val="16"/>
            <w:tcBorders>
              <w:top w:val="single" w:sz="12" w:space="0" w:color="auto"/>
              <w:left w:val="nil"/>
              <w:bottom w:val="nil"/>
              <w:right w:val="nil"/>
            </w:tcBorders>
            <w:tcMar>
              <w:top w:w="0" w:type="dxa"/>
              <w:left w:w="108" w:type="dxa"/>
              <w:bottom w:w="0" w:type="dxa"/>
              <w:right w:w="227" w:type="dxa"/>
            </w:tcMar>
            <w:vAlign w:val="center"/>
            <w:hideMark/>
          </w:tcPr>
          <w:p w14:paraId="026368EE" w14:textId="645C525F" w:rsidR="0094389A" w:rsidRPr="0094389A" w:rsidRDefault="0094389A" w:rsidP="0094389A">
            <w:pPr>
              <w:spacing w:after="160" w:line="259" w:lineRule="auto"/>
            </w:pPr>
            <w:r w:rsidRPr="0094389A">
              <w:t xml:space="preserve">Beat-to-beat level (Spearman correlation values – </w:t>
            </w:r>
            <m:oMath>
              <m:r>
                <w:rPr>
                  <w:rFonts w:ascii="Cambria Math" w:hAnsi="Cambria Math"/>
                </w:rPr>
                <m:t>|</m:t>
              </m:r>
              <m:r>
                <m:rPr>
                  <m:sty m:val="bi"/>
                </m:rPr>
                <w:rPr>
                  <w:rFonts w:ascii="Cambria Math" w:hAnsi="Cambria Math"/>
                </w:rPr>
                <m:t>δRR</m:t>
              </m:r>
              <m:r>
                <w:rPr>
                  <w:rFonts w:ascii="Cambria Math" w:hAnsi="Cambria Math"/>
                </w:rPr>
                <m:t>|</m:t>
              </m:r>
            </m:oMath>
            <w:r w:rsidRPr="0094389A">
              <w:t xml:space="preserve"> and </w:t>
            </w:r>
            <m:oMath>
              <m:r>
                <w:rPr>
                  <w:rFonts w:ascii="Cambria Math" w:hAnsi="Cambria Math"/>
                </w:rPr>
                <m:t>|</m:t>
              </m:r>
              <m:r>
                <m:rPr>
                  <m:sty m:val="bi"/>
                </m:rPr>
                <w:rPr>
                  <w:rFonts w:ascii="Cambria Math" w:hAnsi="Cambria Math"/>
                </w:rPr>
                <m:t>δrR</m:t>
              </m:r>
              <m:r>
                <w:rPr>
                  <w:rFonts w:ascii="Cambria Math" w:hAnsi="Cambria Math"/>
                </w:rPr>
                <m:t>|</m:t>
              </m:r>
            </m:oMath>
            <w:r w:rsidRPr="0094389A">
              <w:t xml:space="preserve"> – Euclidian norm)</w:t>
            </w:r>
          </w:p>
        </w:tc>
      </w:tr>
      <w:tr w:rsidR="0094389A" w:rsidRPr="0094389A" w14:paraId="549E8CC1"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single" w:sz="4" w:space="0" w:color="auto"/>
              <w:left w:val="nil"/>
              <w:bottom w:val="nil"/>
              <w:right w:val="nil"/>
              <w:tl2br w:val="single" w:sz="4" w:space="0" w:color="auto"/>
            </w:tcBorders>
            <w:tcMar>
              <w:top w:w="0" w:type="dxa"/>
              <w:left w:w="108" w:type="dxa"/>
              <w:bottom w:w="0" w:type="dxa"/>
              <w:right w:w="227" w:type="dxa"/>
            </w:tcMar>
            <w:vAlign w:val="center"/>
            <w:hideMark/>
          </w:tcPr>
          <w:p w14:paraId="059057ED" w14:textId="21AAEFC7" w:rsidR="0094389A" w:rsidRPr="0094389A" w:rsidRDefault="0094389A" w:rsidP="0094389A">
            <w:pPr>
              <w:spacing w:after="160" w:line="259" w:lineRule="auto"/>
            </w:pPr>
            <m:oMathPara>
              <m:oMathParaPr>
                <m:jc m:val="right"/>
              </m:oMathParaPr>
              <m:oMath>
                <m:r>
                  <m:rPr>
                    <m:sty m:val="bi"/>
                  </m:rPr>
                  <w:rPr>
                    <w:rFonts w:ascii="Cambria Math" w:hAnsi="Cambria Math"/>
                  </w:rPr>
                  <m:t>n</m:t>
                </m:r>
              </m:oMath>
            </m:oMathPara>
          </w:p>
          <w:p w14:paraId="0D89D1AD" w14:textId="77777777" w:rsidR="0094389A" w:rsidRPr="0094389A" w:rsidRDefault="0094389A" w:rsidP="0094389A">
            <w:pPr>
              <w:spacing w:after="160" w:line="259" w:lineRule="auto"/>
            </w:pPr>
            <w:r w:rsidRPr="0094389A">
              <w:t>Segments</w:t>
            </w:r>
          </w:p>
        </w:tc>
        <w:tc>
          <w:tcPr>
            <w:tcW w:w="70" w:type="pct"/>
            <w:tcBorders>
              <w:top w:val="single" w:sz="4" w:space="0" w:color="auto"/>
              <w:left w:val="nil"/>
              <w:bottom w:val="nil"/>
              <w:right w:val="nil"/>
            </w:tcBorders>
            <w:tcMar>
              <w:top w:w="0" w:type="dxa"/>
              <w:left w:w="28" w:type="dxa"/>
              <w:bottom w:w="0" w:type="dxa"/>
              <w:right w:w="28" w:type="dxa"/>
            </w:tcMar>
            <w:vAlign w:val="center"/>
          </w:tcPr>
          <w:p w14:paraId="7B3DA49F"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1317" w:type="pct"/>
            <w:gridSpan w:val="4"/>
            <w:tcBorders>
              <w:top w:val="single" w:sz="4" w:space="0" w:color="auto"/>
              <w:left w:val="nil"/>
              <w:bottom w:val="nil"/>
              <w:right w:val="nil"/>
            </w:tcBorders>
            <w:noWrap/>
            <w:tcMar>
              <w:top w:w="0" w:type="dxa"/>
              <w:left w:w="28" w:type="dxa"/>
              <w:bottom w:w="0" w:type="dxa"/>
              <w:right w:w="28" w:type="dxa"/>
            </w:tcMar>
            <w:vAlign w:val="center"/>
            <w:hideMark/>
          </w:tcPr>
          <w:p w14:paraId="06E1729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5674 (P/PQ: 0)</w:t>
            </w:r>
          </w:p>
        </w:tc>
        <w:tc>
          <w:tcPr>
            <w:tcW w:w="77" w:type="pct"/>
            <w:tcBorders>
              <w:top w:val="single" w:sz="4" w:space="0" w:color="auto"/>
              <w:left w:val="nil"/>
              <w:bottom w:val="nil"/>
              <w:right w:val="nil"/>
            </w:tcBorders>
            <w:tcMar>
              <w:top w:w="0" w:type="dxa"/>
              <w:left w:w="28" w:type="dxa"/>
              <w:bottom w:w="0" w:type="dxa"/>
              <w:right w:w="28" w:type="dxa"/>
            </w:tcMar>
            <w:vAlign w:val="center"/>
          </w:tcPr>
          <w:p w14:paraId="11F66E1E"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1239" w:type="pct"/>
            <w:gridSpan w:val="4"/>
            <w:tcBorders>
              <w:top w:val="single" w:sz="4" w:space="0" w:color="auto"/>
              <w:left w:val="nil"/>
              <w:bottom w:val="nil"/>
              <w:right w:val="nil"/>
            </w:tcBorders>
            <w:noWrap/>
            <w:tcMar>
              <w:top w:w="0" w:type="dxa"/>
              <w:left w:w="28" w:type="dxa"/>
              <w:bottom w:w="0" w:type="dxa"/>
              <w:right w:w="28" w:type="dxa"/>
            </w:tcMar>
            <w:vAlign w:val="center"/>
            <w:hideMark/>
          </w:tcPr>
          <w:p w14:paraId="35EB252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4864</w:t>
            </w:r>
          </w:p>
        </w:tc>
        <w:tc>
          <w:tcPr>
            <w:tcW w:w="75" w:type="pct"/>
            <w:tcBorders>
              <w:top w:val="single" w:sz="4" w:space="0" w:color="auto"/>
              <w:left w:val="nil"/>
              <w:bottom w:val="nil"/>
              <w:right w:val="nil"/>
            </w:tcBorders>
            <w:tcMar>
              <w:top w:w="0" w:type="dxa"/>
              <w:left w:w="0" w:type="dxa"/>
              <w:bottom w:w="0" w:type="dxa"/>
              <w:right w:w="0" w:type="dxa"/>
            </w:tcMar>
            <w:vAlign w:val="center"/>
          </w:tcPr>
          <w:p w14:paraId="18FD221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1398" w:type="pct"/>
            <w:gridSpan w:val="4"/>
            <w:tcBorders>
              <w:top w:val="single" w:sz="4" w:space="0" w:color="auto"/>
              <w:left w:val="nil"/>
              <w:bottom w:val="nil"/>
              <w:right w:val="nil"/>
            </w:tcBorders>
            <w:tcMar>
              <w:top w:w="0" w:type="dxa"/>
              <w:left w:w="28" w:type="dxa"/>
              <w:bottom w:w="0" w:type="dxa"/>
              <w:right w:w="28" w:type="dxa"/>
            </w:tcMar>
            <w:vAlign w:val="center"/>
            <w:hideMark/>
          </w:tcPr>
          <w:p w14:paraId="421256F3"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4162</w:t>
            </w:r>
          </w:p>
        </w:tc>
      </w:tr>
      <w:tr w:rsidR="0094389A" w:rsidRPr="0094389A" w14:paraId="7186D512"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single" w:sz="4" w:space="0" w:color="auto"/>
              <w:left w:val="nil"/>
              <w:bottom w:val="nil"/>
              <w:right w:val="nil"/>
            </w:tcBorders>
            <w:tcMar>
              <w:top w:w="0" w:type="dxa"/>
              <w:left w:w="108" w:type="dxa"/>
              <w:bottom w:w="0" w:type="dxa"/>
              <w:right w:w="397" w:type="dxa"/>
            </w:tcMar>
            <w:vAlign w:val="center"/>
            <w:hideMark/>
          </w:tcPr>
          <w:p w14:paraId="618AB834" w14:textId="77777777" w:rsidR="0094389A" w:rsidRPr="0094389A" w:rsidRDefault="0094389A" w:rsidP="0094389A">
            <w:pPr>
              <w:spacing w:after="160" w:line="259" w:lineRule="auto"/>
            </w:pPr>
            <w:r w:rsidRPr="0094389A">
              <w:t>P</w:t>
            </w:r>
          </w:p>
        </w:tc>
        <w:tc>
          <w:tcPr>
            <w:tcW w:w="70" w:type="pct"/>
            <w:tcBorders>
              <w:top w:val="single" w:sz="4" w:space="0" w:color="auto"/>
              <w:left w:val="nil"/>
              <w:bottom w:val="nil"/>
              <w:right w:val="nil"/>
            </w:tcBorders>
            <w:tcMar>
              <w:top w:w="0" w:type="dxa"/>
              <w:left w:w="28" w:type="dxa"/>
              <w:bottom w:w="0" w:type="dxa"/>
              <w:right w:w="28" w:type="dxa"/>
            </w:tcMar>
          </w:tcPr>
          <w:p w14:paraId="21C998E8"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single" w:sz="4" w:space="0" w:color="auto"/>
              <w:left w:val="nil"/>
              <w:bottom w:val="nil"/>
              <w:right w:val="nil"/>
            </w:tcBorders>
            <w:noWrap/>
            <w:tcMar>
              <w:top w:w="0" w:type="dxa"/>
              <w:left w:w="28" w:type="dxa"/>
              <w:bottom w:w="0" w:type="dxa"/>
              <w:right w:w="28" w:type="dxa"/>
            </w:tcMar>
            <w:vAlign w:val="center"/>
            <w:hideMark/>
          </w:tcPr>
          <w:p w14:paraId="4DFBB2F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241" w:type="pct"/>
            <w:tcBorders>
              <w:top w:val="single" w:sz="4" w:space="0" w:color="auto"/>
              <w:left w:val="nil"/>
              <w:bottom w:val="nil"/>
              <w:right w:val="nil"/>
            </w:tcBorders>
            <w:tcMar>
              <w:top w:w="0" w:type="dxa"/>
              <w:left w:w="28" w:type="dxa"/>
              <w:bottom w:w="0" w:type="dxa"/>
              <w:right w:w="28" w:type="dxa"/>
            </w:tcMar>
            <w:vAlign w:val="center"/>
          </w:tcPr>
          <w:p w14:paraId="4C0E1196"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9" w:type="pct"/>
            <w:tcBorders>
              <w:top w:val="single" w:sz="4" w:space="0" w:color="auto"/>
              <w:left w:val="nil"/>
              <w:bottom w:val="nil"/>
              <w:right w:val="nil"/>
            </w:tcBorders>
            <w:tcMar>
              <w:top w:w="0" w:type="dxa"/>
              <w:left w:w="28" w:type="dxa"/>
              <w:bottom w:w="0" w:type="dxa"/>
              <w:right w:w="28" w:type="dxa"/>
            </w:tcMar>
            <w:vAlign w:val="center"/>
            <w:hideMark/>
          </w:tcPr>
          <w:p w14:paraId="52C58F7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243" w:type="pct"/>
            <w:tcBorders>
              <w:top w:val="single" w:sz="4" w:space="0" w:color="auto"/>
              <w:left w:val="nil"/>
              <w:bottom w:val="nil"/>
              <w:right w:val="nil"/>
            </w:tcBorders>
            <w:tcMar>
              <w:top w:w="0" w:type="dxa"/>
              <w:left w:w="28" w:type="dxa"/>
              <w:bottom w:w="0" w:type="dxa"/>
              <w:right w:w="28" w:type="dxa"/>
            </w:tcMar>
            <w:vAlign w:val="center"/>
          </w:tcPr>
          <w:p w14:paraId="001EB31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7" w:type="pct"/>
            <w:tcBorders>
              <w:top w:val="single" w:sz="4" w:space="0" w:color="auto"/>
              <w:left w:val="nil"/>
              <w:bottom w:val="nil"/>
              <w:right w:val="nil"/>
            </w:tcBorders>
            <w:tcMar>
              <w:top w:w="0" w:type="dxa"/>
              <w:left w:w="28" w:type="dxa"/>
              <w:bottom w:w="0" w:type="dxa"/>
              <w:right w:w="28" w:type="dxa"/>
            </w:tcMar>
            <w:vAlign w:val="center"/>
          </w:tcPr>
          <w:p w14:paraId="34CA06F3"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single" w:sz="4" w:space="0" w:color="auto"/>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45796096"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0.127</w:t>
            </w:r>
          </w:p>
        </w:tc>
        <w:tc>
          <w:tcPr>
            <w:tcW w:w="245" w:type="pct"/>
            <w:tcBorders>
              <w:top w:val="single" w:sz="4" w:space="0" w:color="auto"/>
              <w:left w:val="nil"/>
              <w:bottom w:val="nil"/>
              <w:right w:val="nil"/>
            </w:tcBorders>
            <w:shd w:val="clear" w:color="auto" w:fill="D1D1D1" w:themeFill="background2" w:themeFillShade="E6"/>
            <w:tcMar>
              <w:top w:w="0" w:type="dxa"/>
              <w:left w:w="28" w:type="dxa"/>
              <w:bottom w:w="0" w:type="dxa"/>
              <w:right w:w="28" w:type="dxa"/>
            </w:tcMar>
            <w:vAlign w:val="center"/>
            <w:hideMark/>
          </w:tcPr>
          <w:p w14:paraId="5C7B2738"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4" w:type="pct"/>
            <w:tcBorders>
              <w:top w:val="single" w:sz="4" w:space="0" w:color="auto"/>
              <w:left w:val="nil"/>
              <w:bottom w:val="nil"/>
              <w:right w:val="nil"/>
            </w:tcBorders>
            <w:tcMar>
              <w:top w:w="0" w:type="dxa"/>
              <w:left w:w="28" w:type="dxa"/>
              <w:bottom w:w="0" w:type="dxa"/>
              <w:right w:w="28" w:type="dxa"/>
            </w:tcMar>
            <w:vAlign w:val="center"/>
            <w:hideMark/>
          </w:tcPr>
          <w:p w14:paraId="7B9C692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0.079</w:t>
            </w:r>
          </w:p>
        </w:tc>
        <w:tc>
          <w:tcPr>
            <w:tcW w:w="170" w:type="pct"/>
            <w:tcBorders>
              <w:top w:val="single" w:sz="4" w:space="0" w:color="auto"/>
              <w:left w:val="nil"/>
              <w:bottom w:val="nil"/>
              <w:right w:val="nil"/>
            </w:tcBorders>
            <w:tcMar>
              <w:top w:w="0" w:type="dxa"/>
              <w:left w:w="28" w:type="dxa"/>
              <w:bottom w:w="0" w:type="dxa"/>
              <w:right w:w="28" w:type="dxa"/>
            </w:tcMar>
            <w:vAlign w:val="center"/>
            <w:hideMark/>
          </w:tcPr>
          <w:p w14:paraId="3A7C01B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75" w:type="pct"/>
            <w:tcBorders>
              <w:top w:val="single" w:sz="4" w:space="0" w:color="auto"/>
              <w:left w:val="nil"/>
              <w:bottom w:val="nil"/>
              <w:right w:val="nil"/>
            </w:tcBorders>
            <w:tcMar>
              <w:top w:w="0" w:type="dxa"/>
              <w:left w:w="0" w:type="dxa"/>
              <w:bottom w:w="0" w:type="dxa"/>
              <w:right w:w="0" w:type="dxa"/>
            </w:tcMar>
            <w:vAlign w:val="center"/>
          </w:tcPr>
          <w:p w14:paraId="425BD5E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single" w:sz="4" w:space="0" w:color="auto"/>
              <w:left w:val="nil"/>
              <w:bottom w:val="nil"/>
              <w:right w:val="nil"/>
            </w:tcBorders>
            <w:tcMar>
              <w:top w:w="0" w:type="dxa"/>
              <w:left w:w="28" w:type="dxa"/>
              <w:bottom w:w="0" w:type="dxa"/>
              <w:right w:w="28" w:type="dxa"/>
            </w:tcMar>
            <w:vAlign w:val="center"/>
            <w:hideMark/>
          </w:tcPr>
          <w:p w14:paraId="582AC142"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0.070</w:t>
            </w:r>
          </w:p>
        </w:tc>
        <w:tc>
          <w:tcPr>
            <w:tcW w:w="245" w:type="pct"/>
            <w:tcBorders>
              <w:top w:val="single" w:sz="4" w:space="0" w:color="auto"/>
              <w:left w:val="nil"/>
              <w:bottom w:val="nil"/>
              <w:right w:val="nil"/>
            </w:tcBorders>
            <w:tcMar>
              <w:top w:w="0" w:type="dxa"/>
              <w:left w:w="28" w:type="dxa"/>
              <w:bottom w:w="0" w:type="dxa"/>
              <w:right w:w="28" w:type="dxa"/>
            </w:tcMar>
            <w:vAlign w:val="center"/>
            <w:hideMark/>
          </w:tcPr>
          <w:p w14:paraId="7B44EAD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5" w:type="pct"/>
            <w:tcBorders>
              <w:top w:val="single" w:sz="4" w:space="0" w:color="auto"/>
              <w:left w:val="nil"/>
              <w:bottom w:val="nil"/>
              <w:right w:val="nil"/>
            </w:tcBorders>
            <w:tcMar>
              <w:top w:w="0" w:type="dxa"/>
              <w:left w:w="28" w:type="dxa"/>
              <w:bottom w:w="0" w:type="dxa"/>
              <w:right w:w="28" w:type="dxa"/>
            </w:tcMar>
            <w:vAlign w:val="center"/>
            <w:hideMark/>
          </w:tcPr>
          <w:p w14:paraId="1DF279E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0.032</w:t>
            </w:r>
          </w:p>
        </w:tc>
        <w:tc>
          <w:tcPr>
            <w:tcW w:w="328" w:type="pct"/>
            <w:tcBorders>
              <w:top w:val="single" w:sz="4" w:space="0" w:color="auto"/>
              <w:left w:val="nil"/>
              <w:bottom w:val="nil"/>
              <w:right w:val="nil"/>
            </w:tcBorders>
            <w:tcMar>
              <w:top w:w="0" w:type="dxa"/>
              <w:left w:w="28" w:type="dxa"/>
              <w:bottom w:w="0" w:type="dxa"/>
              <w:right w:w="28" w:type="dxa"/>
            </w:tcMar>
            <w:vAlign w:val="center"/>
            <w:hideMark/>
          </w:tcPr>
          <w:p w14:paraId="7A3C2C92"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r>
      <w:tr w:rsidR="0094389A" w:rsidRPr="0094389A" w14:paraId="7366DC00"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5CA91371" w14:textId="77777777" w:rsidR="0094389A" w:rsidRPr="0094389A" w:rsidRDefault="0094389A" w:rsidP="0094389A">
            <w:pPr>
              <w:spacing w:after="160" w:line="259" w:lineRule="auto"/>
            </w:pPr>
            <w:r w:rsidRPr="0094389A">
              <w:t>PQ</w:t>
            </w:r>
          </w:p>
        </w:tc>
        <w:tc>
          <w:tcPr>
            <w:tcW w:w="70" w:type="pct"/>
            <w:tcBorders>
              <w:top w:val="nil"/>
              <w:left w:val="nil"/>
              <w:bottom w:val="nil"/>
              <w:right w:val="nil"/>
            </w:tcBorders>
            <w:tcMar>
              <w:top w:w="0" w:type="dxa"/>
              <w:left w:w="28" w:type="dxa"/>
              <w:bottom w:w="0" w:type="dxa"/>
              <w:right w:w="28" w:type="dxa"/>
            </w:tcMar>
          </w:tcPr>
          <w:p w14:paraId="5D5BB24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nil"/>
              <w:left w:val="nil"/>
              <w:bottom w:val="nil"/>
              <w:right w:val="nil"/>
            </w:tcBorders>
            <w:noWrap/>
            <w:tcMar>
              <w:top w:w="0" w:type="dxa"/>
              <w:left w:w="28" w:type="dxa"/>
              <w:bottom w:w="0" w:type="dxa"/>
              <w:right w:w="28" w:type="dxa"/>
            </w:tcMar>
            <w:vAlign w:val="center"/>
            <w:hideMark/>
          </w:tcPr>
          <w:p w14:paraId="21D38B5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241" w:type="pct"/>
            <w:tcBorders>
              <w:top w:val="nil"/>
              <w:left w:val="nil"/>
              <w:bottom w:val="nil"/>
              <w:right w:val="nil"/>
            </w:tcBorders>
            <w:tcMar>
              <w:top w:w="0" w:type="dxa"/>
              <w:left w:w="28" w:type="dxa"/>
              <w:bottom w:w="0" w:type="dxa"/>
              <w:right w:w="28" w:type="dxa"/>
            </w:tcMar>
            <w:vAlign w:val="center"/>
          </w:tcPr>
          <w:p w14:paraId="4B96376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9" w:type="pct"/>
            <w:tcBorders>
              <w:top w:val="nil"/>
              <w:left w:val="nil"/>
              <w:bottom w:val="nil"/>
              <w:right w:val="nil"/>
            </w:tcBorders>
            <w:tcMar>
              <w:top w:w="0" w:type="dxa"/>
              <w:left w:w="28" w:type="dxa"/>
              <w:bottom w:w="0" w:type="dxa"/>
              <w:right w:w="28" w:type="dxa"/>
            </w:tcMar>
            <w:vAlign w:val="center"/>
            <w:hideMark/>
          </w:tcPr>
          <w:p w14:paraId="5CD7D18A"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243" w:type="pct"/>
            <w:tcBorders>
              <w:top w:val="nil"/>
              <w:left w:val="nil"/>
              <w:bottom w:val="nil"/>
              <w:right w:val="nil"/>
            </w:tcBorders>
            <w:tcMar>
              <w:top w:w="0" w:type="dxa"/>
              <w:left w:w="28" w:type="dxa"/>
              <w:bottom w:w="0" w:type="dxa"/>
              <w:right w:w="28" w:type="dxa"/>
            </w:tcMar>
            <w:vAlign w:val="center"/>
          </w:tcPr>
          <w:p w14:paraId="5E8E8FA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1E29981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3CBC7A7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0.129</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vAlign w:val="center"/>
            <w:hideMark/>
          </w:tcPr>
          <w:p w14:paraId="25B294A6"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nil"/>
              <w:left w:val="nil"/>
              <w:bottom w:val="nil"/>
              <w:right w:val="nil"/>
            </w:tcBorders>
            <w:tcMar>
              <w:top w:w="0" w:type="dxa"/>
              <w:left w:w="28" w:type="dxa"/>
              <w:bottom w:w="0" w:type="dxa"/>
              <w:right w:w="28" w:type="dxa"/>
            </w:tcMar>
            <w:vAlign w:val="center"/>
            <w:hideMark/>
          </w:tcPr>
          <w:p w14:paraId="4EFD7C5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0.072</w:t>
            </w:r>
          </w:p>
        </w:tc>
        <w:tc>
          <w:tcPr>
            <w:tcW w:w="170" w:type="pct"/>
            <w:tcBorders>
              <w:top w:val="nil"/>
              <w:left w:val="nil"/>
              <w:bottom w:val="nil"/>
              <w:right w:val="nil"/>
            </w:tcBorders>
            <w:tcMar>
              <w:top w:w="0" w:type="dxa"/>
              <w:left w:w="28" w:type="dxa"/>
              <w:bottom w:w="0" w:type="dxa"/>
              <w:right w:w="28" w:type="dxa"/>
            </w:tcMar>
            <w:vAlign w:val="center"/>
            <w:hideMark/>
          </w:tcPr>
          <w:p w14:paraId="6D98263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75" w:type="pct"/>
            <w:tcBorders>
              <w:top w:val="nil"/>
              <w:left w:val="nil"/>
              <w:bottom w:val="nil"/>
              <w:right w:val="nil"/>
            </w:tcBorders>
            <w:tcMar>
              <w:top w:w="0" w:type="dxa"/>
              <w:left w:w="0" w:type="dxa"/>
              <w:bottom w:w="0" w:type="dxa"/>
              <w:right w:w="0" w:type="dxa"/>
            </w:tcMar>
            <w:vAlign w:val="center"/>
          </w:tcPr>
          <w:p w14:paraId="00FEFB8E"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tcMar>
              <w:top w:w="0" w:type="dxa"/>
              <w:left w:w="28" w:type="dxa"/>
              <w:bottom w:w="0" w:type="dxa"/>
              <w:right w:w="28" w:type="dxa"/>
            </w:tcMar>
            <w:vAlign w:val="center"/>
            <w:hideMark/>
          </w:tcPr>
          <w:p w14:paraId="5105158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0.045</w:t>
            </w:r>
          </w:p>
        </w:tc>
        <w:tc>
          <w:tcPr>
            <w:tcW w:w="245" w:type="pct"/>
            <w:tcBorders>
              <w:top w:val="nil"/>
              <w:left w:val="nil"/>
              <w:bottom w:val="nil"/>
              <w:right w:val="nil"/>
            </w:tcBorders>
            <w:tcMar>
              <w:top w:w="0" w:type="dxa"/>
              <w:left w:w="28" w:type="dxa"/>
              <w:bottom w:w="0" w:type="dxa"/>
              <w:right w:w="28" w:type="dxa"/>
            </w:tcMar>
            <w:vAlign w:val="center"/>
            <w:hideMark/>
          </w:tcPr>
          <w:p w14:paraId="4B17DCE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5" w:type="pct"/>
            <w:tcBorders>
              <w:top w:val="nil"/>
              <w:left w:val="nil"/>
              <w:bottom w:val="nil"/>
              <w:right w:val="nil"/>
            </w:tcBorders>
            <w:tcMar>
              <w:top w:w="0" w:type="dxa"/>
              <w:left w:w="28" w:type="dxa"/>
              <w:bottom w:w="0" w:type="dxa"/>
              <w:right w:w="28" w:type="dxa"/>
            </w:tcMar>
            <w:vAlign w:val="center"/>
            <w:hideMark/>
          </w:tcPr>
          <w:p w14:paraId="6D8318D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0.006</w:t>
            </w:r>
          </w:p>
        </w:tc>
        <w:tc>
          <w:tcPr>
            <w:tcW w:w="328" w:type="pct"/>
            <w:tcBorders>
              <w:top w:val="nil"/>
              <w:left w:val="nil"/>
              <w:bottom w:val="nil"/>
              <w:right w:val="nil"/>
            </w:tcBorders>
            <w:tcMar>
              <w:top w:w="0" w:type="dxa"/>
              <w:left w:w="28" w:type="dxa"/>
              <w:bottom w:w="0" w:type="dxa"/>
              <w:right w:w="28" w:type="dxa"/>
            </w:tcMar>
            <w:vAlign w:val="center"/>
          </w:tcPr>
          <w:p w14:paraId="595D8291"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r>
      <w:tr w:rsidR="0094389A" w:rsidRPr="0094389A" w14:paraId="1FC22FD8"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4C12D859" w14:textId="77777777" w:rsidR="0094389A" w:rsidRPr="0094389A" w:rsidRDefault="0094389A" w:rsidP="0094389A">
            <w:pPr>
              <w:spacing w:after="160" w:line="259" w:lineRule="auto"/>
            </w:pPr>
            <w:r w:rsidRPr="0094389A">
              <w:t>Q</w:t>
            </w:r>
          </w:p>
        </w:tc>
        <w:tc>
          <w:tcPr>
            <w:tcW w:w="70" w:type="pct"/>
            <w:tcBorders>
              <w:top w:val="nil"/>
              <w:left w:val="nil"/>
              <w:bottom w:val="nil"/>
              <w:right w:val="nil"/>
            </w:tcBorders>
            <w:tcMar>
              <w:top w:w="0" w:type="dxa"/>
              <w:left w:w="28" w:type="dxa"/>
              <w:bottom w:w="0" w:type="dxa"/>
              <w:right w:w="28" w:type="dxa"/>
            </w:tcMar>
          </w:tcPr>
          <w:p w14:paraId="0A029AF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2100886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0.160</w:t>
            </w:r>
          </w:p>
        </w:tc>
        <w:tc>
          <w:tcPr>
            <w:tcW w:w="241" w:type="pct"/>
            <w:tcBorders>
              <w:top w:val="nil"/>
              <w:left w:val="nil"/>
              <w:bottom w:val="nil"/>
              <w:right w:val="nil"/>
            </w:tcBorders>
            <w:shd w:val="clear" w:color="auto" w:fill="D1D1D1" w:themeFill="background2" w:themeFillShade="E6"/>
            <w:tcMar>
              <w:top w:w="0" w:type="dxa"/>
              <w:left w:w="28" w:type="dxa"/>
              <w:bottom w:w="0" w:type="dxa"/>
              <w:right w:w="28" w:type="dxa"/>
            </w:tcMar>
            <w:vAlign w:val="center"/>
            <w:hideMark/>
          </w:tcPr>
          <w:p w14:paraId="2C7E46A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vAlign w:val="center"/>
            <w:hideMark/>
          </w:tcPr>
          <w:p w14:paraId="0369C0C7"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0.094</w:t>
            </w:r>
          </w:p>
        </w:tc>
        <w:tc>
          <w:tcPr>
            <w:tcW w:w="243" w:type="pct"/>
            <w:tcBorders>
              <w:top w:val="nil"/>
              <w:left w:val="nil"/>
              <w:bottom w:val="nil"/>
              <w:right w:val="nil"/>
            </w:tcBorders>
            <w:tcMar>
              <w:top w:w="0" w:type="dxa"/>
              <w:left w:w="28" w:type="dxa"/>
              <w:bottom w:w="0" w:type="dxa"/>
              <w:right w:w="28" w:type="dxa"/>
            </w:tcMar>
            <w:vAlign w:val="center"/>
            <w:hideMark/>
          </w:tcPr>
          <w:p w14:paraId="0B153DA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77" w:type="pct"/>
            <w:tcBorders>
              <w:top w:val="nil"/>
              <w:left w:val="nil"/>
              <w:bottom w:val="nil"/>
              <w:right w:val="nil"/>
            </w:tcBorders>
            <w:tcMar>
              <w:top w:w="0" w:type="dxa"/>
              <w:left w:w="28" w:type="dxa"/>
              <w:bottom w:w="0" w:type="dxa"/>
              <w:right w:w="28" w:type="dxa"/>
            </w:tcMar>
            <w:vAlign w:val="center"/>
          </w:tcPr>
          <w:p w14:paraId="48EBF635"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1F51195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0.120</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vAlign w:val="center"/>
            <w:hideMark/>
          </w:tcPr>
          <w:p w14:paraId="0546AA8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4" w:type="pct"/>
            <w:tcBorders>
              <w:top w:val="nil"/>
              <w:left w:val="nil"/>
              <w:bottom w:val="nil"/>
              <w:right w:val="nil"/>
            </w:tcBorders>
            <w:tcMar>
              <w:top w:w="0" w:type="dxa"/>
              <w:left w:w="28" w:type="dxa"/>
              <w:bottom w:w="0" w:type="dxa"/>
              <w:right w:w="28" w:type="dxa"/>
            </w:tcMar>
            <w:vAlign w:val="center"/>
            <w:hideMark/>
          </w:tcPr>
          <w:p w14:paraId="0309ABA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0.025</w:t>
            </w:r>
          </w:p>
        </w:tc>
        <w:tc>
          <w:tcPr>
            <w:tcW w:w="170" w:type="pct"/>
            <w:tcBorders>
              <w:top w:val="nil"/>
              <w:left w:val="nil"/>
              <w:bottom w:val="nil"/>
              <w:right w:val="nil"/>
            </w:tcBorders>
            <w:tcMar>
              <w:top w:w="0" w:type="dxa"/>
              <w:left w:w="28" w:type="dxa"/>
              <w:bottom w:w="0" w:type="dxa"/>
              <w:right w:w="28" w:type="dxa"/>
            </w:tcMar>
            <w:vAlign w:val="center"/>
          </w:tcPr>
          <w:p w14:paraId="250BFE7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5" w:type="pct"/>
            <w:tcBorders>
              <w:top w:val="nil"/>
              <w:left w:val="nil"/>
              <w:bottom w:val="nil"/>
              <w:right w:val="nil"/>
            </w:tcBorders>
            <w:tcMar>
              <w:top w:w="0" w:type="dxa"/>
              <w:left w:w="0" w:type="dxa"/>
              <w:bottom w:w="0" w:type="dxa"/>
              <w:right w:w="0" w:type="dxa"/>
            </w:tcMar>
            <w:vAlign w:val="center"/>
          </w:tcPr>
          <w:p w14:paraId="582ED7C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tcMar>
              <w:top w:w="0" w:type="dxa"/>
              <w:left w:w="28" w:type="dxa"/>
              <w:bottom w:w="0" w:type="dxa"/>
              <w:right w:w="28" w:type="dxa"/>
            </w:tcMar>
            <w:vAlign w:val="center"/>
            <w:hideMark/>
          </w:tcPr>
          <w:p w14:paraId="1819D4E0"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0.015</w:t>
            </w:r>
          </w:p>
        </w:tc>
        <w:tc>
          <w:tcPr>
            <w:tcW w:w="245" w:type="pct"/>
            <w:tcBorders>
              <w:top w:val="nil"/>
              <w:left w:val="nil"/>
              <w:bottom w:val="nil"/>
              <w:right w:val="nil"/>
            </w:tcBorders>
            <w:tcMar>
              <w:top w:w="0" w:type="dxa"/>
              <w:left w:w="28" w:type="dxa"/>
              <w:bottom w:w="0" w:type="dxa"/>
              <w:right w:w="28" w:type="dxa"/>
            </w:tcMar>
            <w:vAlign w:val="center"/>
          </w:tcPr>
          <w:p w14:paraId="32086374"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5" w:type="pct"/>
            <w:tcBorders>
              <w:top w:val="nil"/>
              <w:left w:val="nil"/>
              <w:bottom w:val="nil"/>
              <w:right w:val="nil"/>
            </w:tcBorders>
            <w:tcMar>
              <w:top w:w="0" w:type="dxa"/>
              <w:left w:w="28" w:type="dxa"/>
              <w:bottom w:w="0" w:type="dxa"/>
              <w:right w:w="28" w:type="dxa"/>
            </w:tcMar>
            <w:vAlign w:val="center"/>
            <w:hideMark/>
          </w:tcPr>
          <w:p w14:paraId="06DC16F6"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-0.004</w:t>
            </w:r>
          </w:p>
        </w:tc>
        <w:tc>
          <w:tcPr>
            <w:tcW w:w="328" w:type="pct"/>
            <w:tcBorders>
              <w:top w:val="nil"/>
              <w:left w:val="nil"/>
              <w:bottom w:val="nil"/>
              <w:right w:val="nil"/>
            </w:tcBorders>
            <w:tcMar>
              <w:top w:w="0" w:type="dxa"/>
              <w:left w:w="28" w:type="dxa"/>
              <w:bottom w:w="0" w:type="dxa"/>
              <w:right w:w="28" w:type="dxa"/>
            </w:tcMar>
            <w:vAlign w:val="center"/>
          </w:tcPr>
          <w:p w14:paraId="4469893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94389A" w:rsidRPr="0094389A" w14:paraId="21C3587C"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77B226AA" w14:textId="77777777" w:rsidR="0094389A" w:rsidRPr="0094389A" w:rsidRDefault="0094389A" w:rsidP="0094389A">
            <w:pPr>
              <w:spacing w:after="160" w:line="259" w:lineRule="auto"/>
            </w:pPr>
            <w:r w:rsidRPr="0094389A">
              <w:t>R</w:t>
            </w:r>
          </w:p>
        </w:tc>
        <w:tc>
          <w:tcPr>
            <w:tcW w:w="70" w:type="pct"/>
            <w:tcBorders>
              <w:top w:val="nil"/>
              <w:left w:val="nil"/>
              <w:bottom w:val="nil"/>
              <w:right w:val="nil"/>
            </w:tcBorders>
            <w:tcMar>
              <w:top w:w="0" w:type="dxa"/>
              <w:left w:w="28" w:type="dxa"/>
              <w:bottom w:w="0" w:type="dxa"/>
              <w:right w:w="28" w:type="dxa"/>
            </w:tcMar>
          </w:tcPr>
          <w:p w14:paraId="0882469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nil"/>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08DBBC7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0.156</w:t>
            </w:r>
          </w:p>
        </w:tc>
        <w:tc>
          <w:tcPr>
            <w:tcW w:w="241" w:type="pct"/>
            <w:tcBorders>
              <w:top w:val="nil"/>
              <w:left w:val="nil"/>
              <w:bottom w:val="nil"/>
              <w:right w:val="nil"/>
            </w:tcBorders>
            <w:shd w:val="clear" w:color="auto" w:fill="D1D1D1" w:themeFill="background2" w:themeFillShade="E6"/>
            <w:tcMar>
              <w:top w:w="0" w:type="dxa"/>
              <w:left w:w="28" w:type="dxa"/>
              <w:bottom w:w="0" w:type="dxa"/>
              <w:right w:w="28" w:type="dxa"/>
            </w:tcMar>
            <w:vAlign w:val="center"/>
            <w:hideMark/>
          </w:tcPr>
          <w:p w14:paraId="70D918D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vAlign w:val="center"/>
            <w:hideMark/>
          </w:tcPr>
          <w:p w14:paraId="539B99A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0.050</w:t>
            </w:r>
          </w:p>
        </w:tc>
        <w:tc>
          <w:tcPr>
            <w:tcW w:w="243" w:type="pct"/>
            <w:tcBorders>
              <w:top w:val="nil"/>
              <w:left w:val="nil"/>
              <w:bottom w:val="nil"/>
              <w:right w:val="nil"/>
            </w:tcBorders>
            <w:tcMar>
              <w:top w:w="0" w:type="dxa"/>
              <w:left w:w="28" w:type="dxa"/>
              <w:bottom w:w="0" w:type="dxa"/>
              <w:right w:w="28" w:type="dxa"/>
            </w:tcMar>
            <w:vAlign w:val="center"/>
            <w:hideMark/>
          </w:tcPr>
          <w:p w14:paraId="1362342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77" w:type="pct"/>
            <w:tcBorders>
              <w:top w:val="nil"/>
              <w:left w:val="nil"/>
              <w:bottom w:val="nil"/>
              <w:right w:val="nil"/>
            </w:tcBorders>
            <w:tcMar>
              <w:top w:w="0" w:type="dxa"/>
              <w:left w:w="28" w:type="dxa"/>
              <w:bottom w:w="0" w:type="dxa"/>
              <w:right w:w="28" w:type="dxa"/>
            </w:tcMar>
            <w:vAlign w:val="center"/>
          </w:tcPr>
          <w:p w14:paraId="39783EA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5509194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0.129</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vAlign w:val="center"/>
            <w:hideMark/>
          </w:tcPr>
          <w:p w14:paraId="591BE653"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nil"/>
              <w:left w:val="nil"/>
              <w:bottom w:val="nil"/>
              <w:right w:val="nil"/>
            </w:tcBorders>
            <w:tcMar>
              <w:top w:w="0" w:type="dxa"/>
              <w:left w:w="28" w:type="dxa"/>
              <w:bottom w:w="0" w:type="dxa"/>
              <w:right w:w="28" w:type="dxa"/>
            </w:tcMar>
            <w:vAlign w:val="center"/>
            <w:hideMark/>
          </w:tcPr>
          <w:p w14:paraId="1E5FF21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0.003</w:t>
            </w:r>
          </w:p>
        </w:tc>
        <w:tc>
          <w:tcPr>
            <w:tcW w:w="170" w:type="pct"/>
            <w:tcBorders>
              <w:top w:val="nil"/>
              <w:left w:val="nil"/>
              <w:bottom w:val="nil"/>
              <w:right w:val="nil"/>
            </w:tcBorders>
            <w:tcMar>
              <w:top w:w="0" w:type="dxa"/>
              <w:left w:w="28" w:type="dxa"/>
              <w:bottom w:w="0" w:type="dxa"/>
              <w:right w:w="28" w:type="dxa"/>
            </w:tcMar>
            <w:vAlign w:val="center"/>
          </w:tcPr>
          <w:p w14:paraId="61D64FF0"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5" w:type="pct"/>
            <w:tcBorders>
              <w:top w:val="nil"/>
              <w:left w:val="nil"/>
              <w:bottom w:val="nil"/>
              <w:right w:val="nil"/>
            </w:tcBorders>
            <w:tcMar>
              <w:top w:w="0" w:type="dxa"/>
              <w:left w:w="0" w:type="dxa"/>
              <w:bottom w:w="0" w:type="dxa"/>
              <w:right w:w="0" w:type="dxa"/>
            </w:tcMar>
            <w:vAlign w:val="center"/>
          </w:tcPr>
          <w:p w14:paraId="75C59B40"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tcMar>
              <w:top w:w="0" w:type="dxa"/>
              <w:left w:w="28" w:type="dxa"/>
              <w:bottom w:w="0" w:type="dxa"/>
              <w:right w:w="28" w:type="dxa"/>
            </w:tcMar>
            <w:vAlign w:val="center"/>
            <w:hideMark/>
          </w:tcPr>
          <w:p w14:paraId="38E1EA20"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0.031</w:t>
            </w:r>
          </w:p>
        </w:tc>
        <w:tc>
          <w:tcPr>
            <w:tcW w:w="245" w:type="pct"/>
            <w:tcBorders>
              <w:top w:val="nil"/>
              <w:left w:val="nil"/>
              <w:bottom w:val="nil"/>
              <w:right w:val="nil"/>
            </w:tcBorders>
            <w:tcMar>
              <w:top w:w="0" w:type="dxa"/>
              <w:left w:w="28" w:type="dxa"/>
              <w:bottom w:w="0" w:type="dxa"/>
              <w:right w:w="28" w:type="dxa"/>
            </w:tcMar>
            <w:vAlign w:val="center"/>
            <w:hideMark/>
          </w:tcPr>
          <w:p w14:paraId="4DDF9B7A"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5" w:type="pct"/>
            <w:tcBorders>
              <w:top w:val="nil"/>
              <w:left w:val="nil"/>
              <w:bottom w:val="nil"/>
              <w:right w:val="nil"/>
            </w:tcBorders>
            <w:tcMar>
              <w:top w:w="0" w:type="dxa"/>
              <w:left w:w="28" w:type="dxa"/>
              <w:bottom w:w="0" w:type="dxa"/>
              <w:right w:w="28" w:type="dxa"/>
            </w:tcMar>
            <w:vAlign w:val="center"/>
            <w:hideMark/>
          </w:tcPr>
          <w:p w14:paraId="165C669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0.026</w:t>
            </w:r>
          </w:p>
        </w:tc>
        <w:tc>
          <w:tcPr>
            <w:tcW w:w="328" w:type="pct"/>
            <w:tcBorders>
              <w:top w:val="nil"/>
              <w:left w:val="nil"/>
              <w:bottom w:val="nil"/>
              <w:right w:val="nil"/>
            </w:tcBorders>
            <w:tcMar>
              <w:top w:w="0" w:type="dxa"/>
              <w:left w:w="28" w:type="dxa"/>
              <w:bottom w:w="0" w:type="dxa"/>
              <w:right w:w="28" w:type="dxa"/>
            </w:tcMar>
            <w:vAlign w:val="center"/>
          </w:tcPr>
          <w:p w14:paraId="71D8B5C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r>
      <w:tr w:rsidR="0094389A" w:rsidRPr="0094389A" w14:paraId="28C0EB5C"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5E264CCF" w14:textId="77777777" w:rsidR="0094389A" w:rsidRPr="0094389A" w:rsidRDefault="0094389A" w:rsidP="0094389A">
            <w:pPr>
              <w:spacing w:after="160" w:line="259" w:lineRule="auto"/>
            </w:pPr>
            <w:r w:rsidRPr="0094389A">
              <w:t>S</w:t>
            </w:r>
          </w:p>
        </w:tc>
        <w:tc>
          <w:tcPr>
            <w:tcW w:w="70" w:type="pct"/>
            <w:tcBorders>
              <w:top w:val="nil"/>
              <w:left w:val="nil"/>
              <w:bottom w:val="nil"/>
              <w:right w:val="nil"/>
            </w:tcBorders>
            <w:tcMar>
              <w:top w:w="0" w:type="dxa"/>
              <w:left w:w="28" w:type="dxa"/>
              <w:bottom w:w="0" w:type="dxa"/>
              <w:right w:w="28" w:type="dxa"/>
            </w:tcMar>
          </w:tcPr>
          <w:p w14:paraId="7E5D9123"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6695FA27"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0.160</w:t>
            </w:r>
          </w:p>
        </w:tc>
        <w:tc>
          <w:tcPr>
            <w:tcW w:w="241" w:type="pct"/>
            <w:tcBorders>
              <w:top w:val="nil"/>
              <w:left w:val="nil"/>
              <w:bottom w:val="nil"/>
              <w:right w:val="nil"/>
            </w:tcBorders>
            <w:shd w:val="clear" w:color="auto" w:fill="D1D1D1" w:themeFill="background2" w:themeFillShade="E6"/>
            <w:tcMar>
              <w:top w:w="0" w:type="dxa"/>
              <w:left w:w="28" w:type="dxa"/>
              <w:bottom w:w="0" w:type="dxa"/>
              <w:right w:w="28" w:type="dxa"/>
            </w:tcMar>
            <w:vAlign w:val="center"/>
            <w:hideMark/>
          </w:tcPr>
          <w:p w14:paraId="22AA8F8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vAlign w:val="center"/>
            <w:hideMark/>
          </w:tcPr>
          <w:p w14:paraId="0451BE7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0.031</w:t>
            </w:r>
          </w:p>
        </w:tc>
        <w:tc>
          <w:tcPr>
            <w:tcW w:w="243" w:type="pct"/>
            <w:tcBorders>
              <w:top w:val="nil"/>
              <w:left w:val="nil"/>
              <w:bottom w:val="nil"/>
              <w:right w:val="nil"/>
            </w:tcBorders>
            <w:tcMar>
              <w:top w:w="0" w:type="dxa"/>
              <w:left w:w="28" w:type="dxa"/>
              <w:bottom w:w="0" w:type="dxa"/>
              <w:right w:w="28" w:type="dxa"/>
            </w:tcMar>
            <w:vAlign w:val="center"/>
            <w:hideMark/>
          </w:tcPr>
          <w:p w14:paraId="4F055F9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77" w:type="pct"/>
            <w:tcBorders>
              <w:top w:val="nil"/>
              <w:left w:val="nil"/>
              <w:bottom w:val="nil"/>
              <w:right w:val="nil"/>
            </w:tcBorders>
            <w:tcMar>
              <w:top w:w="0" w:type="dxa"/>
              <w:left w:w="28" w:type="dxa"/>
              <w:bottom w:w="0" w:type="dxa"/>
              <w:right w:w="28" w:type="dxa"/>
            </w:tcMar>
            <w:vAlign w:val="center"/>
          </w:tcPr>
          <w:p w14:paraId="1C319ED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36A87128"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0.125</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vAlign w:val="center"/>
            <w:hideMark/>
          </w:tcPr>
          <w:p w14:paraId="7709E272"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4" w:type="pct"/>
            <w:tcBorders>
              <w:top w:val="nil"/>
              <w:left w:val="nil"/>
              <w:bottom w:val="nil"/>
              <w:right w:val="nil"/>
            </w:tcBorders>
            <w:tcMar>
              <w:top w:w="0" w:type="dxa"/>
              <w:left w:w="28" w:type="dxa"/>
              <w:bottom w:w="0" w:type="dxa"/>
              <w:right w:w="28" w:type="dxa"/>
            </w:tcMar>
            <w:vAlign w:val="center"/>
            <w:hideMark/>
          </w:tcPr>
          <w:p w14:paraId="5141243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0.011</w:t>
            </w:r>
          </w:p>
        </w:tc>
        <w:tc>
          <w:tcPr>
            <w:tcW w:w="170" w:type="pct"/>
            <w:tcBorders>
              <w:top w:val="nil"/>
              <w:left w:val="nil"/>
              <w:bottom w:val="nil"/>
              <w:right w:val="nil"/>
            </w:tcBorders>
            <w:tcMar>
              <w:top w:w="0" w:type="dxa"/>
              <w:left w:w="28" w:type="dxa"/>
              <w:bottom w:w="0" w:type="dxa"/>
              <w:right w:w="28" w:type="dxa"/>
            </w:tcMar>
            <w:vAlign w:val="center"/>
          </w:tcPr>
          <w:p w14:paraId="4B17A5C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5" w:type="pct"/>
            <w:tcBorders>
              <w:top w:val="nil"/>
              <w:left w:val="nil"/>
              <w:bottom w:val="nil"/>
              <w:right w:val="nil"/>
            </w:tcBorders>
            <w:tcMar>
              <w:top w:w="0" w:type="dxa"/>
              <w:left w:w="0" w:type="dxa"/>
              <w:bottom w:w="0" w:type="dxa"/>
              <w:right w:w="0" w:type="dxa"/>
            </w:tcMar>
            <w:vAlign w:val="center"/>
          </w:tcPr>
          <w:p w14:paraId="6540966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tcMar>
              <w:top w:w="0" w:type="dxa"/>
              <w:left w:w="28" w:type="dxa"/>
              <w:bottom w:w="0" w:type="dxa"/>
              <w:right w:w="28" w:type="dxa"/>
            </w:tcMar>
            <w:vAlign w:val="center"/>
            <w:hideMark/>
          </w:tcPr>
          <w:p w14:paraId="79D764C1"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0.025</w:t>
            </w:r>
          </w:p>
        </w:tc>
        <w:tc>
          <w:tcPr>
            <w:tcW w:w="245" w:type="pct"/>
            <w:tcBorders>
              <w:top w:val="nil"/>
              <w:left w:val="nil"/>
              <w:bottom w:val="nil"/>
              <w:right w:val="nil"/>
            </w:tcBorders>
            <w:tcMar>
              <w:top w:w="0" w:type="dxa"/>
              <w:left w:w="28" w:type="dxa"/>
              <w:bottom w:w="0" w:type="dxa"/>
              <w:right w:w="28" w:type="dxa"/>
            </w:tcMar>
            <w:vAlign w:val="center"/>
          </w:tcPr>
          <w:p w14:paraId="574130C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5" w:type="pct"/>
            <w:tcBorders>
              <w:top w:val="nil"/>
              <w:left w:val="nil"/>
              <w:bottom w:val="nil"/>
              <w:right w:val="nil"/>
            </w:tcBorders>
            <w:tcMar>
              <w:top w:w="0" w:type="dxa"/>
              <w:left w:w="28" w:type="dxa"/>
              <w:bottom w:w="0" w:type="dxa"/>
              <w:right w:w="28" w:type="dxa"/>
            </w:tcMar>
            <w:vAlign w:val="center"/>
            <w:hideMark/>
          </w:tcPr>
          <w:p w14:paraId="7AFA2FD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0.036</w:t>
            </w:r>
          </w:p>
        </w:tc>
        <w:tc>
          <w:tcPr>
            <w:tcW w:w="328" w:type="pct"/>
            <w:tcBorders>
              <w:top w:val="nil"/>
              <w:left w:val="nil"/>
              <w:bottom w:val="nil"/>
              <w:right w:val="nil"/>
            </w:tcBorders>
            <w:tcMar>
              <w:top w:w="0" w:type="dxa"/>
              <w:left w:w="28" w:type="dxa"/>
              <w:bottom w:w="0" w:type="dxa"/>
              <w:right w:w="28" w:type="dxa"/>
            </w:tcMar>
            <w:vAlign w:val="center"/>
            <w:hideMark/>
          </w:tcPr>
          <w:p w14:paraId="6B0B3A1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r>
      <w:tr w:rsidR="0094389A" w:rsidRPr="0094389A" w14:paraId="5093E302"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0C120244" w14:textId="77777777" w:rsidR="0094389A" w:rsidRPr="0094389A" w:rsidRDefault="0094389A" w:rsidP="0094389A">
            <w:pPr>
              <w:spacing w:after="160" w:line="259" w:lineRule="auto"/>
            </w:pPr>
            <w:r w:rsidRPr="0094389A">
              <w:t>ST</w:t>
            </w:r>
          </w:p>
        </w:tc>
        <w:tc>
          <w:tcPr>
            <w:tcW w:w="70" w:type="pct"/>
            <w:tcBorders>
              <w:top w:val="nil"/>
              <w:left w:val="nil"/>
              <w:bottom w:val="nil"/>
              <w:right w:val="nil"/>
            </w:tcBorders>
            <w:tcMar>
              <w:top w:w="0" w:type="dxa"/>
              <w:left w:w="28" w:type="dxa"/>
              <w:bottom w:w="0" w:type="dxa"/>
              <w:right w:w="28" w:type="dxa"/>
            </w:tcMar>
          </w:tcPr>
          <w:p w14:paraId="29ED9603"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nil"/>
              <w:left w:val="nil"/>
              <w:bottom w:val="nil"/>
              <w:right w:val="nil"/>
            </w:tcBorders>
            <w:shd w:val="clear" w:color="auto" w:fill="D1D1D1" w:themeFill="background2" w:themeFillShade="E6"/>
            <w:noWrap/>
            <w:tcMar>
              <w:top w:w="0" w:type="dxa"/>
              <w:left w:w="28" w:type="dxa"/>
              <w:bottom w:w="0" w:type="dxa"/>
              <w:right w:w="28" w:type="dxa"/>
            </w:tcMar>
            <w:vAlign w:val="center"/>
            <w:hideMark/>
          </w:tcPr>
          <w:p w14:paraId="1AA0CA7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0.109</w:t>
            </w:r>
          </w:p>
        </w:tc>
        <w:tc>
          <w:tcPr>
            <w:tcW w:w="241" w:type="pct"/>
            <w:tcBorders>
              <w:top w:val="nil"/>
              <w:left w:val="nil"/>
              <w:bottom w:val="nil"/>
              <w:right w:val="nil"/>
            </w:tcBorders>
            <w:shd w:val="clear" w:color="auto" w:fill="D1D1D1" w:themeFill="background2" w:themeFillShade="E6"/>
            <w:tcMar>
              <w:top w:w="0" w:type="dxa"/>
              <w:left w:w="28" w:type="dxa"/>
              <w:bottom w:w="0" w:type="dxa"/>
              <w:right w:w="28" w:type="dxa"/>
            </w:tcMar>
            <w:vAlign w:val="center"/>
            <w:hideMark/>
          </w:tcPr>
          <w:p w14:paraId="25849EE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vAlign w:val="center"/>
            <w:hideMark/>
          </w:tcPr>
          <w:p w14:paraId="6BD11C6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0.010</w:t>
            </w:r>
          </w:p>
        </w:tc>
        <w:tc>
          <w:tcPr>
            <w:tcW w:w="243" w:type="pct"/>
            <w:tcBorders>
              <w:top w:val="nil"/>
              <w:left w:val="nil"/>
              <w:bottom w:val="nil"/>
              <w:right w:val="nil"/>
            </w:tcBorders>
            <w:tcMar>
              <w:top w:w="0" w:type="dxa"/>
              <w:left w:w="28" w:type="dxa"/>
              <w:bottom w:w="0" w:type="dxa"/>
              <w:right w:w="28" w:type="dxa"/>
            </w:tcMar>
            <w:vAlign w:val="center"/>
          </w:tcPr>
          <w:p w14:paraId="503B410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0C3AB0F1"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noWrap/>
            <w:tcMar>
              <w:top w:w="0" w:type="dxa"/>
              <w:left w:w="28" w:type="dxa"/>
              <w:bottom w:w="0" w:type="dxa"/>
              <w:right w:w="28" w:type="dxa"/>
            </w:tcMar>
            <w:vAlign w:val="center"/>
            <w:hideMark/>
          </w:tcPr>
          <w:p w14:paraId="42A2C9A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0.059</w:t>
            </w:r>
          </w:p>
        </w:tc>
        <w:tc>
          <w:tcPr>
            <w:tcW w:w="245" w:type="pct"/>
            <w:tcBorders>
              <w:top w:val="nil"/>
              <w:left w:val="nil"/>
              <w:bottom w:val="nil"/>
              <w:right w:val="nil"/>
            </w:tcBorders>
            <w:tcMar>
              <w:top w:w="0" w:type="dxa"/>
              <w:left w:w="28" w:type="dxa"/>
              <w:bottom w:w="0" w:type="dxa"/>
              <w:right w:w="28" w:type="dxa"/>
            </w:tcMar>
            <w:vAlign w:val="center"/>
            <w:hideMark/>
          </w:tcPr>
          <w:p w14:paraId="7A1E8C5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nil"/>
              <w:left w:val="nil"/>
              <w:bottom w:val="nil"/>
              <w:right w:val="nil"/>
            </w:tcBorders>
            <w:tcMar>
              <w:top w:w="0" w:type="dxa"/>
              <w:left w:w="28" w:type="dxa"/>
              <w:bottom w:w="0" w:type="dxa"/>
              <w:right w:w="28" w:type="dxa"/>
            </w:tcMar>
            <w:vAlign w:val="center"/>
            <w:hideMark/>
          </w:tcPr>
          <w:p w14:paraId="00FAD7C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-0.021</w:t>
            </w:r>
          </w:p>
        </w:tc>
        <w:tc>
          <w:tcPr>
            <w:tcW w:w="170" w:type="pct"/>
            <w:tcBorders>
              <w:top w:val="nil"/>
              <w:left w:val="nil"/>
              <w:bottom w:val="nil"/>
              <w:right w:val="nil"/>
            </w:tcBorders>
            <w:tcMar>
              <w:top w:w="0" w:type="dxa"/>
              <w:left w:w="28" w:type="dxa"/>
              <w:bottom w:w="0" w:type="dxa"/>
              <w:right w:w="28" w:type="dxa"/>
            </w:tcMar>
            <w:vAlign w:val="center"/>
          </w:tcPr>
          <w:p w14:paraId="3235800E"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5" w:type="pct"/>
            <w:tcBorders>
              <w:top w:val="nil"/>
              <w:left w:val="nil"/>
              <w:bottom w:val="nil"/>
              <w:right w:val="nil"/>
            </w:tcBorders>
            <w:tcMar>
              <w:top w:w="0" w:type="dxa"/>
              <w:left w:w="0" w:type="dxa"/>
              <w:bottom w:w="0" w:type="dxa"/>
              <w:right w:w="0" w:type="dxa"/>
            </w:tcMar>
            <w:vAlign w:val="center"/>
          </w:tcPr>
          <w:p w14:paraId="497E75D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tcMar>
              <w:top w:w="0" w:type="dxa"/>
              <w:left w:w="28" w:type="dxa"/>
              <w:bottom w:w="0" w:type="dxa"/>
              <w:right w:w="28" w:type="dxa"/>
            </w:tcMar>
            <w:vAlign w:val="center"/>
            <w:hideMark/>
          </w:tcPr>
          <w:p w14:paraId="137BE63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-0.004</w:t>
            </w:r>
          </w:p>
        </w:tc>
        <w:tc>
          <w:tcPr>
            <w:tcW w:w="245" w:type="pct"/>
            <w:tcBorders>
              <w:top w:val="nil"/>
              <w:left w:val="nil"/>
              <w:bottom w:val="nil"/>
              <w:right w:val="nil"/>
            </w:tcBorders>
            <w:tcMar>
              <w:top w:w="0" w:type="dxa"/>
              <w:left w:w="28" w:type="dxa"/>
              <w:bottom w:w="0" w:type="dxa"/>
              <w:right w:w="28" w:type="dxa"/>
            </w:tcMar>
            <w:vAlign w:val="center"/>
          </w:tcPr>
          <w:p w14:paraId="133C1FE1"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5" w:type="pct"/>
            <w:tcBorders>
              <w:top w:val="nil"/>
              <w:left w:val="nil"/>
              <w:bottom w:val="nil"/>
              <w:right w:val="nil"/>
            </w:tcBorders>
            <w:tcMar>
              <w:top w:w="0" w:type="dxa"/>
              <w:left w:w="28" w:type="dxa"/>
              <w:bottom w:w="0" w:type="dxa"/>
              <w:right w:w="28" w:type="dxa"/>
            </w:tcMar>
            <w:vAlign w:val="center"/>
            <w:hideMark/>
          </w:tcPr>
          <w:p w14:paraId="049FC84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0.008</w:t>
            </w:r>
          </w:p>
        </w:tc>
        <w:tc>
          <w:tcPr>
            <w:tcW w:w="328" w:type="pct"/>
            <w:tcBorders>
              <w:top w:val="nil"/>
              <w:left w:val="nil"/>
              <w:bottom w:val="nil"/>
              <w:right w:val="nil"/>
            </w:tcBorders>
            <w:tcMar>
              <w:top w:w="0" w:type="dxa"/>
              <w:left w:w="28" w:type="dxa"/>
              <w:bottom w:w="0" w:type="dxa"/>
              <w:right w:w="28" w:type="dxa"/>
            </w:tcMar>
            <w:vAlign w:val="center"/>
          </w:tcPr>
          <w:p w14:paraId="00D398A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r>
      <w:tr w:rsidR="0094389A" w:rsidRPr="0094389A" w14:paraId="3BFC29FE"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5478A13D" w14:textId="77777777" w:rsidR="0094389A" w:rsidRPr="0094389A" w:rsidRDefault="0094389A" w:rsidP="0094389A">
            <w:pPr>
              <w:spacing w:after="160" w:line="259" w:lineRule="auto"/>
            </w:pPr>
            <w:r w:rsidRPr="0094389A">
              <w:t>T</w:t>
            </w:r>
          </w:p>
        </w:tc>
        <w:tc>
          <w:tcPr>
            <w:tcW w:w="70" w:type="pct"/>
            <w:tcBorders>
              <w:top w:val="nil"/>
              <w:left w:val="nil"/>
              <w:bottom w:val="nil"/>
              <w:right w:val="nil"/>
            </w:tcBorders>
            <w:tcMar>
              <w:top w:w="0" w:type="dxa"/>
              <w:left w:w="28" w:type="dxa"/>
              <w:bottom w:w="0" w:type="dxa"/>
              <w:right w:w="28" w:type="dxa"/>
            </w:tcMar>
          </w:tcPr>
          <w:p w14:paraId="32CE7A7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nil"/>
              <w:right w:val="nil"/>
            </w:tcBorders>
            <w:noWrap/>
            <w:tcMar>
              <w:top w:w="0" w:type="dxa"/>
              <w:left w:w="28" w:type="dxa"/>
              <w:bottom w:w="0" w:type="dxa"/>
              <w:right w:w="28" w:type="dxa"/>
            </w:tcMar>
            <w:vAlign w:val="center"/>
            <w:hideMark/>
          </w:tcPr>
          <w:p w14:paraId="363D6194"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0.031</w:t>
            </w:r>
          </w:p>
        </w:tc>
        <w:tc>
          <w:tcPr>
            <w:tcW w:w="241" w:type="pct"/>
            <w:tcBorders>
              <w:top w:val="nil"/>
              <w:left w:val="nil"/>
              <w:bottom w:val="nil"/>
              <w:right w:val="nil"/>
            </w:tcBorders>
            <w:tcMar>
              <w:top w:w="0" w:type="dxa"/>
              <w:left w:w="28" w:type="dxa"/>
              <w:bottom w:w="0" w:type="dxa"/>
              <w:right w:w="28" w:type="dxa"/>
            </w:tcMar>
            <w:vAlign w:val="center"/>
            <w:hideMark/>
          </w:tcPr>
          <w:p w14:paraId="6BD53AA3"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vAlign w:val="center"/>
            <w:hideMark/>
          </w:tcPr>
          <w:p w14:paraId="6E37712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0.013</w:t>
            </w:r>
          </w:p>
        </w:tc>
        <w:tc>
          <w:tcPr>
            <w:tcW w:w="243" w:type="pct"/>
            <w:tcBorders>
              <w:top w:val="nil"/>
              <w:left w:val="nil"/>
              <w:bottom w:val="nil"/>
              <w:right w:val="nil"/>
            </w:tcBorders>
            <w:tcMar>
              <w:top w:w="0" w:type="dxa"/>
              <w:left w:w="28" w:type="dxa"/>
              <w:bottom w:w="0" w:type="dxa"/>
              <w:right w:w="28" w:type="dxa"/>
            </w:tcMar>
            <w:vAlign w:val="center"/>
          </w:tcPr>
          <w:p w14:paraId="5FFDD630"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280EDF9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noWrap/>
            <w:tcMar>
              <w:top w:w="0" w:type="dxa"/>
              <w:left w:w="28" w:type="dxa"/>
              <w:bottom w:w="0" w:type="dxa"/>
              <w:right w:w="28" w:type="dxa"/>
            </w:tcMar>
            <w:vAlign w:val="center"/>
            <w:hideMark/>
          </w:tcPr>
          <w:p w14:paraId="5DA513E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0.036</w:t>
            </w:r>
          </w:p>
        </w:tc>
        <w:tc>
          <w:tcPr>
            <w:tcW w:w="245" w:type="pct"/>
            <w:tcBorders>
              <w:top w:val="nil"/>
              <w:left w:val="nil"/>
              <w:bottom w:val="nil"/>
              <w:right w:val="nil"/>
            </w:tcBorders>
            <w:tcMar>
              <w:top w:w="0" w:type="dxa"/>
              <w:left w:w="28" w:type="dxa"/>
              <w:bottom w:w="0" w:type="dxa"/>
              <w:right w:w="28" w:type="dxa"/>
            </w:tcMar>
            <w:vAlign w:val="center"/>
            <w:hideMark/>
          </w:tcPr>
          <w:p w14:paraId="20FA440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4" w:type="pct"/>
            <w:tcBorders>
              <w:top w:val="nil"/>
              <w:left w:val="nil"/>
              <w:bottom w:val="nil"/>
              <w:right w:val="nil"/>
            </w:tcBorders>
            <w:tcMar>
              <w:top w:w="0" w:type="dxa"/>
              <w:left w:w="28" w:type="dxa"/>
              <w:bottom w:w="0" w:type="dxa"/>
              <w:right w:w="28" w:type="dxa"/>
            </w:tcMar>
            <w:vAlign w:val="center"/>
            <w:hideMark/>
          </w:tcPr>
          <w:p w14:paraId="3C10FE6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-0.001</w:t>
            </w:r>
          </w:p>
        </w:tc>
        <w:tc>
          <w:tcPr>
            <w:tcW w:w="170" w:type="pct"/>
            <w:tcBorders>
              <w:top w:val="nil"/>
              <w:left w:val="nil"/>
              <w:bottom w:val="nil"/>
              <w:right w:val="nil"/>
            </w:tcBorders>
            <w:tcMar>
              <w:top w:w="0" w:type="dxa"/>
              <w:left w:w="28" w:type="dxa"/>
              <w:bottom w:w="0" w:type="dxa"/>
              <w:right w:w="28" w:type="dxa"/>
            </w:tcMar>
            <w:vAlign w:val="center"/>
          </w:tcPr>
          <w:p w14:paraId="72FCE69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5" w:type="pct"/>
            <w:tcBorders>
              <w:top w:val="nil"/>
              <w:left w:val="nil"/>
              <w:bottom w:val="nil"/>
              <w:right w:val="nil"/>
            </w:tcBorders>
            <w:tcMar>
              <w:top w:w="0" w:type="dxa"/>
              <w:left w:w="0" w:type="dxa"/>
              <w:bottom w:w="0" w:type="dxa"/>
              <w:right w:w="0" w:type="dxa"/>
            </w:tcMar>
            <w:vAlign w:val="center"/>
          </w:tcPr>
          <w:p w14:paraId="6B2851D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tcMar>
              <w:top w:w="0" w:type="dxa"/>
              <w:left w:w="28" w:type="dxa"/>
              <w:bottom w:w="0" w:type="dxa"/>
              <w:right w:w="28" w:type="dxa"/>
            </w:tcMar>
            <w:vAlign w:val="center"/>
            <w:hideMark/>
          </w:tcPr>
          <w:p w14:paraId="04D90E36"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-0.012</w:t>
            </w:r>
          </w:p>
        </w:tc>
        <w:tc>
          <w:tcPr>
            <w:tcW w:w="245" w:type="pct"/>
            <w:tcBorders>
              <w:top w:val="nil"/>
              <w:left w:val="nil"/>
              <w:bottom w:val="nil"/>
              <w:right w:val="nil"/>
            </w:tcBorders>
            <w:tcMar>
              <w:top w:w="0" w:type="dxa"/>
              <w:left w:w="28" w:type="dxa"/>
              <w:bottom w:w="0" w:type="dxa"/>
              <w:right w:w="28" w:type="dxa"/>
            </w:tcMar>
            <w:vAlign w:val="center"/>
          </w:tcPr>
          <w:p w14:paraId="1602E465"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5" w:type="pct"/>
            <w:tcBorders>
              <w:top w:val="nil"/>
              <w:left w:val="nil"/>
              <w:bottom w:val="nil"/>
              <w:right w:val="nil"/>
            </w:tcBorders>
            <w:tcMar>
              <w:top w:w="0" w:type="dxa"/>
              <w:left w:w="28" w:type="dxa"/>
              <w:bottom w:w="0" w:type="dxa"/>
              <w:right w:w="28" w:type="dxa"/>
            </w:tcMar>
            <w:vAlign w:val="center"/>
            <w:hideMark/>
          </w:tcPr>
          <w:p w14:paraId="0800A1B4"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-0.069</w:t>
            </w:r>
          </w:p>
        </w:tc>
        <w:tc>
          <w:tcPr>
            <w:tcW w:w="328" w:type="pct"/>
            <w:tcBorders>
              <w:top w:val="nil"/>
              <w:left w:val="nil"/>
              <w:bottom w:val="nil"/>
              <w:right w:val="nil"/>
            </w:tcBorders>
            <w:tcMar>
              <w:top w:w="0" w:type="dxa"/>
              <w:left w:w="28" w:type="dxa"/>
              <w:bottom w:w="0" w:type="dxa"/>
              <w:right w:w="28" w:type="dxa"/>
            </w:tcMar>
            <w:vAlign w:val="center"/>
            <w:hideMark/>
          </w:tcPr>
          <w:p w14:paraId="1B4833E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r>
      <w:tr w:rsidR="0094389A" w:rsidRPr="0094389A" w14:paraId="48B8A977"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53E3BF87" w14:textId="77777777" w:rsidR="0094389A" w:rsidRPr="0094389A" w:rsidRDefault="0094389A" w:rsidP="0094389A">
            <w:pPr>
              <w:spacing w:after="160" w:line="259" w:lineRule="auto"/>
            </w:pPr>
            <w:r w:rsidRPr="0094389A">
              <w:t>QT</w:t>
            </w:r>
          </w:p>
        </w:tc>
        <w:tc>
          <w:tcPr>
            <w:tcW w:w="70" w:type="pct"/>
            <w:tcBorders>
              <w:top w:val="nil"/>
              <w:left w:val="nil"/>
              <w:bottom w:val="nil"/>
              <w:right w:val="nil"/>
            </w:tcBorders>
            <w:tcMar>
              <w:top w:w="0" w:type="dxa"/>
              <w:left w:w="28" w:type="dxa"/>
              <w:bottom w:w="0" w:type="dxa"/>
              <w:right w:w="28" w:type="dxa"/>
            </w:tcMar>
          </w:tcPr>
          <w:p w14:paraId="6337781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nil"/>
              <w:left w:val="nil"/>
              <w:bottom w:val="nil"/>
              <w:right w:val="nil"/>
            </w:tcBorders>
            <w:noWrap/>
            <w:tcMar>
              <w:top w:w="0" w:type="dxa"/>
              <w:left w:w="28" w:type="dxa"/>
              <w:bottom w:w="0" w:type="dxa"/>
              <w:right w:w="28" w:type="dxa"/>
            </w:tcMar>
            <w:vAlign w:val="center"/>
            <w:hideMark/>
          </w:tcPr>
          <w:p w14:paraId="62078A6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0.085</w:t>
            </w:r>
          </w:p>
        </w:tc>
        <w:tc>
          <w:tcPr>
            <w:tcW w:w="241" w:type="pct"/>
            <w:tcBorders>
              <w:top w:val="nil"/>
              <w:left w:val="nil"/>
              <w:bottom w:val="nil"/>
              <w:right w:val="nil"/>
            </w:tcBorders>
            <w:tcMar>
              <w:top w:w="0" w:type="dxa"/>
              <w:left w:w="28" w:type="dxa"/>
              <w:bottom w:w="0" w:type="dxa"/>
              <w:right w:w="28" w:type="dxa"/>
            </w:tcMar>
            <w:vAlign w:val="center"/>
            <w:hideMark/>
          </w:tcPr>
          <w:p w14:paraId="5654C4F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vAlign w:val="center"/>
            <w:hideMark/>
          </w:tcPr>
          <w:p w14:paraId="0D1613A0"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0.020</w:t>
            </w:r>
          </w:p>
        </w:tc>
        <w:tc>
          <w:tcPr>
            <w:tcW w:w="243" w:type="pct"/>
            <w:tcBorders>
              <w:top w:val="nil"/>
              <w:left w:val="nil"/>
              <w:bottom w:val="nil"/>
              <w:right w:val="nil"/>
            </w:tcBorders>
            <w:tcMar>
              <w:top w:w="0" w:type="dxa"/>
              <w:left w:w="28" w:type="dxa"/>
              <w:bottom w:w="0" w:type="dxa"/>
              <w:right w:w="28" w:type="dxa"/>
            </w:tcMar>
            <w:vAlign w:val="center"/>
          </w:tcPr>
          <w:p w14:paraId="22FBA251"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2A8EB1F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noWrap/>
            <w:tcMar>
              <w:top w:w="0" w:type="dxa"/>
              <w:left w:w="28" w:type="dxa"/>
              <w:bottom w:w="0" w:type="dxa"/>
              <w:right w:w="28" w:type="dxa"/>
            </w:tcMar>
            <w:vAlign w:val="center"/>
            <w:hideMark/>
          </w:tcPr>
          <w:p w14:paraId="3F4D9DC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0.075</w:t>
            </w:r>
          </w:p>
        </w:tc>
        <w:tc>
          <w:tcPr>
            <w:tcW w:w="245" w:type="pct"/>
            <w:tcBorders>
              <w:top w:val="nil"/>
              <w:left w:val="nil"/>
              <w:bottom w:val="nil"/>
              <w:right w:val="nil"/>
            </w:tcBorders>
            <w:tcMar>
              <w:top w:w="0" w:type="dxa"/>
              <w:left w:w="28" w:type="dxa"/>
              <w:bottom w:w="0" w:type="dxa"/>
              <w:right w:w="28" w:type="dxa"/>
            </w:tcMar>
            <w:vAlign w:val="center"/>
            <w:hideMark/>
          </w:tcPr>
          <w:p w14:paraId="1FAAC7B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nil"/>
              <w:left w:val="nil"/>
              <w:bottom w:val="nil"/>
              <w:right w:val="nil"/>
            </w:tcBorders>
            <w:tcMar>
              <w:top w:w="0" w:type="dxa"/>
              <w:left w:w="28" w:type="dxa"/>
              <w:bottom w:w="0" w:type="dxa"/>
              <w:right w:w="28" w:type="dxa"/>
            </w:tcMar>
            <w:vAlign w:val="center"/>
            <w:hideMark/>
          </w:tcPr>
          <w:p w14:paraId="75BC8AF3"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-0.016</w:t>
            </w:r>
          </w:p>
        </w:tc>
        <w:tc>
          <w:tcPr>
            <w:tcW w:w="170" w:type="pct"/>
            <w:tcBorders>
              <w:top w:val="nil"/>
              <w:left w:val="nil"/>
              <w:bottom w:val="nil"/>
              <w:right w:val="nil"/>
            </w:tcBorders>
            <w:tcMar>
              <w:top w:w="0" w:type="dxa"/>
              <w:left w:w="28" w:type="dxa"/>
              <w:bottom w:w="0" w:type="dxa"/>
              <w:right w:w="28" w:type="dxa"/>
            </w:tcMar>
            <w:vAlign w:val="center"/>
          </w:tcPr>
          <w:p w14:paraId="5D2B737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5" w:type="pct"/>
            <w:tcBorders>
              <w:top w:val="nil"/>
              <w:left w:val="nil"/>
              <w:bottom w:val="nil"/>
              <w:right w:val="nil"/>
            </w:tcBorders>
            <w:tcMar>
              <w:top w:w="0" w:type="dxa"/>
              <w:left w:w="0" w:type="dxa"/>
              <w:bottom w:w="0" w:type="dxa"/>
              <w:right w:w="0" w:type="dxa"/>
            </w:tcMar>
            <w:vAlign w:val="center"/>
          </w:tcPr>
          <w:p w14:paraId="66F907A0"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tcMar>
              <w:top w:w="0" w:type="dxa"/>
              <w:left w:w="28" w:type="dxa"/>
              <w:bottom w:w="0" w:type="dxa"/>
              <w:right w:w="28" w:type="dxa"/>
            </w:tcMar>
            <w:vAlign w:val="center"/>
            <w:hideMark/>
          </w:tcPr>
          <w:p w14:paraId="7AA660D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-0.006</w:t>
            </w:r>
          </w:p>
        </w:tc>
        <w:tc>
          <w:tcPr>
            <w:tcW w:w="245" w:type="pct"/>
            <w:tcBorders>
              <w:top w:val="nil"/>
              <w:left w:val="nil"/>
              <w:bottom w:val="nil"/>
              <w:right w:val="nil"/>
            </w:tcBorders>
            <w:tcMar>
              <w:top w:w="0" w:type="dxa"/>
              <w:left w:w="28" w:type="dxa"/>
              <w:bottom w:w="0" w:type="dxa"/>
              <w:right w:w="28" w:type="dxa"/>
            </w:tcMar>
            <w:vAlign w:val="center"/>
          </w:tcPr>
          <w:p w14:paraId="5BDDD82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5" w:type="pct"/>
            <w:tcBorders>
              <w:top w:val="nil"/>
              <w:left w:val="nil"/>
              <w:bottom w:val="nil"/>
              <w:right w:val="nil"/>
            </w:tcBorders>
            <w:tcMar>
              <w:top w:w="0" w:type="dxa"/>
              <w:left w:w="28" w:type="dxa"/>
              <w:bottom w:w="0" w:type="dxa"/>
              <w:right w:w="28" w:type="dxa"/>
            </w:tcMar>
            <w:vAlign w:val="center"/>
            <w:hideMark/>
          </w:tcPr>
          <w:p w14:paraId="68BACF26"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-0.039</w:t>
            </w:r>
          </w:p>
        </w:tc>
        <w:tc>
          <w:tcPr>
            <w:tcW w:w="328" w:type="pct"/>
            <w:tcBorders>
              <w:top w:val="nil"/>
              <w:left w:val="nil"/>
              <w:bottom w:val="nil"/>
              <w:right w:val="nil"/>
            </w:tcBorders>
            <w:tcMar>
              <w:top w:w="0" w:type="dxa"/>
              <w:left w:w="28" w:type="dxa"/>
              <w:bottom w:w="0" w:type="dxa"/>
              <w:right w:w="28" w:type="dxa"/>
            </w:tcMar>
            <w:vAlign w:val="center"/>
            <w:hideMark/>
          </w:tcPr>
          <w:p w14:paraId="61A9C35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r>
      <w:tr w:rsidR="0094389A" w:rsidRPr="0094389A" w14:paraId="67623065"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single" w:sz="4" w:space="0" w:color="auto"/>
              <w:right w:val="nil"/>
            </w:tcBorders>
            <w:tcMar>
              <w:top w:w="0" w:type="dxa"/>
              <w:left w:w="108" w:type="dxa"/>
              <w:bottom w:w="0" w:type="dxa"/>
              <w:right w:w="397" w:type="dxa"/>
            </w:tcMar>
            <w:vAlign w:val="center"/>
            <w:hideMark/>
          </w:tcPr>
          <w:p w14:paraId="6F4A1C89" w14:textId="77777777" w:rsidR="0094389A" w:rsidRPr="0094389A" w:rsidRDefault="0094389A" w:rsidP="0094389A">
            <w:pPr>
              <w:spacing w:after="160" w:line="259" w:lineRule="auto"/>
            </w:pPr>
            <w:r w:rsidRPr="0094389A">
              <w:t>TQ</w:t>
            </w:r>
          </w:p>
        </w:tc>
        <w:tc>
          <w:tcPr>
            <w:tcW w:w="70" w:type="pct"/>
            <w:tcBorders>
              <w:top w:val="nil"/>
              <w:left w:val="nil"/>
              <w:bottom w:val="single" w:sz="4" w:space="0" w:color="auto"/>
              <w:right w:val="nil"/>
            </w:tcBorders>
            <w:tcMar>
              <w:top w:w="0" w:type="dxa"/>
              <w:left w:w="28" w:type="dxa"/>
              <w:bottom w:w="0" w:type="dxa"/>
              <w:right w:w="28" w:type="dxa"/>
            </w:tcMar>
          </w:tcPr>
          <w:p w14:paraId="0935999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single" w:sz="4" w:space="0" w:color="auto"/>
              <w:right w:val="nil"/>
            </w:tcBorders>
            <w:noWrap/>
            <w:tcMar>
              <w:top w:w="0" w:type="dxa"/>
              <w:left w:w="28" w:type="dxa"/>
              <w:bottom w:w="0" w:type="dxa"/>
              <w:right w:w="28" w:type="dxa"/>
            </w:tcMar>
            <w:vAlign w:val="center"/>
            <w:hideMark/>
          </w:tcPr>
          <w:p w14:paraId="685256B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0.030</w:t>
            </w:r>
          </w:p>
        </w:tc>
        <w:tc>
          <w:tcPr>
            <w:tcW w:w="241" w:type="pct"/>
            <w:tcBorders>
              <w:top w:val="nil"/>
              <w:left w:val="nil"/>
              <w:bottom w:val="single" w:sz="4" w:space="0" w:color="auto"/>
              <w:right w:val="nil"/>
            </w:tcBorders>
            <w:tcMar>
              <w:top w:w="0" w:type="dxa"/>
              <w:left w:w="28" w:type="dxa"/>
              <w:bottom w:w="0" w:type="dxa"/>
              <w:right w:w="28" w:type="dxa"/>
            </w:tcMar>
            <w:vAlign w:val="center"/>
            <w:hideMark/>
          </w:tcPr>
          <w:p w14:paraId="39D5F6B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9" w:type="pct"/>
            <w:tcBorders>
              <w:top w:val="nil"/>
              <w:left w:val="nil"/>
              <w:bottom w:val="single" w:sz="4" w:space="0" w:color="auto"/>
              <w:right w:val="nil"/>
            </w:tcBorders>
            <w:tcMar>
              <w:top w:w="0" w:type="dxa"/>
              <w:left w:w="28" w:type="dxa"/>
              <w:bottom w:w="0" w:type="dxa"/>
              <w:right w:w="28" w:type="dxa"/>
            </w:tcMar>
            <w:vAlign w:val="center"/>
            <w:hideMark/>
          </w:tcPr>
          <w:p w14:paraId="606769F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-0.008</w:t>
            </w:r>
          </w:p>
        </w:tc>
        <w:tc>
          <w:tcPr>
            <w:tcW w:w="243" w:type="pct"/>
            <w:tcBorders>
              <w:top w:val="nil"/>
              <w:left w:val="nil"/>
              <w:bottom w:val="single" w:sz="4" w:space="0" w:color="auto"/>
              <w:right w:val="nil"/>
            </w:tcBorders>
            <w:tcMar>
              <w:top w:w="0" w:type="dxa"/>
              <w:left w:w="28" w:type="dxa"/>
              <w:bottom w:w="0" w:type="dxa"/>
              <w:right w:w="28" w:type="dxa"/>
            </w:tcMar>
            <w:vAlign w:val="center"/>
          </w:tcPr>
          <w:p w14:paraId="7A599A4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7" w:type="pct"/>
            <w:tcBorders>
              <w:top w:val="nil"/>
              <w:left w:val="nil"/>
              <w:bottom w:val="single" w:sz="4" w:space="0" w:color="auto"/>
              <w:right w:val="nil"/>
            </w:tcBorders>
            <w:tcMar>
              <w:top w:w="0" w:type="dxa"/>
              <w:left w:w="28" w:type="dxa"/>
              <w:bottom w:w="0" w:type="dxa"/>
              <w:right w:w="28" w:type="dxa"/>
            </w:tcMar>
            <w:vAlign w:val="center"/>
          </w:tcPr>
          <w:p w14:paraId="5A8146D3"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single" w:sz="4" w:space="0" w:color="auto"/>
              <w:right w:val="nil"/>
            </w:tcBorders>
            <w:noWrap/>
            <w:tcMar>
              <w:top w:w="0" w:type="dxa"/>
              <w:left w:w="28" w:type="dxa"/>
              <w:bottom w:w="0" w:type="dxa"/>
              <w:right w:w="28" w:type="dxa"/>
            </w:tcMar>
            <w:vAlign w:val="center"/>
            <w:hideMark/>
          </w:tcPr>
          <w:p w14:paraId="2C86F82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-0.009</w:t>
            </w:r>
          </w:p>
        </w:tc>
        <w:tc>
          <w:tcPr>
            <w:tcW w:w="245" w:type="pct"/>
            <w:tcBorders>
              <w:top w:val="nil"/>
              <w:left w:val="nil"/>
              <w:bottom w:val="single" w:sz="4" w:space="0" w:color="auto"/>
              <w:right w:val="nil"/>
            </w:tcBorders>
            <w:tcMar>
              <w:top w:w="0" w:type="dxa"/>
              <w:left w:w="28" w:type="dxa"/>
              <w:bottom w:w="0" w:type="dxa"/>
              <w:right w:w="28" w:type="dxa"/>
            </w:tcMar>
            <w:vAlign w:val="center"/>
          </w:tcPr>
          <w:p w14:paraId="50EBA2E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single" w:sz="4" w:space="0" w:color="auto"/>
              <w:right w:val="nil"/>
            </w:tcBorders>
            <w:tcMar>
              <w:top w:w="0" w:type="dxa"/>
              <w:left w:w="28" w:type="dxa"/>
              <w:bottom w:w="0" w:type="dxa"/>
              <w:right w:w="28" w:type="dxa"/>
            </w:tcMar>
            <w:vAlign w:val="center"/>
            <w:hideMark/>
          </w:tcPr>
          <w:p w14:paraId="7AD629F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0.022</w:t>
            </w:r>
          </w:p>
        </w:tc>
        <w:tc>
          <w:tcPr>
            <w:tcW w:w="170" w:type="pct"/>
            <w:tcBorders>
              <w:top w:val="nil"/>
              <w:left w:val="nil"/>
              <w:bottom w:val="single" w:sz="4" w:space="0" w:color="auto"/>
              <w:right w:val="nil"/>
            </w:tcBorders>
            <w:tcMar>
              <w:top w:w="0" w:type="dxa"/>
              <w:left w:w="28" w:type="dxa"/>
              <w:bottom w:w="0" w:type="dxa"/>
              <w:right w:w="28" w:type="dxa"/>
            </w:tcMar>
            <w:vAlign w:val="center"/>
          </w:tcPr>
          <w:p w14:paraId="05161BE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5" w:type="pct"/>
            <w:tcBorders>
              <w:top w:val="nil"/>
              <w:left w:val="nil"/>
              <w:bottom w:val="single" w:sz="4" w:space="0" w:color="auto"/>
              <w:right w:val="nil"/>
            </w:tcBorders>
            <w:tcMar>
              <w:top w:w="0" w:type="dxa"/>
              <w:left w:w="0" w:type="dxa"/>
              <w:bottom w:w="0" w:type="dxa"/>
              <w:right w:w="0" w:type="dxa"/>
            </w:tcMar>
            <w:vAlign w:val="center"/>
          </w:tcPr>
          <w:p w14:paraId="3C39B8A6"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single" w:sz="4" w:space="0" w:color="auto"/>
              <w:right w:val="nil"/>
            </w:tcBorders>
            <w:tcMar>
              <w:top w:w="0" w:type="dxa"/>
              <w:left w:w="28" w:type="dxa"/>
              <w:bottom w:w="0" w:type="dxa"/>
              <w:right w:w="28" w:type="dxa"/>
            </w:tcMar>
            <w:vAlign w:val="center"/>
            <w:hideMark/>
          </w:tcPr>
          <w:p w14:paraId="0D6D8D94"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-0.027</w:t>
            </w:r>
          </w:p>
        </w:tc>
        <w:tc>
          <w:tcPr>
            <w:tcW w:w="245" w:type="pct"/>
            <w:tcBorders>
              <w:top w:val="nil"/>
              <w:left w:val="nil"/>
              <w:bottom w:val="single" w:sz="4" w:space="0" w:color="auto"/>
              <w:right w:val="nil"/>
            </w:tcBorders>
            <w:tcMar>
              <w:top w:w="0" w:type="dxa"/>
              <w:left w:w="28" w:type="dxa"/>
              <w:bottom w:w="0" w:type="dxa"/>
              <w:right w:w="28" w:type="dxa"/>
            </w:tcMar>
            <w:vAlign w:val="center"/>
          </w:tcPr>
          <w:p w14:paraId="3EDD0F01"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5" w:type="pct"/>
            <w:tcBorders>
              <w:top w:val="nil"/>
              <w:left w:val="nil"/>
              <w:bottom w:val="single" w:sz="4" w:space="0" w:color="auto"/>
              <w:right w:val="nil"/>
            </w:tcBorders>
            <w:tcMar>
              <w:top w:w="0" w:type="dxa"/>
              <w:left w:w="28" w:type="dxa"/>
              <w:bottom w:w="0" w:type="dxa"/>
              <w:right w:w="28" w:type="dxa"/>
            </w:tcMar>
            <w:vAlign w:val="center"/>
            <w:hideMark/>
          </w:tcPr>
          <w:p w14:paraId="41956198"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0.054</w:t>
            </w:r>
          </w:p>
        </w:tc>
        <w:tc>
          <w:tcPr>
            <w:tcW w:w="328" w:type="pct"/>
            <w:tcBorders>
              <w:top w:val="nil"/>
              <w:left w:val="nil"/>
              <w:bottom w:val="single" w:sz="4" w:space="0" w:color="auto"/>
              <w:right w:val="nil"/>
            </w:tcBorders>
            <w:tcMar>
              <w:top w:w="0" w:type="dxa"/>
              <w:left w:w="28" w:type="dxa"/>
              <w:bottom w:w="0" w:type="dxa"/>
              <w:right w:w="28" w:type="dxa"/>
            </w:tcMar>
            <w:vAlign w:val="center"/>
            <w:hideMark/>
          </w:tcPr>
          <w:p w14:paraId="1ACDE1F5"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r>
      <w:tr w:rsidR="0094389A" w:rsidRPr="0094389A" w14:paraId="178B9471"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5000" w:type="pct"/>
            <w:gridSpan w:val="16"/>
            <w:tcBorders>
              <w:top w:val="single" w:sz="4" w:space="0" w:color="auto"/>
              <w:left w:val="nil"/>
              <w:bottom w:val="single" w:sz="4" w:space="0" w:color="auto"/>
              <w:right w:val="nil"/>
            </w:tcBorders>
            <w:tcMar>
              <w:top w:w="0" w:type="dxa"/>
              <w:left w:w="108" w:type="dxa"/>
              <w:bottom w:w="0" w:type="dxa"/>
              <w:right w:w="227" w:type="dxa"/>
            </w:tcMar>
            <w:vAlign w:val="center"/>
            <w:hideMark/>
          </w:tcPr>
          <w:p w14:paraId="3CE77BF7" w14:textId="7FC2AB8E" w:rsidR="0094389A" w:rsidRPr="0094389A" w:rsidRDefault="0094389A" w:rsidP="0094389A">
            <w:pPr>
              <w:spacing w:after="160" w:line="259" w:lineRule="auto"/>
            </w:pPr>
            <w:r w:rsidRPr="0094389A">
              <w:t xml:space="preserve">Recording level (Pearson correlation values – </w:t>
            </w:r>
            <m:oMath>
              <m:acc>
                <m:accPr>
                  <m:chr m:val="̅"/>
                  <m:ctrlPr>
                    <w:rPr>
                      <w:rFonts w:ascii="Cambria Math" w:hAnsi="Cambria Math"/>
                      <w:i/>
                    </w:rPr>
                  </m:ctrlPr>
                </m:accPr>
                <m:e>
                  <m:r>
                    <w:rPr>
                      <w:rFonts w:ascii="Cambria Math" w:hAnsi="Cambria Math"/>
                    </w:rPr>
                    <m:t>|</m:t>
                  </m:r>
                  <m:r>
                    <m:rPr>
                      <m:sty m:val="bi"/>
                    </m:rPr>
                    <w:rPr>
                      <w:rFonts w:ascii="Cambria Math" w:hAnsi="Cambria Math"/>
                    </w:rPr>
                    <m:t>δRR</m:t>
                  </m:r>
                  <m:r>
                    <w:rPr>
                      <w:rFonts w:ascii="Cambria Math" w:hAnsi="Cambria Math"/>
                    </w:rPr>
                    <m:t>|</m:t>
                  </m:r>
                </m:e>
              </m:acc>
            </m:oMath>
            <w:r w:rsidRPr="0094389A">
              <w:t xml:space="preserve"> and </w:t>
            </w:r>
            <m:oMath>
              <m:acc>
                <m:accPr>
                  <m:chr m:val="̅"/>
                  <m:ctrlPr>
                    <w:rPr>
                      <w:rFonts w:ascii="Cambria Math" w:hAnsi="Cambria Math"/>
                      <w:i/>
                    </w:rPr>
                  </m:ctrlPr>
                </m:accPr>
                <m:e>
                  <m:r>
                    <w:rPr>
                      <w:rFonts w:ascii="Cambria Math" w:hAnsi="Cambria Math"/>
                    </w:rPr>
                    <m:t>|</m:t>
                  </m:r>
                  <m:r>
                    <m:rPr>
                      <m:sty m:val="bi"/>
                    </m:rPr>
                    <w:rPr>
                      <w:rFonts w:ascii="Cambria Math" w:hAnsi="Cambria Math"/>
                    </w:rPr>
                    <m:t>δrR</m:t>
                  </m:r>
                  <m:r>
                    <w:rPr>
                      <w:rFonts w:ascii="Cambria Math" w:hAnsi="Cambria Math"/>
                    </w:rPr>
                    <m:t>|</m:t>
                  </m:r>
                </m:e>
              </m:acc>
            </m:oMath>
            <w:r w:rsidRPr="0094389A">
              <w:t>)</w:t>
            </w:r>
          </w:p>
        </w:tc>
      </w:tr>
      <w:tr w:rsidR="0094389A" w:rsidRPr="0094389A" w14:paraId="143259AB"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single" w:sz="4" w:space="0" w:color="auto"/>
              <w:right w:val="nil"/>
              <w:tl2br w:val="single" w:sz="4" w:space="0" w:color="auto"/>
            </w:tcBorders>
            <w:tcMar>
              <w:top w:w="0" w:type="dxa"/>
              <w:left w:w="108" w:type="dxa"/>
              <w:bottom w:w="0" w:type="dxa"/>
              <w:right w:w="227" w:type="dxa"/>
            </w:tcMar>
            <w:vAlign w:val="center"/>
            <w:hideMark/>
          </w:tcPr>
          <w:p w14:paraId="60CA6121" w14:textId="291252C9" w:rsidR="0094389A" w:rsidRPr="0094389A" w:rsidRDefault="0094389A" w:rsidP="0094389A">
            <w:pPr>
              <w:spacing w:after="160" w:line="259" w:lineRule="auto"/>
            </w:pPr>
            <m:oMathPara>
              <m:oMathParaPr>
                <m:jc m:val="right"/>
              </m:oMathParaPr>
              <m:oMath>
                <m:r>
                  <m:rPr>
                    <m:sty m:val="bi"/>
                  </m:rPr>
                  <w:rPr>
                    <w:rFonts w:ascii="Cambria Math" w:hAnsi="Cambria Math"/>
                  </w:rPr>
                  <m:t>n</m:t>
                </m:r>
              </m:oMath>
            </m:oMathPara>
          </w:p>
          <w:p w14:paraId="4EFD2407" w14:textId="77777777" w:rsidR="0094389A" w:rsidRPr="0094389A" w:rsidRDefault="0094389A" w:rsidP="0094389A">
            <w:pPr>
              <w:spacing w:after="160" w:line="259" w:lineRule="auto"/>
            </w:pPr>
            <w:r w:rsidRPr="0094389A">
              <w:t>Segments</w:t>
            </w:r>
          </w:p>
        </w:tc>
        <w:tc>
          <w:tcPr>
            <w:tcW w:w="70" w:type="pct"/>
            <w:tcBorders>
              <w:top w:val="nil"/>
              <w:left w:val="nil"/>
              <w:bottom w:val="single" w:sz="4" w:space="0" w:color="auto"/>
              <w:right w:val="nil"/>
            </w:tcBorders>
            <w:tcMar>
              <w:top w:w="0" w:type="dxa"/>
              <w:left w:w="28" w:type="dxa"/>
              <w:bottom w:w="0" w:type="dxa"/>
              <w:right w:w="28" w:type="dxa"/>
            </w:tcMar>
            <w:vAlign w:val="center"/>
          </w:tcPr>
          <w:p w14:paraId="605BEFB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1317" w:type="pct"/>
            <w:gridSpan w:val="4"/>
            <w:tcBorders>
              <w:top w:val="nil"/>
              <w:left w:val="nil"/>
              <w:bottom w:val="single" w:sz="4" w:space="0" w:color="auto"/>
              <w:right w:val="nil"/>
            </w:tcBorders>
            <w:noWrap/>
            <w:tcMar>
              <w:top w:w="0" w:type="dxa"/>
              <w:left w:w="28" w:type="dxa"/>
              <w:bottom w:w="0" w:type="dxa"/>
              <w:right w:w="28" w:type="dxa"/>
            </w:tcMar>
            <w:vAlign w:val="center"/>
            <w:hideMark/>
          </w:tcPr>
          <w:p w14:paraId="420925A3"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507 (P/PQ: 0)</w:t>
            </w:r>
          </w:p>
        </w:tc>
        <w:tc>
          <w:tcPr>
            <w:tcW w:w="77" w:type="pct"/>
            <w:tcBorders>
              <w:top w:val="nil"/>
              <w:left w:val="nil"/>
              <w:bottom w:val="single" w:sz="4" w:space="0" w:color="auto"/>
              <w:right w:val="nil"/>
            </w:tcBorders>
            <w:tcMar>
              <w:top w:w="0" w:type="dxa"/>
              <w:left w:w="28" w:type="dxa"/>
              <w:bottom w:w="0" w:type="dxa"/>
              <w:right w:w="28" w:type="dxa"/>
            </w:tcMar>
            <w:vAlign w:val="center"/>
          </w:tcPr>
          <w:p w14:paraId="73F5C158"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1239" w:type="pct"/>
            <w:gridSpan w:val="4"/>
            <w:tcBorders>
              <w:top w:val="nil"/>
              <w:left w:val="nil"/>
              <w:bottom w:val="single" w:sz="4" w:space="0" w:color="auto"/>
              <w:right w:val="nil"/>
            </w:tcBorders>
            <w:noWrap/>
            <w:tcMar>
              <w:top w:w="0" w:type="dxa"/>
              <w:left w:w="28" w:type="dxa"/>
              <w:bottom w:w="0" w:type="dxa"/>
              <w:right w:w="28" w:type="dxa"/>
            </w:tcMar>
            <w:vAlign w:val="center"/>
            <w:hideMark/>
          </w:tcPr>
          <w:p w14:paraId="360732B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507</w:t>
            </w:r>
          </w:p>
        </w:tc>
        <w:tc>
          <w:tcPr>
            <w:tcW w:w="75" w:type="pct"/>
            <w:tcBorders>
              <w:top w:val="nil"/>
              <w:left w:val="nil"/>
              <w:bottom w:val="single" w:sz="4" w:space="0" w:color="auto"/>
              <w:right w:val="nil"/>
            </w:tcBorders>
            <w:tcMar>
              <w:top w:w="0" w:type="dxa"/>
              <w:left w:w="0" w:type="dxa"/>
              <w:bottom w:w="0" w:type="dxa"/>
              <w:right w:w="0" w:type="dxa"/>
            </w:tcMar>
            <w:vAlign w:val="center"/>
          </w:tcPr>
          <w:p w14:paraId="4D31B075"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1398" w:type="pct"/>
            <w:gridSpan w:val="4"/>
            <w:tcBorders>
              <w:top w:val="nil"/>
              <w:left w:val="nil"/>
              <w:bottom w:val="single" w:sz="4" w:space="0" w:color="auto"/>
              <w:right w:val="nil"/>
            </w:tcBorders>
            <w:tcMar>
              <w:top w:w="0" w:type="dxa"/>
              <w:left w:w="28" w:type="dxa"/>
              <w:bottom w:w="0" w:type="dxa"/>
              <w:right w:w="28" w:type="dxa"/>
            </w:tcMar>
            <w:vAlign w:val="center"/>
            <w:hideMark/>
          </w:tcPr>
          <w:p w14:paraId="064B5CC3"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507</w:t>
            </w:r>
          </w:p>
        </w:tc>
      </w:tr>
      <w:tr w:rsidR="0094389A" w:rsidRPr="0094389A" w14:paraId="0AE395B6"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single" w:sz="4" w:space="0" w:color="auto"/>
              <w:left w:val="nil"/>
              <w:bottom w:val="nil"/>
              <w:right w:val="nil"/>
            </w:tcBorders>
            <w:tcMar>
              <w:top w:w="0" w:type="dxa"/>
              <w:left w:w="108" w:type="dxa"/>
              <w:bottom w:w="0" w:type="dxa"/>
              <w:right w:w="397" w:type="dxa"/>
            </w:tcMar>
            <w:vAlign w:val="center"/>
            <w:hideMark/>
          </w:tcPr>
          <w:p w14:paraId="6AA6AAC4" w14:textId="77777777" w:rsidR="0094389A" w:rsidRPr="0094389A" w:rsidRDefault="0094389A" w:rsidP="0094389A">
            <w:pPr>
              <w:spacing w:after="160" w:line="259" w:lineRule="auto"/>
            </w:pPr>
            <w:r w:rsidRPr="0094389A">
              <w:t>P</w:t>
            </w:r>
          </w:p>
        </w:tc>
        <w:tc>
          <w:tcPr>
            <w:tcW w:w="70" w:type="pct"/>
            <w:tcBorders>
              <w:top w:val="single" w:sz="4" w:space="0" w:color="auto"/>
              <w:left w:val="nil"/>
              <w:bottom w:val="nil"/>
              <w:right w:val="nil"/>
            </w:tcBorders>
            <w:tcMar>
              <w:top w:w="0" w:type="dxa"/>
              <w:left w:w="28" w:type="dxa"/>
              <w:bottom w:w="0" w:type="dxa"/>
              <w:right w:w="28" w:type="dxa"/>
            </w:tcMar>
            <w:vAlign w:val="center"/>
          </w:tcPr>
          <w:p w14:paraId="16F2238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single" w:sz="4" w:space="0" w:color="auto"/>
              <w:left w:val="nil"/>
              <w:bottom w:val="nil"/>
              <w:right w:val="nil"/>
            </w:tcBorders>
            <w:noWrap/>
            <w:tcMar>
              <w:top w:w="0" w:type="dxa"/>
              <w:left w:w="28" w:type="dxa"/>
              <w:bottom w:w="0" w:type="dxa"/>
              <w:right w:w="28" w:type="dxa"/>
            </w:tcMar>
            <w:vAlign w:val="center"/>
            <w:hideMark/>
          </w:tcPr>
          <w:p w14:paraId="6248E0D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241" w:type="pct"/>
            <w:tcBorders>
              <w:top w:val="single" w:sz="4" w:space="0" w:color="auto"/>
              <w:left w:val="nil"/>
              <w:bottom w:val="nil"/>
              <w:right w:val="nil"/>
            </w:tcBorders>
            <w:tcMar>
              <w:top w:w="0" w:type="dxa"/>
              <w:left w:w="28" w:type="dxa"/>
              <w:bottom w:w="0" w:type="dxa"/>
              <w:right w:w="28" w:type="dxa"/>
            </w:tcMar>
            <w:vAlign w:val="center"/>
          </w:tcPr>
          <w:p w14:paraId="20E6247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9" w:type="pct"/>
            <w:tcBorders>
              <w:top w:val="single" w:sz="4" w:space="0" w:color="auto"/>
              <w:left w:val="nil"/>
              <w:bottom w:val="nil"/>
              <w:right w:val="nil"/>
            </w:tcBorders>
            <w:tcMar>
              <w:top w:w="0" w:type="dxa"/>
              <w:left w:w="28" w:type="dxa"/>
              <w:bottom w:w="0" w:type="dxa"/>
              <w:right w:w="28" w:type="dxa"/>
            </w:tcMar>
            <w:vAlign w:val="center"/>
            <w:hideMark/>
          </w:tcPr>
          <w:p w14:paraId="3811E84F"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243" w:type="pct"/>
            <w:tcBorders>
              <w:top w:val="single" w:sz="4" w:space="0" w:color="auto"/>
              <w:left w:val="nil"/>
              <w:bottom w:val="nil"/>
              <w:right w:val="nil"/>
            </w:tcBorders>
            <w:tcMar>
              <w:top w:w="0" w:type="dxa"/>
              <w:left w:w="28" w:type="dxa"/>
              <w:bottom w:w="0" w:type="dxa"/>
              <w:right w:w="28" w:type="dxa"/>
            </w:tcMar>
            <w:vAlign w:val="center"/>
          </w:tcPr>
          <w:p w14:paraId="2209FAF0"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7" w:type="pct"/>
            <w:tcBorders>
              <w:top w:val="single" w:sz="4" w:space="0" w:color="auto"/>
              <w:left w:val="nil"/>
              <w:bottom w:val="nil"/>
              <w:right w:val="nil"/>
            </w:tcBorders>
            <w:tcMar>
              <w:top w:w="0" w:type="dxa"/>
              <w:left w:w="28" w:type="dxa"/>
              <w:bottom w:w="0" w:type="dxa"/>
              <w:right w:w="28" w:type="dxa"/>
            </w:tcMar>
            <w:vAlign w:val="center"/>
          </w:tcPr>
          <w:p w14:paraId="73EC93AA"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single" w:sz="4" w:space="0" w:color="auto"/>
              <w:left w:val="nil"/>
              <w:bottom w:val="nil"/>
              <w:right w:val="nil"/>
            </w:tcBorders>
            <w:shd w:val="clear" w:color="auto" w:fill="747474" w:themeFill="background2" w:themeFillShade="80"/>
            <w:noWrap/>
            <w:tcMar>
              <w:top w:w="0" w:type="dxa"/>
              <w:left w:w="28" w:type="dxa"/>
              <w:bottom w:w="0" w:type="dxa"/>
              <w:right w:w="28" w:type="dxa"/>
            </w:tcMar>
            <w:hideMark/>
          </w:tcPr>
          <w:p w14:paraId="55E9CFBA"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0.617</w:t>
            </w:r>
          </w:p>
        </w:tc>
        <w:tc>
          <w:tcPr>
            <w:tcW w:w="245" w:type="pct"/>
            <w:tcBorders>
              <w:top w:val="single" w:sz="4" w:space="0" w:color="auto"/>
              <w:left w:val="nil"/>
              <w:bottom w:val="nil"/>
              <w:right w:val="nil"/>
            </w:tcBorders>
            <w:shd w:val="clear" w:color="auto" w:fill="747474" w:themeFill="background2" w:themeFillShade="80"/>
            <w:tcMar>
              <w:top w:w="0" w:type="dxa"/>
              <w:left w:w="28" w:type="dxa"/>
              <w:bottom w:w="0" w:type="dxa"/>
              <w:right w:w="28" w:type="dxa"/>
            </w:tcMar>
            <w:hideMark/>
          </w:tcPr>
          <w:p w14:paraId="05D2ECD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single" w:sz="4" w:space="0" w:color="auto"/>
              <w:left w:val="nil"/>
              <w:bottom w:val="nil"/>
              <w:right w:val="nil"/>
            </w:tcBorders>
            <w:shd w:val="clear" w:color="auto" w:fill="747474" w:themeFill="background2" w:themeFillShade="80"/>
            <w:tcMar>
              <w:top w:w="0" w:type="dxa"/>
              <w:left w:w="28" w:type="dxa"/>
              <w:bottom w:w="0" w:type="dxa"/>
              <w:right w:w="28" w:type="dxa"/>
            </w:tcMar>
            <w:hideMark/>
          </w:tcPr>
          <w:p w14:paraId="07D5890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0.590</w:t>
            </w:r>
          </w:p>
        </w:tc>
        <w:tc>
          <w:tcPr>
            <w:tcW w:w="170" w:type="pct"/>
            <w:tcBorders>
              <w:top w:val="single" w:sz="4" w:space="0" w:color="auto"/>
              <w:left w:val="nil"/>
              <w:bottom w:val="nil"/>
              <w:right w:val="nil"/>
            </w:tcBorders>
            <w:shd w:val="clear" w:color="auto" w:fill="747474" w:themeFill="background2" w:themeFillShade="80"/>
            <w:tcMar>
              <w:top w:w="0" w:type="dxa"/>
              <w:left w:w="28" w:type="dxa"/>
              <w:bottom w:w="0" w:type="dxa"/>
              <w:right w:w="28" w:type="dxa"/>
            </w:tcMar>
            <w:hideMark/>
          </w:tcPr>
          <w:p w14:paraId="25F72BA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75" w:type="pct"/>
            <w:tcBorders>
              <w:top w:val="single" w:sz="4" w:space="0" w:color="auto"/>
              <w:left w:val="nil"/>
              <w:bottom w:val="nil"/>
              <w:right w:val="nil"/>
            </w:tcBorders>
            <w:tcMar>
              <w:top w:w="0" w:type="dxa"/>
              <w:left w:w="0" w:type="dxa"/>
              <w:bottom w:w="0" w:type="dxa"/>
              <w:right w:w="0" w:type="dxa"/>
            </w:tcMar>
            <w:vAlign w:val="center"/>
          </w:tcPr>
          <w:p w14:paraId="1652C2DF"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single" w:sz="4" w:space="0" w:color="auto"/>
              <w:left w:val="nil"/>
              <w:bottom w:val="nil"/>
              <w:right w:val="nil"/>
            </w:tcBorders>
            <w:shd w:val="clear" w:color="auto" w:fill="D1D1D1" w:themeFill="background2" w:themeFillShade="E6"/>
            <w:tcMar>
              <w:top w:w="0" w:type="dxa"/>
              <w:left w:w="28" w:type="dxa"/>
              <w:bottom w:w="0" w:type="dxa"/>
              <w:right w:w="28" w:type="dxa"/>
            </w:tcMar>
            <w:hideMark/>
          </w:tcPr>
          <w:p w14:paraId="000A9BA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0.230</w:t>
            </w:r>
          </w:p>
        </w:tc>
        <w:tc>
          <w:tcPr>
            <w:tcW w:w="245" w:type="pct"/>
            <w:tcBorders>
              <w:top w:val="single" w:sz="4" w:space="0" w:color="auto"/>
              <w:left w:val="nil"/>
              <w:bottom w:val="nil"/>
              <w:right w:val="nil"/>
            </w:tcBorders>
            <w:shd w:val="clear" w:color="auto" w:fill="D1D1D1" w:themeFill="background2" w:themeFillShade="E6"/>
            <w:tcMar>
              <w:top w:w="0" w:type="dxa"/>
              <w:left w:w="28" w:type="dxa"/>
              <w:bottom w:w="0" w:type="dxa"/>
              <w:right w:w="28" w:type="dxa"/>
            </w:tcMar>
            <w:hideMark/>
          </w:tcPr>
          <w:p w14:paraId="32017FA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5" w:type="pct"/>
            <w:tcBorders>
              <w:top w:val="single" w:sz="4" w:space="0" w:color="auto"/>
              <w:left w:val="nil"/>
              <w:bottom w:val="nil"/>
              <w:right w:val="nil"/>
            </w:tcBorders>
            <w:shd w:val="clear" w:color="auto" w:fill="ADADAD" w:themeFill="background2" w:themeFillShade="BF"/>
            <w:tcMar>
              <w:top w:w="0" w:type="dxa"/>
              <w:left w:w="28" w:type="dxa"/>
              <w:bottom w:w="0" w:type="dxa"/>
              <w:right w:w="28" w:type="dxa"/>
            </w:tcMar>
            <w:hideMark/>
          </w:tcPr>
          <w:p w14:paraId="7E8AEF6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0.338</w:t>
            </w:r>
          </w:p>
        </w:tc>
        <w:tc>
          <w:tcPr>
            <w:tcW w:w="328" w:type="pct"/>
            <w:tcBorders>
              <w:top w:val="single" w:sz="4" w:space="0" w:color="auto"/>
              <w:left w:val="nil"/>
              <w:bottom w:val="nil"/>
              <w:right w:val="nil"/>
            </w:tcBorders>
            <w:shd w:val="clear" w:color="auto" w:fill="ADADAD" w:themeFill="background2" w:themeFillShade="BF"/>
            <w:tcMar>
              <w:top w:w="0" w:type="dxa"/>
              <w:left w:w="28" w:type="dxa"/>
              <w:bottom w:w="0" w:type="dxa"/>
              <w:right w:w="28" w:type="dxa"/>
            </w:tcMar>
            <w:hideMark/>
          </w:tcPr>
          <w:p w14:paraId="3310143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r>
      <w:tr w:rsidR="0094389A" w:rsidRPr="0094389A" w14:paraId="27309252"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57F32EE6" w14:textId="77777777" w:rsidR="0094389A" w:rsidRPr="0094389A" w:rsidRDefault="0094389A" w:rsidP="0094389A">
            <w:pPr>
              <w:spacing w:after="160" w:line="259" w:lineRule="auto"/>
            </w:pPr>
            <w:r w:rsidRPr="0094389A">
              <w:t>PQ</w:t>
            </w:r>
          </w:p>
        </w:tc>
        <w:tc>
          <w:tcPr>
            <w:tcW w:w="70" w:type="pct"/>
            <w:tcBorders>
              <w:top w:val="nil"/>
              <w:left w:val="nil"/>
              <w:bottom w:val="nil"/>
              <w:right w:val="nil"/>
            </w:tcBorders>
            <w:tcMar>
              <w:top w:w="0" w:type="dxa"/>
              <w:left w:w="28" w:type="dxa"/>
              <w:bottom w:w="0" w:type="dxa"/>
              <w:right w:w="28" w:type="dxa"/>
            </w:tcMar>
            <w:vAlign w:val="center"/>
          </w:tcPr>
          <w:p w14:paraId="275B07D8"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nil"/>
              <w:right w:val="nil"/>
            </w:tcBorders>
            <w:noWrap/>
            <w:tcMar>
              <w:top w:w="0" w:type="dxa"/>
              <w:left w:w="28" w:type="dxa"/>
              <w:bottom w:w="0" w:type="dxa"/>
              <w:right w:w="28" w:type="dxa"/>
            </w:tcMar>
            <w:vAlign w:val="center"/>
            <w:hideMark/>
          </w:tcPr>
          <w:p w14:paraId="6A48BE96"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241" w:type="pct"/>
            <w:tcBorders>
              <w:top w:val="nil"/>
              <w:left w:val="nil"/>
              <w:bottom w:val="nil"/>
              <w:right w:val="nil"/>
            </w:tcBorders>
            <w:tcMar>
              <w:top w:w="0" w:type="dxa"/>
              <w:left w:w="28" w:type="dxa"/>
              <w:bottom w:w="0" w:type="dxa"/>
              <w:right w:w="28" w:type="dxa"/>
            </w:tcMar>
            <w:vAlign w:val="center"/>
          </w:tcPr>
          <w:p w14:paraId="03C46786"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9" w:type="pct"/>
            <w:tcBorders>
              <w:top w:val="nil"/>
              <w:left w:val="nil"/>
              <w:bottom w:val="nil"/>
              <w:right w:val="nil"/>
            </w:tcBorders>
            <w:tcMar>
              <w:top w:w="0" w:type="dxa"/>
              <w:left w:w="28" w:type="dxa"/>
              <w:bottom w:w="0" w:type="dxa"/>
              <w:right w:w="28" w:type="dxa"/>
            </w:tcMar>
            <w:vAlign w:val="center"/>
            <w:hideMark/>
          </w:tcPr>
          <w:p w14:paraId="20C429C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243" w:type="pct"/>
            <w:tcBorders>
              <w:top w:val="nil"/>
              <w:left w:val="nil"/>
              <w:bottom w:val="nil"/>
              <w:right w:val="nil"/>
            </w:tcBorders>
            <w:tcMar>
              <w:top w:w="0" w:type="dxa"/>
              <w:left w:w="28" w:type="dxa"/>
              <w:bottom w:w="0" w:type="dxa"/>
              <w:right w:w="28" w:type="dxa"/>
            </w:tcMar>
            <w:vAlign w:val="center"/>
          </w:tcPr>
          <w:p w14:paraId="2084075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041B8AF3"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747474" w:themeFill="background2" w:themeFillShade="80"/>
            <w:noWrap/>
            <w:tcMar>
              <w:top w:w="0" w:type="dxa"/>
              <w:left w:w="28" w:type="dxa"/>
              <w:bottom w:w="0" w:type="dxa"/>
              <w:right w:w="28" w:type="dxa"/>
            </w:tcMar>
            <w:hideMark/>
          </w:tcPr>
          <w:p w14:paraId="2FAE520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0.528</w:t>
            </w:r>
          </w:p>
        </w:tc>
        <w:tc>
          <w:tcPr>
            <w:tcW w:w="245" w:type="pct"/>
            <w:tcBorders>
              <w:top w:val="nil"/>
              <w:left w:val="nil"/>
              <w:bottom w:val="nil"/>
              <w:right w:val="nil"/>
            </w:tcBorders>
            <w:shd w:val="clear" w:color="auto" w:fill="747474" w:themeFill="background2" w:themeFillShade="80"/>
            <w:tcMar>
              <w:top w:w="0" w:type="dxa"/>
              <w:left w:w="28" w:type="dxa"/>
              <w:bottom w:w="0" w:type="dxa"/>
              <w:right w:w="28" w:type="dxa"/>
            </w:tcMar>
            <w:hideMark/>
          </w:tcPr>
          <w:p w14:paraId="4D8E013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4"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5BD205B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0.400</w:t>
            </w:r>
          </w:p>
        </w:tc>
        <w:tc>
          <w:tcPr>
            <w:tcW w:w="170"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2332B3D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75" w:type="pct"/>
            <w:tcBorders>
              <w:top w:val="nil"/>
              <w:left w:val="nil"/>
              <w:bottom w:val="nil"/>
              <w:right w:val="nil"/>
            </w:tcBorders>
            <w:tcMar>
              <w:top w:w="0" w:type="dxa"/>
              <w:left w:w="0" w:type="dxa"/>
              <w:bottom w:w="0" w:type="dxa"/>
              <w:right w:w="0" w:type="dxa"/>
            </w:tcMar>
            <w:vAlign w:val="center"/>
          </w:tcPr>
          <w:p w14:paraId="6B2A484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50247BD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0.178</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22B037E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5" w:type="pct"/>
            <w:tcBorders>
              <w:top w:val="nil"/>
              <w:left w:val="nil"/>
              <w:bottom w:val="nil"/>
              <w:right w:val="nil"/>
            </w:tcBorders>
            <w:tcMar>
              <w:top w:w="0" w:type="dxa"/>
              <w:left w:w="28" w:type="dxa"/>
              <w:bottom w:w="0" w:type="dxa"/>
              <w:right w:w="28" w:type="dxa"/>
            </w:tcMar>
            <w:hideMark/>
          </w:tcPr>
          <w:p w14:paraId="5D5E8837"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0.009</w:t>
            </w:r>
          </w:p>
        </w:tc>
        <w:tc>
          <w:tcPr>
            <w:tcW w:w="328" w:type="pct"/>
            <w:tcBorders>
              <w:top w:val="nil"/>
              <w:left w:val="nil"/>
              <w:bottom w:val="nil"/>
              <w:right w:val="nil"/>
            </w:tcBorders>
            <w:tcMar>
              <w:top w:w="0" w:type="dxa"/>
              <w:left w:w="28" w:type="dxa"/>
              <w:bottom w:w="0" w:type="dxa"/>
              <w:right w:w="28" w:type="dxa"/>
            </w:tcMar>
          </w:tcPr>
          <w:p w14:paraId="0E9C8F42"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94389A" w:rsidRPr="0094389A" w14:paraId="67939DD3"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0D6A283D" w14:textId="77777777" w:rsidR="0094389A" w:rsidRPr="0094389A" w:rsidRDefault="0094389A" w:rsidP="0094389A">
            <w:pPr>
              <w:spacing w:after="160" w:line="259" w:lineRule="auto"/>
            </w:pPr>
            <w:r w:rsidRPr="0094389A">
              <w:t>Q</w:t>
            </w:r>
          </w:p>
        </w:tc>
        <w:tc>
          <w:tcPr>
            <w:tcW w:w="70" w:type="pct"/>
            <w:tcBorders>
              <w:top w:val="nil"/>
              <w:left w:val="nil"/>
              <w:bottom w:val="nil"/>
              <w:right w:val="nil"/>
            </w:tcBorders>
            <w:tcMar>
              <w:top w:w="0" w:type="dxa"/>
              <w:left w:w="28" w:type="dxa"/>
              <w:bottom w:w="0" w:type="dxa"/>
              <w:right w:w="28" w:type="dxa"/>
            </w:tcMar>
            <w:vAlign w:val="center"/>
          </w:tcPr>
          <w:p w14:paraId="3C96547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nil"/>
              <w:left w:val="nil"/>
              <w:bottom w:val="nil"/>
              <w:right w:val="nil"/>
            </w:tcBorders>
            <w:shd w:val="clear" w:color="auto" w:fill="ADADAD" w:themeFill="background2" w:themeFillShade="BF"/>
            <w:noWrap/>
            <w:tcMar>
              <w:top w:w="0" w:type="dxa"/>
              <w:left w:w="28" w:type="dxa"/>
              <w:bottom w:w="0" w:type="dxa"/>
              <w:right w:w="28" w:type="dxa"/>
            </w:tcMar>
            <w:hideMark/>
          </w:tcPr>
          <w:p w14:paraId="6E33752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0.401</w:t>
            </w:r>
          </w:p>
        </w:tc>
        <w:tc>
          <w:tcPr>
            <w:tcW w:w="241"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4722592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hideMark/>
          </w:tcPr>
          <w:p w14:paraId="0BC2C393"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-0.015</w:t>
            </w:r>
          </w:p>
        </w:tc>
        <w:tc>
          <w:tcPr>
            <w:tcW w:w="243" w:type="pct"/>
            <w:tcBorders>
              <w:top w:val="nil"/>
              <w:left w:val="nil"/>
              <w:bottom w:val="nil"/>
              <w:right w:val="nil"/>
            </w:tcBorders>
            <w:tcMar>
              <w:top w:w="0" w:type="dxa"/>
              <w:left w:w="28" w:type="dxa"/>
              <w:bottom w:w="0" w:type="dxa"/>
              <w:right w:w="28" w:type="dxa"/>
            </w:tcMar>
          </w:tcPr>
          <w:p w14:paraId="49D59DC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231341D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shd w:val="clear" w:color="auto" w:fill="747474" w:themeFill="background2" w:themeFillShade="80"/>
            <w:noWrap/>
            <w:tcMar>
              <w:top w:w="0" w:type="dxa"/>
              <w:left w:w="28" w:type="dxa"/>
              <w:bottom w:w="0" w:type="dxa"/>
              <w:right w:w="28" w:type="dxa"/>
            </w:tcMar>
            <w:hideMark/>
          </w:tcPr>
          <w:p w14:paraId="34D1F82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0.635</w:t>
            </w:r>
          </w:p>
        </w:tc>
        <w:tc>
          <w:tcPr>
            <w:tcW w:w="245" w:type="pct"/>
            <w:tcBorders>
              <w:top w:val="nil"/>
              <w:left w:val="nil"/>
              <w:bottom w:val="nil"/>
              <w:right w:val="nil"/>
            </w:tcBorders>
            <w:shd w:val="clear" w:color="auto" w:fill="747474" w:themeFill="background2" w:themeFillShade="80"/>
            <w:tcMar>
              <w:top w:w="0" w:type="dxa"/>
              <w:left w:w="28" w:type="dxa"/>
              <w:bottom w:w="0" w:type="dxa"/>
              <w:right w:w="28" w:type="dxa"/>
            </w:tcMar>
            <w:hideMark/>
          </w:tcPr>
          <w:p w14:paraId="7629AD3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37E7B20F"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0.414</w:t>
            </w:r>
          </w:p>
        </w:tc>
        <w:tc>
          <w:tcPr>
            <w:tcW w:w="170"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4EA6CC9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75" w:type="pct"/>
            <w:tcBorders>
              <w:top w:val="nil"/>
              <w:left w:val="nil"/>
              <w:bottom w:val="nil"/>
              <w:right w:val="nil"/>
            </w:tcBorders>
            <w:tcMar>
              <w:top w:w="0" w:type="dxa"/>
              <w:left w:w="0" w:type="dxa"/>
              <w:bottom w:w="0" w:type="dxa"/>
              <w:right w:w="0" w:type="dxa"/>
            </w:tcMar>
            <w:vAlign w:val="center"/>
          </w:tcPr>
          <w:p w14:paraId="70032F8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4542CE6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0.286</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2EF5B54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2337B5B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0.180</w:t>
            </w:r>
          </w:p>
        </w:tc>
        <w:tc>
          <w:tcPr>
            <w:tcW w:w="328"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2B43EACE"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r>
      <w:tr w:rsidR="0094389A" w:rsidRPr="0094389A" w14:paraId="162F1B99"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251AA250" w14:textId="77777777" w:rsidR="0094389A" w:rsidRPr="0094389A" w:rsidRDefault="0094389A" w:rsidP="0094389A">
            <w:pPr>
              <w:spacing w:after="160" w:line="259" w:lineRule="auto"/>
            </w:pPr>
            <w:r w:rsidRPr="0094389A">
              <w:t>R</w:t>
            </w:r>
          </w:p>
        </w:tc>
        <w:tc>
          <w:tcPr>
            <w:tcW w:w="70" w:type="pct"/>
            <w:tcBorders>
              <w:top w:val="nil"/>
              <w:left w:val="nil"/>
              <w:bottom w:val="nil"/>
              <w:right w:val="nil"/>
            </w:tcBorders>
            <w:tcMar>
              <w:top w:w="0" w:type="dxa"/>
              <w:left w:w="28" w:type="dxa"/>
              <w:bottom w:w="0" w:type="dxa"/>
              <w:right w:w="28" w:type="dxa"/>
            </w:tcMar>
            <w:vAlign w:val="center"/>
          </w:tcPr>
          <w:p w14:paraId="09D197C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nil"/>
              <w:right w:val="nil"/>
            </w:tcBorders>
            <w:shd w:val="clear" w:color="auto" w:fill="ADADAD" w:themeFill="background2" w:themeFillShade="BF"/>
            <w:noWrap/>
            <w:tcMar>
              <w:top w:w="0" w:type="dxa"/>
              <w:left w:w="28" w:type="dxa"/>
              <w:bottom w:w="0" w:type="dxa"/>
              <w:right w:w="28" w:type="dxa"/>
            </w:tcMar>
            <w:hideMark/>
          </w:tcPr>
          <w:p w14:paraId="48B96AE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0.415</w:t>
            </w:r>
          </w:p>
        </w:tc>
        <w:tc>
          <w:tcPr>
            <w:tcW w:w="241"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0C476BE0"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hideMark/>
          </w:tcPr>
          <w:p w14:paraId="2B023430"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0.079</w:t>
            </w:r>
          </w:p>
        </w:tc>
        <w:tc>
          <w:tcPr>
            <w:tcW w:w="243" w:type="pct"/>
            <w:tcBorders>
              <w:top w:val="nil"/>
              <w:left w:val="nil"/>
              <w:bottom w:val="nil"/>
              <w:right w:val="nil"/>
            </w:tcBorders>
            <w:tcMar>
              <w:top w:w="0" w:type="dxa"/>
              <w:left w:w="28" w:type="dxa"/>
              <w:bottom w:w="0" w:type="dxa"/>
              <w:right w:w="28" w:type="dxa"/>
            </w:tcMar>
          </w:tcPr>
          <w:p w14:paraId="0E98D7A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1896D135"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747474" w:themeFill="background2" w:themeFillShade="80"/>
            <w:noWrap/>
            <w:tcMar>
              <w:top w:w="0" w:type="dxa"/>
              <w:left w:w="28" w:type="dxa"/>
              <w:bottom w:w="0" w:type="dxa"/>
              <w:right w:w="28" w:type="dxa"/>
            </w:tcMar>
            <w:hideMark/>
          </w:tcPr>
          <w:p w14:paraId="6CE48B0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0.592</w:t>
            </w:r>
          </w:p>
        </w:tc>
        <w:tc>
          <w:tcPr>
            <w:tcW w:w="245" w:type="pct"/>
            <w:tcBorders>
              <w:top w:val="nil"/>
              <w:left w:val="nil"/>
              <w:bottom w:val="nil"/>
              <w:right w:val="nil"/>
            </w:tcBorders>
            <w:shd w:val="clear" w:color="auto" w:fill="747474" w:themeFill="background2" w:themeFillShade="80"/>
            <w:tcMar>
              <w:top w:w="0" w:type="dxa"/>
              <w:left w:w="28" w:type="dxa"/>
              <w:bottom w:w="0" w:type="dxa"/>
              <w:right w:w="28" w:type="dxa"/>
            </w:tcMar>
            <w:hideMark/>
          </w:tcPr>
          <w:p w14:paraId="16B7B01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4"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1FEC3782"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0.405</w:t>
            </w:r>
          </w:p>
        </w:tc>
        <w:tc>
          <w:tcPr>
            <w:tcW w:w="170"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441A2A14"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75" w:type="pct"/>
            <w:tcBorders>
              <w:top w:val="nil"/>
              <w:left w:val="nil"/>
              <w:bottom w:val="nil"/>
              <w:right w:val="nil"/>
            </w:tcBorders>
            <w:tcMar>
              <w:top w:w="0" w:type="dxa"/>
              <w:left w:w="0" w:type="dxa"/>
              <w:bottom w:w="0" w:type="dxa"/>
              <w:right w:w="0" w:type="dxa"/>
            </w:tcMar>
            <w:vAlign w:val="center"/>
          </w:tcPr>
          <w:p w14:paraId="3ACD0F6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67D540A7"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0.293</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7B1E3D20"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521BFB7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0.128</w:t>
            </w:r>
          </w:p>
        </w:tc>
        <w:tc>
          <w:tcPr>
            <w:tcW w:w="328"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168C0F2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r>
      <w:tr w:rsidR="0094389A" w:rsidRPr="0094389A" w14:paraId="195AFF87"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284285CA" w14:textId="77777777" w:rsidR="0094389A" w:rsidRPr="0094389A" w:rsidRDefault="0094389A" w:rsidP="0094389A">
            <w:pPr>
              <w:spacing w:after="160" w:line="259" w:lineRule="auto"/>
            </w:pPr>
            <w:r w:rsidRPr="0094389A">
              <w:lastRenderedPageBreak/>
              <w:t>S</w:t>
            </w:r>
          </w:p>
        </w:tc>
        <w:tc>
          <w:tcPr>
            <w:tcW w:w="70" w:type="pct"/>
            <w:tcBorders>
              <w:top w:val="nil"/>
              <w:left w:val="nil"/>
              <w:bottom w:val="nil"/>
              <w:right w:val="nil"/>
            </w:tcBorders>
            <w:tcMar>
              <w:top w:w="0" w:type="dxa"/>
              <w:left w:w="28" w:type="dxa"/>
              <w:bottom w:w="0" w:type="dxa"/>
              <w:right w:w="28" w:type="dxa"/>
            </w:tcMar>
            <w:vAlign w:val="center"/>
          </w:tcPr>
          <w:p w14:paraId="1B135B9E"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nil"/>
              <w:left w:val="nil"/>
              <w:bottom w:val="nil"/>
              <w:right w:val="nil"/>
            </w:tcBorders>
            <w:shd w:val="clear" w:color="auto" w:fill="ADADAD" w:themeFill="background2" w:themeFillShade="BF"/>
            <w:noWrap/>
            <w:tcMar>
              <w:top w:w="0" w:type="dxa"/>
              <w:left w:w="28" w:type="dxa"/>
              <w:bottom w:w="0" w:type="dxa"/>
              <w:right w:w="28" w:type="dxa"/>
            </w:tcMar>
            <w:hideMark/>
          </w:tcPr>
          <w:p w14:paraId="50AE8FF1"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0.336</w:t>
            </w:r>
          </w:p>
        </w:tc>
        <w:tc>
          <w:tcPr>
            <w:tcW w:w="241"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53D4FEB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hideMark/>
          </w:tcPr>
          <w:p w14:paraId="2D3BCCF4"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0.076</w:t>
            </w:r>
          </w:p>
        </w:tc>
        <w:tc>
          <w:tcPr>
            <w:tcW w:w="243" w:type="pct"/>
            <w:tcBorders>
              <w:top w:val="nil"/>
              <w:left w:val="nil"/>
              <w:bottom w:val="nil"/>
              <w:right w:val="nil"/>
            </w:tcBorders>
            <w:tcMar>
              <w:top w:w="0" w:type="dxa"/>
              <w:left w:w="28" w:type="dxa"/>
              <w:bottom w:w="0" w:type="dxa"/>
              <w:right w:w="28" w:type="dxa"/>
            </w:tcMar>
          </w:tcPr>
          <w:p w14:paraId="6A3281C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2EA8D681"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shd w:val="clear" w:color="auto" w:fill="747474" w:themeFill="background2" w:themeFillShade="80"/>
            <w:noWrap/>
            <w:tcMar>
              <w:top w:w="0" w:type="dxa"/>
              <w:left w:w="28" w:type="dxa"/>
              <w:bottom w:w="0" w:type="dxa"/>
              <w:right w:w="28" w:type="dxa"/>
            </w:tcMar>
            <w:hideMark/>
          </w:tcPr>
          <w:p w14:paraId="1E39E35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0.591</w:t>
            </w:r>
          </w:p>
        </w:tc>
        <w:tc>
          <w:tcPr>
            <w:tcW w:w="245" w:type="pct"/>
            <w:tcBorders>
              <w:top w:val="nil"/>
              <w:left w:val="nil"/>
              <w:bottom w:val="nil"/>
              <w:right w:val="nil"/>
            </w:tcBorders>
            <w:shd w:val="clear" w:color="auto" w:fill="747474" w:themeFill="background2" w:themeFillShade="80"/>
            <w:tcMar>
              <w:top w:w="0" w:type="dxa"/>
              <w:left w:w="28" w:type="dxa"/>
              <w:bottom w:w="0" w:type="dxa"/>
              <w:right w:w="28" w:type="dxa"/>
            </w:tcMar>
            <w:hideMark/>
          </w:tcPr>
          <w:p w14:paraId="2DD3373B"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1AFA95DF"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0.439</w:t>
            </w:r>
          </w:p>
        </w:tc>
        <w:tc>
          <w:tcPr>
            <w:tcW w:w="170"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1A5451C6"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75" w:type="pct"/>
            <w:tcBorders>
              <w:top w:val="nil"/>
              <w:left w:val="nil"/>
              <w:bottom w:val="nil"/>
              <w:right w:val="nil"/>
            </w:tcBorders>
            <w:tcMar>
              <w:top w:w="0" w:type="dxa"/>
              <w:left w:w="0" w:type="dxa"/>
              <w:bottom w:w="0" w:type="dxa"/>
              <w:right w:w="0" w:type="dxa"/>
            </w:tcMar>
            <w:vAlign w:val="center"/>
          </w:tcPr>
          <w:p w14:paraId="2FD1D08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1F399C5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0.267</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002F928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3C14B4C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0.125</w:t>
            </w:r>
          </w:p>
        </w:tc>
        <w:tc>
          <w:tcPr>
            <w:tcW w:w="328"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01684CE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r>
      <w:tr w:rsidR="0094389A" w:rsidRPr="0094389A" w14:paraId="2E609BE3"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5309AE11" w14:textId="77777777" w:rsidR="0094389A" w:rsidRPr="0094389A" w:rsidRDefault="0094389A" w:rsidP="0094389A">
            <w:pPr>
              <w:spacing w:after="160" w:line="259" w:lineRule="auto"/>
            </w:pPr>
            <w:r w:rsidRPr="0094389A">
              <w:t>ST</w:t>
            </w:r>
          </w:p>
        </w:tc>
        <w:tc>
          <w:tcPr>
            <w:tcW w:w="70" w:type="pct"/>
            <w:tcBorders>
              <w:top w:val="nil"/>
              <w:left w:val="nil"/>
              <w:bottom w:val="nil"/>
              <w:right w:val="nil"/>
            </w:tcBorders>
            <w:tcMar>
              <w:top w:w="0" w:type="dxa"/>
              <w:left w:w="28" w:type="dxa"/>
              <w:bottom w:w="0" w:type="dxa"/>
              <w:right w:w="28" w:type="dxa"/>
            </w:tcMar>
            <w:vAlign w:val="center"/>
          </w:tcPr>
          <w:p w14:paraId="3567A738"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nil"/>
              <w:right w:val="nil"/>
            </w:tcBorders>
            <w:shd w:val="clear" w:color="auto" w:fill="D1D1D1" w:themeFill="background2" w:themeFillShade="E6"/>
            <w:noWrap/>
            <w:tcMar>
              <w:top w:w="0" w:type="dxa"/>
              <w:left w:w="28" w:type="dxa"/>
              <w:bottom w:w="0" w:type="dxa"/>
              <w:right w:w="28" w:type="dxa"/>
            </w:tcMar>
            <w:hideMark/>
          </w:tcPr>
          <w:p w14:paraId="6486D3D4"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0.178</w:t>
            </w:r>
          </w:p>
        </w:tc>
        <w:tc>
          <w:tcPr>
            <w:tcW w:w="241"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2379469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hideMark/>
          </w:tcPr>
          <w:p w14:paraId="7E9672EF"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0.036</w:t>
            </w:r>
          </w:p>
        </w:tc>
        <w:tc>
          <w:tcPr>
            <w:tcW w:w="243" w:type="pct"/>
            <w:tcBorders>
              <w:top w:val="nil"/>
              <w:left w:val="nil"/>
              <w:bottom w:val="nil"/>
              <w:right w:val="nil"/>
            </w:tcBorders>
            <w:tcMar>
              <w:top w:w="0" w:type="dxa"/>
              <w:left w:w="28" w:type="dxa"/>
              <w:bottom w:w="0" w:type="dxa"/>
              <w:right w:w="28" w:type="dxa"/>
            </w:tcMar>
          </w:tcPr>
          <w:p w14:paraId="6CC437BA"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3E9AD2F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ADADAD" w:themeFill="background2" w:themeFillShade="BF"/>
            <w:noWrap/>
            <w:tcMar>
              <w:top w:w="0" w:type="dxa"/>
              <w:left w:w="28" w:type="dxa"/>
              <w:bottom w:w="0" w:type="dxa"/>
              <w:right w:w="28" w:type="dxa"/>
            </w:tcMar>
            <w:hideMark/>
          </w:tcPr>
          <w:p w14:paraId="549CBD20"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0.379</w:t>
            </w:r>
          </w:p>
        </w:tc>
        <w:tc>
          <w:tcPr>
            <w:tcW w:w="245"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1C105B94"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4"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3A960645"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0.429</w:t>
            </w:r>
          </w:p>
        </w:tc>
        <w:tc>
          <w:tcPr>
            <w:tcW w:w="170"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287B662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75" w:type="pct"/>
            <w:tcBorders>
              <w:top w:val="nil"/>
              <w:left w:val="nil"/>
              <w:bottom w:val="nil"/>
              <w:right w:val="nil"/>
            </w:tcBorders>
            <w:tcMar>
              <w:top w:w="0" w:type="dxa"/>
              <w:left w:w="0" w:type="dxa"/>
              <w:bottom w:w="0" w:type="dxa"/>
              <w:right w:w="0" w:type="dxa"/>
            </w:tcMar>
            <w:vAlign w:val="center"/>
          </w:tcPr>
          <w:p w14:paraId="210B8F6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5389786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0.177</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5BDDB9CC"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642DBCE5"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0.089</w:t>
            </w:r>
          </w:p>
        </w:tc>
        <w:tc>
          <w:tcPr>
            <w:tcW w:w="328" w:type="pct"/>
            <w:tcBorders>
              <w:top w:val="nil"/>
              <w:left w:val="nil"/>
              <w:bottom w:val="nil"/>
              <w:right w:val="nil"/>
            </w:tcBorders>
            <w:shd w:val="clear" w:color="auto" w:fill="D1D1D1" w:themeFill="background2" w:themeFillShade="E6"/>
            <w:tcMar>
              <w:top w:w="0" w:type="dxa"/>
              <w:left w:w="28" w:type="dxa"/>
              <w:bottom w:w="0" w:type="dxa"/>
              <w:right w:w="28" w:type="dxa"/>
            </w:tcMar>
          </w:tcPr>
          <w:p w14:paraId="49B48BB6"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94389A" w:rsidRPr="0094389A" w14:paraId="69526B16"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4B4913FA" w14:textId="77777777" w:rsidR="0094389A" w:rsidRPr="0094389A" w:rsidRDefault="0094389A" w:rsidP="0094389A">
            <w:pPr>
              <w:spacing w:after="160" w:line="259" w:lineRule="auto"/>
            </w:pPr>
            <w:r w:rsidRPr="0094389A">
              <w:t>T</w:t>
            </w:r>
          </w:p>
        </w:tc>
        <w:tc>
          <w:tcPr>
            <w:tcW w:w="70" w:type="pct"/>
            <w:tcBorders>
              <w:top w:val="nil"/>
              <w:left w:val="nil"/>
              <w:bottom w:val="nil"/>
              <w:right w:val="nil"/>
            </w:tcBorders>
            <w:tcMar>
              <w:top w:w="0" w:type="dxa"/>
              <w:left w:w="28" w:type="dxa"/>
              <w:bottom w:w="0" w:type="dxa"/>
              <w:right w:w="28" w:type="dxa"/>
            </w:tcMar>
            <w:vAlign w:val="center"/>
          </w:tcPr>
          <w:p w14:paraId="4D9046B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nil"/>
              <w:left w:val="nil"/>
              <w:bottom w:val="nil"/>
              <w:right w:val="nil"/>
            </w:tcBorders>
            <w:noWrap/>
            <w:tcMar>
              <w:top w:w="0" w:type="dxa"/>
              <w:left w:w="28" w:type="dxa"/>
              <w:bottom w:w="0" w:type="dxa"/>
              <w:right w:w="28" w:type="dxa"/>
            </w:tcMar>
            <w:hideMark/>
          </w:tcPr>
          <w:p w14:paraId="32F5E613"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0.066</w:t>
            </w:r>
          </w:p>
        </w:tc>
        <w:tc>
          <w:tcPr>
            <w:tcW w:w="241" w:type="pct"/>
            <w:tcBorders>
              <w:top w:val="nil"/>
              <w:left w:val="nil"/>
              <w:bottom w:val="nil"/>
              <w:right w:val="nil"/>
            </w:tcBorders>
            <w:tcMar>
              <w:top w:w="0" w:type="dxa"/>
              <w:left w:w="28" w:type="dxa"/>
              <w:bottom w:w="0" w:type="dxa"/>
              <w:right w:w="28" w:type="dxa"/>
            </w:tcMar>
          </w:tcPr>
          <w:p w14:paraId="1E88299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9" w:type="pct"/>
            <w:tcBorders>
              <w:top w:val="nil"/>
              <w:left w:val="nil"/>
              <w:bottom w:val="nil"/>
              <w:right w:val="nil"/>
            </w:tcBorders>
            <w:tcMar>
              <w:top w:w="0" w:type="dxa"/>
              <w:left w:w="28" w:type="dxa"/>
              <w:bottom w:w="0" w:type="dxa"/>
              <w:right w:w="28" w:type="dxa"/>
            </w:tcMar>
            <w:hideMark/>
          </w:tcPr>
          <w:p w14:paraId="68B052A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0.066</w:t>
            </w:r>
          </w:p>
        </w:tc>
        <w:tc>
          <w:tcPr>
            <w:tcW w:w="243" w:type="pct"/>
            <w:tcBorders>
              <w:top w:val="nil"/>
              <w:left w:val="nil"/>
              <w:bottom w:val="nil"/>
              <w:right w:val="nil"/>
            </w:tcBorders>
            <w:tcMar>
              <w:top w:w="0" w:type="dxa"/>
              <w:left w:w="28" w:type="dxa"/>
              <w:bottom w:w="0" w:type="dxa"/>
              <w:right w:w="28" w:type="dxa"/>
            </w:tcMar>
          </w:tcPr>
          <w:p w14:paraId="4F5FD7D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2AE820A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shd w:val="clear" w:color="auto" w:fill="ADADAD" w:themeFill="background2" w:themeFillShade="BF"/>
            <w:noWrap/>
            <w:tcMar>
              <w:top w:w="0" w:type="dxa"/>
              <w:left w:w="28" w:type="dxa"/>
              <w:bottom w:w="0" w:type="dxa"/>
              <w:right w:w="28" w:type="dxa"/>
            </w:tcMar>
            <w:hideMark/>
          </w:tcPr>
          <w:p w14:paraId="2639A6C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0.404</w:t>
            </w:r>
          </w:p>
        </w:tc>
        <w:tc>
          <w:tcPr>
            <w:tcW w:w="245"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0CC0AAD1"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5665CB1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0.416</w:t>
            </w:r>
          </w:p>
        </w:tc>
        <w:tc>
          <w:tcPr>
            <w:tcW w:w="170"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1A2C65C1"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75" w:type="pct"/>
            <w:tcBorders>
              <w:top w:val="nil"/>
              <w:left w:val="nil"/>
              <w:bottom w:val="nil"/>
              <w:right w:val="nil"/>
            </w:tcBorders>
            <w:tcMar>
              <w:top w:w="0" w:type="dxa"/>
              <w:left w:w="0" w:type="dxa"/>
              <w:bottom w:w="0" w:type="dxa"/>
              <w:right w:w="0" w:type="dxa"/>
            </w:tcMar>
            <w:vAlign w:val="center"/>
          </w:tcPr>
          <w:p w14:paraId="34486C63"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5972F28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0.152</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29CFC3DF"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229A01C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0.183</w:t>
            </w:r>
          </w:p>
        </w:tc>
        <w:tc>
          <w:tcPr>
            <w:tcW w:w="328"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0942F8E0"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r>
      <w:tr w:rsidR="0094389A" w:rsidRPr="0094389A" w14:paraId="1BF597D1"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nil"/>
              <w:right w:val="nil"/>
            </w:tcBorders>
            <w:tcMar>
              <w:top w:w="0" w:type="dxa"/>
              <w:left w:w="108" w:type="dxa"/>
              <w:bottom w:w="0" w:type="dxa"/>
              <w:right w:w="397" w:type="dxa"/>
            </w:tcMar>
            <w:vAlign w:val="center"/>
            <w:hideMark/>
          </w:tcPr>
          <w:p w14:paraId="19E3104C" w14:textId="77777777" w:rsidR="0094389A" w:rsidRPr="0094389A" w:rsidRDefault="0094389A" w:rsidP="0094389A">
            <w:pPr>
              <w:spacing w:after="160" w:line="259" w:lineRule="auto"/>
            </w:pPr>
            <w:r w:rsidRPr="0094389A">
              <w:t>QT</w:t>
            </w:r>
          </w:p>
        </w:tc>
        <w:tc>
          <w:tcPr>
            <w:tcW w:w="70" w:type="pct"/>
            <w:tcBorders>
              <w:top w:val="nil"/>
              <w:left w:val="nil"/>
              <w:bottom w:val="nil"/>
              <w:right w:val="nil"/>
            </w:tcBorders>
            <w:tcMar>
              <w:top w:w="0" w:type="dxa"/>
              <w:left w:w="28" w:type="dxa"/>
              <w:bottom w:w="0" w:type="dxa"/>
              <w:right w:w="28" w:type="dxa"/>
            </w:tcMar>
            <w:vAlign w:val="center"/>
          </w:tcPr>
          <w:p w14:paraId="36F4FD44"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4" w:type="pct"/>
            <w:tcBorders>
              <w:top w:val="nil"/>
              <w:left w:val="nil"/>
              <w:bottom w:val="nil"/>
              <w:right w:val="nil"/>
            </w:tcBorders>
            <w:shd w:val="clear" w:color="auto" w:fill="D1D1D1" w:themeFill="background2" w:themeFillShade="E6"/>
            <w:noWrap/>
            <w:tcMar>
              <w:top w:w="0" w:type="dxa"/>
              <w:left w:w="28" w:type="dxa"/>
              <w:bottom w:w="0" w:type="dxa"/>
              <w:right w:w="28" w:type="dxa"/>
            </w:tcMar>
            <w:hideMark/>
          </w:tcPr>
          <w:p w14:paraId="6FA4E262"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0.243</w:t>
            </w:r>
          </w:p>
        </w:tc>
        <w:tc>
          <w:tcPr>
            <w:tcW w:w="241"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238DAAC9"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9" w:type="pct"/>
            <w:tcBorders>
              <w:top w:val="nil"/>
              <w:left w:val="nil"/>
              <w:bottom w:val="nil"/>
              <w:right w:val="nil"/>
            </w:tcBorders>
            <w:tcMar>
              <w:top w:w="0" w:type="dxa"/>
              <w:left w:w="28" w:type="dxa"/>
              <w:bottom w:w="0" w:type="dxa"/>
              <w:right w:w="28" w:type="dxa"/>
            </w:tcMar>
            <w:hideMark/>
          </w:tcPr>
          <w:p w14:paraId="0CDDAB21"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0.037</w:t>
            </w:r>
          </w:p>
        </w:tc>
        <w:tc>
          <w:tcPr>
            <w:tcW w:w="243" w:type="pct"/>
            <w:tcBorders>
              <w:top w:val="nil"/>
              <w:left w:val="nil"/>
              <w:bottom w:val="nil"/>
              <w:right w:val="nil"/>
            </w:tcBorders>
            <w:tcMar>
              <w:top w:w="0" w:type="dxa"/>
              <w:left w:w="28" w:type="dxa"/>
              <w:bottom w:w="0" w:type="dxa"/>
              <w:right w:w="28" w:type="dxa"/>
            </w:tcMar>
          </w:tcPr>
          <w:p w14:paraId="2EFAB6C1"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77" w:type="pct"/>
            <w:tcBorders>
              <w:top w:val="nil"/>
              <w:left w:val="nil"/>
              <w:bottom w:val="nil"/>
              <w:right w:val="nil"/>
            </w:tcBorders>
            <w:tcMar>
              <w:top w:w="0" w:type="dxa"/>
              <w:left w:w="28" w:type="dxa"/>
              <w:bottom w:w="0" w:type="dxa"/>
              <w:right w:w="28" w:type="dxa"/>
            </w:tcMar>
            <w:vAlign w:val="center"/>
          </w:tcPr>
          <w:p w14:paraId="6341D291"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ADADAD" w:themeFill="background2" w:themeFillShade="BF"/>
            <w:noWrap/>
            <w:tcMar>
              <w:top w:w="0" w:type="dxa"/>
              <w:left w:w="28" w:type="dxa"/>
              <w:bottom w:w="0" w:type="dxa"/>
              <w:right w:w="28" w:type="dxa"/>
            </w:tcMar>
            <w:hideMark/>
          </w:tcPr>
          <w:p w14:paraId="6F37F750"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0.491</w:t>
            </w:r>
          </w:p>
        </w:tc>
        <w:tc>
          <w:tcPr>
            <w:tcW w:w="245"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5117B4D1"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4"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1580A067"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0.413</w:t>
            </w:r>
          </w:p>
        </w:tc>
        <w:tc>
          <w:tcPr>
            <w:tcW w:w="170" w:type="pct"/>
            <w:tcBorders>
              <w:top w:val="nil"/>
              <w:left w:val="nil"/>
              <w:bottom w:val="nil"/>
              <w:right w:val="nil"/>
            </w:tcBorders>
            <w:shd w:val="clear" w:color="auto" w:fill="ADADAD" w:themeFill="background2" w:themeFillShade="BF"/>
            <w:tcMar>
              <w:top w:w="0" w:type="dxa"/>
              <w:left w:w="28" w:type="dxa"/>
              <w:bottom w:w="0" w:type="dxa"/>
              <w:right w:w="28" w:type="dxa"/>
            </w:tcMar>
            <w:hideMark/>
          </w:tcPr>
          <w:p w14:paraId="0296472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75" w:type="pct"/>
            <w:tcBorders>
              <w:top w:val="nil"/>
              <w:left w:val="nil"/>
              <w:bottom w:val="nil"/>
              <w:right w:val="nil"/>
            </w:tcBorders>
            <w:tcMar>
              <w:top w:w="0" w:type="dxa"/>
              <w:left w:w="0" w:type="dxa"/>
              <w:bottom w:w="0" w:type="dxa"/>
              <w:right w:w="0" w:type="dxa"/>
            </w:tcMar>
            <w:vAlign w:val="center"/>
          </w:tcPr>
          <w:p w14:paraId="5A34F57E"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410"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3CBAB772"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0.207</w:t>
            </w:r>
          </w:p>
        </w:tc>
        <w:tc>
          <w:tcPr>
            <w:tcW w:w="24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621C64A2"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c>
          <w:tcPr>
            <w:tcW w:w="415"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764D7AFB"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0.133</w:t>
            </w:r>
          </w:p>
        </w:tc>
        <w:tc>
          <w:tcPr>
            <w:tcW w:w="328" w:type="pct"/>
            <w:tcBorders>
              <w:top w:val="nil"/>
              <w:left w:val="nil"/>
              <w:bottom w:val="nil"/>
              <w:right w:val="nil"/>
            </w:tcBorders>
            <w:shd w:val="clear" w:color="auto" w:fill="D1D1D1" w:themeFill="background2" w:themeFillShade="E6"/>
            <w:tcMar>
              <w:top w:w="0" w:type="dxa"/>
              <w:left w:w="28" w:type="dxa"/>
              <w:bottom w:w="0" w:type="dxa"/>
              <w:right w:w="28" w:type="dxa"/>
            </w:tcMar>
            <w:hideMark/>
          </w:tcPr>
          <w:p w14:paraId="1573F11D" w14:textId="77777777" w:rsidR="0094389A" w:rsidRPr="0094389A" w:rsidRDefault="0094389A" w:rsidP="0094389A">
            <w:pPr>
              <w:spacing w:after="160" w:line="259" w:lineRule="auto"/>
              <w:cnfStyle w:val="000000000000" w:firstRow="0" w:lastRow="0" w:firstColumn="0" w:lastColumn="0" w:oddVBand="0" w:evenVBand="0" w:oddHBand="0" w:evenHBand="0" w:firstRowFirstColumn="0" w:firstRowLastColumn="0" w:lastRowFirstColumn="0" w:lastRowLastColumn="0"/>
            </w:pPr>
            <w:r w:rsidRPr="0094389A">
              <w:t>**</w:t>
            </w:r>
          </w:p>
        </w:tc>
      </w:tr>
      <w:tr w:rsidR="0094389A" w:rsidRPr="0094389A" w14:paraId="0AD943DD" w14:textId="77777777" w:rsidTr="0094389A">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822" w:type="pct"/>
            <w:tcBorders>
              <w:top w:val="nil"/>
              <w:left w:val="nil"/>
              <w:bottom w:val="single" w:sz="12" w:space="0" w:color="auto"/>
              <w:right w:val="nil"/>
            </w:tcBorders>
            <w:tcMar>
              <w:top w:w="0" w:type="dxa"/>
              <w:left w:w="108" w:type="dxa"/>
              <w:bottom w:w="0" w:type="dxa"/>
              <w:right w:w="397" w:type="dxa"/>
            </w:tcMar>
            <w:vAlign w:val="center"/>
            <w:hideMark/>
          </w:tcPr>
          <w:p w14:paraId="37CDDBD5" w14:textId="77777777" w:rsidR="0094389A" w:rsidRPr="0094389A" w:rsidRDefault="0094389A" w:rsidP="0094389A">
            <w:pPr>
              <w:spacing w:after="160" w:line="259" w:lineRule="auto"/>
            </w:pPr>
            <w:r w:rsidRPr="0094389A">
              <w:t>TQ</w:t>
            </w:r>
          </w:p>
        </w:tc>
        <w:tc>
          <w:tcPr>
            <w:tcW w:w="70" w:type="pct"/>
            <w:tcBorders>
              <w:top w:val="nil"/>
              <w:left w:val="nil"/>
              <w:bottom w:val="single" w:sz="12" w:space="0" w:color="auto"/>
              <w:right w:val="nil"/>
            </w:tcBorders>
            <w:tcMar>
              <w:top w:w="0" w:type="dxa"/>
              <w:left w:w="28" w:type="dxa"/>
              <w:bottom w:w="0" w:type="dxa"/>
              <w:right w:w="28" w:type="dxa"/>
            </w:tcMar>
            <w:vAlign w:val="center"/>
          </w:tcPr>
          <w:p w14:paraId="6F7748FA"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4" w:type="pct"/>
            <w:tcBorders>
              <w:top w:val="nil"/>
              <w:left w:val="nil"/>
              <w:bottom w:val="single" w:sz="12" w:space="0" w:color="auto"/>
              <w:right w:val="nil"/>
            </w:tcBorders>
            <w:noWrap/>
            <w:tcMar>
              <w:top w:w="0" w:type="dxa"/>
              <w:left w:w="28" w:type="dxa"/>
              <w:bottom w:w="0" w:type="dxa"/>
              <w:right w:w="28" w:type="dxa"/>
            </w:tcMar>
            <w:hideMark/>
          </w:tcPr>
          <w:p w14:paraId="4E378D6A"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-0.015</w:t>
            </w:r>
          </w:p>
        </w:tc>
        <w:tc>
          <w:tcPr>
            <w:tcW w:w="241" w:type="pct"/>
            <w:tcBorders>
              <w:top w:val="nil"/>
              <w:left w:val="nil"/>
              <w:bottom w:val="single" w:sz="12" w:space="0" w:color="auto"/>
              <w:right w:val="nil"/>
            </w:tcBorders>
            <w:tcMar>
              <w:top w:w="0" w:type="dxa"/>
              <w:left w:w="28" w:type="dxa"/>
              <w:bottom w:w="0" w:type="dxa"/>
              <w:right w:w="28" w:type="dxa"/>
            </w:tcMar>
          </w:tcPr>
          <w:p w14:paraId="4438F93E"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9" w:type="pct"/>
            <w:tcBorders>
              <w:top w:val="nil"/>
              <w:left w:val="nil"/>
              <w:bottom w:val="single" w:sz="12" w:space="0" w:color="auto"/>
              <w:right w:val="nil"/>
            </w:tcBorders>
            <w:shd w:val="clear" w:color="auto" w:fill="D1D1D1" w:themeFill="background2" w:themeFillShade="E6"/>
            <w:tcMar>
              <w:top w:w="0" w:type="dxa"/>
              <w:left w:w="28" w:type="dxa"/>
              <w:bottom w:w="0" w:type="dxa"/>
              <w:right w:w="28" w:type="dxa"/>
            </w:tcMar>
            <w:hideMark/>
          </w:tcPr>
          <w:p w14:paraId="58BEA247"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-0.133</w:t>
            </w:r>
          </w:p>
        </w:tc>
        <w:tc>
          <w:tcPr>
            <w:tcW w:w="243" w:type="pct"/>
            <w:tcBorders>
              <w:top w:val="nil"/>
              <w:left w:val="nil"/>
              <w:bottom w:val="single" w:sz="12" w:space="0" w:color="auto"/>
              <w:right w:val="nil"/>
            </w:tcBorders>
            <w:shd w:val="clear" w:color="auto" w:fill="D1D1D1" w:themeFill="background2" w:themeFillShade="E6"/>
            <w:tcMar>
              <w:top w:w="0" w:type="dxa"/>
              <w:left w:w="28" w:type="dxa"/>
              <w:bottom w:w="0" w:type="dxa"/>
              <w:right w:w="28" w:type="dxa"/>
            </w:tcMar>
            <w:hideMark/>
          </w:tcPr>
          <w:p w14:paraId="2464671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77" w:type="pct"/>
            <w:tcBorders>
              <w:top w:val="nil"/>
              <w:left w:val="nil"/>
              <w:bottom w:val="single" w:sz="12" w:space="0" w:color="auto"/>
              <w:right w:val="nil"/>
            </w:tcBorders>
            <w:tcMar>
              <w:top w:w="0" w:type="dxa"/>
              <w:left w:w="28" w:type="dxa"/>
              <w:bottom w:w="0" w:type="dxa"/>
              <w:right w:w="28" w:type="dxa"/>
            </w:tcMar>
            <w:vAlign w:val="center"/>
          </w:tcPr>
          <w:p w14:paraId="3AD2D8E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single" w:sz="12" w:space="0" w:color="auto"/>
              <w:right w:val="nil"/>
            </w:tcBorders>
            <w:shd w:val="clear" w:color="auto" w:fill="ADADAD" w:themeFill="background2" w:themeFillShade="BF"/>
            <w:noWrap/>
            <w:tcMar>
              <w:top w:w="0" w:type="dxa"/>
              <w:left w:w="28" w:type="dxa"/>
              <w:bottom w:w="0" w:type="dxa"/>
              <w:right w:w="28" w:type="dxa"/>
            </w:tcMar>
            <w:hideMark/>
          </w:tcPr>
          <w:p w14:paraId="45D72A8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0.452</w:t>
            </w:r>
          </w:p>
        </w:tc>
        <w:tc>
          <w:tcPr>
            <w:tcW w:w="245" w:type="pct"/>
            <w:tcBorders>
              <w:top w:val="nil"/>
              <w:left w:val="nil"/>
              <w:bottom w:val="single" w:sz="12" w:space="0" w:color="auto"/>
              <w:right w:val="nil"/>
            </w:tcBorders>
            <w:shd w:val="clear" w:color="auto" w:fill="ADADAD" w:themeFill="background2" w:themeFillShade="BF"/>
            <w:tcMar>
              <w:top w:w="0" w:type="dxa"/>
              <w:left w:w="28" w:type="dxa"/>
              <w:bottom w:w="0" w:type="dxa"/>
              <w:right w:w="28" w:type="dxa"/>
            </w:tcMar>
            <w:hideMark/>
          </w:tcPr>
          <w:p w14:paraId="6A880B88"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4" w:type="pct"/>
            <w:tcBorders>
              <w:top w:val="nil"/>
              <w:left w:val="nil"/>
              <w:bottom w:val="single" w:sz="12" w:space="0" w:color="auto"/>
              <w:right w:val="nil"/>
            </w:tcBorders>
            <w:shd w:val="clear" w:color="auto" w:fill="747474" w:themeFill="background2" w:themeFillShade="80"/>
            <w:tcMar>
              <w:top w:w="0" w:type="dxa"/>
              <w:left w:w="28" w:type="dxa"/>
              <w:bottom w:w="0" w:type="dxa"/>
              <w:right w:w="28" w:type="dxa"/>
            </w:tcMar>
            <w:hideMark/>
          </w:tcPr>
          <w:p w14:paraId="002F55F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0.596</w:t>
            </w:r>
          </w:p>
        </w:tc>
        <w:tc>
          <w:tcPr>
            <w:tcW w:w="170" w:type="pct"/>
            <w:tcBorders>
              <w:top w:val="nil"/>
              <w:left w:val="nil"/>
              <w:bottom w:val="single" w:sz="12" w:space="0" w:color="auto"/>
              <w:right w:val="nil"/>
            </w:tcBorders>
            <w:shd w:val="clear" w:color="auto" w:fill="747474" w:themeFill="background2" w:themeFillShade="80"/>
            <w:tcMar>
              <w:top w:w="0" w:type="dxa"/>
              <w:left w:w="28" w:type="dxa"/>
              <w:bottom w:w="0" w:type="dxa"/>
              <w:right w:w="28" w:type="dxa"/>
            </w:tcMar>
            <w:hideMark/>
          </w:tcPr>
          <w:p w14:paraId="3301E4B6"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75" w:type="pct"/>
            <w:tcBorders>
              <w:top w:val="nil"/>
              <w:left w:val="nil"/>
              <w:bottom w:val="single" w:sz="12" w:space="0" w:color="auto"/>
              <w:right w:val="nil"/>
            </w:tcBorders>
            <w:tcMar>
              <w:top w:w="0" w:type="dxa"/>
              <w:left w:w="0" w:type="dxa"/>
              <w:bottom w:w="0" w:type="dxa"/>
              <w:right w:w="0" w:type="dxa"/>
            </w:tcMar>
            <w:vAlign w:val="center"/>
          </w:tcPr>
          <w:p w14:paraId="6AAFD6E2"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p>
        </w:tc>
        <w:tc>
          <w:tcPr>
            <w:tcW w:w="410" w:type="pct"/>
            <w:tcBorders>
              <w:top w:val="nil"/>
              <w:left w:val="nil"/>
              <w:bottom w:val="single" w:sz="12" w:space="0" w:color="auto"/>
              <w:right w:val="nil"/>
            </w:tcBorders>
            <w:shd w:val="clear" w:color="auto" w:fill="D1D1D1" w:themeFill="background2" w:themeFillShade="E6"/>
            <w:tcMar>
              <w:top w:w="0" w:type="dxa"/>
              <w:left w:w="28" w:type="dxa"/>
              <w:bottom w:w="0" w:type="dxa"/>
              <w:right w:w="28" w:type="dxa"/>
            </w:tcMar>
            <w:hideMark/>
          </w:tcPr>
          <w:p w14:paraId="76D3903D"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0.225</w:t>
            </w:r>
          </w:p>
        </w:tc>
        <w:tc>
          <w:tcPr>
            <w:tcW w:w="245" w:type="pct"/>
            <w:tcBorders>
              <w:top w:val="nil"/>
              <w:left w:val="nil"/>
              <w:bottom w:val="single" w:sz="12" w:space="0" w:color="auto"/>
              <w:right w:val="nil"/>
            </w:tcBorders>
            <w:shd w:val="clear" w:color="auto" w:fill="D1D1D1" w:themeFill="background2" w:themeFillShade="E6"/>
            <w:tcMar>
              <w:top w:w="0" w:type="dxa"/>
              <w:left w:w="28" w:type="dxa"/>
              <w:bottom w:w="0" w:type="dxa"/>
              <w:right w:w="28" w:type="dxa"/>
            </w:tcMar>
            <w:hideMark/>
          </w:tcPr>
          <w:p w14:paraId="2D5162D5"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c>
          <w:tcPr>
            <w:tcW w:w="415" w:type="pct"/>
            <w:tcBorders>
              <w:top w:val="nil"/>
              <w:left w:val="nil"/>
              <w:bottom w:val="single" w:sz="12" w:space="0" w:color="auto"/>
              <w:right w:val="nil"/>
            </w:tcBorders>
            <w:shd w:val="clear" w:color="auto" w:fill="ADADAD" w:themeFill="background2" w:themeFillShade="BF"/>
            <w:tcMar>
              <w:top w:w="0" w:type="dxa"/>
              <w:left w:w="28" w:type="dxa"/>
              <w:bottom w:w="0" w:type="dxa"/>
              <w:right w:w="28" w:type="dxa"/>
            </w:tcMar>
            <w:hideMark/>
          </w:tcPr>
          <w:p w14:paraId="264943CC"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0.349</w:t>
            </w:r>
          </w:p>
        </w:tc>
        <w:tc>
          <w:tcPr>
            <w:tcW w:w="328" w:type="pct"/>
            <w:tcBorders>
              <w:top w:val="nil"/>
              <w:left w:val="nil"/>
              <w:bottom w:val="single" w:sz="12" w:space="0" w:color="auto"/>
              <w:right w:val="nil"/>
            </w:tcBorders>
            <w:shd w:val="clear" w:color="auto" w:fill="ADADAD" w:themeFill="background2" w:themeFillShade="BF"/>
            <w:tcMar>
              <w:top w:w="0" w:type="dxa"/>
              <w:left w:w="28" w:type="dxa"/>
              <w:bottom w:w="0" w:type="dxa"/>
              <w:right w:w="28" w:type="dxa"/>
            </w:tcMar>
            <w:hideMark/>
          </w:tcPr>
          <w:p w14:paraId="63BAA859" w14:textId="77777777" w:rsidR="0094389A" w:rsidRPr="0094389A" w:rsidRDefault="0094389A" w:rsidP="0094389A">
            <w:pPr>
              <w:spacing w:after="160" w:line="259" w:lineRule="auto"/>
              <w:cnfStyle w:val="000000100000" w:firstRow="0" w:lastRow="0" w:firstColumn="0" w:lastColumn="0" w:oddVBand="0" w:evenVBand="0" w:oddHBand="1" w:evenHBand="0" w:firstRowFirstColumn="0" w:firstRowLastColumn="0" w:lastRowFirstColumn="0" w:lastRowLastColumn="0"/>
            </w:pPr>
            <w:r w:rsidRPr="0094389A">
              <w:t>***</w:t>
            </w:r>
          </w:p>
        </w:tc>
      </w:tr>
      <w:tr w:rsidR="0094389A" w:rsidRPr="0094389A" w14:paraId="3096AA5E" w14:textId="77777777" w:rsidTr="0094389A">
        <w:trPr>
          <w:trHeight w:val="241"/>
        </w:trPr>
        <w:tc>
          <w:tcPr>
            <w:cnfStyle w:val="001000000000" w:firstRow="0" w:lastRow="0" w:firstColumn="1" w:lastColumn="0" w:oddVBand="0" w:evenVBand="0" w:oddHBand="0" w:evenHBand="0" w:firstRowFirstColumn="0" w:firstRowLastColumn="0" w:lastRowFirstColumn="0" w:lastRowLastColumn="0"/>
            <w:tcW w:w="5000" w:type="pct"/>
            <w:gridSpan w:val="16"/>
            <w:tcBorders>
              <w:top w:val="single" w:sz="12" w:space="0" w:color="auto"/>
              <w:left w:val="nil"/>
              <w:bottom w:val="nil"/>
              <w:right w:val="nil"/>
            </w:tcBorders>
            <w:tcMar>
              <w:top w:w="0" w:type="dxa"/>
              <w:left w:w="0" w:type="dxa"/>
              <w:bottom w:w="0" w:type="dxa"/>
              <w:right w:w="0" w:type="dxa"/>
            </w:tcMar>
            <w:vAlign w:val="center"/>
            <w:hideMark/>
          </w:tcPr>
          <w:p w14:paraId="4C0D2D7B" w14:textId="2A8CECB6" w:rsidR="0094389A" w:rsidRPr="0094389A" w:rsidRDefault="0094389A" w:rsidP="0094389A">
            <w:pPr>
              <w:spacing w:after="160" w:line="259" w:lineRule="auto"/>
              <w:rPr>
                <w:iCs/>
              </w:rPr>
            </w:pPr>
            <w:r w:rsidRPr="0094389A">
              <w:t>●</w:t>
            </w:r>
            <m:oMath>
              <m:r>
                <w:rPr>
                  <w:rFonts w:ascii="Cambria Math" w:hAnsi="Cambria Math"/>
                </w:rPr>
                <m:t>|</m:t>
              </m:r>
              <m:r>
                <m:rPr>
                  <m:sty m:val="bi"/>
                </m:rPr>
                <w:rPr>
                  <w:rFonts w:ascii="Cambria Math" w:hAnsi="Cambria Math"/>
                </w:rPr>
                <m:t>r</m:t>
              </m:r>
              <m:r>
                <w:rPr>
                  <w:rFonts w:ascii="Cambria Math" w:hAnsi="Cambria Math"/>
                </w:rPr>
                <m:t>|≥</m:t>
              </m:r>
              <m:r>
                <m:rPr>
                  <m:sty m:val="bi"/>
                </m:rPr>
                <w:rPr>
                  <w:rFonts w:ascii="Cambria Math" w:hAnsi="Cambria Math"/>
                </w:rPr>
                <m:t>0</m:t>
              </m:r>
              <m:r>
                <w:rPr>
                  <w:rFonts w:ascii="Cambria Math" w:hAnsi="Cambria Math"/>
                </w:rPr>
                <m:t>.</m:t>
              </m:r>
              <m:r>
                <m:rPr>
                  <m:sty m:val="bi"/>
                </m:rPr>
                <w:rPr>
                  <w:rFonts w:ascii="Cambria Math" w:hAnsi="Cambria Math"/>
                </w:rPr>
                <m:t>1</m:t>
              </m:r>
            </m:oMath>
            <w:r w:rsidRPr="0094389A">
              <w:t>;  ●</w:t>
            </w:r>
            <m:oMath>
              <m:r>
                <w:rPr>
                  <w:rFonts w:ascii="Cambria Math" w:hAnsi="Cambria Math"/>
                </w:rPr>
                <m:t>|</m:t>
              </m:r>
              <m:r>
                <m:rPr>
                  <m:sty m:val="bi"/>
                </m:rPr>
                <w:rPr>
                  <w:rFonts w:ascii="Cambria Math" w:hAnsi="Cambria Math"/>
                </w:rPr>
                <m:t>r</m:t>
              </m:r>
              <m:r>
                <w:rPr>
                  <w:rFonts w:ascii="Cambria Math" w:hAnsi="Cambria Math"/>
                </w:rPr>
                <m:t>|≥</m:t>
              </m:r>
              <m:r>
                <m:rPr>
                  <m:sty m:val="bi"/>
                </m:rPr>
                <w:rPr>
                  <w:rFonts w:ascii="Cambria Math" w:hAnsi="Cambria Math"/>
                </w:rPr>
                <m:t>0</m:t>
              </m:r>
              <m:r>
                <w:rPr>
                  <w:rFonts w:ascii="Cambria Math" w:hAnsi="Cambria Math"/>
                </w:rPr>
                <m:t>.</m:t>
              </m:r>
              <m:r>
                <m:rPr>
                  <m:sty m:val="bi"/>
                </m:rPr>
                <w:rPr>
                  <w:rFonts w:ascii="Cambria Math" w:hAnsi="Cambria Math"/>
                </w:rPr>
                <m:t>3</m:t>
              </m:r>
            </m:oMath>
            <w:r w:rsidRPr="0094389A">
              <w:t>;  ●</w:t>
            </w:r>
            <m:oMath>
              <m:r>
                <w:rPr>
                  <w:rFonts w:ascii="Cambria Math" w:hAnsi="Cambria Math"/>
                </w:rPr>
                <m:t>|</m:t>
              </m:r>
              <m:r>
                <m:rPr>
                  <m:sty m:val="bi"/>
                </m:rPr>
                <w:rPr>
                  <w:rFonts w:ascii="Cambria Math" w:hAnsi="Cambria Math"/>
                </w:rPr>
                <m:t>r</m:t>
              </m:r>
              <m:r>
                <w:rPr>
                  <w:rFonts w:ascii="Cambria Math" w:hAnsi="Cambria Math"/>
                </w:rPr>
                <m:t>|≥</m:t>
              </m:r>
              <m:r>
                <m:rPr>
                  <m:sty m:val="bi"/>
                </m:rPr>
                <w:rPr>
                  <w:rFonts w:ascii="Cambria Math" w:hAnsi="Cambria Math"/>
                </w:rPr>
                <m:t>0</m:t>
              </m:r>
              <m:r>
                <w:rPr>
                  <w:rFonts w:ascii="Cambria Math" w:hAnsi="Cambria Math"/>
                </w:rPr>
                <m:t>.</m:t>
              </m:r>
              <m:r>
                <m:rPr>
                  <m:sty m:val="bi"/>
                </m:rPr>
                <w:rPr>
                  <w:rFonts w:ascii="Cambria Math" w:hAnsi="Cambria Math"/>
                </w:rPr>
                <m:t>5</m:t>
              </m:r>
            </m:oMath>
            <w:r w:rsidRPr="0094389A">
              <w:t>;  *</w:t>
            </w:r>
            <m:oMath>
              <m:r>
                <m:rPr>
                  <m:sty m:val="bi"/>
                </m:rPr>
                <w:rPr>
                  <w:rFonts w:ascii="Cambria Math" w:hAnsi="Cambria Math"/>
                </w:rPr>
                <m:t>p</m:t>
              </m:r>
              <m:r>
                <w:rPr>
                  <w:rFonts w:ascii="Cambria Math" w:hAnsi="Cambria Math"/>
                </w:rPr>
                <m:t>&lt;</m:t>
              </m:r>
              <m:r>
                <m:rPr>
                  <m:sty m:val="bi"/>
                </m:rPr>
                <w:rPr>
                  <w:rFonts w:ascii="Cambria Math" w:hAnsi="Cambria Math"/>
                </w:rPr>
                <m:t>0</m:t>
              </m:r>
              <m:r>
                <w:rPr>
                  <w:rFonts w:ascii="Cambria Math" w:hAnsi="Cambria Math"/>
                </w:rPr>
                <m:t>.</m:t>
              </m:r>
              <m:r>
                <m:rPr>
                  <m:sty m:val="bi"/>
                </m:rPr>
                <w:rPr>
                  <w:rFonts w:ascii="Cambria Math" w:hAnsi="Cambria Math"/>
                </w:rPr>
                <m:t>05</m:t>
              </m:r>
            </m:oMath>
            <w:r w:rsidRPr="0094389A">
              <w:t>;  **</w:t>
            </w:r>
            <w:r w:rsidRPr="0094389A">
              <w:rPr>
                <w:i/>
              </w:rPr>
              <w:t xml:space="preserve"> </w:t>
            </w:r>
            <m:oMath>
              <m:r>
                <m:rPr>
                  <m:sty m:val="bi"/>
                </m:rPr>
                <w:rPr>
                  <w:rFonts w:ascii="Cambria Math" w:hAnsi="Cambria Math"/>
                </w:rPr>
                <m:t>p</m:t>
              </m:r>
              <m:r>
                <w:rPr>
                  <w:rFonts w:ascii="Cambria Math" w:hAnsi="Cambria Math"/>
                </w:rPr>
                <m:t>&lt;</m:t>
              </m:r>
              <m:r>
                <m:rPr>
                  <m:sty m:val="bi"/>
                </m:rPr>
                <w:rPr>
                  <w:rFonts w:ascii="Cambria Math" w:hAnsi="Cambria Math"/>
                </w:rPr>
                <m:t>0</m:t>
              </m:r>
              <m:r>
                <w:rPr>
                  <w:rFonts w:ascii="Cambria Math" w:hAnsi="Cambria Math"/>
                </w:rPr>
                <m:t>.</m:t>
              </m:r>
              <m:r>
                <m:rPr>
                  <m:sty m:val="bi"/>
                </m:rPr>
                <w:rPr>
                  <w:rFonts w:ascii="Cambria Math" w:hAnsi="Cambria Math"/>
                </w:rPr>
                <m:t>01</m:t>
              </m:r>
            </m:oMath>
            <w:r w:rsidRPr="0094389A">
              <w:t>;  ***</w:t>
            </w:r>
            <w:r w:rsidRPr="0094389A">
              <w:rPr>
                <w:i/>
              </w:rPr>
              <w:t xml:space="preserve"> </w:t>
            </w:r>
            <m:oMath>
              <m:r>
                <m:rPr>
                  <m:sty m:val="bi"/>
                </m:rPr>
                <w:rPr>
                  <w:rFonts w:ascii="Cambria Math" w:hAnsi="Cambria Math"/>
                </w:rPr>
                <m:t>p</m:t>
              </m:r>
              <m:r>
                <w:rPr>
                  <w:rFonts w:ascii="Cambria Math" w:hAnsi="Cambria Math"/>
                </w:rPr>
                <m:t>&lt;</m:t>
              </m:r>
              <m:r>
                <m:rPr>
                  <m:sty m:val="bi"/>
                </m:rPr>
                <w:rPr>
                  <w:rFonts w:ascii="Cambria Math" w:hAnsi="Cambria Math"/>
                </w:rPr>
                <m:t>0</m:t>
              </m:r>
              <m:r>
                <w:rPr>
                  <w:rFonts w:ascii="Cambria Math" w:hAnsi="Cambria Math"/>
                </w:rPr>
                <m:t>.</m:t>
              </m:r>
              <m:r>
                <m:rPr>
                  <m:sty m:val="bi"/>
                </m:rPr>
                <w:rPr>
                  <w:rFonts w:ascii="Cambria Math" w:hAnsi="Cambria Math"/>
                </w:rPr>
                <m:t>001</m:t>
              </m:r>
            </m:oMath>
          </w:p>
        </w:tc>
      </w:tr>
    </w:tbl>
    <w:p w14:paraId="5F1FA4E1" w14:textId="025731D5" w:rsidR="008B2388" w:rsidRDefault="008B2388"/>
    <w:sectPr w:rsidR="008B23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654A3"/>
    <w:multiLevelType w:val="hybridMultilevel"/>
    <w:tmpl w:val="A9500CBA"/>
    <w:lvl w:ilvl="0" w:tplc="36469CF6">
      <w:start w:val="1"/>
      <w:numFmt w:val="bullet"/>
      <w:lvlText w:val=""/>
      <w:lvlJc w:val="left"/>
      <w:pPr>
        <w:ind w:left="170" w:hanging="113"/>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151337817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89A"/>
    <w:rsid w:val="00377A47"/>
    <w:rsid w:val="004A2D59"/>
    <w:rsid w:val="008B2388"/>
    <w:rsid w:val="00943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0A8D6948"/>
  <w15:chartTrackingRefBased/>
  <w15:docId w15:val="{D98CFE3D-DD11-4C63-83DF-37DA6251E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38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38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38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38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38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38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38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38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38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38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38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38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38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38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38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38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38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389A"/>
    <w:rPr>
      <w:rFonts w:eastAsiaTheme="majorEastAsia" w:cstheme="majorBidi"/>
      <w:color w:val="272727" w:themeColor="text1" w:themeTint="D8"/>
    </w:rPr>
  </w:style>
  <w:style w:type="paragraph" w:styleId="Title">
    <w:name w:val="Title"/>
    <w:basedOn w:val="Normal"/>
    <w:next w:val="Normal"/>
    <w:link w:val="TitleChar"/>
    <w:uiPriority w:val="10"/>
    <w:qFormat/>
    <w:rsid w:val="009438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38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38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38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389A"/>
    <w:pPr>
      <w:spacing w:before="160"/>
      <w:jc w:val="center"/>
    </w:pPr>
    <w:rPr>
      <w:i/>
      <w:iCs/>
      <w:color w:val="404040" w:themeColor="text1" w:themeTint="BF"/>
    </w:rPr>
  </w:style>
  <w:style w:type="character" w:customStyle="1" w:styleId="QuoteChar">
    <w:name w:val="Quote Char"/>
    <w:basedOn w:val="DefaultParagraphFont"/>
    <w:link w:val="Quote"/>
    <w:uiPriority w:val="29"/>
    <w:rsid w:val="0094389A"/>
    <w:rPr>
      <w:i/>
      <w:iCs/>
      <w:color w:val="404040" w:themeColor="text1" w:themeTint="BF"/>
    </w:rPr>
  </w:style>
  <w:style w:type="paragraph" w:styleId="ListParagraph">
    <w:name w:val="List Paragraph"/>
    <w:basedOn w:val="Normal"/>
    <w:uiPriority w:val="34"/>
    <w:qFormat/>
    <w:rsid w:val="0094389A"/>
    <w:pPr>
      <w:ind w:left="720"/>
      <w:contextualSpacing/>
    </w:pPr>
  </w:style>
  <w:style w:type="character" w:styleId="IntenseEmphasis">
    <w:name w:val="Intense Emphasis"/>
    <w:basedOn w:val="DefaultParagraphFont"/>
    <w:uiPriority w:val="21"/>
    <w:qFormat/>
    <w:rsid w:val="0094389A"/>
    <w:rPr>
      <w:i/>
      <w:iCs/>
      <w:color w:val="0F4761" w:themeColor="accent1" w:themeShade="BF"/>
    </w:rPr>
  </w:style>
  <w:style w:type="paragraph" w:styleId="IntenseQuote">
    <w:name w:val="Intense Quote"/>
    <w:basedOn w:val="Normal"/>
    <w:next w:val="Normal"/>
    <w:link w:val="IntenseQuoteChar"/>
    <w:uiPriority w:val="30"/>
    <w:qFormat/>
    <w:rsid w:val="009438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389A"/>
    <w:rPr>
      <w:i/>
      <w:iCs/>
      <w:color w:val="0F4761" w:themeColor="accent1" w:themeShade="BF"/>
    </w:rPr>
  </w:style>
  <w:style w:type="character" w:styleId="IntenseReference">
    <w:name w:val="Intense Reference"/>
    <w:basedOn w:val="DefaultParagraphFont"/>
    <w:uiPriority w:val="32"/>
    <w:qFormat/>
    <w:rsid w:val="0094389A"/>
    <w:rPr>
      <w:b/>
      <w:bCs/>
      <w:smallCaps/>
      <w:color w:val="0F4761" w:themeColor="accent1" w:themeShade="BF"/>
      <w:spacing w:val="5"/>
    </w:rPr>
  </w:style>
  <w:style w:type="table" w:styleId="PlainTable2">
    <w:name w:val="Plain Table 2"/>
    <w:basedOn w:val="TableNormal"/>
    <w:uiPriority w:val="42"/>
    <w:rsid w:val="0094389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semiHidden/>
    <w:unhideWhenUsed/>
    <w:qFormat/>
    <w:rsid w:val="0094389A"/>
    <w:pPr>
      <w:spacing w:line="252" w:lineRule="auto"/>
      <w:jc w:val="both"/>
    </w:pPr>
    <w:rPr>
      <w:rFonts w:eastAsiaTheme="minorEastAsia"/>
      <w:b/>
      <w:bCs/>
      <w:kern w:val="0"/>
      <w:sz w:val="18"/>
      <w:szCs w:val="18"/>
      <w14:ligatures w14:val="none"/>
    </w:rPr>
  </w:style>
  <w:style w:type="character" w:customStyle="1" w:styleId="rynqvb">
    <w:name w:val="rynqvb"/>
    <w:basedOn w:val="DefaultParagraphFont"/>
    <w:rsid w:val="0094389A"/>
  </w:style>
  <w:style w:type="table" w:styleId="GridTable1Light">
    <w:name w:val="Grid Table 1 Light"/>
    <w:basedOn w:val="TableNormal"/>
    <w:uiPriority w:val="46"/>
    <w:rsid w:val="0094389A"/>
    <w:pPr>
      <w:spacing w:after="0" w:line="240" w:lineRule="auto"/>
      <w:jc w:val="both"/>
    </w:pPr>
    <w:rPr>
      <w:rFonts w:eastAsiaTheme="minorEastAsia"/>
      <w:kern w:val="0"/>
      <w14:ligatures w14:val="none"/>
    </w:r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7099058">
      <w:bodyDiv w:val="1"/>
      <w:marLeft w:val="0"/>
      <w:marRight w:val="0"/>
      <w:marTop w:val="0"/>
      <w:marBottom w:val="0"/>
      <w:divBdr>
        <w:top w:val="none" w:sz="0" w:space="0" w:color="auto"/>
        <w:left w:val="none" w:sz="0" w:space="0" w:color="auto"/>
        <w:bottom w:val="none" w:sz="0" w:space="0" w:color="auto"/>
        <w:right w:val="none" w:sz="0" w:space="0" w:color="auto"/>
      </w:divBdr>
    </w:div>
    <w:div w:id="1188564428">
      <w:bodyDiv w:val="1"/>
      <w:marLeft w:val="0"/>
      <w:marRight w:val="0"/>
      <w:marTop w:val="0"/>
      <w:marBottom w:val="0"/>
      <w:divBdr>
        <w:top w:val="none" w:sz="0" w:space="0" w:color="auto"/>
        <w:left w:val="none" w:sz="0" w:space="0" w:color="auto"/>
        <w:bottom w:val="none" w:sz="0" w:space="0" w:color="auto"/>
        <w:right w:val="none" w:sz="0" w:space="0" w:color="auto"/>
      </w:divBdr>
    </w:div>
    <w:div w:id="1438678953">
      <w:bodyDiv w:val="1"/>
      <w:marLeft w:val="0"/>
      <w:marRight w:val="0"/>
      <w:marTop w:val="0"/>
      <w:marBottom w:val="0"/>
      <w:divBdr>
        <w:top w:val="none" w:sz="0" w:space="0" w:color="auto"/>
        <w:left w:val="none" w:sz="0" w:space="0" w:color="auto"/>
        <w:bottom w:val="none" w:sz="0" w:space="0" w:color="auto"/>
        <w:right w:val="none" w:sz="0" w:space="0" w:color="auto"/>
      </w:divBdr>
    </w:div>
    <w:div w:id="1805149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451</Words>
  <Characters>2574</Characters>
  <Application>Microsoft Office Word</Application>
  <DocSecurity>0</DocSecurity>
  <Lines>21</Lines>
  <Paragraphs>6</Paragraphs>
  <ScaleCrop>false</ScaleCrop>
  <Company>Springer Nature</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2024-08-23T14:08:00Z</dcterms:created>
  <dcterms:modified xsi:type="dcterms:W3CDTF">2024-08-23T14:12:00Z</dcterms:modified>
</cp:coreProperties>
</file>