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E0018" w14:textId="69AF9D9D" w:rsidR="0004183E" w:rsidRPr="000F3ED1" w:rsidRDefault="0004183E">
      <w:pPr>
        <w:rPr>
          <w:rFonts w:ascii="Helvetica" w:hAnsi="Helvetica"/>
          <w:lang w:val="en-US"/>
        </w:rPr>
      </w:pPr>
    </w:p>
    <w:p w14:paraId="78557595" w14:textId="113E6E60" w:rsidR="00907833" w:rsidRPr="000F3ED1" w:rsidRDefault="00907833">
      <w:pPr>
        <w:rPr>
          <w:rFonts w:ascii="Helvetica" w:hAnsi="Helvetica"/>
          <w:lang w:val="en-US"/>
        </w:rPr>
      </w:pPr>
    </w:p>
    <w:p w14:paraId="2AA0DF31" w14:textId="77777777" w:rsidR="004E6F74" w:rsidRPr="000F3ED1" w:rsidRDefault="004E6F74" w:rsidP="004E6F74">
      <w:pPr>
        <w:jc w:val="center"/>
        <w:rPr>
          <w:rFonts w:ascii="Helvetica" w:hAnsi="Helvetica"/>
        </w:rPr>
      </w:pPr>
      <w:r w:rsidRPr="000F3ED1">
        <w:rPr>
          <w:rFonts w:ascii="Helvetica" w:hAnsi="Helvetica"/>
        </w:rPr>
        <w:t>Supplementary Materials for</w:t>
      </w:r>
    </w:p>
    <w:p w14:paraId="789F1923" w14:textId="77777777" w:rsidR="004E6F74" w:rsidRPr="000F3ED1" w:rsidRDefault="004E6F74" w:rsidP="004E6F74">
      <w:pPr>
        <w:spacing w:line="360" w:lineRule="auto"/>
        <w:rPr>
          <w:rFonts w:ascii="Helvetica" w:eastAsia="Arial Unicode MS" w:hAnsi="Helvetica"/>
          <w:bCs/>
          <w:color w:val="000000" w:themeColor="text1"/>
        </w:rPr>
      </w:pPr>
    </w:p>
    <w:p w14:paraId="7367B19C" w14:textId="77777777" w:rsidR="004E6F74" w:rsidRPr="000F3ED1" w:rsidRDefault="004E6F74" w:rsidP="004E6F74">
      <w:pPr>
        <w:rPr>
          <w:rFonts w:ascii="Helvetica" w:hAnsi="Helvetica"/>
          <w:b/>
          <w:bCs/>
        </w:rPr>
      </w:pPr>
      <w:r w:rsidRPr="000F3ED1">
        <w:rPr>
          <w:rFonts w:ascii="Helvetica" w:hAnsi="Helvetica"/>
          <w:b/>
          <w:bCs/>
        </w:rPr>
        <w:t>Chemical-induced dimerization of GSDMD C-terminal domain blocks GSDMD N-terminal domain-mediated pyroptosis</w:t>
      </w:r>
    </w:p>
    <w:p w14:paraId="6C15B630" w14:textId="77777777" w:rsidR="004E6F74" w:rsidRPr="000F3ED1" w:rsidRDefault="004E6F74" w:rsidP="004E6F74">
      <w:pPr>
        <w:spacing w:line="360" w:lineRule="auto"/>
        <w:rPr>
          <w:rFonts w:ascii="Helvetica" w:eastAsia="Arial Unicode MS" w:hAnsi="Helvetica"/>
          <w:bCs/>
          <w:color w:val="000000" w:themeColor="text1"/>
          <w:sz w:val="20"/>
          <w:szCs w:val="20"/>
        </w:rPr>
      </w:pPr>
      <w:r w:rsidRPr="000F3ED1">
        <w:rPr>
          <w:rFonts w:ascii="Helvetica" w:eastAsia="Arial Unicode MS" w:hAnsi="Helvetica"/>
          <w:bCs/>
          <w:color w:val="000000" w:themeColor="text1"/>
          <w:sz w:val="20"/>
          <w:szCs w:val="20"/>
        </w:rPr>
        <w:t>Jixuan Xu</w:t>
      </w:r>
      <w:r w:rsidRPr="000F3ED1">
        <w:rPr>
          <w:rFonts w:ascii="Helvetica" w:eastAsia="Arial Unicode MS" w:hAnsi="Helvetica"/>
          <w:bCs/>
          <w:color w:val="000000" w:themeColor="text1"/>
          <w:sz w:val="20"/>
          <w:szCs w:val="20"/>
          <w:vertAlign w:val="superscript"/>
        </w:rPr>
        <w:t>1</w:t>
      </w:r>
      <w:r w:rsidRPr="000F3ED1">
        <w:rPr>
          <w:rFonts w:ascii="Helvetica" w:eastAsia="Arial Unicode MS" w:hAnsi="Helvetica"/>
          <w:bCs/>
          <w:color w:val="000000" w:themeColor="text1"/>
          <w:sz w:val="20"/>
          <w:szCs w:val="20"/>
        </w:rPr>
        <w:t>, Pengyuan Zheng</w:t>
      </w:r>
      <w:r w:rsidRPr="000F3ED1">
        <w:rPr>
          <w:rFonts w:ascii="Helvetica" w:eastAsia="Arial Unicode MS" w:hAnsi="Helvetica"/>
          <w:bCs/>
          <w:color w:val="000000" w:themeColor="text1"/>
          <w:sz w:val="20"/>
          <w:szCs w:val="20"/>
          <w:vertAlign w:val="superscript"/>
        </w:rPr>
        <w:t>2</w:t>
      </w:r>
      <w:r w:rsidRPr="000F3ED1">
        <w:rPr>
          <w:rFonts w:ascii="Helvetica" w:eastAsia="Arial Unicode MS" w:hAnsi="Helvetica"/>
          <w:bCs/>
          <w:color w:val="000000" w:themeColor="text1"/>
          <w:sz w:val="20"/>
          <w:szCs w:val="20"/>
        </w:rPr>
        <w:t>, Xiufeng Chu</w:t>
      </w:r>
      <w:r w:rsidRPr="000F3ED1">
        <w:rPr>
          <w:rFonts w:ascii="Helvetica" w:eastAsia="Arial Unicode MS" w:hAnsi="Helvetica"/>
          <w:bCs/>
          <w:color w:val="000000" w:themeColor="text1"/>
          <w:sz w:val="20"/>
          <w:szCs w:val="20"/>
          <w:vertAlign w:val="superscript"/>
        </w:rPr>
        <w:t>3,2</w:t>
      </w:r>
      <w:r w:rsidRPr="000F3ED1">
        <w:rPr>
          <w:rFonts w:ascii="Helvetica" w:eastAsia="Arial Unicode MS" w:hAnsi="Helvetica"/>
          <w:bCs/>
          <w:color w:val="000000" w:themeColor="text1"/>
          <w:sz w:val="20"/>
          <w:szCs w:val="20"/>
        </w:rPr>
        <w:t>*</w:t>
      </w:r>
    </w:p>
    <w:p w14:paraId="17FB4DD8" w14:textId="77777777" w:rsidR="004E6F74" w:rsidRPr="000F3ED1" w:rsidRDefault="004E6F74" w:rsidP="004E6F74">
      <w:pPr>
        <w:spacing w:line="360" w:lineRule="auto"/>
        <w:rPr>
          <w:rFonts w:ascii="Helvetica" w:eastAsia="Arial Unicode MS" w:hAnsi="Helvetica"/>
          <w:bCs/>
          <w:color w:val="000000" w:themeColor="text1"/>
          <w:sz w:val="18"/>
          <w:szCs w:val="20"/>
        </w:rPr>
      </w:pPr>
      <w:r w:rsidRPr="000F3ED1">
        <w:rPr>
          <w:rFonts w:ascii="Helvetica" w:eastAsia="Arial Unicode MS" w:hAnsi="Helvetica"/>
          <w:bCs/>
          <w:color w:val="000000" w:themeColor="text1"/>
          <w:sz w:val="18"/>
          <w:szCs w:val="20"/>
          <w:vertAlign w:val="superscript"/>
        </w:rPr>
        <w:t>1</w:t>
      </w:r>
      <w:r w:rsidRPr="000F3ED1">
        <w:rPr>
          <w:rFonts w:ascii="Helvetica" w:eastAsia="Arial Unicode MS" w:hAnsi="Helvetica"/>
          <w:bCs/>
          <w:color w:val="000000" w:themeColor="text1"/>
          <w:sz w:val="18"/>
          <w:szCs w:val="20"/>
        </w:rPr>
        <w:t>Department of Gastrointestinal &amp; Thyroid Surgery, The Fifth Affiliated Hospital of Zhengzhou University, Zhengzhou, China.</w:t>
      </w:r>
    </w:p>
    <w:p w14:paraId="1EE61B6E" w14:textId="77777777" w:rsidR="004E6F74" w:rsidRPr="000F3ED1" w:rsidRDefault="004E6F74" w:rsidP="004E6F74">
      <w:pPr>
        <w:spacing w:line="360" w:lineRule="auto"/>
        <w:rPr>
          <w:rFonts w:ascii="Helvetica" w:eastAsia="Arial Unicode MS" w:hAnsi="Helvetica"/>
          <w:bCs/>
          <w:color w:val="000000" w:themeColor="text1"/>
          <w:sz w:val="18"/>
          <w:szCs w:val="20"/>
        </w:rPr>
      </w:pPr>
      <w:r w:rsidRPr="000F3ED1">
        <w:rPr>
          <w:rFonts w:ascii="Helvetica" w:eastAsia="Arial Unicode MS" w:hAnsi="Helvetica"/>
          <w:bCs/>
          <w:color w:val="000000" w:themeColor="text1"/>
          <w:sz w:val="18"/>
          <w:szCs w:val="20"/>
          <w:vertAlign w:val="superscript"/>
        </w:rPr>
        <w:t>2</w:t>
      </w:r>
      <w:r w:rsidRPr="000F3ED1">
        <w:rPr>
          <w:rFonts w:ascii="Helvetica" w:eastAsia="Arial Unicode MS" w:hAnsi="Helvetica"/>
          <w:bCs/>
          <w:color w:val="000000" w:themeColor="text1"/>
          <w:sz w:val="18"/>
          <w:szCs w:val="20"/>
        </w:rPr>
        <w:t>Marshall medical center, The Fifth Affiliated Hospital of Zhengzhou University, Zhengzhou, China.</w:t>
      </w:r>
    </w:p>
    <w:p w14:paraId="7CB71B21" w14:textId="77777777" w:rsidR="004E6F74" w:rsidRPr="000F3ED1" w:rsidRDefault="004E6F74" w:rsidP="004E6F74">
      <w:pPr>
        <w:spacing w:line="360" w:lineRule="auto"/>
        <w:rPr>
          <w:rFonts w:ascii="Helvetica" w:eastAsia="Arial Unicode MS" w:hAnsi="Helvetica"/>
          <w:bCs/>
          <w:color w:val="000000" w:themeColor="text1"/>
          <w:sz w:val="18"/>
          <w:szCs w:val="20"/>
        </w:rPr>
      </w:pPr>
      <w:r w:rsidRPr="000F3ED1">
        <w:rPr>
          <w:rFonts w:ascii="Helvetica" w:eastAsia="Arial Unicode MS" w:hAnsi="Helvetica"/>
          <w:bCs/>
          <w:color w:val="000000" w:themeColor="text1"/>
          <w:sz w:val="18"/>
          <w:szCs w:val="20"/>
          <w:vertAlign w:val="superscript"/>
        </w:rPr>
        <w:t>3</w:t>
      </w:r>
      <w:r w:rsidRPr="000F3ED1">
        <w:rPr>
          <w:rFonts w:ascii="Helvetica" w:eastAsia="Arial Unicode MS" w:hAnsi="Helvetica"/>
          <w:bCs/>
          <w:color w:val="000000" w:themeColor="text1"/>
          <w:sz w:val="18"/>
          <w:szCs w:val="20"/>
        </w:rPr>
        <w:t>Department of Oncology, The Fifth Affiliated Hospital of Zhengzhou University, Zhengzhou, China.</w:t>
      </w:r>
    </w:p>
    <w:p w14:paraId="660E8EDB" w14:textId="77777777" w:rsidR="004E6F74" w:rsidRPr="000F3ED1" w:rsidRDefault="004E6F74" w:rsidP="004E6F74">
      <w:pPr>
        <w:spacing w:line="360" w:lineRule="auto"/>
        <w:rPr>
          <w:rFonts w:ascii="Helvetica" w:eastAsia="Arial Unicode MS" w:hAnsi="Helvetica"/>
          <w:bCs/>
          <w:color w:val="000000" w:themeColor="text1"/>
        </w:rPr>
      </w:pPr>
    </w:p>
    <w:p w14:paraId="578B5062" w14:textId="747A88EF" w:rsidR="004E6F74" w:rsidRPr="000F3ED1" w:rsidRDefault="004E6F74" w:rsidP="004E6F74">
      <w:pPr>
        <w:rPr>
          <w:rFonts w:ascii="Helvetica" w:hAnsi="Helvetica"/>
        </w:rPr>
      </w:pPr>
      <w:r w:rsidRPr="000F3ED1">
        <w:rPr>
          <w:rFonts w:ascii="Helvetica" w:hAnsi="Helvetica"/>
        </w:rPr>
        <w:t>*Corresponding author Email: xchu@zzu.edu.cn</w:t>
      </w:r>
    </w:p>
    <w:p w14:paraId="16979DDD" w14:textId="77777777" w:rsidR="004E6F74" w:rsidRPr="000F3ED1" w:rsidRDefault="004E6F74" w:rsidP="004E6F74">
      <w:pPr>
        <w:rPr>
          <w:rFonts w:ascii="Helvetica" w:hAnsi="Helvetica"/>
          <w:b/>
        </w:rPr>
      </w:pPr>
    </w:p>
    <w:p w14:paraId="518FEE17" w14:textId="77777777" w:rsidR="004E6F74" w:rsidRPr="000F3ED1" w:rsidRDefault="004E6F74" w:rsidP="004E6F74">
      <w:pPr>
        <w:rPr>
          <w:rFonts w:ascii="Helvetica" w:hAnsi="Helvetica"/>
          <w:b/>
        </w:rPr>
      </w:pPr>
    </w:p>
    <w:p w14:paraId="19ADDB26" w14:textId="77777777" w:rsidR="004E6F74" w:rsidRPr="000F3ED1" w:rsidRDefault="004E6F74" w:rsidP="004E6F74">
      <w:pPr>
        <w:rPr>
          <w:rFonts w:ascii="Helvetica" w:hAnsi="Helvetica"/>
          <w:b/>
        </w:rPr>
      </w:pPr>
    </w:p>
    <w:p w14:paraId="3DBCFEC5" w14:textId="77777777" w:rsidR="004E6F74" w:rsidRPr="000F3ED1" w:rsidRDefault="004E6F74" w:rsidP="004E6F74">
      <w:pPr>
        <w:rPr>
          <w:rFonts w:ascii="Helvetica" w:hAnsi="Helvetica"/>
          <w:b/>
        </w:rPr>
      </w:pPr>
    </w:p>
    <w:p w14:paraId="1686ADBA" w14:textId="77777777" w:rsidR="004E6F74" w:rsidRPr="000F3ED1" w:rsidRDefault="004E6F74" w:rsidP="004E6F74">
      <w:pPr>
        <w:rPr>
          <w:rFonts w:ascii="Helvetica" w:hAnsi="Helvetica"/>
          <w:b/>
        </w:rPr>
      </w:pPr>
    </w:p>
    <w:p w14:paraId="47C36A19" w14:textId="77777777" w:rsidR="004E6F74" w:rsidRPr="000F3ED1" w:rsidRDefault="004E6F74" w:rsidP="004E6F74">
      <w:pPr>
        <w:rPr>
          <w:rFonts w:ascii="Helvetica" w:hAnsi="Helvetica"/>
          <w:b/>
        </w:rPr>
      </w:pPr>
    </w:p>
    <w:p w14:paraId="2ECA1D65" w14:textId="77777777" w:rsidR="004E6F74" w:rsidRPr="000F3ED1" w:rsidRDefault="004E6F74" w:rsidP="004E6F74">
      <w:pPr>
        <w:rPr>
          <w:rFonts w:ascii="Helvetica" w:hAnsi="Helvetica"/>
          <w:b/>
        </w:rPr>
      </w:pPr>
    </w:p>
    <w:p w14:paraId="1AD67D24" w14:textId="77777777" w:rsidR="004E6F74" w:rsidRPr="000F3ED1" w:rsidRDefault="004E6F74" w:rsidP="004E6F74">
      <w:pPr>
        <w:rPr>
          <w:rFonts w:ascii="Helvetica" w:hAnsi="Helvetica"/>
          <w:b/>
        </w:rPr>
      </w:pPr>
      <w:r w:rsidRPr="000F3ED1">
        <w:rPr>
          <w:rFonts w:ascii="Helvetica" w:hAnsi="Helvetica"/>
          <w:b/>
        </w:rPr>
        <w:t>This file includes:</w:t>
      </w:r>
    </w:p>
    <w:p w14:paraId="318B9290" w14:textId="4AB253DD" w:rsidR="004E6F74" w:rsidRPr="000F3ED1" w:rsidRDefault="004E6F74" w:rsidP="004E6F74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</w:rPr>
        <w:t xml:space="preserve">            </w:t>
      </w:r>
      <w:r w:rsidRPr="000F3ED1">
        <w:rPr>
          <w:rFonts w:ascii="Helvetica" w:hAnsi="Helvetica"/>
          <w:b/>
          <w:bCs/>
        </w:rPr>
        <w:t xml:space="preserve">Extended Fig. 1 to </w:t>
      </w:r>
      <w:r w:rsidR="00CC5990" w:rsidRPr="000F3ED1">
        <w:rPr>
          <w:rFonts w:ascii="Helvetica" w:hAnsi="Helvetica"/>
          <w:b/>
          <w:bCs/>
          <w:lang w:val="en-US"/>
        </w:rPr>
        <w:t>6</w:t>
      </w:r>
    </w:p>
    <w:p w14:paraId="3639A27E" w14:textId="189EE323" w:rsidR="00907833" w:rsidRPr="000F3ED1" w:rsidRDefault="00907833">
      <w:pPr>
        <w:rPr>
          <w:rFonts w:ascii="Helvetica" w:hAnsi="Helvetica"/>
          <w:lang w:val="en-US"/>
        </w:rPr>
      </w:pPr>
    </w:p>
    <w:p w14:paraId="227C624D" w14:textId="18D3DA60" w:rsidR="00907833" w:rsidRPr="000F3ED1" w:rsidRDefault="00907833">
      <w:pPr>
        <w:rPr>
          <w:rFonts w:ascii="Helvetica" w:hAnsi="Helvetica"/>
          <w:lang w:val="en-US"/>
        </w:rPr>
      </w:pPr>
    </w:p>
    <w:p w14:paraId="126D4369" w14:textId="04BFBEE8" w:rsidR="00907833" w:rsidRPr="000F3ED1" w:rsidRDefault="00907833">
      <w:pPr>
        <w:rPr>
          <w:rFonts w:ascii="Helvetica" w:hAnsi="Helvetica"/>
          <w:lang w:val="en-US"/>
        </w:rPr>
      </w:pPr>
    </w:p>
    <w:p w14:paraId="4B0B80C1" w14:textId="135747FA" w:rsidR="00907833" w:rsidRPr="000F3ED1" w:rsidRDefault="00907833">
      <w:pPr>
        <w:rPr>
          <w:rFonts w:ascii="Helvetica" w:hAnsi="Helvetica"/>
          <w:lang w:val="en-US"/>
        </w:rPr>
      </w:pPr>
    </w:p>
    <w:p w14:paraId="16710FD3" w14:textId="0A78C881" w:rsidR="00907833" w:rsidRPr="000F3ED1" w:rsidRDefault="00907833">
      <w:pPr>
        <w:rPr>
          <w:rFonts w:ascii="Helvetica" w:hAnsi="Helvetica"/>
          <w:lang w:val="en-US"/>
        </w:rPr>
      </w:pPr>
    </w:p>
    <w:p w14:paraId="360E4CF5" w14:textId="133AA479" w:rsidR="00D959C8" w:rsidRPr="000F3ED1" w:rsidRDefault="00D959C8" w:rsidP="004E6F74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lang w:val="en-US"/>
        </w:rPr>
        <w:br w:type="page"/>
      </w:r>
      <w:r w:rsidRPr="000F3ED1">
        <w:rPr>
          <w:rFonts w:ascii="Helvetica" w:hAnsi="Helvetica"/>
          <w:noProof/>
          <w:lang w:val="en-US"/>
        </w:rPr>
        <w:lastRenderedPageBreak/>
        <w:drawing>
          <wp:inline distT="0" distB="0" distL="0" distR="0" wp14:anchorId="5376187B" wp14:editId="7BF1A554">
            <wp:extent cx="5943600" cy="6727190"/>
            <wp:effectExtent l="0" t="0" r="0" b="3810"/>
            <wp:docPr id="21166382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638276" name="Picture 211663827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2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9D145" w14:textId="77777777" w:rsidR="00D959C8" w:rsidRPr="000F3ED1" w:rsidRDefault="00D959C8" w:rsidP="00D959C8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 xml:space="preserve">Extended Data Fig. 1 | Protease-mediated cleavage of </w:t>
      </w:r>
      <w:proofErr w:type="spellStart"/>
      <w:r w:rsidRPr="000F3ED1">
        <w:rPr>
          <w:rFonts w:ascii="Helvetica" w:hAnsi="Helvetica"/>
          <w:b/>
          <w:bCs/>
          <w:lang w:val="en-US"/>
        </w:rPr>
        <w:t>gasdermin</w:t>
      </w:r>
      <w:proofErr w:type="spellEnd"/>
      <w:r w:rsidRPr="000F3ED1">
        <w:rPr>
          <w:rFonts w:ascii="Helvetica" w:hAnsi="Helvetica"/>
          <w:b/>
          <w:bCs/>
          <w:lang w:val="en-US"/>
        </w:rPr>
        <w:t xml:space="preserve"> causes </w:t>
      </w:r>
      <w:proofErr w:type="spellStart"/>
      <w:r w:rsidRPr="000F3ED1">
        <w:rPr>
          <w:rFonts w:ascii="Helvetica" w:hAnsi="Helvetica"/>
          <w:b/>
          <w:bCs/>
          <w:lang w:val="en-US"/>
        </w:rPr>
        <w:t>pyroptosis</w:t>
      </w:r>
      <w:proofErr w:type="spellEnd"/>
      <w:r w:rsidRPr="000F3ED1">
        <w:rPr>
          <w:rFonts w:ascii="Helvetica" w:hAnsi="Helvetica"/>
          <w:b/>
          <w:bCs/>
          <w:lang w:val="en-US"/>
        </w:rPr>
        <w:t>.</w:t>
      </w:r>
    </w:p>
    <w:p w14:paraId="32AE107F" w14:textId="77777777" w:rsidR="00D959C8" w:rsidRPr="000F3ED1" w:rsidRDefault="00D959C8" w:rsidP="00D959C8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 xml:space="preserve">A. </w:t>
      </w:r>
      <w:r w:rsidRPr="000F3ED1">
        <w:rPr>
          <w:rFonts w:ascii="Helvetica" w:hAnsi="Helvetica"/>
          <w:lang w:val="en-US"/>
        </w:rPr>
        <w:t xml:space="preserve">Schematic illustration of pyroptotic signaling pathways indicates that the specific cleavage and activation of </w:t>
      </w:r>
      <w:proofErr w:type="spellStart"/>
      <w:r w:rsidRPr="000F3ED1">
        <w:rPr>
          <w:rFonts w:ascii="Helvetica" w:hAnsi="Helvetica"/>
          <w:lang w:val="en-US"/>
        </w:rPr>
        <w:t>gasdermin</w:t>
      </w:r>
      <w:proofErr w:type="spellEnd"/>
      <w:r w:rsidRPr="000F3ED1">
        <w:rPr>
          <w:rFonts w:ascii="Helvetica" w:hAnsi="Helvetica"/>
          <w:lang w:val="en-US"/>
        </w:rPr>
        <w:t xml:space="preserve"> family is the key event of </w:t>
      </w:r>
      <w:proofErr w:type="spellStart"/>
      <w:r w:rsidRPr="000F3ED1">
        <w:rPr>
          <w:rFonts w:ascii="Helvetica" w:hAnsi="Helvetica"/>
          <w:lang w:val="en-US"/>
        </w:rPr>
        <w:t>pyroptosis</w:t>
      </w:r>
      <w:proofErr w:type="spellEnd"/>
      <w:r w:rsidRPr="000F3ED1">
        <w:rPr>
          <w:rFonts w:ascii="Helvetica" w:hAnsi="Helvetica"/>
          <w:lang w:val="en-US"/>
        </w:rPr>
        <w:t>.</w:t>
      </w:r>
    </w:p>
    <w:p w14:paraId="5ABB961A" w14:textId="77777777" w:rsidR="00D959C8" w:rsidRPr="000F3ED1" w:rsidRDefault="00D959C8" w:rsidP="00D959C8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>B</w:t>
      </w:r>
      <w:r w:rsidRPr="000F3ED1">
        <w:rPr>
          <w:rFonts w:ascii="Helvetica" w:hAnsi="Helvetica"/>
          <w:lang w:val="en-US"/>
        </w:rPr>
        <w:t xml:space="preserve">. Schematic illustration of the cleavage site in human or mouse </w:t>
      </w:r>
      <w:proofErr w:type="spellStart"/>
      <w:r w:rsidRPr="000F3ED1">
        <w:rPr>
          <w:rFonts w:ascii="Helvetica" w:hAnsi="Helvetica"/>
          <w:lang w:val="en-US"/>
        </w:rPr>
        <w:t>gasdermin</w:t>
      </w:r>
      <w:proofErr w:type="spellEnd"/>
      <w:r w:rsidRPr="000F3ED1">
        <w:rPr>
          <w:rFonts w:ascii="Helvetica" w:hAnsi="Helvetica"/>
          <w:lang w:val="en-US"/>
        </w:rPr>
        <w:t xml:space="preserve"> family and the proteases responsible for the specific cleavage.</w:t>
      </w:r>
    </w:p>
    <w:p w14:paraId="697A4599" w14:textId="2CAE924C" w:rsidR="00D959C8" w:rsidRPr="000F3ED1" w:rsidRDefault="00D959C8" w:rsidP="00D959C8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>C</w:t>
      </w:r>
      <w:r w:rsidRPr="000F3ED1">
        <w:rPr>
          <w:rFonts w:ascii="Helvetica" w:hAnsi="Helvetica"/>
          <w:lang w:val="en-US"/>
        </w:rPr>
        <w:t>. Schematic illustration of mouse GSDMD full-length (GD-FL), N-terminal domain (GD-NT) and C-terminal domain (GD-CT).</w:t>
      </w:r>
    </w:p>
    <w:p w14:paraId="12CCFCD7" w14:textId="77777777" w:rsidR="00D959C8" w:rsidRPr="000F3ED1" w:rsidRDefault="00D959C8" w:rsidP="00D959C8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lastRenderedPageBreak/>
        <w:t>D</w:t>
      </w:r>
      <w:r w:rsidRPr="000F3ED1">
        <w:rPr>
          <w:rFonts w:ascii="Helvetica" w:hAnsi="Helvetica"/>
          <w:lang w:val="en-US"/>
        </w:rPr>
        <w:t xml:space="preserve">. Caspase-11 cleaves GSDMD to produce the cytolytic fragment GD-NT. HEK293 cells were transfected with Flag-GD-FL and/or HA-caspase-11. 24 hour later, cells were subjected to DAPI staining for fluorescent microscope imaging or cell lysis for immunoblot with the indicated antibodies. </w:t>
      </w:r>
    </w:p>
    <w:p w14:paraId="0BCD01AB" w14:textId="77777777" w:rsidR="00D959C8" w:rsidRPr="000F3ED1" w:rsidRDefault="00D959C8" w:rsidP="004E6F74">
      <w:pPr>
        <w:rPr>
          <w:rFonts w:ascii="Helvetica" w:hAnsi="Helvetica"/>
        </w:rPr>
      </w:pPr>
    </w:p>
    <w:p w14:paraId="7064202F" w14:textId="28E6C9F3" w:rsidR="003903AE" w:rsidRPr="000F3ED1" w:rsidRDefault="003903AE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lang w:val="en-US"/>
        </w:rPr>
        <w:br w:type="page"/>
      </w:r>
    </w:p>
    <w:p w14:paraId="448EBF32" w14:textId="77777777" w:rsidR="003903AE" w:rsidRPr="000F3ED1" w:rsidRDefault="003903AE" w:rsidP="003903AE">
      <w:pPr>
        <w:rPr>
          <w:rFonts w:ascii="Helvetica" w:hAnsi="Helvetica"/>
          <w:b/>
          <w:bCs/>
          <w:lang w:val="en-US"/>
        </w:rPr>
      </w:pPr>
    </w:p>
    <w:p w14:paraId="2CA3BD8A" w14:textId="241F5736" w:rsidR="003903AE" w:rsidRPr="000F3ED1" w:rsidRDefault="003903AE" w:rsidP="003903AE">
      <w:pPr>
        <w:rPr>
          <w:rFonts w:ascii="Helvetica" w:hAnsi="Helvetica"/>
          <w:b/>
          <w:bCs/>
          <w:lang w:val="en-US"/>
        </w:rPr>
      </w:pPr>
      <w:r w:rsidRPr="000F3ED1">
        <w:rPr>
          <w:rFonts w:ascii="Helvetica" w:hAnsi="Helvetica"/>
          <w:b/>
          <w:bCs/>
          <w:noProof/>
          <w:lang w:val="en-US"/>
        </w:rPr>
        <w:drawing>
          <wp:inline distT="0" distB="0" distL="0" distR="0" wp14:anchorId="61618077" wp14:editId="7867073A">
            <wp:extent cx="4673600" cy="1460500"/>
            <wp:effectExtent l="0" t="0" r="0" b="0"/>
            <wp:docPr id="15739759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975929" name="Picture 157397592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C710E" w14:textId="77777777" w:rsidR="003903AE" w:rsidRPr="000F3ED1" w:rsidRDefault="003903AE" w:rsidP="003903AE">
      <w:pPr>
        <w:rPr>
          <w:rFonts w:ascii="Helvetica" w:hAnsi="Helvetica"/>
          <w:b/>
          <w:bCs/>
          <w:lang w:val="en-US"/>
        </w:rPr>
      </w:pPr>
    </w:p>
    <w:p w14:paraId="264B0A3A" w14:textId="3349ADF7" w:rsidR="003903AE" w:rsidRPr="000F3ED1" w:rsidRDefault="003903AE" w:rsidP="003903AE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>Extended Data Fig. 2 | GD-CT binds GD-NT and blocks its translocation to plasma membrane</w:t>
      </w:r>
    </w:p>
    <w:p w14:paraId="27D4262B" w14:textId="77777777" w:rsidR="003903AE" w:rsidRPr="000F3ED1" w:rsidRDefault="003903AE" w:rsidP="003903AE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>A. Validation of GSDMD constructs. HEK293 cells were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transfected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with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Flag-GD-FL, Flag-GD-NT or HA-GD-CT. 24 hours later, cells were harvested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and WCL was subjected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to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IB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analysis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with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 xml:space="preserve">indicated antibodies. </w:t>
      </w:r>
    </w:p>
    <w:p w14:paraId="10C903F5" w14:textId="77777777" w:rsidR="003903AE" w:rsidRPr="000F3ED1" w:rsidRDefault="003903AE" w:rsidP="003903AE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>B. Co-distribution of NT and CT by fluorescent-macroscopy. HeLa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cells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were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co-transfected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with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Flag-GD-NT and HA-GD-CT, 18 hours later, cells were fixed with methanol, stained with mouse FITC-Flag or rabbit PE-HA antibody, counter stained with Hoechst. The distribution of NT and CT were visualized by fluorescent-macroscopy.</w:t>
      </w:r>
    </w:p>
    <w:p w14:paraId="38DE496B" w14:textId="718ABE13" w:rsidR="007972ED" w:rsidRPr="000F3ED1" w:rsidRDefault="007972ED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lang w:val="en-US"/>
        </w:rPr>
        <w:br w:type="page"/>
      </w:r>
    </w:p>
    <w:p w14:paraId="0836617A" w14:textId="628D42C1" w:rsidR="007972ED" w:rsidRPr="000F3ED1" w:rsidRDefault="004F13C4" w:rsidP="007972ED">
      <w:pPr>
        <w:rPr>
          <w:rFonts w:ascii="Helvetica" w:hAnsi="Helvetica"/>
          <w:b/>
          <w:bCs/>
          <w:lang w:val="en-US"/>
        </w:rPr>
      </w:pPr>
      <w:r w:rsidRPr="000F3ED1">
        <w:rPr>
          <w:rFonts w:ascii="Helvetica" w:hAnsi="Helvetica"/>
          <w:b/>
          <w:bCs/>
          <w:noProof/>
          <w:lang w:val="en-US"/>
        </w:rPr>
        <w:lastRenderedPageBreak/>
        <w:drawing>
          <wp:inline distT="0" distB="0" distL="0" distR="0" wp14:anchorId="6046C0DA" wp14:editId="4F715E24">
            <wp:extent cx="2108200" cy="1473200"/>
            <wp:effectExtent l="0" t="0" r="0" b="0"/>
            <wp:docPr id="17238054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805487" name="Picture 172380548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C4954" w14:textId="77777777" w:rsidR="004F13C4" w:rsidRPr="000F3ED1" w:rsidRDefault="004F13C4" w:rsidP="007972ED">
      <w:pPr>
        <w:rPr>
          <w:rFonts w:ascii="Helvetica" w:hAnsi="Helvetica"/>
          <w:b/>
          <w:bCs/>
          <w:lang w:val="en-US"/>
        </w:rPr>
      </w:pPr>
    </w:p>
    <w:p w14:paraId="761D7612" w14:textId="493EC5C8" w:rsidR="007972ED" w:rsidRPr="000F3ED1" w:rsidRDefault="007972ED" w:rsidP="007972ED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>Extended Data Fig. 3 | The free GD-CT does not localize on plasma membrane</w:t>
      </w:r>
    </w:p>
    <w:p w14:paraId="63478D38" w14:textId="77777777" w:rsidR="007972ED" w:rsidRPr="000F3ED1" w:rsidRDefault="007972ED" w:rsidP="007972ED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>A. Co-distribution of NT and CT by fluorescent-macroscopy. HeLa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cells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were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transfected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with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Flag-GD-NT or Flag-GD-CT, respectively. 18 hours later, cells were fixed with methanol, stained with mouse FITC-Flag or rabbit PE-HA antibody, counter stained with Hoechst. The distribution of NT and CT were visualized by fluorescent-macroscopy.</w:t>
      </w:r>
    </w:p>
    <w:p w14:paraId="72AAE64C" w14:textId="2F152288" w:rsidR="00B618AD" w:rsidRPr="000F3ED1" w:rsidRDefault="00B618AD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lang w:val="en-US"/>
        </w:rPr>
        <w:br w:type="page"/>
      </w:r>
    </w:p>
    <w:p w14:paraId="4FAE46A7" w14:textId="3470ECE2" w:rsidR="00B618AD" w:rsidRPr="000F3ED1" w:rsidRDefault="00AC209C" w:rsidP="00B618AD">
      <w:pPr>
        <w:rPr>
          <w:rFonts w:ascii="Helvetica" w:hAnsi="Helvetica"/>
          <w:b/>
          <w:bCs/>
          <w:lang w:val="en-US"/>
        </w:rPr>
      </w:pPr>
      <w:r w:rsidRPr="000F3ED1">
        <w:rPr>
          <w:rFonts w:ascii="Helvetica" w:hAnsi="Helvetica"/>
          <w:b/>
          <w:bCs/>
          <w:noProof/>
          <w:lang w:val="en-US"/>
        </w:rPr>
        <w:lastRenderedPageBreak/>
        <w:drawing>
          <wp:inline distT="0" distB="0" distL="0" distR="0" wp14:anchorId="6B3C779C" wp14:editId="7B2DC6D0">
            <wp:extent cx="3721100" cy="1739900"/>
            <wp:effectExtent l="0" t="0" r="0" b="0"/>
            <wp:docPr id="2224142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414213" name="Picture 2224142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B4189" w14:textId="77777777" w:rsidR="00B618AD" w:rsidRPr="000F3ED1" w:rsidRDefault="00B618AD" w:rsidP="00B618AD">
      <w:pPr>
        <w:rPr>
          <w:rFonts w:ascii="Helvetica" w:hAnsi="Helvetica"/>
          <w:b/>
          <w:bCs/>
          <w:lang w:val="en-US"/>
        </w:rPr>
      </w:pPr>
    </w:p>
    <w:p w14:paraId="49D528AE" w14:textId="6BD961D6" w:rsidR="00B618AD" w:rsidRPr="000F3ED1" w:rsidRDefault="00B618AD" w:rsidP="00B618AD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>Extended Data Fig. 4 | The short half-life of GD-CT contributes to the liberation of GD-NT.</w:t>
      </w:r>
    </w:p>
    <w:p w14:paraId="11866D43" w14:textId="77777777" w:rsidR="00B618AD" w:rsidRPr="000F3ED1" w:rsidRDefault="00B618AD" w:rsidP="00B618AD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 xml:space="preserve">A. HEK293T cells were transfected with </w:t>
      </w:r>
      <w:proofErr w:type="spellStart"/>
      <w:r w:rsidRPr="000F3ED1">
        <w:rPr>
          <w:rFonts w:ascii="Helvetica" w:hAnsi="Helvetica"/>
          <w:lang w:val="en-US"/>
        </w:rPr>
        <w:t>nmFlag</w:t>
      </w:r>
      <w:proofErr w:type="spellEnd"/>
      <w:r w:rsidRPr="000F3ED1">
        <w:rPr>
          <w:rFonts w:ascii="Helvetica" w:hAnsi="Helvetica"/>
          <w:lang w:val="en-US"/>
        </w:rPr>
        <w:t xml:space="preserve">-GD-FL and/or HA-caspase-11. 20 hours later, different concentration of CHX were used to block protein synthesis and the cells were harvested at 4 hours post-CHX for IB analysis with indicated antibodies. </w:t>
      </w:r>
    </w:p>
    <w:p w14:paraId="6D1A52D8" w14:textId="77777777" w:rsidR="00B618AD" w:rsidRPr="000F3ED1" w:rsidRDefault="00B618AD" w:rsidP="00B618AD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>B.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 xml:space="preserve">HEK293T cells were transfected with </w:t>
      </w:r>
      <w:proofErr w:type="spellStart"/>
      <w:r w:rsidRPr="000F3ED1">
        <w:rPr>
          <w:rFonts w:ascii="Helvetica" w:hAnsi="Helvetica"/>
          <w:lang w:val="en-US"/>
        </w:rPr>
        <w:t>nmFlag</w:t>
      </w:r>
      <w:proofErr w:type="spellEnd"/>
      <w:r w:rsidRPr="000F3ED1">
        <w:rPr>
          <w:rFonts w:ascii="Helvetica" w:hAnsi="Helvetica"/>
          <w:lang w:val="en-US"/>
        </w:rPr>
        <w:t>-GD-FL and/or HA-caspase-11. 20 hours later, the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cells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were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treated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with</w:t>
      </w:r>
      <w:r w:rsidRPr="000F3ED1">
        <w:rPr>
          <w:rFonts w:ascii="Helvetica" w:hAnsi="Helvetica"/>
        </w:rPr>
        <w:t xml:space="preserve"> </w:t>
      </w:r>
      <w:proofErr w:type="spellStart"/>
      <w:r w:rsidRPr="000F3ED1">
        <w:rPr>
          <w:rFonts w:ascii="Helvetica" w:hAnsi="Helvetica"/>
          <w:lang w:val="en-US"/>
        </w:rPr>
        <w:t>with</w:t>
      </w:r>
      <w:proofErr w:type="spellEnd"/>
      <w:r w:rsidRPr="000F3ED1">
        <w:rPr>
          <w:rFonts w:ascii="Helvetica" w:hAnsi="Helvetica"/>
          <w:lang w:val="en-US"/>
        </w:rPr>
        <w:t xml:space="preserve"> CHX (50 µg/ml)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 xml:space="preserve">and different degradation </w:t>
      </w:r>
      <w:proofErr w:type="spellStart"/>
      <w:r w:rsidRPr="000F3ED1">
        <w:rPr>
          <w:rFonts w:ascii="Helvetica" w:hAnsi="Helvetica"/>
          <w:lang w:val="en-US"/>
        </w:rPr>
        <w:t>hibhitors</w:t>
      </w:r>
      <w:proofErr w:type="spellEnd"/>
      <w:r w:rsidRPr="000F3ED1">
        <w:rPr>
          <w:rFonts w:ascii="Helvetica" w:hAnsi="Helvetica"/>
          <w:lang w:val="en-US"/>
        </w:rPr>
        <w:t>.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4 hours post-CHX,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the cells were harvested for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 xml:space="preserve">IB analysis with indicated antibodies. </w:t>
      </w:r>
    </w:p>
    <w:p w14:paraId="58DA8D60" w14:textId="0C2C0BB9" w:rsidR="002A7D48" w:rsidRPr="000F3ED1" w:rsidRDefault="002A7D48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lang w:val="en-US"/>
        </w:rPr>
        <w:br w:type="page"/>
      </w:r>
    </w:p>
    <w:p w14:paraId="10CA71FB" w14:textId="3E66D669" w:rsidR="004E6F74" w:rsidRPr="000F3ED1" w:rsidRDefault="002A7D48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noProof/>
          <w:lang w:val="en-US"/>
        </w:rPr>
        <w:lastRenderedPageBreak/>
        <w:drawing>
          <wp:inline distT="0" distB="0" distL="0" distR="0" wp14:anchorId="0A3C429B" wp14:editId="0E67931A">
            <wp:extent cx="5232400" cy="1879600"/>
            <wp:effectExtent l="0" t="0" r="0" b="0"/>
            <wp:docPr id="8165466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546633" name="Picture 81654663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C15D3" w14:textId="77777777" w:rsidR="002A7D48" w:rsidRPr="000F3ED1" w:rsidRDefault="002A7D48">
      <w:pPr>
        <w:rPr>
          <w:rFonts w:ascii="Helvetica" w:hAnsi="Helvetica"/>
          <w:lang w:val="en-US"/>
        </w:rPr>
      </w:pPr>
    </w:p>
    <w:p w14:paraId="4CEE1755" w14:textId="77777777" w:rsidR="002A7D48" w:rsidRPr="000F3ED1" w:rsidRDefault="002A7D48" w:rsidP="002A7D48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 xml:space="preserve">Extended Fig. 5 | The design of chimera protein FKBP-GD-CTs. </w:t>
      </w:r>
    </w:p>
    <w:p w14:paraId="6501F6A9" w14:textId="197E2303" w:rsidR="002A7D48" w:rsidRPr="000F3ED1" w:rsidRDefault="002A7D48" w:rsidP="002A7D48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>A. Schematic illustration depicts the structure of mouse GSDMD. Structure of FKBP-GD-CTs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was analyzed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and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 xml:space="preserve">predicted via RCSB PDB (PDB code: 6N9N) and </w:t>
      </w:r>
      <w:proofErr w:type="spellStart"/>
      <w:r w:rsidRPr="000F3ED1">
        <w:rPr>
          <w:rFonts w:ascii="Helvetica" w:hAnsi="Helvetica"/>
          <w:lang w:val="en-US"/>
        </w:rPr>
        <w:t>PyMOL</w:t>
      </w:r>
      <w:proofErr w:type="spellEnd"/>
      <w:r w:rsidRPr="000F3ED1">
        <w:rPr>
          <w:rFonts w:ascii="Helvetica" w:hAnsi="Helvetica"/>
          <w:lang w:val="en-US"/>
        </w:rPr>
        <w:t xml:space="preserve"> was used to generate structure model. </w:t>
      </w:r>
    </w:p>
    <w:p w14:paraId="1760A8FC" w14:textId="6743F4CF" w:rsidR="002A7D48" w:rsidRPr="000F3ED1" w:rsidRDefault="002A7D48" w:rsidP="002A7D48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>B. Distribution of NT and CT by fluorescent-macroscopy. HeLa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cells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were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co-transfected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Flag-FKBP-GD-CTs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or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Flag-GD-CT, 18 hours later, cells were fixed with methanol, stained with mouse FITC-Flag antibody, counter stained with Hoechst. The distributions of these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proteins</w:t>
      </w:r>
      <w:r w:rsidRPr="000F3ED1">
        <w:rPr>
          <w:rFonts w:ascii="Helvetica" w:hAnsi="Helvetica"/>
        </w:rPr>
        <w:t xml:space="preserve"> </w:t>
      </w:r>
      <w:r w:rsidRPr="000F3ED1">
        <w:rPr>
          <w:rFonts w:ascii="Helvetica" w:hAnsi="Helvetica"/>
          <w:lang w:val="en-US"/>
        </w:rPr>
        <w:t>were visualized by fluorescent-macroscopy.</w:t>
      </w:r>
    </w:p>
    <w:p w14:paraId="67EF0B17" w14:textId="7CC9401E" w:rsidR="009A04EC" w:rsidRPr="000F3ED1" w:rsidRDefault="009A04EC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lang w:val="en-US"/>
        </w:rPr>
        <w:br w:type="page"/>
      </w:r>
    </w:p>
    <w:p w14:paraId="4FADB07D" w14:textId="46D0B9CF" w:rsidR="002A7D48" w:rsidRPr="000F3ED1" w:rsidRDefault="009A04EC">
      <w:pPr>
        <w:rPr>
          <w:rFonts w:ascii="Helvetica" w:hAnsi="Helvetica"/>
          <w:lang w:val="en-US"/>
        </w:rPr>
      </w:pPr>
      <w:r w:rsidRPr="000F3ED1">
        <w:rPr>
          <w:rFonts w:ascii="Helvetica" w:hAnsi="Helvetica"/>
          <w:noProof/>
          <w:lang w:val="en-US"/>
        </w:rPr>
        <w:lastRenderedPageBreak/>
        <w:drawing>
          <wp:inline distT="0" distB="0" distL="0" distR="0" wp14:anchorId="507519BB" wp14:editId="53EA1A6A">
            <wp:extent cx="5397500" cy="2933700"/>
            <wp:effectExtent l="0" t="0" r="0" b="0"/>
            <wp:docPr id="208568182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681822" name="Picture 208568182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D53AB" w14:textId="77777777" w:rsidR="009A04EC" w:rsidRPr="000F3ED1" w:rsidRDefault="009A04EC" w:rsidP="009A04EC">
      <w:pPr>
        <w:rPr>
          <w:rFonts w:ascii="Helvetica" w:hAnsi="Helvetica"/>
        </w:rPr>
      </w:pPr>
      <w:r w:rsidRPr="000F3ED1">
        <w:rPr>
          <w:rFonts w:ascii="Helvetica" w:hAnsi="Helvetica"/>
          <w:b/>
          <w:bCs/>
          <w:lang w:val="en-US"/>
        </w:rPr>
        <w:t xml:space="preserve">Extended Fig. 6 | FKBP-GD-CTs blocks GD-NT-mediated </w:t>
      </w:r>
      <w:proofErr w:type="spellStart"/>
      <w:r w:rsidRPr="000F3ED1">
        <w:rPr>
          <w:rFonts w:ascii="Helvetica" w:hAnsi="Helvetica"/>
          <w:b/>
          <w:bCs/>
          <w:lang w:val="en-US"/>
        </w:rPr>
        <w:t>pyroptosis</w:t>
      </w:r>
      <w:proofErr w:type="spellEnd"/>
      <w:r w:rsidRPr="000F3ED1">
        <w:rPr>
          <w:rFonts w:ascii="Helvetica" w:hAnsi="Helvetica"/>
          <w:b/>
          <w:bCs/>
          <w:lang w:val="en-US"/>
        </w:rPr>
        <w:t xml:space="preserve"> in a more efficient way.</w:t>
      </w:r>
    </w:p>
    <w:p w14:paraId="289F8E4E" w14:textId="256162ED" w:rsidR="009A04EC" w:rsidRPr="000F3ED1" w:rsidRDefault="009A04EC" w:rsidP="009A04EC">
      <w:pPr>
        <w:rPr>
          <w:rFonts w:ascii="Helvetica" w:hAnsi="Helvetica"/>
        </w:rPr>
      </w:pPr>
      <w:r w:rsidRPr="000F3ED1">
        <w:rPr>
          <w:rFonts w:ascii="Helvetica" w:hAnsi="Helvetica"/>
          <w:lang w:val="en-US"/>
        </w:rPr>
        <w:t>A, 293-tetO-GD cells were transfected with the indicated constructs. 24 hours later, cells were treated with Dox (2</w:t>
      </w:r>
      <w:r w:rsidR="000F3ED1" w:rsidRPr="000F3ED1">
        <w:rPr>
          <w:rFonts w:ascii="Helvetica" w:hAnsi="Helvetica"/>
        </w:rPr>
        <w:t xml:space="preserve"> </w:t>
      </w:r>
      <w:r w:rsidR="000F3ED1" w:rsidRPr="000F3ED1">
        <w:rPr>
          <w:rFonts w:ascii="Helvetica" w:hAnsi="Helvetica"/>
        </w:rPr>
        <w:t>µg</w:t>
      </w:r>
      <w:r w:rsidR="000F3ED1" w:rsidRPr="000F3ED1">
        <w:rPr>
          <w:rFonts w:ascii="Helvetica" w:hAnsi="Helvetica"/>
          <w:lang w:val="en-US"/>
        </w:rPr>
        <w:t xml:space="preserve"> </w:t>
      </w:r>
      <w:r w:rsidRPr="000F3ED1">
        <w:rPr>
          <w:rFonts w:ascii="Helvetica" w:hAnsi="Helvetica"/>
          <w:lang w:val="en-US"/>
        </w:rPr>
        <w:t xml:space="preserve">/ml). 16 hours after Dox, the cells were imaged under phase-contrast microscope (left) or subjected to IB analysis with indicated antibodies (right). </w:t>
      </w:r>
    </w:p>
    <w:p w14:paraId="4219219C" w14:textId="77777777" w:rsidR="009A04EC" w:rsidRPr="000F3ED1" w:rsidRDefault="009A04EC">
      <w:pPr>
        <w:rPr>
          <w:rFonts w:ascii="Helvetica" w:hAnsi="Helvetica"/>
        </w:rPr>
      </w:pPr>
    </w:p>
    <w:sectPr w:rsidR="009A04EC" w:rsidRPr="000F3E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833"/>
    <w:rsid w:val="00012D57"/>
    <w:rsid w:val="00035C4B"/>
    <w:rsid w:val="0004183E"/>
    <w:rsid w:val="00052FA2"/>
    <w:rsid w:val="000550FD"/>
    <w:rsid w:val="00057B14"/>
    <w:rsid w:val="00084ED7"/>
    <w:rsid w:val="000A3AC7"/>
    <w:rsid w:val="000B15BE"/>
    <w:rsid w:val="000C47F9"/>
    <w:rsid w:val="000F3ED1"/>
    <w:rsid w:val="00153535"/>
    <w:rsid w:val="001655AE"/>
    <w:rsid w:val="001701F3"/>
    <w:rsid w:val="001877BB"/>
    <w:rsid w:val="00196146"/>
    <w:rsid w:val="001B5485"/>
    <w:rsid w:val="001D3EE4"/>
    <w:rsid w:val="001E6515"/>
    <w:rsid w:val="00212103"/>
    <w:rsid w:val="00221CE8"/>
    <w:rsid w:val="002747B0"/>
    <w:rsid w:val="002A2081"/>
    <w:rsid w:val="002A7D48"/>
    <w:rsid w:val="002B15CA"/>
    <w:rsid w:val="002F6DF1"/>
    <w:rsid w:val="00300520"/>
    <w:rsid w:val="0032293D"/>
    <w:rsid w:val="00363A5E"/>
    <w:rsid w:val="003903AE"/>
    <w:rsid w:val="003977CB"/>
    <w:rsid w:val="003A3964"/>
    <w:rsid w:val="003B5CD2"/>
    <w:rsid w:val="004058F3"/>
    <w:rsid w:val="004221C4"/>
    <w:rsid w:val="00427212"/>
    <w:rsid w:val="00450A49"/>
    <w:rsid w:val="00495DA1"/>
    <w:rsid w:val="00495DA6"/>
    <w:rsid w:val="004E6F74"/>
    <w:rsid w:val="004E73C8"/>
    <w:rsid w:val="004F13C4"/>
    <w:rsid w:val="004F5234"/>
    <w:rsid w:val="005163F1"/>
    <w:rsid w:val="00527B2E"/>
    <w:rsid w:val="00562FCB"/>
    <w:rsid w:val="00616FD7"/>
    <w:rsid w:val="00623591"/>
    <w:rsid w:val="0062649E"/>
    <w:rsid w:val="006453B0"/>
    <w:rsid w:val="00651E81"/>
    <w:rsid w:val="006746B8"/>
    <w:rsid w:val="00676BF0"/>
    <w:rsid w:val="006866B7"/>
    <w:rsid w:val="006A77CE"/>
    <w:rsid w:val="006F2714"/>
    <w:rsid w:val="007014C1"/>
    <w:rsid w:val="00701B19"/>
    <w:rsid w:val="0070203F"/>
    <w:rsid w:val="0074081F"/>
    <w:rsid w:val="0077479A"/>
    <w:rsid w:val="007972ED"/>
    <w:rsid w:val="007B6EBE"/>
    <w:rsid w:val="00845A9B"/>
    <w:rsid w:val="00877403"/>
    <w:rsid w:val="008A5653"/>
    <w:rsid w:val="008C1608"/>
    <w:rsid w:val="008F60F7"/>
    <w:rsid w:val="00904756"/>
    <w:rsid w:val="00907833"/>
    <w:rsid w:val="00960959"/>
    <w:rsid w:val="009844E1"/>
    <w:rsid w:val="009A04EC"/>
    <w:rsid w:val="009A688F"/>
    <w:rsid w:val="009C71DF"/>
    <w:rsid w:val="009E1F74"/>
    <w:rsid w:val="009E7BCA"/>
    <w:rsid w:val="00A17F48"/>
    <w:rsid w:val="00A24BCA"/>
    <w:rsid w:val="00A5511B"/>
    <w:rsid w:val="00A82D5C"/>
    <w:rsid w:val="00AC209C"/>
    <w:rsid w:val="00AC4CFF"/>
    <w:rsid w:val="00B00FC1"/>
    <w:rsid w:val="00B02299"/>
    <w:rsid w:val="00B55CA6"/>
    <w:rsid w:val="00B618AD"/>
    <w:rsid w:val="00B90A29"/>
    <w:rsid w:val="00B978E5"/>
    <w:rsid w:val="00BB4AF4"/>
    <w:rsid w:val="00C37DCB"/>
    <w:rsid w:val="00C406F4"/>
    <w:rsid w:val="00CC5990"/>
    <w:rsid w:val="00D60D39"/>
    <w:rsid w:val="00D6401C"/>
    <w:rsid w:val="00D652DA"/>
    <w:rsid w:val="00D959C8"/>
    <w:rsid w:val="00DA47CC"/>
    <w:rsid w:val="00DD2751"/>
    <w:rsid w:val="00DF33E7"/>
    <w:rsid w:val="00E47271"/>
    <w:rsid w:val="00E5701F"/>
    <w:rsid w:val="00F1207B"/>
    <w:rsid w:val="00F51FAF"/>
    <w:rsid w:val="00F63811"/>
    <w:rsid w:val="00F916F7"/>
    <w:rsid w:val="00FA50B8"/>
    <w:rsid w:val="00FA77C7"/>
    <w:rsid w:val="00FB409B"/>
    <w:rsid w:val="00FD659F"/>
    <w:rsid w:val="00FE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7C4D52"/>
  <w15:chartTrackingRefBased/>
  <w15:docId w15:val="{19E73C71-DDF9-F649-8DF9-24E103E8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6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407787875@qq.com</dc:creator>
  <cp:keywords/>
  <dc:description/>
  <cp:lastModifiedBy>Microsoft Office User</cp:lastModifiedBy>
  <cp:revision>10</cp:revision>
  <dcterms:created xsi:type="dcterms:W3CDTF">2023-11-22T13:42:00Z</dcterms:created>
  <dcterms:modified xsi:type="dcterms:W3CDTF">2024-06-28T11:45:00Z</dcterms:modified>
</cp:coreProperties>
</file>