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4"/>
        </w:rPr>
      </w:pPr>
      <w:r>
        <w:rPr>
          <w:rFonts w:hint="eastAsia"/>
          <w:b/>
          <w:lang w:val="en-US" w:eastAsia="zh-CN"/>
        </w:rPr>
        <w:t xml:space="preserve">Suppl </w:t>
      </w:r>
      <w:r>
        <w:rPr>
          <w:rFonts w:hint="eastAsia"/>
          <w:b/>
        </w:rPr>
        <w:t>Table1</w:t>
      </w:r>
      <w:r>
        <w:rPr>
          <w:rFonts w:hint="eastAsia"/>
          <w:b/>
          <w:color w:val="231F20"/>
          <w:sz w:val="24"/>
        </w:rPr>
        <w:t xml:space="preserve">. </w:t>
      </w:r>
      <w:bookmarkStart w:id="0" w:name="OLE_LINK1"/>
      <w:r>
        <w:rPr>
          <w:b/>
          <w:sz w:val="24"/>
        </w:rPr>
        <w:t>Audit form of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the Institutional Review Board of each hospital</w:t>
      </w:r>
      <w:bookmarkEnd w:id="0"/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Suppl Table1.1 The medical research ethics review board audit form of Shandong Provincial Hospital Affiliated to Shandong First Medical University</w:t>
      </w:r>
    </w:p>
    <w:p>
      <w:pPr>
        <w:rPr>
          <w:rFonts w:hint="eastAsia"/>
          <w:b/>
          <w:lang w:val="en-US" w:eastAsia="zh-CN"/>
        </w:rPr>
      </w:pPr>
    </w:p>
    <w:p>
      <w:pPr>
        <w:rPr>
          <w:rFonts w:hint="eastAsia"/>
          <w:b w:val="0"/>
          <w:bCs/>
          <w:sz w:val="24"/>
        </w:rPr>
      </w:pPr>
      <w:r>
        <w:rPr>
          <w:rFonts w:hint="eastAsia" w:eastAsiaTheme="minorEastAsia"/>
          <w:b/>
          <w:lang w:eastAsia="zh-CN"/>
        </w:rPr>
        <w:drawing>
          <wp:inline distT="0" distB="0" distL="114300" distR="114300">
            <wp:extent cx="5274310" cy="7463155"/>
            <wp:effectExtent l="0" t="0" r="2540" b="4445"/>
            <wp:docPr id="4" name="图片 4" descr="Shandong Provincial Hospital Affiliated to Shandong First Medical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handong Provincial Hospital Affiliated to Shandong First Medical Universit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b/>
          <w:lang w:eastAsia="zh-CN"/>
        </w:rPr>
      </w:pPr>
    </w:p>
    <w:p>
      <w:pPr>
        <w:rPr>
          <w:rFonts w:hint="eastAsia" w:eastAsiaTheme="minorEastAsia"/>
          <w:b/>
          <w:lang w:eastAsia="zh-CN"/>
        </w:rPr>
      </w:pP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Suppl Table1.2 The medical research ethics review board audit form of Affiliated Hospital of Jining Medical University</w:t>
      </w:r>
    </w:p>
    <w:p>
      <w:pPr>
        <w:rPr>
          <w:rFonts w:hint="eastAsia"/>
          <w:b w:val="0"/>
          <w:bCs/>
          <w:sz w:val="24"/>
          <w:lang w:eastAsia="zh-CN"/>
        </w:rPr>
      </w:pPr>
    </w:p>
    <w:p>
      <w:pPr>
        <w:rPr>
          <w:rFonts w:hint="eastAsia" w:eastAsiaTheme="minorEastAsia"/>
          <w:b/>
          <w:lang w:eastAsia="zh-CN"/>
        </w:rPr>
      </w:pPr>
      <w:r>
        <w:rPr>
          <w:rFonts w:hint="eastAsia"/>
          <w:b w:val="0"/>
          <w:bCs/>
          <w:sz w:val="24"/>
          <w:lang w:eastAsia="zh-CN"/>
        </w:rPr>
        <w:drawing>
          <wp:inline distT="0" distB="0" distL="114300" distR="114300">
            <wp:extent cx="5276215" cy="7431405"/>
            <wp:effectExtent l="0" t="0" r="635" b="17145"/>
            <wp:docPr id="2" name="图片 2" descr="Affiliated Hospital of Jining Medical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ffiliated Hospital of Jining Medical Universit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 w:val="0"/>
          <w:bCs/>
          <w:sz w:val="24"/>
          <w:lang w:val="en-US" w:eastAsia="zh-CN"/>
        </w:rPr>
      </w:pPr>
      <w:r>
        <w:rPr>
          <w:rFonts w:hint="eastAsia"/>
          <w:b/>
          <w:lang w:val="en-US" w:eastAsia="zh-CN"/>
        </w:rPr>
        <w:t xml:space="preserve">Suppl </w:t>
      </w:r>
      <w:r>
        <w:rPr>
          <w:rFonts w:hint="eastAsia"/>
          <w:b w:val="0"/>
          <w:bCs/>
          <w:sz w:val="24"/>
        </w:rPr>
        <w:t>Table1.</w:t>
      </w:r>
      <w:r>
        <w:rPr>
          <w:rFonts w:hint="eastAsia"/>
          <w:b w:val="0"/>
          <w:bCs/>
          <w:sz w:val="24"/>
          <w:lang w:val="en-US" w:eastAsia="zh-CN"/>
        </w:rPr>
        <w:t>3 T</w:t>
      </w:r>
      <w:r>
        <w:rPr>
          <w:rFonts w:hint="eastAsia"/>
          <w:b w:val="0"/>
          <w:bCs/>
          <w:sz w:val="24"/>
        </w:rPr>
        <w:t xml:space="preserve">he medical </w:t>
      </w:r>
      <w:r>
        <w:rPr>
          <w:rFonts w:hint="eastAsia"/>
          <w:b w:val="0"/>
          <w:bCs/>
          <w:sz w:val="24"/>
          <w:lang w:val="en-US" w:eastAsia="zh-CN"/>
        </w:rPr>
        <w:t xml:space="preserve">research </w:t>
      </w:r>
      <w:r>
        <w:rPr>
          <w:rFonts w:hint="eastAsia"/>
          <w:b w:val="0"/>
          <w:bCs/>
          <w:sz w:val="24"/>
        </w:rPr>
        <w:t xml:space="preserve">ethics review </w:t>
      </w:r>
      <w:r>
        <w:rPr>
          <w:rFonts w:hint="eastAsia"/>
          <w:b w:val="0"/>
          <w:bCs/>
          <w:sz w:val="24"/>
          <w:lang w:val="en-US" w:eastAsia="zh-CN"/>
        </w:rPr>
        <w:t>board</w:t>
      </w:r>
      <w:r>
        <w:rPr>
          <w:rFonts w:hint="eastAsia"/>
          <w:b w:val="0"/>
          <w:bCs/>
          <w:sz w:val="24"/>
        </w:rPr>
        <w:t xml:space="preserve"> </w:t>
      </w:r>
      <w:r>
        <w:rPr>
          <w:rFonts w:hint="eastAsia"/>
          <w:b w:val="0"/>
          <w:bCs/>
          <w:sz w:val="24"/>
          <w:lang w:val="en-US" w:eastAsia="zh-CN"/>
        </w:rPr>
        <w:t>a</w:t>
      </w:r>
      <w:r>
        <w:rPr>
          <w:rFonts w:hint="eastAsia"/>
          <w:b w:val="0"/>
          <w:bCs/>
          <w:sz w:val="24"/>
        </w:rPr>
        <w:t>udit form</w:t>
      </w:r>
      <w:r>
        <w:rPr>
          <w:rFonts w:hint="eastAsia"/>
          <w:b w:val="0"/>
          <w:bCs/>
          <w:sz w:val="24"/>
          <w:lang w:val="en-US" w:eastAsia="zh-CN"/>
        </w:rPr>
        <w:t xml:space="preserve"> </w:t>
      </w:r>
      <w:r>
        <w:rPr>
          <w:rFonts w:hint="eastAsia"/>
          <w:b w:val="0"/>
          <w:bCs/>
          <w:sz w:val="24"/>
        </w:rPr>
        <w:t>of</w:t>
      </w:r>
      <w:r>
        <w:rPr>
          <w:rFonts w:hint="eastAsia"/>
          <w:b w:val="0"/>
          <w:bCs/>
          <w:sz w:val="24"/>
          <w:lang w:val="en-US" w:eastAsia="zh-CN"/>
        </w:rPr>
        <w:t xml:space="preserve"> Qingdao Women and Children Hospital</w:t>
      </w:r>
    </w:p>
    <w:p>
      <w:pPr>
        <w:rPr>
          <w:rFonts w:hint="default"/>
          <w:b w:val="0"/>
          <w:bCs/>
          <w:sz w:val="24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5260" cy="7431405"/>
            <wp:effectExtent l="0" t="0" r="2540" b="17145"/>
            <wp:docPr id="3" name="图片 3" descr="Qingdao Women and Children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ingdao Women and Children Hospita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</w:rPr>
      </w:pPr>
      <w:r>
        <w:br w:type="column"/>
      </w:r>
      <w:r>
        <w:rPr>
          <w:rFonts w:hint="eastAsia"/>
          <w:b/>
          <w:lang w:val="en-US" w:eastAsia="zh-CN"/>
        </w:rPr>
        <w:t xml:space="preserve">Suppl </w:t>
      </w:r>
      <w:r>
        <w:rPr>
          <w:rFonts w:hint="eastAsia"/>
          <w:b/>
        </w:rPr>
        <w:t>Table</w:t>
      </w:r>
      <w:r>
        <w:rPr>
          <w:rFonts w:hint="eastAsia"/>
          <w:b/>
          <w:lang w:val="en-US" w:eastAsia="zh-CN"/>
        </w:rPr>
        <w:t xml:space="preserve"> 2</w:t>
      </w:r>
      <w:r>
        <w:rPr>
          <w:rFonts w:hint="eastAsia"/>
          <w:b/>
        </w:rPr>
        <w:t>.</w:t>
      </w:r>
      <w:r>
        <w:rPr>
          <w:b/>
        </w:rPr>
        <w:t xml:space="preserve"> Pediatric Sequential Organ Failure Assessment Score</w:t>
      </w:r>
    </w:p>
    <w:p>
      <w:pPr>
        <w:rPr>
          <w:rFonts w:hint="eastAsia"/>
          <w:b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772"/>
        <w:gridCol w:w="992"/>
        <w:gridCol w:w="1417"/>
        <w:gridCol w:w="1843"/>
        <w:gridCol w:w="203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vMerge w:val="restart"/>
            <w:tcBorders>
              <w:right w:val="nil"/>
            </w:tcBorders>
            <w:vAlign w:val="bottom"/>
          </w:tcPr>
          <w:p>
            <w:pPr>
              <w:rPr>
                <w:rFonts w:hint="eastAsia"/>
                <w:b/>
              </w:rPr>
            </w:pPr>
            <w:r>
              <w:t>Variables</w:t>
            </w:r>
          </w:p>
        </w:tc>
        <w:tc>
          <w:tcPr>
            <w:tcW w:w="7059" w:type="dxa"/>
            <w:gridSpan w:val="5"/>
            <w:tcBorders>
              <w:left w:val="nil"/>
            </w:tcBorders>
            <w:vAlign w:val="bottom"/>
          </w:tcPr>
          <w:p>
            <w:pPr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>core</w:t>
            </w:r>
            <w:r>
              <w:rPr>
                <w:rFonts w:hint="eastAsia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vMerge w:val="continue"/>
            <w:tcBorders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772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843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2035" w:type="dxa"/>
            <w:tcBorders>
              <w:left w:val="nil"/>
              <w:bottom w:val="single" w:color="auto" w:sz="4" w:space="0"/>
            </w:tcBorders>
            <w:vAlign w:val="bottom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t>Respiratory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vertAlign w:val="superscript"/>
              </w:rPr>
            </w:pPr>
            <w:r>
              <w:t>PaO</w:t>
            </w:r>
            <w:r>
              <w:rPr>
                <w:vertAlign w:val="subscript"/>
              </w:rPr>
              <w:t>2</w:t>
            </w:r>
            <w:r>
              <w:t>:FiO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  <w:vertAlign w:val="subscript"/>
              </w:rPr>
              <w:t xml:space="preserve"> </w:t>
            </w:r>
            <w:r>
              <w:rPr>
                <w:vertAlign w:val="superscript"/>
              </w:rPr>
              <w:t>b</w:t>
            </w:r>
          </w:p>
          <w:p>
            <w:pPr>
              <w:rPr>
                <w:rFonts w:hint="eastAsia"/>
              </w:rPr>
            </w:pPr>
            <w:r>
              <w:t xml:space="preserve"> or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b/>
              </w:rPr>
            </w:pPr>
            <w:r>
              <w:t>SpO</w:t>
            </w:r>
            <w:r>
              <w:rPr>
                <w:vertAlign w:val="subscript"/>
              </w:rPr>
              <w:t>2</w:t>
            </w:r>
            <w:r>
              <w:t>:FiO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r>
              <w:rPr>
                <w:vertAlign w:val="superscript"/>
              </w:rPr>
              <w:t>c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300-399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200-299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100-199 With respiratory support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＜100</w:t>
            </w:r>
            <w:r>
              <w:t xml:space="preserve"> With respiratory support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vMerge w:val="continue"/>
            <w:tcBorders>
              <w:top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≥292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264-291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221-264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148-220</w:t>
            </w:r>
            <w:r>
              <w:t xml:space="preserve"> With respiratory support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＜148</w:t>
            </w:r>
            <w:r>
              <w:t xml:space="preserve"> With respiratory support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t>Coagulation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Platelet count, ×10</w:t>
            </w:r>
            <w:r>
              <w:rPr>
                <w:vertAlign w:val="superscript"/>
              </w:rPr>
              <w:t>3</w:t>
            </w:r>
            <w:r>
              <w:t xml:space="preserve"> /μL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≥150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100-149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50-99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20-49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＜20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Hepatic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2035" w:type="dxa"/>
            <w:tcBorders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Bilirubin, mg/dL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＜1.2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1.2-1.9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2.0-5.9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6.0-11.9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＞12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Cardiovascular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2035" w:type="dxa"/>
            <w:tcBorders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MAP by age group or vasoactive infusion, mm Hg or μg/kg/min</w:t>
            </w:r>
            <w:r>
              <w:rPr>
                <w:vertAlign w:val="superscript"/>
              </w:rPr>
              <w:t>d</w:t>
            </w:r>
          </w:p>
        </w:tc>
        <w:tc>
          <w:tcPr>
            <w:tcW w:w="7059" w:type="dxa"/>
            <w:gridSpan w:val="5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＜1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&lt;46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Dopamine hydrochloride ≤5</w:t>
            </w:r>
            <w:r>
              <w:rPr>
                <w:rFonts w:hint="eastAsia"/>
              </w:rPr>
              <w:t xml:space="preserve"> </w:t>
            </w:r>
            <w:r>
              <w:t>or dobutamine hydrochloride (any)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Dopamine hydrochloride &gt;5 or epinephrine ≤0.1 or norepinephrine bitartrate ≤0.1</w:t>
            </w:r>
          </w:p>
        </w:tc>
        <w:tc>
          <w:tcPr>
            <w:tcW w:w="2035" w:type="dxa"/>
            <w:vMerge w:val="restart"/>
            <w:tcBorders>
              <w:top w:val="nil"/>
              <w:left w:val="nil"/>
            </w:tcBorders>
          </w:tcPr>
          <w:p>
            <w:pPr>
              <w:rPr>
                <w:rFonts w:hint="eastAsia"/>
                <w:b/>
              </w:rPr>
            </w:pPr>
            <w:r>
              <w:t>Dopamine hydrochloride &gt;15 or epinephrine &gt;0.1 or norepinephrine bitartrate &gt;0.1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1-11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&lt;55</w:t>
            </w:r>
          </w:p>
        </w:tc>
        <w:tc>
          <w:tcPr>
            <w:tcW w:w="1417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2035" w:type="dxa"/>
            <w:vMerge w:val="continue"/>
            <w:tcBorders>
              <w:left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12-23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&lt;60</w:t>
            </w:r>
          </w:p>
        </w:tc>
        <w:tc>
          <w:tcPr>
            <w:tcW w:w="1417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2035" w:type="dxa"/>
            <w:vMerge w:val="continue"/>
            <w:tcBorders>
              <w:left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24-59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&lt;62</w:t>
            </w:r>
          </w:p>
        </w:tc>
        <w:tc>
          <w:tcPr>
            <w:tcW w:w="1417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2035" w:type="dxa"/>
            <w:vMerge w:val="continue"/>
            <w:tcBorders>
              <w:left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60-143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&lt;65</w:t>
            </w:r>
          </w:p>
        </w:tc>
        <w:tc>
          <w:tcPr>
            <w:tcW w:w="1417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2035" w:type="dxa"/>
            <w:vMerge w:val="continue"/>
            <w:tcBorders>
              <w:left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144-216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&lt;67</w:t>
            </w:r>
          </w:p>
        </w:tc>
        <w:tc>
          <w:tcPr>
            <w:tcW w:w="1417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2035" w:type="dxa"/>
            <w:vMerge w:val="continue"/>
            <w:tcBorders>
              <w:left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&gt;216mo</w:t>
            </w:r>
            <w:r>
              <w:rPr>
                <w:rFonts w:hint="eastAsia"/>
                <w:b/>
                <w:vertAlign w:val="superscript"/>
              </w:rPr>
              <w:t>e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≥70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&lt;70</w:t>
            </w:r>
          </w:p>
        </w:tc>
        <w:tc>
          <w:tcPr>
            <w:tcW w:w="1417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843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2035" w:type="dxa"/>
            <w:vMerge w:val="continue"/>
            <w:tcBorders>
              <w:left w:val="nil"/>
              <w:bottom w:val="single" w:color="auto" w:sz="4" w:space="0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Neurologic</w:t>
            </w:r>
          </w:p>
        </w:tc>
        <w:tc>
          <w:tcPr>
            <w:tcW w:w="7059" w:type="dxa"/>
            <w:gridSpan w:val="5"/>
            <w:tcBorders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Glasgow Coma Score</w:t>
            </w:r>
            <w:r>
              <w:rPr>
                <w:rFonts w:hint="eastAsia"/>
                <w:vertAlign w:val="superscript"/>
              </w:rPr>
              <w:t>f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13-14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10-12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6-9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Renal</w:t>
            </w:r>
          </w:p>
        </w:tc>
        <w:tc>
          <w:tcPr>
            <w:tcW w:w="7059" w:type="dxa"/>
            <w:gridSpan w:val="5"/>
            <w:tcBorders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t>Creatinine by age group, mg/dL</w:t>
            </w:r>
          </w:p>
        </w:tc>
        <w:tc>
          <w:tcPr>
            <w:tcW w:w="7059" w:type="dxa"/>
            <w:gridSpan w:val="5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＜1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0.8-0.9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1.0-1.1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1.2-1.5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≥1.6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1-11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0.3-0.4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0.5-0.7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0.8-1.1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≥1.2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12-23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0.4-0.5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0.6-1.0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1.1-1.4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≥1.5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24-59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0.6-0.8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0.9-1.5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1.6-2.2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≥2.3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60-143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0.7-1.0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1.1-1.7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1.8-2.5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≥2.6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144-216 mo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1.0-1.6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1.7-2.8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2.9-4.1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≥4.2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tcBorders>
              <w:top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&gt;216mo</w:t>
            </w:r>
            <w:r>
              <w:rPr>
                <w:rFonts w:hint="eastAsia"/>
                <w:b/>
                <w:vertAlign w:val="superscript"/>
              </w:rPr>
              <w:t>e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&lt;1.2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1.2-1.9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2.0-3.4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3.5-4.9</w:t>
            </w:r>
          </w:p>
        </w:tc>
        <w:tc>
          <w:tcPr>
            <w:tcW w:w="2035" w:type="dxa"/>
            <w:tcBorders>
              <w:top w:val="nil"/>
              <w:left w:val="nil"/>
            </w:tcBorders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≥5</w:t>
            </w:r>
          </w:p>
        </w:tc>
      </w:tr>
    </w:tbl>
    <w:p>
      <w:pPr>
        <w:rPr>
          <w:rFonts w:hint="eastAsia"/>
          <w:b/>
        </w:rPr>
      </w:pPr>
    </w:p>
    <w:p>
      <w:pPr>
        <w:rPr>
          <w:rFonts w:hint="eastAsia"/>
        </w:rPr>
      </w:pPr>
      <w:r>
        <w:t>Abbreviations: FiO</w:t>
      </w:r>
      <w:r>
        <w:rPr>
          <w:vertAlign w:val="subscript"/>
        </w:rPr>
        <w:t>2</w:t>
      </w:r>
      <w:r>
        <w:t>, fraction of inspired oxygen; MAP, mean arterial pressure; pSOFA, pediatric Sequential Organ Failure Assessment; SpO</w:t>
      </w:r>
      <w:r>
        <w:rPr>
          <w:vertAlign w:val="subscript"/>
        </w:rPr>
        <w:t>2</w:t>
      </w:r>
      <w:r>
        <w:t>, peripheral oxygen saturation. SI conversion factors: To convert bilirubin to micromoles per liter, multiply by 17.104; creatinine to micromoles per liter, multiply by 88.4; and platelet count to ×109 /L, multiply by 1.</w:t>
      </w:r>
    </w:p>
    <w:p>
      <w:pPr>
        <w:rPr>
          <w:rFonts w:hint="eastAsia"/>
        </w:rPr>
      </w:pPr>
      <w:r>
        <w:rPr>
          <w:rFonts w:hint="eastAsia"/>
          <w:vertAlign w:val="superscript"/>
        </w:rPr>
        <w:t>a</w:t>
      </w:r>
      <w:r>
        <w:t xml:space="preserve"> The pSOFA score was calculated for every 24-hour period. The worst value for every variable in each 24-hour period was used to calculate the subscore for each of the 6 organ systems. If a variable was not recorded in a given 24-hour period, it was assumed to be normal and a score of 0 was used. Daily pSOFA score was the sum of the 6 subscores (range, 0-24 points; higher scores indicate a worse outcome). </w:t>
      </w:r>
    </w:p>
    <w:p>
      <w:pPr>
        <w:rPr>
          <w:rFonts w:hint="eastAsia"/>
        </w:rPr>
      </w:pPr>
      <w:r>
        <w:rPr>
          <w:vertAlign w:val="superscript"/>
        </w:rPr>
        <w:t>b</w:t>
      </w:r>
      <w:r>
        <w:rPr>
          <w:rFonts w:hint="eastAsia"/>
        </w:rPr>
        <w:t xml:space="preserve"> </w:t>
      </w:r>
      <w:r>
        <w:t>PaO</w:t>
      </w:r>
      <w:r>
        <w:rPr>
          <w:vertAlign w:val="subscript"/>
        </w:rPr>
        <w:t>2</w:t>
      </w:r>
      <w:r>
        <w:t xml:space="preserve"> was measured in millimeters of mercury. </w:t>
      </w:r>
    </w:p>
    <w:p>
      <w:pPr>
        <w:rPr>
          <w:rFonts w:hint="eastAsia"/>
        </w:rPr>
      </w:pPr>
      <w:r>
        <w:rPr>
          <w:vertAlign w:val="superscript"/>
        </w:rPr>
        <w:t>c</w:t>
      </w:r>
      <w:r>
        <w:t xml:space="preserve"> Only SpO</w:t>
      </w:r>
      <w:r>
        <w:rPr>
          <w:vertAlign w:val="subscript"/>
        </w:rPr>
        <w:t>2</w:t>
      </w:r>
      <w:r>
        <w:t xml:space="preserve"> measurements of 97% or lower were used in the calculation. </w:t>
      </w:r>
    </w:p>
    <w:p>
      <w:pPr>
        <w:rPr>
          <w:rFonts w:hint="eastAsia"/>
        </w:rPr>
      </w:pPr>
      <w:r>
        <w:rPr>
          <w:rFonts w:hint="eastAsia"/>
          <w:vertAlign w:val="superscript"/>
        </w:rPr>
        <w:t>d</w:t>
      </w:r>
      <w:r>
        <w:rPr>
          <w:rFonts w:hint="eastAsia"/>
        </w:rPr>
        <w:t xml:space="preserve"> </w:t>
      </w:r>
      <w:r>
        <w:t xml:space="preserve">MAP (measured in millimeters of mercury) was used for scores 0 and 1; vasoactive infusion (measured in micrograms per kiligram per minute), for scores 2 to 4. Maximum continuous vasoactive infusion was administered for at least 1 hour. </w:t>
      </w:r>
    </w:p>
    <w:p>
      <w:pPr>
        <w:rPr>
          <w:rFonts w:hint="eastAsia"/>
        </w:rPr>
      </w:pPr>
      <w:r>
        <w:rPr>
          <w:vertAlign w:val="superscript"/>
        </w:rPr>
        <w:t>e</w:t>
      </w:r>
      <w:r>
        <w:t xml:space="preserve"> Cutoffs for patients older than 18 years (216 months) were identical to the original SOFA score. </w:t>
      </w:r>
    </w:p>
    <w:p>
      <w:r>
        <w:rPr>
          <w:vertAlign w:val="superscript"/>
        </w:rPr>
        <w:t>f</w:t>
      </w:r>
      <w:r>
        <w:t xml:space="preserve"> Glasgow Coma Scale was calculated using </w:t>
      </w:r>
      <w:r>
        <w:rPr>
          <w:rFonts w:hint="eastAsia"/>
        </w:rPr>
        <w:t xml:space="preserve"> </w:t>
      </w:r>
      <w:r>
        <w:t>the pediatric scale.</w:t>
      </w:r>
    </w:p>
    <w:p/>
    <w:p>
      <w:pPr>
        <w:numPr>
          <w:ilvl w:val="0"/>
          <w:numId w:val="1"/>
        </w:numPr>
        <w:rPr>
          <w:rFonts w:hint="eastAsia"/>
        </w:rPr>
      </w:pPr>
      <w:r>
        <w:rPr>
          <w:sz w:val="24"/>
        </w:rPr>
        <w:t>Matics TJ, Sanchez-Pinto LN. Adaptation and Validation of a Pediatric Sequential Organ Failure Assessment Score and Evaluation of the Sepsis-3 Definitions in Critically Ill Children. JAMA Pediatr. 2017;171(10):e172352.</w:t>
      </w:r>
    </w:p>
    <w:p>
      <w:pPr>
        <w:rPr>
          <w:rFonts w:hint="eastAsia"/>
          <w:b/>
        </w:rPr>
      </w:pPr>
    </w:p>
    <w:p>
      <w:pPr>
        <w:rPr>
          <w:b/>
          <w:lang w:val="en-US" w:eastAsia="zh-CN"/>
        </w:rPr>
      </w:pPr>
      <w:r>
        <w:rPr>
          <w:b/>
        </w:rPr>
        <w:br w:type="column"/>
      </w:r>
      <w:r>
        <w:rPr>
          <w:rFonts w:hint="eastAsia"/>
          <w:b/>
          <w:lang w:val="en-US" w:eastAsia="zh-CN"/>
        </w:rPr>
        <w:t xml:space="preserve">Suppl </w:t>
      </w:r>
      <w:bookmarkStart w:id="1" w:name="_GoBack"/>
      <w:bookmarkEnd w:id="1"/>
      <w:r>
        <w:rPr>
          <w:rFonts w:hint="eastAsia"/>
          <w:b/>
        </w:rPr>
        <w:t xml:space="preserve">Table </w:t>
      </w:r>
      <w:r>
        <w:rPr>
          <w:rFonts w:hint="eastAsia"/>
          <w:b/>
          <w:lang w:val="en-US" w:eastAsia="zh-CN"/>
        </w:rPr>
        <w:t>3</w:t>
      </w:r>
      <w:r>
        <w:rPr>
          <w:rFonts w:hint="eastAsia"/>
          <w:b/>
        </w:rPr>
        <w:t>.</w:t>
      </w:r>
      <w:r>
        <w:t xml:space="preserve"> </w:t>
      </w:r>
      <w:r>
        <w:rPr>
          <w:b/>
          <w:lang w:val="en-US" w:eastAsia="zh-CN"/>
        </w:rPr>
        <w:t>Definitions of systemic inflammatory response syndrome (SIRS)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52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r>
              <w:rPr>
                <w:lang w:val="en-US" w:eastAsia="zh-CN"/>
              </w:rPr>
              <w:t>SIRS</w:t>
            </w:r>
          </w:p>
          <w:p>
            <w:pPr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val="en-US" w:eastAsia="zh-CN"/>
              </w:rPr>
            </w:pPr>
            <w:r>
              <w:rPr>
                <w:lang w:val="en-US" w:eastAsia="zh-CN"/>
              </w:rPr>
              <w:t>The presence of at least two of the following four criteria, one of which must be abnormal temperature or leukocyte count: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lang w:val="en-US" w:eastAsia="zh-CN"/>
              </w:rPr>
            </w:pPr>
            <w:r>
              <w:rPr>
                <w:lang w:val="en-US" w:eastAsia="zh-CN"/>
              </w:rPr>
              <w:t>Core</w:t>
            </w:r>
            <w:r>
              <w:rPr>
                <w:rFonts w:hint="eastAsia"/>
                <w:vertAlign w:val="superscript"/>
                <w:lang w:val="en-US" w:eastAsia="zh-CN"/>
              </w:rPr>
              <w:t>a</w:t>
            </w:r>
            <w:r>
              <w:rPr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temperature of </w:t>
            </w:r>
            <w:r>
              <w:rPr>
                <w:rFonts w:hint="eastAsia" w:ascii="微软雅黑" w:hAnsi="微软雅黑" w:eastAsia="微软雅黑" w:cs="微软雅黑"/>
                <w:b/>
                <w:lang w:val="en-US" w:eastAsia="zh-CN"/>
              </w:rPr>
              <w:t>&gt;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38.5°C or </w:t>
            </w:r>
            <w:r>
              <w:rPr>
                <w:rFonts w:hint="eastAsia"/>
                <w:b/>
              </w:rPr>
              <w:t>&lt;</w:t>
            </w:r>
            <w:r>
              <w:rPr>
                <w:rFonts w:hint="default"/>
                <w:lang w:val="en-US" w:eastAsia="zh-CN"/>
              </w:rPr>
              <w:t>36°C.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ascii="Times New Roman" w:hAnsi="Times New Roman"/>
                <w:sz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Tachycardia, defined as a mean heart rate 2 SD above normal for age in the absence of external stimulus, chronic drugs, or painful stimuli; or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otherwise unexplained persistent elevation over a 0.5- to 4-hr time period OR for children &lt;1 yr old: bradycardia, defined as a mean heart rate &lt;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10th percentile for age in the absence of external vagal stimulus, </w:t>
            </w:r>
            <w:r>
              <w:rPr>
                <w:rFonts w:hint="eastAsia"/>
                <w:lang w:val="en-US" w:eastAsia="zh-CN"/>
              </w:rPr>
              <w:t>β</w:t>
            </w:r>
            <w:r>
              <w:rPr>
                <w:rFonts w:hint="default"/>
                <w:lang w:val="en-US" w:eastAsia="zh-CN"/>
              </w:rPr>
              <w:t>-blocker drugs, or congenital heart disease; or otherwise unexplained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persistent depression over a 0.5-hr time period.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ascii="Times New Roman" w:hAnsi="Times New Roman"/>
                <w:sz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Mean respiratory rate 2 SD above normal for age or mechanical ventilation for an acute process not related to underlying neuromuscular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disease or the receipt of general anesthesia.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0" w:leftChars="0" w:hanging="420" w:firstLineChars="0"/>
              <w:jc w:val="left"/>
              <w:rPr>
                <w:rFonts w:ascii="Times New Roman" w:hAnsi="Times New Roman"/>
                <w:sz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Leukocyte count elevated or depressed for age (not secondary to chemotherapy-induced leukopenia) or 10% immature neutrophils.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lang w:val="en-US" w:eastAsia="zh-CN"/>
        </w:rPr>
        <w:t xml:space="preserve"> </w:t>
      </w:r>
      <w:r>
        <w:rPr>
          <w:rFonts w:hint="eastAsia"/>
          <w:vertAlign w:val="superscript"/>
          <w:lang w:val="en-US" w:eastAsia="zh-CN"/>
        </w:rPr>
        <w:t>a</w:t>
      </w:r>
      <w:r>
        <w:rPr>
          <w:rFonts w:hint="default"/>
          <w:lang w:val="en-US" w:eastAsia="zh-CN"/>
        </w:rPr>
        <w:t xml:space="preserve"> core temperature must be measured by rectal, bladder, oral, or central catheter probe.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sz w:val="24"/>
        </w:rPr>
        <w:t>Goldstein B, Giroir B, Randolph A</w:t>
      </w:r>
      <w:r>
        <w:rPr>
          <w:rFonts w:hint="eastAsia"/>
          <w:sz w:val="24"/>
          <w:lang w:val="en-US" w:eastAsia="zh-CN"/>
        </w:rPr>
        <w:t>.</w:t>
      </w:r>
      <w:r>
        <w:rPr>
          <w:sz w:val="24"/>
        </w:rPr>
        <w:t xml:space="preserve"> International Consensus Conference on Pediatric Sepsis. International pediatric sepsis consensus conference: definitions for sepsis and organ dysfunction in pediatrics. Pediatr Crit Care Med. 2005;6(1):2-8.</w:t>
      </w:r>
    </w:p>
    <w:p>
      <w:pPr>
        <w:rPr>
          <w:rFonts w:hint="default"/>
          <w:lang w:val="en-US" w:eastAsia="zh-CN"/>
        </w:rPr>
      </w:pPr>
      <w:r>
        <w:rPr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E5D9C1"/>
    <w:multiLevelType w:val="singleLevel"/>
    <w:tmpl w:val="AEE5D9C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78C2DA7"/>
    <w:multiLevelType w:val="singleLevel"/>
    <w:tmpl w:val="578C2DA7"/>
    <w:lvl w:ilvl="0" w:tentative="0">
      <w:start w:val="9"/>
      <w:numFmt w:val="decimal"/>
      <w:suff w:val="space"/>
      <w:lvlText w:val="%1."/>
      <w:lvlJc w:val="left"/>
    </w:lvl>
  </w:abstractNum>
  <w:abstractNum w:abstractNumId="2">
    <w:nsid w:val="6AAA4497"/>
    <w:multiLevelType w:val="singleLevel"/>
    <w:tmpl w:val="6AAA4497"/>
    <w:lvl w:ilvl="0" w:tentative="0">
      <w:start w:val="14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16"/>
    <w:rsid w:val="00035E05"/>
    <w:rsid w:val="000371A4"/>
    <w:rsid w:val="0004032C"/>
    <w:rsid w:val="00044EF5"/>
    <w:rsid w:val="00103C99"/>
    <w:rsid w:val="00163E03"/>
    <w:rsid w:val="002067B6"/>
    <w:rsid w:val="00463656"/>
    <w:rsid w:val="004B7068"/>
    <w:rsid w:val="00524B7A"/>
    <w:rsid w:val="00537394"/>
    <w:rsid w:val="005957B3"/>
    <w:rsid w:val="00674F16"/>
    <w:rsid w:val="006A5696"/>
    <w:rsid w:val="006C6734"/>
    <w:rsid w:val="0070695F"/>
    <w:rsid w:val="008404AF"/>
    <w:rsid w:val="009120DD"/>
    <w:rsid w:val="00915ECC"/>
    <w:rsid w:val="00936DB7"/>
    <w:rsid w:val="00A367EE"/>
    <w:rsid w:val="00A65E20"/>
    <w:rsid w:val="00B03AB3"/>
    <w:rsid w:val="00B27026"/>
    <w:rsid w:val="00B84970"/>
    <w:rsid w:val="00BA32C9"/>
    <w:rsid w:val="00BE50D7"/>
    <w:rsid w:val="00C57609"/>
    <w:rsid w:val="00CB4F95"/>
    <w:rsid w:val="00CD399E"/>
    <w:rsid w:val="00D26CDA"/>
    <w:rsid w:val="00DF2B7A"/>
    <w:rsid w:val="00E15DF2"/>
    <w:rsid w:val="00E75658"/>
    <w:rsid w:val="00E7575B"/>
    <w:rsid w:val="00EE10B6"/>
    <w:rsid w:val="14550162"/>
    <w:rsid w:val="1EDC403B"/>
    <w:rsid w:val="21BC5D40"/>
    <w:rsid w:val="2A514610"/>
    <w:rsid w:val="2AC43078"/>
    <w:rsid w:val="2DE55A2E"/>
    <w:rsid w:val="46E86367"/>
    <w:rsid w:val="4F146003"/>
    <w:rsid w:val="51896680"/>
    <w:rsid w:val="597175E4"/>
    <w:rsid w:val="5C5B6A1A"/>
    <w:rsid w:val="5D94015F"/>
    <w:rsid w:val="6A15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799</Words>
  <Characters>4559</Characters>
  <Lines>37</Lines>
  <Paragraphs>10</Paragraphs>
  <TotalTime>0</TotalTime>
  <ScaleCrop>false</ScaleCrop>
  <LinksUpToDate>false</LinksUpToDate>
  <CharactersWithSpaces>5348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2020-09-18T04:03:00Z</dcterms:created>
  <dc:creator>dreamsummit</dc:creator>
  <cp:lastModifiedBy>Administrator</cp:lastModifiedBy>
  <dcterms:modified xsi:type="dcterms:W3CDTF">2021-04-25T17:23:22Z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D697C925D3FE405CBE3DF997D5B77162</vt:lpwstr>
  </property>
</Properties>
</file>